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4" w:rsidRDefault="00EF0C58">
      <w:pPr>
        <w:tabs>
          <w:tab w:val="right" w:pos="8738"/>
        </w:tabs>
        <w:spacing w:after="12" w:line="259" w:lineRule="auto"/>
        <w:ind w:left="0" w:firstLine="0"/>
        <w:jc w:val="left"/>
      </w:pPr>
      <w:bookmarkStart w:id="0" w:name="_GoBack"/>
      <w:bookmarkEnd w:id="0"/>
      <w:r>
        <w:rPr>
          <w:rFonts w:ascii="Arial" w:eastAsia="Arial" w:hAnsi="Arial" w:cs="Arial"/>
          <w:sz w:val="15"/>
        </w:rPr>
        <w:t>164</w:t>
      </w:r>
      <w:r>
        <w:rPr>
          <w:rFonts w:ascii="Arial" w:eastAsia="Arial" w:hAnsi="Arial" w:cs="Arial"/>
          <w:sz w:val="15"/>
        </w:rPr>
        <w:tab/>
        <w:t>Boletín Oficial de la Provincia de Santa Cruz de Tenerife. Número 4, miércoles 9 de enero de 2002</w:t>
      </w:r>
    </w:p>
    <w:p w:rsidR="00031F04" w:rsidRDefault="00EF0C58">
      <w:pPr>
        <w:spacing w:after="0" w:line="259" w:lineRule="auto"/>
        <w:ind w:left="-18" w:right="-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81354" cy="11583"/>
                <wp:effectExtent l="0" t="0" r="0" b="0"/>
                <wp:docPr id="3408" name="Group 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354" cy="11583"/>
                          <a:chOff x="0" y="0"/>
                          <a:chExt cx="5581354" cy="11583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5581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354">
                                <a:moveTo>
                                  <a:pt x="0" y="0"/>
                                </a:moveTo>
                                <a:lnTo>
                                  <a:pt x="5581354" y="0"/>
                                </a:lnTo>
                              </a:path>
                            </a:pathLst>
                          </a:custGeom>
                          <a:ln w="115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8" style="width:439.477pt;height:0.912023pt;mso-position-horizontal-relative:char;mso-position-vertical-relative:line" coordsize="55813,115">
                <v:shape id="Shape 136" style="position:absolute;width:55813;height:0;left:0;top:0;" coordsize="5581354,0" path="m0,0l5581354,0">
                  <v:stroke weight="0.91202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31F04" w:rsidRDefault="00031F04">
      <w:pPr>
        <w:sectPr w:rsidR="00031F04">
          <w:pgSz w:w="11900" w:h="16840"/>
          <w:pgMar w:top="1229" w:right="1599" w:bottom="2478" w:left="1562" w:header="720" w:footer="720" w:gutter="0"/>
          <w:cols w:space="720"/>
        </w:sectPr>
      </w:pPr>
    </w:p>
    <w:p w:rsidR="00031F04" w:rsidRDefault="00EF0C58">
      <w:pPr>
        <w:ind w:left="0"/>
      </w:pPr>
      <w:r>
        <w:lastRenderedPageBreak/>
        <w:t xml:space="preserve">al de la fecha de inserción de este anuncio en el Boletín Oficial de la Provincia. </w:t>
      </w:r>
    </w:p>
    <w:p w:rsidR="00031F04" w:rsidRDefault="00EF0C58">
      <w:pPr>
        <w:numPr>
          <w:ilvl w:val="0"/>
          <w:numId w:val="1"/>
        </w:numPr>
        <w:ind w:firstLine="155"/>
      </w:pPr>
      <w:r>
        <w:t xml:space="preserve">Oficina de presentación: Registro General de </w:t>
      </w:r>
      <w:proofErr w:type="spellStart"/>
      <w:r>
        <w:t>laCasa</w:t>
      </w:r>
      <w:proofErr w:type="spellEnd"/>
      <w:r>
        <w:t xml:space="preserve"> Consistorial, en horario de oficina.</w:t>
      </w:r>
    </w:p>
    <w:p w:rsidR="00031F04" w:rsidRDefault="00EF0C58">
      <w:pPr>
        <w:numPr>
          <w:ilvl w:val="0"/>
          <w:numId w:val="1"/>
        </w:numPr>
        <w:spacing w:after="0"/>
        <w:ind w:firstLine="155"/>
      </w:pPr>
      <w:r>
        <w:t xml:space="preserve">Órgano ante el que se reclama: el Pleno de la </w:t>
      </w:r>
      <w:proofErr w:type="spellStart"/>
      <w:r>
        <w:t>Cor</w:t>
      </w:r>
      <w:proofErr w:type="spellEnd"/>
      <w:r>
        <w:t>-</w:t>
      </w:r>
    </w:p>
    <w:p w:rsidR="00031F04" w:rsidRDefault="00EF0C58">
      <w:pPr>
        <w:ind w:left="0"/>
      </w:pPr>
      <w:proofErr w:type="spellStart"/>
      <w:r>
        <w:t>poración</w:t>
      </w:r>
      <w:proofErr w:type="spellEnd"/>
      <w:r>
        <w:t>.</w:t>
      </w:r>
    </w:p>
    <w:p w:rsidR="00031F04" w:rsidRDefault="00EF0C58">
      <w:pPr>
        <w:ind w:left="165"/>
      </w:pPr>
      <w:r>
        <w:t>Breña Baja, a 29 de diciembre de 2001.</w:t>
      </w:r>
    </w:p>
    <w:p w:rsidR="00031F04" w:rsidRDefault="00EF0C58">
      <w:pPr>
        <w:spacing w:after="566"/>
        <w:ind w:left="165"/>
      </w:pPr>
      <w:r>
        <w:t>El Alcalde, Jaime Sicilia Hernández.</w:t>
      </w:r>
    </w:p>
    <w:p w:rsidR="00031F04" w:rsidRDefault="00EF0C58">
      <w:pPr>
        <w:spacing w:after="253" w:line="259" w:lineRule="auto"/>
        <w:ind w:left="0" w:right="2" w:firstLine="0"/>
        <w:jc w:val="center"/>
      </w:pPr>
      <w:r>
        <w:rPr>
          <w:b/>
          <w:sz w:val="22"/>
        </w:rPr>
        <w:t>VILLA DE CANDELARIA</w:t>
      </w:r>
    </w:p>
    <w:p w:rsidR="00031F04" w:rsidRDefault="00EF0C58">
      <w:pPr>
        <w:spacing w:after="0" w:line="259" w:lineRule="auto"/>
        <w:ind w:left="0" w:right="2" w:firstLine="0"/>
        <w:jc w:val="center"/>
      </w:pPr>
      <w:r>
        <w:rPr>
          <w:b/>
        </w:rPr>
        <w:t>ANUNCIO</w:t>
      </w:r>
    </w:p>
    <w:p w:rsidR="00031F04" w:rsidRDefault="00EF0C58">
      <w:pPr>
        <w:pStyle w:val="Ttulo1"/>
        <w:ind w:right="0"/>
      </w:pPr>
      <w:r>
        <w:t>16</w:t>
      </w:r>
      <w:r>
        <w:t>6</w:t>
      </w:r>
    </w:p>
    <w:p w:rsidR="00031F04" w:rsidRDefault="00EF0C58">
      <w:pPr>
        <w:ind w:left="-10" w:firstLine="155"/>
      </w:pPr>
      <w:r>
        <w:t>Habiendo adquirido el carácter de definitivos los acuerdos municipales (adoptados provisionalmente por el Ayuntamiento Pleno en sesión extraordinaria de fecha 13-11-2001 y cuyos expedientes fueron publicados en el Boletín Oficial de la Provincia núm. 138 d</w:t>
      </w:r>
      <w:r>
        <w:t>e fecha 16-11-2001) de modificación de las Tasas que en el texto de este anuncio se indican, se procede, en cumplimiento de lo dispuesto en el artículo 17.4 de la Ley 39/1988, de 28 de diciembre, reguladora de las Haciendas Locales, a la publicación íntegr</w:t>
      </w:r>
      <w:r>
        <w:t>a de los textos de los acuerdos municipales (en su parte dispositiva) y de las Ordenanzas reguladoras de los tributos anteriormente reseñados.</w:t>
      </w:r>
    </w:p>
    <w:p w:rsidR="00031F04" w:rsidRDefault="00EF0C58">
      <w:pPr>
        <w:ind w:left="-10" w:firstLine="155"/>
      </w:pPr>
      <w:r>
        <w:t>1º.- EXPEDIENTE DE MODIFICACIÓN DE LA ORDENANZA REGULADORA DE LA TASA POR LOS SERVICIOS DE RETIRADA DE VEHÍCULOS,</w:t>
      </w:r>
      <w:r>
        <w:t xml:space="preserve"> OBJETOS PESADOS O VOLUMINOSOS DE LA VÍA PÚBLICA Y CUSTODIA DE LOS MISMOS.</w:t>
      </w:r>
    </w:p>
    <w:p w:rsidR="00031F04" w:rsidRDefault="00EF0C58">
      <w:pPr>
        <w:ind w:left="165"/>
      </w:pPr>
      <w:r>
        <w:t>A) Texto del acuerdo plenario de 13-11-2001.</w:t>
      </w:r>
    </w:p>
    <w:p w:rsidR="00031F04" w:rsidRDefault="00EF0C58">
      <w:pPr>
        <w:ind w:left="165"/>
      </w:pPr>
      <w:r>
        <w:t>“…</w:t>
      </w:r>
    </w:p>
    <w:p w:rsidR="00031F04" w:rsidRDefault="00EF0C58">
      <w:pPr>
        <w:ind w:left="-10" w:firstLine="155"/>
      </w:pPr>
      <w:r>
        <w:t>1º.- De conformidad con los arts. 15 y 17 de la Ley 39/1988, de 28 de diciembre, reguladora de las Haciendas Locales, se acuerda prov</w:t>
      </w:r>
      <w:r>
        <w:t xml:space="preserve">isionalmente modificar la Ordenanza Fiscal reguladora de la Tasa por los servicios de retirada de vehículos, objetos pesados o voluminosos de la vía pública y custodia </w:t>
      </w:r>
      <w:r>
        <w:lastRenderedPageBreak/>
        <w:t>de los mismos en los términos contenidos en el expediente.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031F04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31F04" w:rsidRDefault="00EF0C58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</w:t>
            </w:r>
            <w:r>
              <w:rPr>
                <w:rFonts w:ascii="Arial" w:eastAsia="Arial" w:hAnsi="Arial" w:cs="Arial"/>
                <w:sz w:val="12"/>
              </w:rPr>
              <w:t>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20-09-2021 10:07:02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F04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51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0FD8710086952F7737C16BD09732CE8D</w:t>
            </w:r>
          </w:p>
          <w:p w:rsidR="00031F04" w:rsidRDefault="00EF0C58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https://sedeelectronica.candelaria.es//publico/documento/0FD8710086952F7737C16BD09732CE8D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1F04" w:rsidRDefault="00031F04">
            <w:pPr>
              <w:spacing w:after="160" w:line="259" w:lineRule="auto"/>
              <w:ind w:left="0" w:firstLine="0"/>
              <w:jc w:val="left"/>
            </w:pPr>
          </w:p>
        </w:tc>
      </w:tr>
      <w:tr w:rsidR="00031F04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tabs>
                <w:tab w:val="center" w:pos="5173"/>
                <w:tab w:val="right" w:pos="9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 xml:space="preserve">Fecha de sellado electrónico: 20-09-2021 10:07:02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- 1/2 -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08:37:59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F04" w:rsidRDefault="00031F0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31F04" w:rsidRDefault="00EF0C58">
      <w:pPr>
        <w:ind w:left="-10" w:firstLine="1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980827</wp:posOffset>
                </wp:positionH>
                <wp:positionV relativeFrom="page">
                  <wp:posOffset>688552</wp:posOffset>
                </wp:positionV>
                <wp:extent cx="5581354" cy="11583"/>
                <wp:effectExtent l="0" t="0" r="0" b="0"/>
                <wp:wrapTopAndBottom/>
                <wp:docPr id="3407" name="Group 3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354" cy="11583"/>
                          <a:chOff x="0" y="0"/>
                          <a:chExt cx="5581354" cy="11583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581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354">
                                <a:moveTo>
                                  <a:pt x="0" y="0"/>
                                </a:moveTo>
                                <a:lnTo>
                                  <a:pt x="5581354" y="0"/>
                                </a:lnTo>
                              </a:path>
                            </a:pathLst>
                          </a:custGeom>
                          <a:ln w="115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07" style="width:439.477pt;height:0.912023pt;position:absolute;mso-position-horizontal-relative:page;mso-position-horizontal:absolute;margin-left:77.2305pt;mso-position-vertical-relative:page;margin-top:54.2167pt;" coordsize="55813,115">
                <v:shape id="Shape 135" style="position:absolute;width:55813;height:0;left:0;top:0;" coordsize="5581354,0" path="m0,0l5581354,0">
                  <v:stroke weight="0.912023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2º.- El presente acuerdo </w:t>
      </w:r>
      <w:proofErr w:type="gramStart"/>
      <w:r>
        <w:t>provisional</w:t>
      </w:r>
      <w:proofErr w:type="gramEnd"/>
      <w:r>
        <w:t xml:space="preserve"> así como la Ordenanza Fiscal aprobada se expondrán al público durante un plazo de </w:t>
      </w:r>
      <w:proofErr w:type="spellStart"/>
      <w:r>
        <w:t>TREINTAdías</w:t>
      </w:r>
      <w:proofErr w:type="spellEnd"/>
      <w:r>
        <w:t>, de conformidad con</w:t>
      </w:r>
    </w:p>
    <w:p w:rsidR="00031F04" w:rsidRDefault="00EF0C58">
      <w:pPr>
        <w:ind w:left="0"/>
      </w:pPr>
      <w:r>
        <w:t>lo previsto en el art. 17 de la Ley 39/1988, de 28 de diciembre.</w:t>
      </w:r>
    </w:p>
    <w:p w:rsidR="00031F04" w:rsidRDefault="00EF0C58">
      <w:pPr>
        <w:ind w:left="-10" w:firstLine="155"/>
      </w:pPr>
      <w:r>
        <w:t>3º.- Hacer constar expresamente que, ter</w:t>
      </w:r>
      <w:r>
        <w:t>minado el plazo de exposición sin haberse presentado reclamaciones, se entiende automáticamente elevado a definitivo el acuerdo provisional, de conformidad con lo previsto en el art. 17.3 de la Ley 39/1988, de 28 de diciembre.</w:t>
      </w:r>
    </w:p>
    <w:p w:rsidR="00031F04" w:rsidRDefault="00EF0C58">
      <w:pPr>
        <w:spacing w:after="85" w:line="338" w:lineRule="auto"/>
        <w:ind w:left="0" w:right="8" w:firstLine="155"/>
        <w:jc w:val="left"/>
      </w:pPr>
      <w:r>
        <w:t>4º.- Facultar ampliamente a l</w:t>
      </w:r>
      <w:r>
        <w:t>a Alcaldía para la ejecución de este acuerdo.” B) Texto de la Ordenanza reguladora.</w:t>
      </w:r>
    </w:p>
    <w:p w:rsidR="00031F04" w:rsidRDefault="00EF0C58">
      <w:pPr>
        <w:ind w:left="165"/>
      </w:pPr>
      <w:r>
        <w:t>“Naturaleza, objeto y fundamento.</w:t>
      </w:r>
    </w:p>
    <w:p w:rsidR="00031F04" w:rsidRDefault="00EF0C58">
      <w:pPr>
        <w:ind w:left="165"/>
      </w:pPr>
      <w:r>
        <w:t>Artículo 1º.</w:t>
      </w:r>
    </w:p>
    <w:p w:rsidR="00031F04" w:rsidRDefault="00EF0C58">
      <w:pPr>
        <w:numPr>
          <w:ilvl w:val="0"/>
          <w:numId w:val="2"/>
        </w:numPr>
        <w:ind w:firstLine="155"/>
      </w:pPr>
      <w:r>
        <w:t>En uso de las facultades concedidas por los artículos133.2 y 142 de la Constitución y por el artículo 106 de la Ley 7/1985, de 2 de abril, reguladora de las Bases de Régimen Local, y de conformidad con lo dispuesto en los artículos 15 a 19 de la Ley 39/198</w:t>
      </w:r>
      <w:r>
        <w:t xml:space="preserve">8, de 28 de diciembre, reguladora de las Haciendas Locales, el Ilustre Ayuntamiento de la Villa de Candelaria establece la “Tasa por los Servicios de Retirada de Vehículos u Objetos Pesados o Voluminosos de la Vía Pública y Custodia de los Mismos”, que se </w:t>
      </w:r>
      <w:r>
        <w:t>regirá por la presente Ordenanza Fiscal, cuyas normas atienden a lo prevenido en el artículo 58 con relación al artículo 20.1 de la citada Ley 39/1988.</w:t>
      </w:r>
    </w:p>
    <w:p w:rsidR="00031F04" w:rsidRDefault="00EF0C58">
      <w:pPr>
        <w:numPr>
          <w:ilvl w:val="0"/>
          <w:numId w:val="2"/>
        </w:numPr>
        <w:ind w:firstLine="155"/>
      </w:pPr>
      <w:r>
        <w:t>Constituye el objeto de esta exacción:</w:t>
      </w:r>
    </w:p>
    <w:p w:rsidR="00031F04" w:rsidRDefault="00EF0C58">
      <w:pPr>
        <w:numPr>
          <w:ilvl w:val="0"/>
          <w:numId w:val="3"/>
        </w:numPr>
        <w:ind w:firstLine="155"/>
      </w:pPr>
      <w:r>
        <w:t xml:space="preserve">La actividad de la grúa municipal, provocada </w:t>
      </w:r>
      <w:proofErr w:type="spellStart"/>
      <w:r>
        <w:t>porquien</w:t>
      </w:r>
      <w:proofErr w:type="spellEnd"/>
      <w:r>
        <w:t xml:space="preserve"> estacionó u</w:t>
      </w:r>
      <w:r>
        <w:t>n vehículo indebidamente o por quien dejó en la vía pública cualquier objeto pesado o voluminoso que perturbe la fluidez de la circulación rodada o de peatones haciendo necesaria aquella actividad la cual, a su vez, está dirigida a retirar el vehículo u ob</w:t>
      </w:r>
      <w:r>
        <w:t>jeto de que se trate y traslado al Depósito Municipal o al lugar que se determine.</w:t>
      </w:r>
    </w:p>
    <w:p w:rsidR="00031F04" w:rsidRDefault="00EF0C58">
      <w:pPr>
        <w:numPr>
          <w:ilvl w:val="0"/>
          <w:numId w:val="3"/>
        </w:numPr>
        <w:ind w:firstLine="155"/>
      </w:pPr>
      <w:r>
        <w:lastRenderedPageBreak/>
        <w:t xml:space="preserve">La estancia o custodia del vehículo u objeto </w:t>
      </w:r>
      <w:proofErr w:type="spellStart"/>
      <w:r>
        <w:t>retiradopor</w:t>
      </w:r>
      <w:proofErr w:type="spellEnd"/>
      <w:r>
        <w:t xml:space="preserve"> la grúa en dicho depósito o en el lugar donde hubieren sido trasladados.</w:t>
      </w:r>
    </w:p>
    <w:p w:rsidR="00031F04" w:rsidRDefault="00EF0C58">
      <w:pPr>
        <w:ind w:left="165"/>
      </w:pPr>
      <w:r>
        <w:t>Obligación de contribuir.</w:t>
      </w:r>
    </w:p>
    <w:p w:rsidR="00031F04" w:rsidRDefault="00EF0C58">
      <w:pPr>
        <w:ind w:left="165"/>
      </w:pPr>
      <w:r>
        <w:t>Artículo 2º.</w:t>
      </w:r>
    </w:p>
    <w:p w:rsidR="00031F04" w:rsidRDefault="00EF0C58">
      <w:pPr>
        <w:numPr>
          <w:ilvl w:val="0"/>
          <w:numId w:val="4"/>
        </w:numPr>
        <w:ind w:firstLine="155"/>
      </w:pPr>
      <w:r>
        <w:t xml:space="preserve">Hecho imponible: está determinado por la </w:t>
      </w:r>
      <w:proofErr w:type="spellStart"/>
      <w:r>
        <w:t>actividadmunicipal</w:t>
      </w:r>
      <w:proofErr w:type="spellEnd"/>
      <w:r>
        <w:t xml:space="preserve"> desarrollada con motivo de los hechos que constituyen el objeto de esta exacción.</w:t>
      </w:r>
    </w:p>
    <w:tbl>
      <w:tblPr>
        <w:tblStyle w:val="TableGrid"/>
        <w:tblpPr w:vertAnchor="text" w:horzAnchor="margin"/>
        <w:tblOverlap w:val="never"/>
        <w:tblW w:w="8794" w:type="dxa"/>
        <w:tblInd w:w="0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8794"/>
      </w:tblGrid>
      <w:tr w:rsidR="00031F04">
        <w:trPr>
          <w:trHeight w:val="155"/>
        </w:trPr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04" w:rsidRDefault="00EF0C58">
            <w:pPr>
              <w:spacing w:after="1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81352" cy="11583"/>
                      <wp:effectExtent l="0" t="0" r="0" b="0"/>
                      <wp:docPr id="3131" name="Group 3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352" cy="11583"/>
                                <a:chOff x="0" y="0"/>
                                <a:chExt cx="5581352" cy="11583"/>
                              </a:xfrm>
                            </wpg:grpSpPr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0"/>
                                  <a:ext cx="55813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1352">
                                      <a:moveTo>
                                        <a:pt x="0" y="0"/>
                                      </a:moveTo>
                                      <a:lnTo>
                                        <a:pt x="5581352" y="0"/>
                                      </a:lnTo>
                                    </a:path>
                                  </a:pathLst>
                                </a:custGeom>
                                <a:ln w="1158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31" style="width:439.477pt;height:0.912023pt;mso-position-horizontal-relative:char;mso-position-vertical-relative:line" coordsize="55813,115">
                      <v:shape id="Shape 293" style="position:absolute;width:55813;height:0;left:0;top:0;" coordsize="5581352,0" path="m0,0l5581352,0">
                        <v:stroke weight="0.912023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031F04" w:rsidRDefault="00EF0C58">
            <w:pPr>
              <w:tabs>
                <w:tab w:val="right" w:pos="8790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Boletín Oficial de la Provincia de Santa Cruz de Tenerife. Número 4, miércoles 9 de enero de 2002</w:t>
            </w:r>
            <w:r>
              <w:rPr>
                <w:rFonts w:ascii="Arial" w:eastAsia="Arial" w:hAnsi="Arial" w:cs="Arial"/>
                <w:sz w:val="15"/>
              </w:rPr>
              <w:tab/>
              <w:t>165</w:t>
            </w:r>
          </w:p>
          <w:p w:rsidR="00031F04" w:rsidRDefault="00EF0C5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81352" cy="11583"/>
                      <wp:effectExtent l="0" t="0" r="0" b="0"/>
                      <wp:docPr id="3132" name="Group 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352" cy="11583"/>
                                <a:chOff x="0" y="0"/>
                                <a:chExt cx="5581352" cy="11583"/>
                              </a:xfrm>
                            </wpg:grpSpPr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0"/>
                                  <a:ext cx="55813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1352">
                                      <a:moveTo>
                                        <a:pt x="0" y="0"/>
                                      </a:moveTo>
                                      <a:lnTo>
                                        <a:pt x="5581352" y="0"/>
                                      </a:lnTo>
                                    </a:path>
                                  </a:pathLst>
                                </a:custGeom>
                                <a:ln w="1158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32" style="width:439.477pt;height:0.912023pt;mso-position-horizontal-relative:char;mso-position-vertical-relative:line" coordsize="55813,115">
                      <v:shape id="Shape 294" style="position:absolute;width:55813;height:0;left:0;top:0;" coordsize="5581352,0" path="m0,0l5581352,0">
                        <v:stroke weight="0.912023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031F04" w:rsidRDefault="00EF0C58">
      <w:pPr>
        <w:numPr>
          <w:ilvl w:val="0"/>
          <w:numId w:val="4"/>
        </w:numPr>
        <w:spacing w:after="146"/>
        <w:ind w:firstLine="155"/>
      </w:pPr>
      <w:r>
        <w:t>Obligac</w:t>
      </w:r>
      <w:r>
        <w:t xml:space="preserve">ión de contribuir: la obligación de </w:t>
      </w:r>
      <w:proofErr w:type="spellStart"/>
      <w:r>
        <w:t>contribuirnace</w:t>
      </w:r>
      <w:proofErr w:type="spellEnd"/>
      <w:r>
        <w:t xml:space="preserve"> desde el momento en que se inicia la retirada del vehículo, o del objeto de que se trate, de la vía pública y </w:t>
      </w:r>
      <w:proofErr w:type="gramStart"/>
      <w:r>
        <w:t>subsistirá</w:t>
      </w:r>
      <w:proofErr w:type="gramEnd"/>
      <w:r>
        <w:t xml:space="preserve"> aunque esta retirada no llegue a llevarse a cabo porque el conductor u otra persona </w:t>
      </w:r>
      <w:r>
        <w:t>autorizada comparezcan y adopten las medidas convenientes.</w:t>
      </w:r>
    </w:p>
    <w:p w:rsidR="00031F04" w:rsidRDefault="00EF0C58">
      <w:pPr>
        <w:numPr>
          <w:ilvl w:val="0"/>
          <w:numId w:val="4"/>
        </w:numPr>
        <w:spacing w:after="146"/>
        <w:ind w:firstLine="155"/>
      </w:pPr>
      <w:r>
        <w:t xml:space="preserve">Sujeto pasivo: están obligadas al pago las </w:t>
      </w:r>
      <w:proofErr w:type="spellStart"/>
      <w:r>
        <w:t>personasfísicas</w:t>
      </w:r>
      <w:proofErr w:type="spellEnd"/>
      <w:r>
        <w:t xml:space="preserve"> y jurídicas y las entidades a que se refiere el artículo 33 de la Ley General Tributaria, que dieren lugar a la prestación del servicio y,</w:t>
      </w:r>
      <w:r>
        <w:t xml:space="preserve"> con carácter subsidiario, aquéllas que resultaren propietarias del vehículo u objeto retirado.</w:t>
      </w:r>
    </w:p>
    <w:p w:rsidR="00031F04" w:rsidRDefault="00EF0C58">
      <w:pPr>
        <w:spacing w:after="144"/>
        <w:ind w:left="170"/>
      </w:pPr>
      <w:r>
        <w:t>Base del gravamen.</w:t>
      </w:r>
    </w:p>
    <w:p w:rsidR="00031F04" w:rsidRDefault="00EF0C58">
      <w:pPr>
        <w:spacing w:after="146"/>
        <w:ind w:left="-10" w:firstLine="155"/>
      </w:pPr>
      <w:r>
        <w:t>Artículo 3º.- Se tomarán como bases de la presente exacción:</w:t>
      </w:r>
    </w:p>
    <w:p w:rsidR="00031F04" w:rsidRDefault="00EF0C58">
      <w:pPr>
        <w:numPr>
          <w:ilvl w:val="0"/>
          <w:numId w:val="5"/>
        </w:numPr>
        <w:spacing w:after="144"/>
        <w:ind w:hanging="211"/>
      </w:pPr>
      <w:r>
        <w:t>La unidad de servicio.</w:t>
      </w:r>
    </w:p>
    <w:p w:rsidR="00031F04" w:rsidRDefault="00EF0C58">
      <w:pPr>
        <w:numPr>
          <w:ilvl w:val="0"/>
          <w:numId w:val="5"/>
        </w:numPr>
        <w:spacing w:after="144"/>
        <w:ind w:hanging="211"/>
      </w:pPr>
      <w:r>
        <w:t>Por día de estancia en el Depósito Municipal.</w:t>
      </w:r>
    </w:p>
    <w:p w:rsidR="00031F04" w:rsidRDefault="00EF0C58">
      <w:pPr>
        <w:spacing w:after="144"/>
        <w:ind w:left="170"/>
      </w:pPr>
      <w:r>
        <w:t>Tarifas.</w:t>
      </w:r>
    </w:p>
    <w:p w:rsidR="00031F04" w:rsidRDefault="00EF0C58">
      <w:pPr>
        <w:spacing w:after="144"/>
        <w:ind w:left="170"/>
      </w:pPr>
      <w:r>
        <w:t>Artículo 4º.- Las tarifas a aplicar serán las siguientes:</w:t>
      </w:r>
    </w:p>
    <w:p w:rsidR="00031F04" w:rsidRDefault="00EF0C58">
      <w:pPr>
        <w:numPr>
          <w:ilvl w:val="0"/>
          <w:numId w:val="6"/>
        </w:numPr>
        <w:spacing w:after="0"/>
        <w:ind w:firstLine="155"/>
      </w:pPr>
      <w:r>
        <w:t xml:space="preserve">Retirada de vehículos u otros objetos de la vía </w:t>
      </w:r>
      <w:proofErr w:type="spellStart"/>
      <w:r>
        <w:t>pú</w:t>
      </w:r>
      <w:proofErr w:type="spellEnd"/>
      <w:r>
        <w:t>-</w:t>
      </w:r>
    </w:p>
    <w:p w:rsidR="00031F04" w:rsidRDefault="00EF0C58">
      <w:pPr>
        <w:spacing w:after="0"/>
        <w:ind w:left="0"/>
      </w:pPr>
      <w:proofErr w:type="spellStart"/>
      <w:r>
        <w:t>blica</w:t>
      </w:r>
      <w:proofErr w:type="spellEnd"/>
      <w:r>
        <w:t>:</w:t>
      </w:r>
    </w:p>
    <w:p w:rsidR="00031F04" w:rsidRDefault="00EF0C58">
      <w:pPr>
        <w:spacing w:after="410" w:line="259" w:lineRule="auto"/>
        <w:ind w:left="5" w:firstLine="0"/>
        <w:jc w:val="left"/>
      </w:pPr>
      <w:r>
        <w:rPr>
          <w:noProof/>
        </w:rPr>
        <w:drawing>
          <wp:inline distT="0" distB="0" distL="0" distR="0">
            <wp:extent cx="2621881" cy="1116638"/>
            <wp:effectExtent l="0" t="0" r="0" b="0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881" cy="111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04" w:rsidRDefault="00EF0C58">
      <w:pPr>
        <w:spacing w:after="125"/>
        <w:ind w:left="-10" w:firstLine="155"/>
      </w:pPr>
      <w:r>
        <w:t xml:space="preserve">Si antes o en el momento de iniciarse los trabajos de retirar el vehículo u objeto, se suspendieran por comparecer y adoptar las medidas </w:t>
      </w:r>
      <w:r>
        <w:t xml:space="preserve">convenientes el conductor u otra persona autorizada, las tarifas determinadas anteriormente se reducirán en un </w:t>
      </w:r>
      <w:r>
        <w:lastRenderedPageBreak/>
        <w:t>cincuenta por ciento si el pago de la tasa se realiza en el acto.</w:t>
      </w:r>
    </w:p>
    <w:p w:rsidR="00031F04" w:rsidRDefault="00EF0C58">
      <w:pPr>
        <w:numPr>
          <w:ilvl w:val="0"/>
          <w:numId w:val="6"/>
        </w:numPr>
        <w:spacing w:after="97"/>
        <w:ind w:firstLine="155"/>
      </w:pPr>
      <w:r>
        <w:t xml:space="preserve">Estancia o custodia en el depósito municipal o </w:t>
      </w:r>
      <w:proofErr w:type="spellStart"/>
      <w:r>
        <w:t>lugarhabilitado</w:t>
      </w:r>
      <w:proofErr w:type="spellEnd"/>
      <w:r>
        <w:t xml:space="preserve"> al efecto. Por c</w:t>
      </w:r>
      <w:r>
        <w:t>ada día natural o fracción, incluyendo aquel en que se produjo la retirada del vehículo u objeto, se devengará:</w:t>
      </w:r>
    </w:p>
    <w:p w:rsidR="00031F04" w:rsidRDefault="00EF0C58">
      <w:pPr>
        <w:spacing w:after="0" w:line="259" w:lineRule="auto"/>
        <w:ind w:left="1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67654" cy="664970"/>
                <wp:effectExtent l="0" t="0" r="0" b="0"/>
                <wp:docPr id="3134" name="Group 3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654" cy="664970"/>
                          <a:chOff x="0" y="0"/>
                          <a:chExt cx="2467654" cy="664970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54" cy="304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82" y="286907"/>
                            <a:ext cx="2451405" cy="378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4" style="width:194.303pt;height:52.3598pt;mso-position-horizontal-relative:char;mso-position-vertical-relative:line" coordsize="24676,6649">
                <v:shape id="Picture 298" style="position:absolute;width:24676;height:3046;left:0;top:0;" filled="f">
                  <v:imagedata r:id="rId9"/>
                </v:shape>
                <v:shape id="Picture 300" style="position:absolute;width:24514;height:3780;left:115;top:2869;" filled="f">
                  <v:imagedata r:id="rId10"/>
                </v:shape>
              </v:group>
            </w:pict>
          </mc:Fallback>
        </mc:AlternateContent>
      </w:r>
    </w:p>
    <w:p w:rsidR="00031F04" w:rsidRDefault="00EF0C58">
      <w:pPr>
        <w:ind w:left="-10" w:firstLine="155"/>
      </w:pPr>
      <w:r>
        <w:t>A las tarifas de referencia les será de aplicación el I.G.I.C., al tipo vigente.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031F04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31F04" w:rsidRDefault="00EF0C58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20-09-2021 10:07:02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F04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spacing w:after="51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0FD8710086952F7737C16BD09732CE8D</w:t>
            </w:r>
          </w:p>
          <w:p w:rsidR="00031F04" w:rsidRDefault="00EF0C58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https://sedeelectronica.candelaria.es//publico/documento/0FD8710086952F7737C16BD09732CE8D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1F04" w:rsidRDefault="00031F04">
            <w:pPr>
              <w:spacing w:after="160" w:line="259" w:lineRule="auto"/>
              <w:ind w:left="0" w:firstLine="0"/>
              <w:jc w:val="left"/>
            </w:pPr>
          </w:p>
        </w:tc>
      </w:tr>
      <w:tr w:rsidR="00031F04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EF0C58">
            <w:pPr>
              <w:tabs>
                <w:tab w:val="center" w:pos="5173"/>
                <w:tab w:val="right" w:pos="9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 de sellado electrónico: 20-09-2021 10:07:02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- 2/2 -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08:37:59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04" w:rsidRDefault="00031F0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31F04" w:rsidRDefault="00EF0C58">
      <w:pPr>
        <w:ind w:left="165"/>
      </w:pPr>
      <w:r>
        <w:t>Exenciones.</w:t>
      </w:r>
    </w:p>
    <w:p w:rsidR="00031F04" w:rsidRDefault="00EF0C58">
      <w:pPr>
        <w:ind w:left="-10" w:firstLine="155"/>
      </w:pPr>
      <w:r>
        <w:t>Artículo 5º.- No se admitirá exención o bonificación alguna en la exacción de esta tasa.</w:t>
      </w:r>
    </w:p>
    <w:p w:rsidR="00031F04" w:rsidRDefault="00EF0C58">
      <w:pPr>
        <w:ind w:left="165"/>
      </w:pPr>
      <w:r>
        <w:t>Normas de gestión.</w:t>
      </w:r>
    </w:p>
    <w:p w:rsidR="00031F04" w:rsidRDefault="00EF0C58">
      <w:pPr>
        <w:ind w:left="165"/>
      </w:pPr>
      <w:r>
        <w:t>Artículo 6º.</w:t>
      </w:r>
    </w:p>
    <w:p w:rsidR="00031F04" w:rsidRDefault="00EF0C58">
      <w:pPr>
        <w:numPr>
          <w:ilvl w:val="0"/>
          <w:numId w:val="7"/>
        </w:numPr>
        <w:ind w:firstLine="155"/>
      </w:pPr>
      <w:r>
        <w:t xml:space="preserve">Compatibilidad: esta exacción es </w:t>
      </w:r>
      <w:proofErr w:type="spellStart"/>
      <w:r>
        <w:t>independientey</w:t>
      </w:r>
      <w:proofErr w:type="spellEnd"/>
      <w:r>
        <w:t xml:space="preserve"> compatible con las multas señaladas en el Código de Circulación, Ordenanzas de Circulación, Ordenanzas de este Ayuntamiento o cualquier otra disposición vigente a la infracción cometida al estacionar el vehíc</w:t>
      </w:r>
      <w:r>
        <w:t>ulo indebidamente en el lugar de donde lo retiró la grúa municipal.</w:t>
      </w:r>
    </w:p>
    <w:p w:rsidR="00031F04" w:rsidRDefault="00EF0C58">
      <w:pPr>
        <w:numPr>
          <w:ilvl w:val="0"/>
          <w:numId w:val="7"/>
        </w:numPr>
        <w:ind w:firstLine="155"/>
      </w:pPr>
      <w:r>
        <w:t xml:space="preserve">Casos de no sujeción: no estarán sujetos al </w:t>
      </w:r>
      <w:proofErr w:type="spellStart"/>
      <w:r>
        <w:t>pagode</w:t>
      </w:r>
      <w:proofErr w:type="spellEnd"/>
      <w:r>
        <w:t xml:space="preserve"> la tasa:</w:t>
      </w:r>
    </w:p>
    <w:p w:rsidR="00031F04" w:rsidRDefault="00EF0C58">
      <w:pPr>
        <w:numPr>
          <w:ilvl w:val="0"/>
          <w:numId w:val="8"/>
        </w:numPr>
        <w:ind w:firstLine="155"/>
      </w:pPr>
      <w:r>
        <w:t xml:space="preserve">Los casos de utilización ilegítima del </w:t>
      </w:r>
      <w:proofErr w:type="spellStart"/>
      <w:r>
        <w:t>vehículopor</w:t>
      </w:r>
      <w:proofErr w:type="spellEnd"/>
      <w:r>
        <w:t xml:space="preserve"> quien lo estacionó en el lugar de donde fue retirado por la grúa, siempre que</w:t>
      </w:r>
      <w:r>
        <w:t xml:space="preserve"> la desaparición del vehículo hubiera sido denunciada por su dueño o quedara suficientemente probada la ilegitimidad de su utilización.</w:t>
      </w:r>
    </w:p>
    <w:p w:rsidR="00031F04" w:rsidRDefault="00EF0C58">
      <w:pPr>
        <w:numPr>
          <w:ilvl w:val="0"/>
          <w:numId w:val="8"/>
        </w:numPr>
        <w:ind w:firstLine="155"/>
      </w:pPr>
      <w:r>
        <w:t xml:space="preserve">Cuando el vehículo hubiera sido estacionado </w:t>
      </w:r>
      <w:proofErr w:type="spellStart"/>
      <w:r>
        <w:t>enlugar</w:t>
      </w:r>
      <w:proofErr w:type="spellEnd"/>
      <w:r>
        <w:t xml:space="preserve"> permitido, sobreviniendo posteriormente una causa que hiciera necesa</w:t>
      </w:r>
      <w:r>
        <w:t>ria la intervención de la grúa para su traslado (urgente apertura de zanjas, desfiles, procesión).</w:t>
      </w:r>
    </w:p>
    <w:p w:rsidR="00031F04" w:rsidRDefault="00EF0C58">
      <w:pPr>
        <w:ind w:left="-10" w:firstLine="155"/>
      </w:pPr>
      <w:r>
        <w:t>3. Términos y forma de pago: las cuotas establecidas se satisfarán en el momento de recuperar el vehículo u objeto retirado.</w:t>
      </w:r>
    </w:p>
    <w:p w:rsidR="00031F04" w:rsidRDefault="00EF0C58">
      <w:pPr>
        <w:ind w:left="-10" w:firstLine="155"/>
      </w:pPr>
      <w:r>
        <w:t xml:space="preserve">Disposición </w:t>
      </w:r>
      <w:proofErr w:type="gramStart"/>
      <w:r>
        <w:t>final.-</w:t>
      </w:r>
      <w:proofErr w:type="gramEnd"/>
      <w:r>
        <w:t xml:space="preserve"> La presente </w:t>
      </w:r>
      <w:r>
        <w:t xml:space="preserve">Ordenanza Fiscal fue aprobada definitivamente en fecha y, previa su </w:t>
      </w:r>
      <w:r>
        <w:lastRenderedPageBreak/>
        <w:t>publicación en el B.O.P. en los términos previstos en el art. 17.4 de la Ley 39/1998, entrará en vigor a partir del día 1 de enero, continuando su vigencia hasta tanto sea derogada o modif</w:t>
      </w:r>
      <w:r>
        <w:t>icada.”</w:t>
      </w:r>
    </w:p>
    <w:p w:rsidR="00031F04" w:rsidRDefault="00EF0C58">
      <w:pPr>
        <w:ind w:left="-10" w:firstLine="155"/>
      </w:pPr>
      <w:r>
        <w:t>2º.- EXPEDIENTE DE MODIFICACIÓN DE LA ORDENANZA REGULADORA DE LA TASA POR OCUPACIÓN DE TERRENOS DE USO PÚBLICO CON MESAS Y SILLAS CON FINALIDAD LUCRATIVA E INSTALACIÓN DE QUIOSCOS EN LA VÍA PÚBLICA.</w:t>
      </w:r>
    </w:p>
    <w:p w:rsidR="00031F04" w:rsidRDefault="00EF0C58">
      <w:pPr>
        <w:ind w:left="165"/>
      </w:pPr>
      <w:r>
        <w:t>A) Texto del acuerdo plenario de 13-11-2001.</w:t>
      </w:r>
    </w:p>
    <w:sectPr w:rsidR="00031F04">
      <w:type w:val="continuous"/>
      <w:pgSz w:w="11900" w:h="16840"/>
      <w:pgMar w:top="1075" w:right="1557" w:bottom="400" w:left="1544" w:header="720" w:footer="720" w:gutter="0"/>
      <w:cols w:num="2" w:space="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166"/>
    <w:multiLevelType w:val="hybridMultilevel"/>
    <w:tmpl w:val="4B509C6C"/>
    <w:lvl w:ilvl="0" w:tplc="6116DE8E">
      <w:start w:val="1"/>
      <w:numFmt w:val="lowerLetter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2378C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2E730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0C264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2EE8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C7B5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412BA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8EBBC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05286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C2C94"/>
    <w:multiLevelType w:val="hybridMultilevel"/>
    <w:tmpl w:val="C19E676E"/>
    <w:lvl w:ilvl="0" w:tplc="3ED016D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8AF1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C1640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6C693A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6F44E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04A9C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804C2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E4D7A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546AD0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737AD"/>
    <w:multiLevelType w:val="hybridMultilevel"/>
    <w:tmpl w:val="3C54CFA8"/>
    <w:lvl w:ilvl="0" w:tplc="E6DC28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A5CA8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4C45A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2E57C0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03408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0E186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25120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1E9EA0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CAD0C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B5594"/>
    <w:multiLevelType w:val="hybridMultilevel"/>
    <w:tmpl w:val="CD9A4A7A"/>
    <w:lvl w:ilvl="0" w:tplc="BCA81B3C">
      <w:start w:val="1"/>
      <w:numFmt w:val="lowerLetter"/>
      <w:lvlText w:val="%1)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0261E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EB902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E12F8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831DC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E33BA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0261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2413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545AD0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D605C3"/>
    <w:multiLevelType w:val="hybridMultilevel"/>
    <w:tmpl w:val="9134F53E"/>
    <w:lvl w:ilvl="0" w:tplc="FB46595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1604AC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0CD2C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046310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8CA3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F86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849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0361C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8B986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3126F"/>
    <w:multiLevelType w:val="hybridMultilevel"/>
    <w:tmpl w:val="D7DA4006"/>
    <w:lvl w:ilvl="0" w:tplc="AED498E4">
      <w:start w:val="2"/>
      <w:numFmt w:val="lowerLetter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EB2F0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6634E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F45F9C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41558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0098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6CAA3E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61FBA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2BDA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C0101"/>
    <w:multiLevelType w:val="hybridMultilevel"/>
    <w:tmpl w:val="77661580"/>
    <w:lvl w:ilvl="0" w:tplc="53F075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FC146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EF31E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69F76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69A3A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F8717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07FC4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C94BE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404B6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F6104D"/>
    <w:multiLevelType w:val="hybridMultilevel"/>
    <w:tmpl w:val="0D361B4C"/>
    <w:lvl w:ilvl="0" w:tplc="8AD81280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CCE30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E0370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949FF8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67BB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E5DA0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AEE6E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634A4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6351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04"/>
    <w:rsid w:val="00031F04"/>
    <w:rsid w:val="00E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BBCB-758F-4021-94D1-A88F2FC4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2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2024-01-24T08:39:00Z</dcterms:created>
  <dcterms:modified xsi:type="dcterms:W3CDTF">2024-01-24T08:39:00Z</dcterms:modified>
</cp:coreProperties>
</file>