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A5" w:rsidRDefault="00935FB4">
      <w:pPr>
        <w:spacing w:after="204" w:line="259" w:lineRule="auto"/>
        <w:ind w:left="0" w:right="0" w:firstLine="0"/>
        <w:jc w:val="center"/>
      </w:pPr>
      <w:bookmarkStart w:id="0" w:name="_GoBack"/>
      <w:bookmarkEnd w:id="0"/>
      <w:r>
        <w:rPr>
          <w:b/>
          <w:sz w:val="24"/>
        </w:rPr>
        <w:t>III. Otras Resoluciones</w:t>
      </w:r>
    </w:p>
    <w:p w:rsidR="008170A5" w:rsidRDefault="00935FB4">
      <w:pPr>
        <w:spacing w:after="258" w:line="259" w:lineRule="auto"/>
        <w:ind w:left="10" w:right="0" w:hanging="10"/>
        <w:jc w:val="center"/>
      </w:pPr>
      <w:r>
        <w:rPr>
          <w:b/>
        </w:rPr>
        <w:t>Consejería de Economía, Industria, Comercio y Conocimiento</w:t>
      </w:r>
    </w:p>
    <w:p w:rsidR="008170A5" w:rsidRDefault="00935FB4">
      <w:pPr>
        <w:spacing w:after="237" w:line="258" w:lineRule="auto"/>
        <w:ind w:left="1293" w:right="775" w:hanging="517"/>
      </w:pPr>
      <w:r>
        <w:rPr>
          <w:b/>
        </w:rPr>
        <w:t>694</w:t>
      </w:r>
      <w:r>
        <w:rPr>
          <w:i/>
        </w:rPr>
        <w:tab/>
        <w:t>ORDEN</w:t>
      </w:r>
      <w:r>
        <w:rPr>
          <w:i/>
        </w:rPr>
        <w:tab/>
        <w:t>de</w:t>
      </w:r>
      <w:r>
        <w:rPr>
          <w:i/>
        </w:rPr>
        <w:tab/>
        <w:t>27</w:t>
      </w:r>
      <w:r>
        <w:rPr>
          <w:i/>
        </w:rPr>
        <w:tab/>
        <w:t>de</w:t>
      </w:r>
      <w:r>
        <w:rPr>
          <w:i/>
        </w:rPr>
        <w:tab/>
        <w:t>enero</w:t>
      </w:r>
      <w:r>
        <w:rPr>
          <w:i/>
        </w:rPr>
        <w:tab/>
        <w:t>de</w:t>
      </w:r>
      <w:r>
        <w:rPr>
          <w:i/>
        </w:rPr>
        <w:tab/>
        <w:t>2017,</w:t>
      </w:r>
      <w:r>
        <w:rPr>
          <w:i/>
        </w:rPr>
        <w:tab/>
        <w:t>por</w:t>
      </w:r>
      <w:r>
        <w:rPr>
          <w:i/>
        </w:rPr>
        <w:tab/>
        <w:t>la</w:t>
      </w:r>
      <w:r>
        <w:rPr>
          <w:i/>
        </w:rPr>
        <w:tab/>
        <w:t>que</w:t>
      </w:r>
      <w:r>
        <w:rPr>
          <w:i/>
        </w:rPr>
        <w:tab/>
        <w:t>se</w:t>
      </w:r>
      <w:r>
        <w:rPr>
          <w:i/>
        </w:rPr>
        <w:tab/>
        <w:t>aprueba</w:t>
      </w:r>
      <w:r>
        <w:rPr>
          <w:i/>
        </w:rPr>
        <w:tab/>
        <w:t>la</w:t>
      </w:r>
      <w:r>
        <w:rPr>
          <w:i/>
        </w:rPr>
        <w:tab/>
        <w:t>modificación</w:t>
      </w:r>
      <w:r>
        <w:rPr>
          <w:i/>
        </w:rPr>
        <w:tab/>
        <w:t>de</w:t>
      </w:r>
      <w:r>
        <w:rPr>
          <w:i/>
        </w:rPr>
        <w:tab/>
        <w:t>las</w:t>
      </w:r>
      <w:r>
        <w:rPr>
          <w:i/>
        </w:rPr>
        <w:tab/>
        <w:t>tarifas</w:t>
      </w:r>
      <w:r>
        <w:rPr>
          <w:i/>
        </w:rPr>
        <w:tab/>
        <w:t>del</w:t>
      </w:r>
      <w:r>
        <w:rPr>
          <w:i/>
        </w:rPr>
        <w:tab/>
        <w:t>servicio</w:t>
      </w:r>
      <w:r>
        <w:rPr>
          <w:i/>
        </w:rPr>
        <w:tab/>
        <w:t>público</w:t>
      </w:r>
      <w:r>
        <w:rPr>
          <w:i/>
        </w:rPr>
        <w:tab/>
        <w:t>de</w:t>
      </w:r>
      <w:r>
        <w:rPr>
          <w:i/>
        </w:rPr>
        <w:tab/>
        <w:t>abastecimiento</w:t>
      </w:r>
      <w:r>
        <w:rPr>
          <w:i/>
        </w:rPr>
        <w:tab/>
        <w:t>de</w:t>
      </w:r>
      <w:r>
        <w:rPr>
          <w:i/>
        </w:rPr>
        <w:tab/>
        <w:t>agua</w:t>
      </w:r>
      <w:r>
        <w:rPr>
          <w:i/>
        </w:rPr>
        <w:tab/>
        <w:t>a</w:t>
      </w:r>
      <w:r>
        <w:rPr>
          <w:i/>
        </w:rPr>
        <w:tab/>
        <w:t>poblaciones,</w:t>
      </w:r>
      <w:r>
        <w:rPr>
          <w:i/>
        </w:rPr>
        <w:tab/>
        <w:t>para</w:t>
      </w:r>
      <w:r>
        <w:rPr>
          <w:i/>
        </w:rPr>
        <w:tab/>
        <w:t>su</w:t>
      </w:r>
      <w:r>
        <w:rPr>
          <w:i/>
        </w:rPr>
        <w:tab/>
        <w:t>aplicación</w:t>
      </w:r>
      <w:r>
        <w:rPr>
          <w:i/>
        </w:rPr>
        <w:tab/>
        <w:t>en</w:t>
      </w:r>
      <w:r>
        <w:rPr>
          <w:i/>
        </w:rPr>
        <w:tab/>
        <w:t>el</w:t>
      </w:r>
      <w:r>
        <w:rPr>
          <w:i/>
        </w:rPr>
        <w:tab/>
        <w:t>municipio</w:t>
      </w:r>
      <w:r>
        <w:rPr>
          <w:i/>
        </w:rPr>
        <w:tab/>
        <w:t>de</w:t>
      </w:r>
      <w:r>
        <w:rPr>
          <w:i/>
        </w:rPr>
        <w:tab/>
        <w:t>Candelaria.</w:t>
      </w:r>
    </w:p>
    <w:p w:rsidR="008170A5" w:rsidRDefault="00935FB4">
      <w:pPr>
        <w:ind w:left="761" w:right="760"/>
      </w:pPr>
      <w:r>
        <w:t>Examinado el expediente tramitado en la Dirección General de</w:t>
      </w:r>
      <w:r>
        <w:t xml:space="preserve"> Comercio y Consumo para resolver la petición formulada por el Ilustre Ayuntamiento de la Villa de Candelaria, de modificación de las tarifas del servicio público de abastecimiento de agua a poblaciones, para su aplicación en el municipio.</w:t>
      </w:r>
    </w:p>
    <w:p w:rsidR="008170A5" w:rsidRDefault="00935FB4">
      <w:pPr>
        <w:ind w:left="1034" w:right="760" w:firstLine="0"/>
      </w:pPr>
      <w:r>
        <w:t>Teniendo en cuen</w:t>
      </w:r>
      <w:r>
        <w:t>ta los siguientes</w:t>
      </w:r>
    </w:p>
    <w:p w:rsidR="008170A5" w:rsidRDefault="00935FB4">
      <w:pPr>
        <w:pStyle w:val="Ttulo1"/>
        <w:ind w:left="134" w:hanging="134"/>
      </w:pPr>
      <w:r>
        <w:t>ANTECEDENTES</w:t>
      </w:r>
    </w:p>
    <w:p w:rsidR="008170A5" w:rsidRDefault="00935FB4">
      <w:pPr>
        <w:ind w:left="761" w:right="760"/>
      </w:pPr>
      <w:r>
        <w:rPr>
          <w:b/>
        </w:rPr>
        <w:t>1º)</w:t>
      </w:r>
      <w:r>
        <w:t xml:space="preserve"> Con fecha 13 de diciembre de 2016 cursa entrada la solicitud de modificación de las tarifas del servicio público de abastecimiento de agua a poblaciones. Junto con la solicitud se presenta toda la documentación necesaria </w:t>
      </w:r>
      <w:r>
        <w:t>para la tramitación del expediente, que se completa con fecha 20 de enero de 2017.</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8170A5">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8170A5" w:rsidRDefault="00935FB4">
            <w:pPr>
              <w:spacing w:after="0" w:line="259" w:lineRule="auto"/>
              <w:ind w:left="0" w:right="0" w:firstLine="0"/>
              <w:jc w:val="center"/>
            </w:pPr>
            <w:r>
              <w:rPr>
                <w:rFonts w:ascii="Arial" w:eastAsia="Arial" w:hAnsi="Arial" w:cs="Arial"/>
                <w:b/>
                <w:color w:val="000000"/>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8170A5" w:rsidRDefault="00935FB4">
            <w:pPr>
              <w:spacing w:after="0" w:line="259" w:lineRule="auto"/>
              <w:ind w:left="5" w:right="0"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8170A5" w:rsidRDefault="00935FB4">
            <w:pPr>
              <w:spacing w:after="0" w:line="259" w:lineRule="auto"/>
              <w:ind w:left="5" w:right="0" w:firstLine="0"/>
              <w:jc w:val="left"/>
            </w:pPr>
            <w:r>
              <w:rPr>
                <w:rFonts w:ascii="Arial" w:eastAsia="Arial" w:hAnsi="Arial" w:cs="Arial"/>
                <w:color w:val="000000"/>
                <w:sz w:val="12"/>
              </w:rPr>
              <w:t>Fecha: 05-10-2022 08:44:41</w:t>
            </w:r>
          </w:p>
        </w:tc>
        <w:tc>
          <w:tcPr>
            <w:tcW w:w="1600" w:type="dxa"/>
            <w:vMerge w:val="restart"/>
            <w:tcBorders>
              <w:top w:val="single" w:sz="4" w:space="0" w:color="000000"/>
              <w:left w:val="single" w:sz="4" w:space="0" w:color="000000"/>
              <w:bottom w:val="single" w:sz="4" w:space="0" w:color="000000"/>
              <w:right w:val="single" w:sz="4" w:space="0" w:color="000000"/>
            </w:tcBorders>
          </w:tcPr>
          <w:p w:rsidR="008170A5" w:rsidRDefault="00935FB4">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571500" cy="571500"/>
                          </a:xfrm>
                          <a:prstGeom prst="rect">
                            <a:avLst/>
                          </a:prstGeom>
                        </pic:spPr>
                      </pic:pic>
                    </a:graphicData>
                  </a:graphic>
                </wp:inline>
              </w:drawing>
            </w:r>
          </w:p>
        </w:tc>
      </w:tr>
      <w:tr w:rsidR="008170A5">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8170A5" w:rsidRDefault="00935FB4">
            <w:pPr>
              <w:spacing w:after="51" w:line="259" w:lineRule="auto"/>
              <w:ind w:left="0" w:right="0" w:firstLine="0"/>
              <w:jc w:val="center"/>
            </w:pPr>
            <w:r>
              <w:rPr>
                <w:rFonts w:ascii="Arial" w:eastAsia="Arial" w:hAnsi="Arial" w:cs="Arial"/>
                <w:color w:val="000000"/>
                <w:sz w:val="12"/>
              </w:rPr>
              <w:t>Código Seguro de Verificación (CSV): 1D9A8054603A7E5CFE30BEF0E47DDC85</w:t>
            </w:r>
          </w:p>
          <w:p w:rsidR="008170A5" w:rsidRDefault="00935FB4">
            <w:pPr>
              <w:spacing w:after="0" w:line="259" w:lineRule="auto"/>
              <w:ind w:left="0" w:right="0" w:firstLine="0"/>
              <w:jc w:val="center"/>
            </w:pPr>
            <w:r>
              <w:rPr>
                <w:rFonts w:ascii="Arial" w:eastAsia="Arial" w:hAnsi="Arial" w:cs="Arial"/>
                <w:color w:val="000000"/>
                <w:sz w:val="12"/>
              </w:rPr>
              <w:t>Comprobación CSV:  https://sedeelectronica.candelaria.es//publico/documento/1D9A8054603A7E5CFE30BEF0E47DDC85 .</w:t>
            </w:r>
          </w:p>
        </w:tc>
        <w:tc>
          <w:tcPr>
            <w:tcW w:w="0" w:type="auto"/>
            <w:vMerge/>
            <w:tcBorders>
              <w:top w:val="nil"/>
              <w:left w:val="single" w:sz="4" w:space="0" w:color="000000"/>
              <w:bottom w:val="nil"/>
              <w:right w:val="single" w:sz="4" w:space="0" w:color="000000"/>
            </w:tcBorders>
          </w:tcPr>
          <w:p w:rsidR="008170A5" w:rsidRDefault="008170A5">
            <w:pPr>
              <w:spacing w:after="160" w:line="259" w:lineRule="auto"/>
              <w:ind w:left="0" w:right="0" w:firstLine="0"/>
              <w:jc w:val="left"/>
            </w:pPr>
          </w:p>
        </w:tc>
      </w:tr>
      <w:tr w:rsidR="008170A5">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8170A5" w:rsidRDefault="00935FB4">
            <w:pPr>
              <w:tabs>
                <w:tab w:val="center" w:pos="5177"/>
                <w:tab w:val="right" w:pos="9186"/>
              </w:tabs>
              <w:spacing w:after="0" w:line="259" w:lineRule="auto"/>
              <w:ind w:left="0" w:right="0" w:firstLine="0"/>
              <w:jc w:val="left"/>
            </w:pPr>
            <w:r>
              <w:rPr>
                <w:rFonts w:ascii="Arial" w:eastAsia="Arial" w:hAnsi="Arial" w:cs="Arial"/>
                <w:color w:val="000000"/>
                <w:sz w:val="12"/>
              </w:rPr>
              <w:lastRenderedPageBreak/>
              <w:t xml:space="preserve">Fecha de sellado electrónico: 05-10-2022 08:44:41                </w:t>
            </w:r>
            <w:r>
              <w:rPr>
                <w:rFonts w:ascii="Arial" w:eastAsia="Arial" w:hAnsi="Arial" w:cs="Arial"/>
                <w:color w:val="000000"/>
                <w:sz w:val="12"/>
              </w:rPr>
              <w:tab/>
            </w:r>
            <w:r>
              <w:rPr>
                <w:rFonts w:ascii="Arial" w:eastAsia="Arial" w:hAnsi="Arial" w:cs="Arial"/>
                <w:color w:val="404040"/>
                <w:sz w:val="12"/>
              </w:rPr>
              <w:t>- 1/2 -</w:t>
            </w:r>
            <w:r>
              <w:rPr>
                <w:rFonts w:ascii="Arial" w:eastAsia="Arial" w:hAnsi="Arial" w:cs="Arial"/>
                <w:color w:val="404040"/>
                <w:sz w:val="12"/>
              </w:rPr>
              <w:tab/>
            </w:r>
            <w:r>
              <w:rPr>
                <w:rFonts w:ascii="Arial" w:eastAsia="Arial" w:hAnsi="Arial" w:cs="Arial"/>
                <w:color w:val="000000"/>
                <w:sz w:val="12"/>
              </w:rPr>
              <w:t>Fecha de emisión de esta copia: 23-01-2024 13:58:37</w:t>
            </w:r>
          </w:p>
        </w:tc>
        <w:tc>
          <w:tcPr>
            <w:tcW w:w="0" w:type="auto"/>
            <w:vMerge/>
            <w:tcBorders>
              <w:top w:val="nil"/>
              <w:left w:val="single" w:sz="4" w:space="0" w:color="000000"/>
              <w:bottom w:val="single" w:sz="4" w:space="0" w:color="000000"/>
              <w:right w:val="single" w:sz="4" w:space="0" w:color="000000"/>
            </w:tcBorders>
          </w:tcPr>
          <w:p w:rsidR="008170A5" w:rsidRDefault="008170A5">
            <w:pPr>
              <w:spacing w:after="160" w:line="259" w:lineRule="auto"/>
              <w:ind w:left="0" w:right="0" w:firstLine="0"/>
              <w:jc w:val="left"/>
            </w:pPr>
          </w:p>
        </w:tc>
      </w:tr>
    </w:tbl>
    <w:p w:rsidR="008170A5" w:rsidRDefault="00935FB4">
      <w:pPr>
        <w:ind w:left="761" w:right="760"/>
      </w:pPr>
      <w:r>
        <w:rPr>
          <w:noProof/>
        </w:rPr>
        <w:lastRenderedPageBreak/>
        <w:drawing>
          <wp:anchor distT="0" distB="0" distL="114300" distR="114300" simplePos="0" relativeHeight="251658240" behindDoc="0" locked="0" layoutInCell="1" allowOverlap="0">
            <wp:simplePos x="0" y="0"/>
            <wp:positionH relativeFrom="page">
              <wp:posOffset>985520</wp:posOffset>
            </wp:positionH>
            <wp:positionV relativeFrom="page">
              <wp:posOffset>674624</wp:posOffset>
            </wp:positionV>
            <wp:extent cx="5586984" cy="259080"/>
            <wp:effectExtent l="0" t="0" r="0" b="0"/>
            <wp:wrapTopAndBottom/>
            <wp:docPr id="7955" name="Picture 7955"/>
            <wp:cNvGraphicFramePr/>
            <a:graphic xmlns:a="http://schemas.openxmlformats.org/drawingml/2006/main">
              <a:graphicData uri="http://schemas.openxmlformats.org/drawingml/2006/picture">
                <pic:pic xmlns:pic="http://schemas.openxmlformats.org/drawingml/2006/picture">
                  <pic:nvPicPr>
                    <pic:cNvPr id="7955" name="Picture 7955"/>
                    <pic:cNvPicPr/>
                  </pic:nvPicPr>
                  <pic:blipFill>
                    <a:blip r:embed="rId6"/>
                    <a:stretch>
                      <a:fillRect/>
                    </a:stretch>
                  </pic:blipFill>
                  <pic:spPr>
                    <a:xfrm>
                      <a:off x="0" y="0"/>
                      <a:ext cx="5586984" cy="259080"/>
                    </a:xfrm>
                    <a:prstGeom prst="rect">
                      <a:avLst/>
                    </a:prstGeom>
                  </pic:spPr>
                </pic:pic>
              </a:graphicData>
            </a:graphic>
          </wp:anchor>
        </w:drawing>
      </w:r>
      <w:r>
        <w:rPr>
          <w:b/>
        </w:rPr>
        <w:t>2º)</w:t>
      </w:r>
      <w:r>
        <w:t xml:space="preserve"> El Grupo de Trabajo de la Comisión de Precios de Canarias, en sesión celebrada el día 25 de enero de 2017, aprobó el correspondiente informe y su elevación al Pleno de la Comisión. </w:t>
      </w:r>
    </w:p>
    <w:p w:rsidR="008170A5" w:rsidRDefault="00935FB4">
      <w:pPr>
        <w:ind w:left="761" w:right="760"/>
      </w:pPr>
      <w:r>
        <w:rPr>
          <w:b/>
        </w:rPr>
        <w:t>3º)</w:t>
      </w:r>
      <w:r>
        <w:t xml:space="preserve"> A la vista del informe, la Comisión de Precios de Canarias, en sesión</w:t>
      </w:r>
      <w:r>
        <w:t xml:space="preserve"> plenaria celebrada el día 25 de enero de 2017, dictaminó emitir propuesta para aprobar las tarifas solicitadas por el interesado, todo ello sobre la base de las consideraciones reflejadas en el Acta de la sesión y en el informe del Grupo de Trabajo, que d</w:t>
      </w:r>
      <w:r>
        <w:t>eberán ser debidamente notificados a los interesados.</w:t>
      </w:r>
    </w:p>
    <w:p w:rsidR="008170A5" w:rsidRDefault="00935FB4">
      <w:pPr>
        <w:pStyle w:val="Ttulo1"/>
        <w:ind w:left="207" w:right="1" w:hanging="207"/>
      </w:pPr>
      <w:r>
        <w:t>CONSIDERACIONES JURÍDICAS</w:t>
      </w:r>
    </w:p>
    <w:p w:rsidR="008170A5" w:rsidRDefault="00935FB4">
      <w:pPr>
        <w:ind w:left="761" w:right="760"/>
      </w:pPr>
      <w:proofErr w:type="gramStart"/>
      <w:r>
        <w:rPr>
          <w:b/>
        </w:rPr>
        <w:t>Primera.-</w:t>
      </w:r>
      <w:proofErr w:type="gramEnd"/>
      <w:r>
        <w:rPr>
          <w:b/>
        </w:rPr>
        <w:t xml:space="preserve"> </w:t>
      </w:r>
      <w:r>
        <w:t>El expediente ha sido tramitado con sujeción al procedimiento establecido en el Decreto 64/2000, de 25 de abril, por el que se regula el procedimiento para la implant</w:t>
      </w:r>
      <w:r>
        <w:t>ación y modificación de precios de los bienes y servicios autorizados y comunicados de ámbito autonómico, modificado por Decreto 77/2011, de 24 de marzo.</w:t>
      </w:r>
    </w:p>
    <w:p w:rsidR="008170A5" w:rsidRDefault="00935FB4">
      <w:pPr>
        <w:spacing w:after="1026"/>
        <w:ind w:left="761" w:right="760"/>
      </w:pPr>
      <w:r>
        <w:rPr>
          <w:b/>
        </w:rPr>
        <w:t xml:space="preserve">Segunda.- </w:t>
      </w:r>
      <w:r>
        <w:t>La Ley 7/1985, de 2 de abril, reguladora de las Bases del Régimen Local y el Real Decreto Le</w:t>
      </w:r>
      <w:r>
        <w:t>gislativo 781/1986, de 18 de abril, por el que se aprueba el texto refundido de las disposiciones legales vigentes en materia de Régimen Local; el Real Decreto 3173/1983, de 9 de noviembre, por el que se traspasan a la Comunidad Autónoma de Canarias las fu</w:t>
      </w:r>
      <w:r>
        <w:t xml:space="preserve">nciones y servicios en materia de intervención de precios; el Real Decreto-Ley 7/1996, de 7 de junio, sobre medidas urgentes de carácter fiscal y de fomento de la liberalización de la actividad económica. </w:t>
      </w:r>
    </w:p>
    <w:p w:rsidR="008170A5" w:rsidRDefault="00935FB4">
      <w:pPr>
        <w:tabs>
          <w:tab w:val="right" w:pos="8791"/>
        </w:tabs>
        <w:spacing w:after="297" w:line="259" w:lineRule="auto"/>
        <w:ind w:left="-15" w:right="-15" w:firstLine="0"/>
        <w:jc w:val="left"/>
      </w:pPr>
      <w:r>
        <w:rPr>
          <w:sz w:val="13"/>
        </w:rPr>
        <w:t>https://sede.gobcan.es/cpji/boc</w:t>
      </w:r>
      <w:r>
        <w:rPr>
          <w:sz w:val="13"/>
        </w:rPr>
        <w:tab/>
      </w:r>
      <w:r>
        <w:rPr>
          <w:color w:val="000000"/>
          <w:sz w:val="13"/>
        </w:rPr>
        <w:t>boc-a-2017-032-694</w:t>
      </w:r>
    </w:p>
    <w:p w:rsidR="008170A5" w:rsidRDefault="00935FB4">
      <w:pPr>
        <w:ind w:left="761" w:right="760"/>
      </w:pPr>
      <w:r>
        <w:t>Vistos, además de los preceptos citados, los Decretos 103/2015, de 9 de julio, por el que se determinan el número, denominación y competencias de las Consejerías (modificado por Decreto 143/2015, de 20 de julio); 183/2015, de 21 de julio, por el que se de</w:t>
      </w:r>
      <w:r>
        <w:t>termina la estructura central y periférica, así como las sedes de las Consejerías del Gobierno de Canarias (BOC de 23 y 27 de julio de 2015); el Decreto 23/2016, de 4 de abril, por el que se aprueba el Reglamento Orgánico de la Consejería de Economía, Indu</w:t>
      </w:r>
      <w:r>
        <w:t>stria, Comercio y Conocimiento.</w:t>
      </w:r>
    </w:p>
    <w:p w:rsidR="008170A5" w:rsidRDefault="00935FB4">
      <w:pPr>
        <w:ind w:left="1034" w:right="760" w:firstLine="0"/>
      </w:pPr>
      <w:r>
        <w:t>En su virtud, en el ejercicio de las competencias que tengo atribuidas,</w:t>
      </w:r>
    </w:p>
    <w:p w:rsidR="008170A5" w:rsidRDefault="00935FB4">
      <w:pPr>
        <w:spacing w:after="227" w:line="259" w:lineRule="auto"/>
        <w:ind w:left="10" w:right="0" w:hanging="10"/>
        <w:jc w:val="center"/>
      </w:pPr>
      <w:r>
        <w:rPr>
          <w:b/>
        </w:rPr>
        <w:t>R E S U E LV O:</w:t>
      </w:r>
    </w:p>
    <w:p w:rsidR="008170A5" w:rsidRDefault="00935FB4">
      <w:pPr>
        <w:ind w:left="761" w:right="760"/>
      </w:pPr>
      <w:proofErr w:type="gramStart"/>
      <w:r>
        <w:rPr>
          <w:b/>
        </w:rPr>
        <w:t>Primero.-</w:t>
      </w:r>
      <w:proofErr w:type="gramEnd"/>
      <w:r>
        <w:rPr>
          <w:b/>
        </w:rPr>
        <w:t xml:space="preserve"> </w:t>
      </w:r>
      <w:r>
        <w:t>Aprobar la modificación de las tarifas del servicio público de abastecimiento de agua a poblaciones para su aplicación en el municipio de Candelaria, las cuales quedarán establecidas en las cuantías siguientes:</w:t>
      </w:r>
    </w:p>
    <w:p w:rsidR="008170A5" w:rsidRDefault="00935FB4">
      <w:pPr>
        <w:spacing w:after="220" w:line="259" w:lineRule="auto"/>
        <w:ind w:left="932" w:right="0" w:firstLine="0"/>
        <w:jc w:val="left"/>
      </w:pPr>
      <w:r>
        <w:rPr>
          <w:b/>
          <w:color w:val="000000"/>
          <w:sz w:val="19"/>
        </w:rPr>
        <w:t>TARIFAS DE APLICACIÓN BIMESTRAL.</w:t>
      </w:r>
      <w:r>
        <w:t xml:space="preserve"> </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8170A5">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8170A5" w:rsidRDefault="00935FB4">
            <w:pPr>
              <w:spacing w:after="0" w:line="259" w:lineRule="auto"/>
              <w:ind w:left="0" w:right="0" w:firstLine="0"/>
              <w:jc w:val="center"/>
            </w:pPr>
            <w:r>
              <w:rPr>
                <w:rFonts w:ascii="Arial" w:eastAsia="Arial" w:hAnsi="Arial" w:cs="Arial"/>
                <w:b/>
                <w:color w:val="000000"/>
                <w:sz w:val="12"/>
              </w:rPr>
              <w:t>Firmado por</w:t>
            </w:r>
            <w:r>
              <w:rPr>
                <w:rFonts w:ascii="Arial" w:eastAsia="Arial" w:hAnsi="Arial" w:cs="Arial"/>
                <w:b/>
                <w:color w:val="000000"/>
                <w:sz w:val="12"/>
              </w:rPr>
              <w:t>:</w:t>
            </w:r>
          </w:p>
        </w:tc>
        <w:tc>
          <w:tcPr>
            <w:tcW w:w="6306" w:type="dxa"/>
            <w:tcBorders>
              <w:top w:val="single" w:sz="4" w:space="0" w:color="000000"/>
              <w:left w:val="single" w:sz="4" w:space="0" w:color="000000"/>
              <w:bottom w:val="single" w:sz="4" w:space="0" w:color="000000"/>
              <w:right w:val="single" w:sz="4" w:space="0" w:color="000000"/>
            </w:tcBorders>
          </w:tcPr>
          <w:p w:rsidR="008170A5" w:rsidRDefault="00935FB4">
            <w:pPr>
              <w:spacing w:after="0" w:line="259" w:lineRule="auto"/>
              <w:ind w:left="5" w:right="0" w:firstLine="0"/>
              <w:jc w:val="left"/>
            </w:pPr>
            <w:r>
              <w:rPr>
                <w:rFonts w:ascii="Arial" w:eastAsia="Arial" w:hAnsi="Arial" w:cs="Arial"/>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8170A5" w:rsidRDefault="00935FB4">
            <w:pPr>
              <w:spacing w:after="0" w:line="259" w:lineRule="auto"/>
              <w:ind w:left="5" w:right="0" w:firstLine="0"/>
              <w:jc w:val="left"/>
            </w:pPr>
            <w:r>
              <w:rPr>
                <w:rFonts w:ascii="Arial" w:eastAsia="Arial" w:hAnsi="Arial" w:cs="Arial"/>
                <w:color w:val="000000"/>
                <w:sz w:val="12"/>
              </w:rPr>
              <w:t>Fecha: 05-10-2022 08:44:41</w:t>
            </w:r>
          </w:p>
        </w:tc>
        <w:tc>
          <w:tcPr>
            <w:tcW w:w="1600" w:type="dxa"/>
            <w:vMerge w:val="restart"/>
            <w:tcBorders>
              <w:top w:val="single" w:sz="4" w:space="0" w:color="000000"/>
              <w:left w:val="single" w:sz="4" w:space="0" w:color="000000"/>
              <w:bottom w:val="single" w:sz="4" w:space="0" w:color="000000"/>
              <w:right w:val="single" w:sz="4" w:space="0" w:color="000000"/>
            </w:tcBorders>
          </w:tcPr>
          <w:p w:rsidR="008170A5" w:rsidRDefault="00935FB4">
            <w:pPr>
              <w:spacing w:after="0" w:line="259" w:lineRule="auto"/>
              <w:ind w:left="290" w:right="0" w:firstLine="0"/>
              <w:jc w:val="left"/>
            </w:pPr>
            <w:r>
              <w:rPr>
                <w:noProof/>
              </w:rPr>
              <w:drawing>
                <wp:inline distT="0" distB="0" distL="0" distR="0">
                  <wp:extent cx="571500" cy="571500"/>
                  <wp:effectExtent l="0" t="0" r="0" b="0"/>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5"/>
                          <a:stretch>
                            <a:fillRect/>
                          </a:stretch>
                        </pic:blipFill>
                        <pic:spPr>
                          <a:xfrm>
                            <a:off x="0" y="0"/>
                            <a:ext cx="571500" cy="571500"/>
                          </a:xfrm>
                          <a:prstGeom prst="rect">
                            <a:avLst/>
                          </a:prstGeom>
                        </pic:spPr>
                      </pic:pic>
                    </a:graphicData>
                  </a:graphic>
                </wp:inline>
              </w:drawing>
            </w:r>
          </w:p>
        </w:tc>
      </w:tr>
      <w:tr w:rsidR="008170A5">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8170A5" w:rsidRDefault="00935FB4">
            <w:pPr>
              <w:spacing w:after="51" w:line="259" w:lineRule="auto"/>
              <w:ind w:left="0" w:right="0" w:firstLine="0"/>
              <w:jc w:val="center"/>
            </w:pPr>
            <w:r>
              <w:rPr>
                <w:rFonts w:ascii="Arial" w:eastAsia="Arial" w:hAnsi="Arial" w:cs="Arial"/>
                <w:color w:val="000000"/>
                <w:sz w:val="12"/>
              </w:rPr>
              <w:t>Código Seguro de Verificación (CSV): 1D9A8054603A7E5CFE30BEF0E47DDC85</w:t>
            </w:r>
          </w:p>
          <w:p w:rsidR="008170A5" w:rsidRDefault="00935FB4">
            <w:pPr>
              <w:spacing w:after="0" w:line="259" w:lineRule="auto"/>
              <w:ind w:left="0" w:right="0" w:firstLine="0"/>
              <w:jc w:val="center"/>
            </w:pPr>
            <w:r>
              <w:rPr>
                <w:rFonts w:ascii="Arial" w:eastAsia="Arial" w:hAnsi="Arial" w:cs="Arial"/>
                <w:color w:val="000000"/>
                <w:sz w:val="12"/>
              </w:rPr>
              <w:t>Comprobación CSV:  https://sedeelectronica.candelaria.es//publico/documento/1D9A8054603A7E5CFE30BEF0E47DDC85 .</w:t>
            </w:r>
          </w:p>
        </w:tc>
        <w:tc>
          <w:tcPr>
            <w:tcW w:w="0" w:type="auto"/>
            <w:vMerge/>
            <w:tcBorders>
              <w:top w:val="nil"/>
              <w:left w:val="single" w:sz="4" w:space="0" w:color="000000"/>
              <w:bottom w:val="nil"/>
              <w:right w:val="single" w:sz="4" w:space="0" w:color="000000"/>
            </w:tcBorders>
          </w:tcPr>
          <w:p w:rsidR="008170A5" w:rsidRDefault="008170A5">
            <w:pPr>
              <w:spacing w:after="160" w:line="259" w:lineRule="auto"/>
              <w:ind w:left="0" w:right="0" w:firstLine="0"/>
              <w:jc w:val="left"/>
            </w:pPr>
          </w:p>
        </w:tc>
      </w:tr>
      <w:tr w:rsidR="008170A5">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8170A5" w:rsidRDefault="00935FB4">
            <w:pPr>
              <w:tabs>
                <w:tab w:val="center" w:pos="5177"/>
                <w:tab w:val="right" w:pos="9186"/>
              </w:tabs>
              <w:spacing w:after="0" w:line="259" w:lineRule="auto"/>
              <w:ind w:left="0" w:right="0" w:firstLine="0"/>
              <w:jc w:val="left"/>
            </w:pPr>
            <w:r>
              <w:rPr>
                <w:rFonts w:ascii="Arial" w:eastAsia="Arial" w:hAnsi="Arial" w:cs="Arial"/>
                <w:color w:val="000000"/>
                <w:sz w:val="12"/>
              </w:rPr>
              <w:lastRenderedPageBreak/>
              <w:t>Fecha de sellado electrónico: 05-10-2022 08:44:41</w:t>
            </w:r>
            <w:r>
              <w:rPr>
                <w:rFonts w:ascii="Arial" w:eastAsia="Arial" w:hAnsi="Arial" w:cs="Arial"/>
                <w:color w:val="000000"/>
                <w:sz w:val="12"/>
              </w:rPr>
              <w:tab/>
            </w:r>
            <w:r>
              <w:rPr>
                <w:rFonts w:ascii="Arial" w:eastAsia="Arial" w:hAnsi="Arial" w:cs="Arial"/>
                <w:color w:val="404040"/>
                <w:sz w:val="12"/>
              </w:rPr>
              <w:t>- 2/2 -</w:t>
            </w:r>
            <w:r>
              <w:rPr>
                <w:rFonts w:ascii="Arial" w:eastAsia="Arial" w:hAnsi="Arial" w:cs="Arial"/>
                <w:color w:val="404040"/>
                <w:sz w:val="12"/>
              </w:rPr>
              <w:tab/>
            </w:r>
            <w:r>
              <w:rPr>
                <w:rFonts w:ascii="Arial" w:eastAsia="Arial" w:hAnsi="Arial" w:cs="Arial"/>
                <w:color w:val="000000"/>
                <w:sz w:val="12"/>
              </w:rPr>
              <w:t>Fecha de emisión de esta copia: 23-01-2024 13:58:37</w:t>
            </w:r>
          </w:p>
        </w:tc>
        <w:tc>
          <w:tcPr>
            <w:tcW w:w="0" w:type="auto"/>
            <w:vMerge/>
            <w:tcBorders>
              <w:top w:val="nil"/>
              <w:left w:val="single" w:sz="4" w:space="0" w:color="000000"/>
              <w:bottom w:val="single" w:sz="4" w:space="0" w:color="000000"/>
              <w:right w:val="single" w:sz="4" w:space="0" w:color="000000"/>
            </w:tcBorders>
          </w:tcPr>
          <w:p w:rsidR="008170A5" w:rsidRDefault="008170A5">
            <w:pPr>
              <w:spacing w:after="160" w:line="259" w:lineRule="auto"/>
              <w:ind w:left="0" w:right="0" w:firstLine="0"/>
              <w:jc w:val="left"/>
            </w:pPr>
          </w:p>
        </w:tc>
      </w:tr>
    </w:tbl>
    <w:p w:rsidR="008170A5" w:rsidRDefault="00935FB4">
      <w:pPr>
        <w:spacing w:after="0" w:line="259" w:lineRule="auto"/>
        <w:ind w:left="932" w:right="813" w:hanging="2"/>
        <w:jc w:val="left"/>
      </w:pPr>
      <w:r>
        <w:rPr>
          <w:noProof/>
        </w:rPr>
        <w:lastRenderedPageBreak/>
        <w:drawing>
          <wp:anchor distT="0" distB="0" distL="114300" distR="114300" simplePos="0" relativeHeight="251659264" behindDoc="0" locked="0" layoutInCell="1" allowOverlap="0">
            <wp:simplePos x="0" y="0"/>
            <wp:positionH relativeFrom="page">
              <wp:posOffset>985520</wp:posOffset>
            </wp:positionH>
            <wp:positionV relativeFrom="page">
              <wp:posOffset>674624</wp:posOffset>
            </wp:positionV>
            <wp:extent cx="5586984" cy="259080"/>
            <wp:effectExtent l="0" t="0" r="0" b="0"/>
            <wp:wrapTopAndBottom/>
            <wp:docPr id="7957" name="Picture 7957"/>
            <wp:cNvGraphicFramePr/>
            <a:graphic xmlns:a="http://schemas.openxmlformats.org/drawingml/2006/main">
              <a:graphicData uri="http://schemas.openxmlformats.org/drawingml/2006/picture">
                <pic:pic xmlns:pic="http://schemas.openxmlformats.org/drawingml/2006/picture">
                  <pic:nvPicPr>
                    <pic:cNvPr id="7957" name="Picture 7957"/>
                    <pic:cNvPicPr/>
                  </pic:nvPicPr>
                  <pic:blipFill>
                    <a:blip r:embed="rId7"/>
                    <a:stretch>
                      <a:fillRect/>
                    </a:stretch>
                  </pic:blipFill>
                  <pic:spPr>
                    <a:xfrm>
                      <a:off x="0" y="0"/>
                      <a:ext cx="5586984" cy="259080"/>
                    </a:xfrm>
                    <a:prstGeom prst="rect">
                      <a:avLst/>
                    </a:prstGeom>
                  </pic:spPr>
                </pic:pic>
              </a:graphicData>
            </a:graphic>
          </wp:anchor>
        </w:drawing>
      </w:r>
      <w:r>
        <w:rPr>
          <w:b/>
          <w:color w:val="000000"/>
          <w:sz w:val="19"/>
          <w:u w:val="single" w:color="000000"/>
        </w:rPr>
        <w:t xml:space="preserve">  Bloque de Consumo                              Importe en Euros                    Incremento. </w:t>
      </w:r>
      <w:r>
        <w:rPr>
          <w:b/>
          <w:color w:val="000000"/>
          <w:sz w:val="21"/>
        </w:rPr>
        <w:t>a) Doméstico.</w:t>
      </w:r>
    </w:p>
    <w:tbl>
      <w:tblPr>
        <w:tblStyle w:val="TableGrid"/>
        <w:tblW w:w="6540" w:type="dxa"/>
        <w:tblInd w:w="833" w:type="dxa"/>
        <w:tblCellMar>
          <w:top w:w="0" w:type="dxa"/>
          <w:left w:w="0" w:type="dxa"/>
          <w:bottom w:w="0" w:type="dxa"/>
          <w:right w:w="0" w:type="dxa"/>
        </w:tblCellMar>
        <w:tblLook w:val="04A0" w:firstRow="1" w:lastRow="0" w:firstColumn="1" w:lastColumn="0" w:noHBand="0" w:noVBand="1"/>
      </w:tblPr>
      <w:tblGrid>
        <w:gridCol w:w="2139"/>
        <w:gridCol w:w="1842"/>
        <w:gridCol w:w="1939"/>
        <w:gridCol w:w="620"/>
      </w:tblGrid>
      <w:tr w:rsidR="008170A5">
        <w:trPr>
          <w:trHeight w:val="235"/>
        </w:trPr>
        <w:tc>
          <w:tcPr>
            <w:tcW w:w="2138" w:type="dxa"/>
            <w:tcBorders>
              <w:top w:val="nil"/>
              <w:left w:val="nil"/>
              <w:bottom w:val="nil"/>
              <w:right w:val="nil"/>
            </w:tcBorders>
          </w:tcPr>
          <w:p w:rsidR="008170A5" w:rsidRDefault="00935FB4">
            <w:pPr>
              <w:spacing w:after="0" w:line="259" w:lineRule="auto"/>
              <w:ind w:left="0" w:right="0" w:firstLine="0"/>
              <w:jc w:val="left"/>
            </w:pPr>
            <w:r>
              <w:rPr>
                <w:color w:val="000000"/>
                <w:sz w:val="21"/>
              </w:rPr>
              <w:t xml:space="preserve">  Mínimo de 10 m</w:t>
            </w:r>
            <w:r>
              <w:rPr>
                <w:color w:val="000000"/>
                <w:sz w:val="19"/>
                <w:vertAlign w:val="superscript"/>
              </w:rPr>
              <w:t>3</w:t>
            </w:r>
          </w:p>
        </w:tc>
        <w:tc>
          <w:tcPr>
            <w:tcW w:w="1842" w:type="dxa"/>
            <w:tcBorders>
              <w:top w:val="nil"/>
              <w:left w:val="nil"/>
              <w:bottom w:val="nil"/>
              <w:right w:val="nil"/>
            </w:tcBorders>
          </w:tcPr>
          <w:p w:rsidR="008170A5" w:rsidRDefault="008170A5">
            <w:pPr>
              <w:spacing w:after="160" w:line="259" w:lineRule="auto"/>
              <w:ind w:left="0" w:right="0" w:firstLine="0"/>
              <w:jc w:val="left"/>
            </w:pPr>
          </w:p>
        </w:tc>
        <w:tc>
          <w:tcPr>
            <w:tcW w:w="1939" w:type="dxa"/>
            <w:tcBorders>
              <w:top w:val="nil"/>
              <w:left w:val="nil"/>
              <w:bottom w:val="nil"/>
              <w:right w:val="nil"/>
            </w:tcBorders>
          </w:tcPr>
          <w:p w:rsidR="008170A5" w:rsidRDefault="00935FB4">
            <w:pPr>
              <w:spacing w:after="0" w:line="259" w:lineRule="auto"/>
              <w:ind w:left="0" w:right="0" w:firstLine="0"/>
              <w:jc w:val="left"/>
            </w:pPr>
            <w:r>
              <w:rPr>
                <w:color w:val="000000"/>
                <w:sz w:val="21"/>
              </w:rPr>
              <w:t>12,50 euros</w:t>
            </w:r>
          </w:p>
        </w:tc>
        <w:tc>
          <w:tcPr>
            <w:tcW w:w="620" w:type="dxa"/>
            <w:tcBorders>
              <w:top w:val="nil"/>
              <w:left w:val="nil"/>
              <w:bottom w:val="nil"/>
              <w:right w:val="nil"/>
            </w:tcBorders>
          </w:tcPr>
          <w:p w:rsidR="008170A5" w:rsidRDefault="00935FB4">
            <w:pPr>
              <w:spacing w:after="0" w:line="259" w:lineRule="auto"/>
              <w:ind w:left="0" w:right="0" w:firstLine="0"/>
            </w:pPr>
            <w:r>
              <w:rPr>
                <w:color w:val="000000"/>
                <w:sz w:val="21"/>
              </w:rPr>
              <w:t xml:space="preserve">   2,0%</w:t>
            </w:r>
          </w:p>
        </w:tc>
      </w:tr>
      <w:tr w:rsidR="008170A5">
        <w:trPr>
          <w:trHeight w:val="239"/>
        </w:trPr>
        <w:tc>
          <w:tcPr>
            <w:tcW w:w="2138" w:type="dxa"/>
            <w:tcBorders>
              <w:top w:val="nil"/>
              <w:left w:val="nil"/>
              <w:bottom w:val="nil"/>
              <w:right w:val="nil"/>
            </w:tcBorders>
          </w:tcPr>
          <w:p w:rsidR="008170A5" w:rsidRDefault="00935FB4">
            <w:pPr>
              <w:spacing w:after="0" w:line="259" w:lineRule="auto"/>
              <w:ind w:left="98" w:right="0" w:firstLine="0"/>
              <w:jc w:val="left"/>
            </w:pPr>
            <w:r>
              <w:rPr>
                <w:color w:val="000000"/>
                <w:sz w:val="21"/>
              </w:rPr>
              <w:t>De 11  a 30 m</w:t>
            </w:r>
            <w:r>
              <w:rPr>
                <w:color w:val="000000"/>
                <w:sz w:val="19"/>
                <w:vertAlign w:val="superscript"/>
              </w:rPr>
              <w:t>3</w:t>
            </w:r>
          </w:p>
        </w:tc>
        <w:tc>
          <w:tcPr>
            <w:tcW w:w="1842" w:type="dxa"/>
            <w:tcBorders>
              <w:top w:val="nil"/>
              <w:left w:val="nil"/>
              <w:bottom w:val="nil"/>
              <w:right w:val="nil"/>
            </w:tcBorders>
          </w:tcPr>
          <w:p w:rsidR="008170A5" w:rsidRDefault="008170A5">
            <w:pPr>
              <w:spacing w:after="160" w:line="259" w:lineRule="auto"/>
              <w:ind w:left="0" w:right="0" w:firstLine="0"/>
              <w:jc w:val="left"/>
            </w:pPr>
          </w:p>
        </w:tc>
        <w:tc>
          <w:tcPr>
            <w:tcW w:w="1939" w:type="dxa"/>
            <w:tcBorders>
              <w:top w:val="nil"/>
              <w:left w:val="nil"/>
              <w:bottom w:val="nil"/>
              <w:right w:val="nil"/>
            </w:tcBorders>
          </w:tcPr>
          <w:p w:rsidR="008170A5" w:rsidRDefault="00935FB4">
            <w:pPr>
              <w:spacing w:after="0" w:line="259" w:lineRule="auto"/>
              <w:ind w:left="0" w:right="0" w:firstLine="0"/>
              <w:jc w:val="left"/>
            </w:pPr>
            <w:r>
              <w:rPr>
                <w:color w:val="000000"/>
                <w:sz w:val="19"/>
                <w:vertAlign w:val="superscript"/>
              </w:rPr>
              <w:t xml:space="preserve">   </w:t>
            </w:r>
            <w:r>
              <w:rPr>
                <w:color w:val="000000"/>
                <w:sz w:val="21"/>
              </w:rPr>
              <w:t>1,54 euros/m</w:t>
            </w:r>
            <w:r>
              <w:rPr>
                <w:color w:val="000000"/>
                <w:sz w:val="19"/>
                <w:vertAlign w:val="superscript"/>
              </w:rPr>
              <w:t>3</w:t>
            </w:r>
          </w:p>
        </w:tc>
        <w:tc>
          <w:tcPr>
            <w:tcW w:w="620" w:type="dxa"/>
            <w:tcBorders>
              <w:top w:val="nil"/>
              <w:left w:val="nil"/>
              <w:bottom w:val="nil"/>
              <w:right w:val="nil"/>
            </w:tcBorders>
          </w:tcPr>
          <w:p w:rsidR="008170A5" w:rsidRDefault="00935FB4">
            <w:pPr>
              <w:spacing w:after="0" w:line="259" w:lineRule="auto"/>
              <w:ind w:left="0" w:right="0" w:firstLine="0"/>
            </w:pPr>
            <w:r>
              <w:rPr>
                <w:color w:val="000000"/>
                <w:sz w:val="21"/>
              </w:rPr>
              <w:t xml:space="preserve">   2,0%</w:t>
            </w:r>
          </w:p>
        </w:tc>
      </w:tr>
      <w:tr w:rsidR="008170A5">
        <w:trPr>
          <w:trHeight w:val="239"/>
        </w:trPr>
        <w:tc>
          <w:tcPr>
            <w:tcW w:w="2138" w:type="dxa"/>
            <w:tcBorders>
              <w:top w:val="nil"/>
              <w:left w:val="nil"/>
              <w:bottom w:val="nil"/>
              <w:right w:val="nil"/>
            </w:tcBorders>
          </w:tcPr>
          <w:p w:rsidR="008170A5" w:rsidRDefault="00935FB4">
            <w:pPr>
              <w:spacing w:after="0" w:line="259" w:lineRule="auto"/>
              <w:ind w:left="100" w:right="0" w:firstLine="0"/>
              <w:jc w:val="left"/>
            </w:pPr>
            <w:r>
              <w:rPr>
                <w:color w:val="000000"/>
                <w:sz w:val="21"/>
              </w:rPr>
              <w:t>De 31 a 60 m</w:t>
            </w:r>
            <w:r>
              <w:rPr>
                <w:color w:val="000000"/>
                <w:sz w:val="19"/>
                <w:vertAlign w:val="superscript"/>
              </w:rPr>
              <w:t xml:space="preserve">3 </w:t>
            </w:r>
          </w:p>
        </w:tc>
        <w:tc>
          <w:tcPr>
            <w:tcW w:w="1842" w:type="dxa"/>
            <w:tcBorders>
              <w:top w:val="nil"/>
              <w:left w:val="nil"/>
              <w:bottom w:val="nil"/>
              <w:right w:val="nil"/>
            </w:tcBorders>
          </w:tcPr>
          <w:p w:rsidR="008170A5" w:rsidRDefault="008170A5">
            <w:pPr>
              <w:spacing w:after="160" w:line="259" w:lineRule="auto"/>
              <w:ind w:left="0" w:right="0" w:firstLine="0"/>
              <w:jc w:val="left"/>
            </w:pPr>
          </w:p>
        </w:tc>
        <w:tc>
          <w:tcPr>
            <w:tcW w:w="1939" w:type="dxa"/>
            <w:tcBorders>
              <w:top w:val="nil"/>
              <w:left w:val="nil"/>
              <w:bottom w:val="nil"/>
              <w:right w:val="nil"/>
            </w:tcBorders>
          </w:tcPr>
          <w:p w:rsidR="008170A5" w:rsidRDefault="00935FB4">
            <w:pPr>
              <w:spacing w:after="0" w:line="259" w:lineRule="auto"/>
              <w:ind w:left="0" w:right="0" w:firstLine="0"/>
              <w:jc w:val="left"/>
            </w:pPr>
            <w:r>
              <w:rPr>
                <w:color w:val="000000"/>
                <w:sz w:val="19"/>
                <w:vertAlign w:val="superscript"/>
              </w:rPr>
              <w:t xml:space="preserve">   </w:t>
            </w:r>
            <w:r>
              <w:rPr>
                <w:color w:val="000000"/>
                <w:sz w:val="21"/>
              </w:rPr>
              <w:t>1,85 euros/m</w:t>
            </w:r>
            <w:r>
              <w:rPr>
                <w:color w:val="000000"/>
                <w:sz w:val="19"/>
                <w:vertAlign w:val="superscript"/>
              </w:rPr>
              <w:t>3</w:t>
            </w:r>
          </w:p>
        </w:tc>
        <w:tc>
          <w:tcPr>
            <w:tcW w:w="620" w:type="dxa"/>
            <w:tcBorders>
              <w:top w:val="nil"/>
              <w:left w:val="nil"/>
              <w:bottom w:val="nil"/>
              <w:right w:val="nil"/>
            </w:tcBorders>
          </w:tcPr>
          <w:p w:rsidR="008170A5" w:rsidRDefault="00935FB4">
            <w:pPr>
              <w:spacing w:after="0" w:line="259" w:lineRule="auto"/>
              <w:ind w:left="0" w:right="0" w:firstLine="0"/>
            </w:pPr>
            <w:r>
              <w:rPr>
                <w:color w:val="000000"/>
                <w:sz w:val="12"/>
              </w:rPr>
              <w:t xml:space="preserve">     </w:t>
            </w:r>
            <w:r>
              <w:rPr>
                <w:color w:val="000000"/>
                <w:sz w:val="21"/>
              </w:rPr>
              <w:t>2,2%</w:t>
            </w:r>
          </w:p>
        </w:tc>
      </w:tr>
      <w:tr w:rsidR="008170A5">
        <w:trPr>
          <w:trHeight w:val="738"/>
        </w:trPr>
        <w:tc>
          <w:tcPr>
            <w:tcW w:w="2138" w:type="dxa"/>
            <w:tcBorders>
              <w:top w:val="nil"/>
              <w:left w:val="nil"/>
              <w:bottom w:val="nil"/>
              <w:right w:val="nil"/>
            </w:tcBorders>
          </w:tcPr>
          <w:p w:rsidR="008170A5" w:rsidRDefault="00935FB4">
            <w:pPr>
              <w:spacing w:after="182" w:line="259" w:lineRule="auto"/>
              <w:ind w:left="100" w:right="0" w:firstLine="0"/>
              <w:jc w:val="left"/>
            </w:pPr>
            <w:proofErr w:type="spellStart"/>
            <w:r>
              <w:rPr>
                <w:color w:val="000000"/>
                <w:sz w:val="21"/>
              </w:rPr>
              <w:t>Mas</w:t>
            </w:r>
            <w:proofErr w:type="spellEnd"/>
            <w:r>
              <w:rPr>
                <w:color w:val="000000"/>
                <w:sz w:val="21"/>
              </w:rPr>
              <w:t xml:space="preserve"> de 60 m</w:t>
            </w:r>
            <w:r>
              <w:rPr>
                <w:color w:val="000000"/>
                <w:sz w:val="19"/>
                <w:vertAlign w:val="superscript"/>
              </w:rPr>
              <w:t xml:space="preserve">3 </w:t>
            </w:r>
          </w:p>
          <w:p w:rsidR="008170A5" w:rsidRDefault="00935FB4">
            <w:pPr>
              <w:spacing w:after="0" w:line="259" w:lineRule="auto"/>
              <w:ind w:left="99" w:right="0" w:firstLine="0"/>
              <w:jc w:val="left"/>
            </w:pPr>
            <w:r>
              <w:rPr>
                <w:b/>
                <w:color w:val="000000"/>
                <w:sz w:val="19"/>
              </w:rPr>
              <w:t xml:space="preserve">b) Industrial. </w:t>
            </w:r>
          </w:p>
        </w:tc>
        <w:tc>
          <w:tcPr>
            <w:tcW w:w="1842" w:type="dxa"/>
            <w:tcBorders>
              <w:top w:val="nil"/>
              <w:left w:val="nil"/>
              <w:bottom w:val="nil"/>
              <w:right w:val="nil"/>
            </w:tcBorders>
          </w:tcPr>
          <w:p w:rsidR="008170A5" w:rsidRDefault="008170A5">
            <w:pPr>
              <w:spacing w:after="160" w:line="259" w:lineRule="auto"/>
              <w:ind w:left="0" w:right="0" w:firstLine="0"/>
              <w:jc w:val="left"/>
            </w:pPr>
          </w:p>
        </w:tc>
        <w:tc>
          <w:tcPr>
            <w:tcW w:w="1939" w:type="dxa"/>
            <w:tcBorders>
              <w:top w:val="nil"/>
              <w:left w:val="nil"/>
              <w:bottom w:val="nil"/>
              <w:right w:val="nil"/>
            </w:tcBorders>
          </w:tcPr>
          <w:p w:rsidR="008170A5" w:rsidRDefault="00935FB4">
            <w:pPr>
              <w:spacing w:after="0" w:line="259" w:lineRule="auto"/>
              <w:ind w:left="0" w:right="0" w:firstLine="0"/>
              <w:jc w:val="left"/>
            </w:pPr>
            <w:r>
              <w:rPr>
                <w:color w:val="000000"/>
                <w:sz w:val="21"/>
              </w:rPr>
              <w:t xml:space="preserve">  2,55 euros/m</w:t>
            </w:r>
            <w:r>
              <w:rPr>
                <w:color w:val="000000"/>
                <w:sz w:val="19"/>
                <w:vertAlign w:val="superscript"/>
              </w:rPr>
              <w:t>3</w:t>
            </w:r>
          </w:p>
        </w:tc>
        <w:tc>
          <w:tcPr>
            <w:tcW w:w="620" w:type="dxa"/>
            <w:tcBorders>
              <w:top w:val="nil"/>
              <w:left w:val="nil"/>
              <w:bottom w:val="nil"/>
              <w:right w:val="nil"/>
            </w:tcBorders>
          </w:tcPr>
          <w:p w:rsidR="008170A5" w:rsidRDefault="00935FB4">
            <w:pPr>
              <w:spacing w:after="0" w:line="259" w:lineRule="auto"/>
              <w:ind w:left="0" w:right="0" w:firstLine="0"/>
            </w:pPr>
            <w:r>
              <w:rPr>
                <w:color w:val="000000"/>
                <w:sz w:val="21"/>
              </w:rPr>
              <w:t xml:space="preserve">   2,0%</w:t>
            </w:r>
          </w:p>
        </w:tc>
      </w:tr>
      <w:tr w:rsidR="008170A5">
        <w:trPr>
          <w:trHeight w:val="359"/>
        </w:trPr>
        <w:tc>
          <w:tcPr>
            <w:tcW w:w="2138" w:type="dxa"/>
            <w:tcBorders>
              <w:top w:val="nil"/>
              <w:left w:val="nil"/>
              <w:bottom w:val="nil"/>
              <w:right w:val="nil"/>
            </w:tcBorders>
            <w:vAlign w:val="bottom"/>
          </w:tcPr>
          <w:p w:rsidR="008170A5" w:rsidRDefault="00935FB4">
            <w:pPr>
              <w:spacing w:after="0" w:line="259" w:lineRule="auto"/>
              <w:ind w:left="0" w:right="0" w:firstLine="0"/>
              <w:jc w:val="left"/>
            </w:pPr>
            <w:r>
              <w:rPr>
                <w:color w:val="000000"/>
                <w:sz w:val="21"/>
              </w:rPr>
              <w:t xml:space="preserve">  Mínimo de 10 m</w:t>
            </w:r>
            <w:r>
              <w:rPr>
                <w:color w:val="000000"/>
                <w:sz w:val="19"/>
                <w:vertAlign w:val="superscript"/>
              </w:rPr>
              <w:t>3</w:t>
            </w:r>
          </w:p>
        </w:tc>
        <w:tc>
          <w:tcPr>
            <w:tcW w:w="1842" w:type="dxa"/>
            <w:tcBorders>
              <w:top w:val="nil"/>
              <w:left w:val="nil"/>
              <w:bottom w:val="nil"/>
              <w:right w:val="nil"/>
            </w:tcBorders>
          </w:tcPr>
          <w:p w:rsidR="008170A5" w:rsidRDefault="008170A5">
            <w:pPr>
              <w:spacing w:after="160" w:line="259" w:lineRule="auto"/>
              <w:ind w:left="0" w:right="0" w:firstLine="0"/>
              <w:jc w:val="left"/>
            </w:pPr>
          </w:p>
        </w:tc>
        <w:tc>
          <w:tcPr>
            <w:tcW w:w="1939" w:type="dxa"/>
            <w:tcBorders>
              <w:top w:val="nil"/>
              <w:left w:val="nil"/>
              <w:bottom w:val="nil"/>
              <w:right w:val="nil"/>
            </w:tcBorders>
            <w:vAlign w:val="bottom"/>
          </w:tcPr>
          <w:p w:rsidR="008170A5" w:rsidRDefault="00935FB4">
            <w:pPr>
              <w:spacing w:after="0" w:line="259" w:lineRule="auto"/>
              <w:ind w:left="0" w:right="0" w:firstLine="0"/>
              <w:jc w:val="left"/>
            </w:pPr>
            <w:r>
              <w:rPr>
                <w:color w:val="000000"/>
                <w:sz w:val="21"/>
              </w:rPr>
              <w:t xml:space="preserve"> 17,55 euros   </w:t>
            </w:r>
          </w:p>
        </w:tc>
        <w:tc>
          <w:tcPr>
            <w:tcW w:w="620" w:type="dxa"/>
            <w:tcBorders>
              <w:top w:val="nil"/>
              <w:left w:val="nil"/>
              <w:bottom w:val="nil"/>
              <w:right w:val="nil"/>
            </w:tcBorders>
            <w:vAlign w:val="bottom"/>
          </w:tcPr>
          <w:p w:rsidR="008170A5" w:rsidRDefault="00935FB4">
            <w:pPr>
              <w:spacing w:after="0" w:line="259" w:lineRule="auto"/>
              <w:ind w:left="0" w:right="0" w:firstLine="0"/>
            </w:pPr>
            <w:r>
              <w:rPr>
                <w:color w:val="000000"/>
                <w:sz w:val="21"/>
              </w:rPr>
              <w:t xml:space="preserve">   2,0%</w:t>
            </w:r>
          </w:p>
        </w:tc>
      </w:tr>
      <w:tr w:rsidR="008170A5">
        <w:trPr>
          <w:trHeight w:val="235"/>
        </w:trPr>
        <w:tc>
          <w:tcPr>
            <w:tcW w:w="2138" w:type="dxa"/>
            <w:tcBorders>
              <w:top w:val="nil"/>
              <w:left w:val="nil"/>
              <w:bottom w:val="nil"/>
              <w:right w:val="nil"/>
            </w:tcBorders>
          </w:tcPr>
          <w:p w:rsidR="008170A5" w:rsidRDefault="00935FB4">
            <w:pPr>
              <w:spacing w:after="0" w:line="259" w:lineRule="auto"/>
              <w:ind w:left="100" w:right="0" w:firstLine="0"/>
              <w:jc w:val="left"/>
            </w:pPr>
            <w:proofErr w:type="spellStart"/>
            <w:r>
              <w:rPr>
                <w:color w:val="000000"/>
                <w:sz w:val="21"/>
              </w:rPr>
              <w:t>Mas</w:t>
            </w:r>
            <w:proofErr w:type="spellEnd"/>
            <w:r>
              <w:rPr>
                <w:color w:val="000000"/>
                <w:sz w:val="21"/>
              </w:rPr>
              <w:t xml:space="preserve"> de 10 m</w:t>
            </w:r>
            <w:r>
              <w:rPr>
                <w:color w:val="000000"/>
                <w:sz w:val="19"/>
                <w:vertAlign w:val="superscript"/>
              </w:rPr>
              <w:t xml:space="preserve">3 </w:t>
            </w:r>
          </w:p>
        </w:tc>
        <w:tc>
          <w:tcPr>
            <w:tcW w:w="1842" w:type="dxa"/>
            <w:tcBorders>
              <w:top w:val="nil"/>
              <w:left w:val="nil"/>
              <w:bottom w:val="nil"/>
              <w:right w:val="nil"/>
            </w:tcBorders>
          </w:tcPr>
          <w:p w:rsidR="008170A5" w:rsidRDefault="00935FB4">
            <w:pPr>
              <w:spacing w:after="0" w:line="259" w:lineRule="auto"/>
              <w:ind w:left="657" w:right="0" w:firstLine="0"/>
              <w:jc w:val="center"/>
            </w:pPr>
            <w:r>
              <w:rPr>
                <w:color w:val="000000"/>
                <w:sz w:val="21"/>
              </w:rPr>
              <w:t xml:space="preserve">  </w:t>
            </w:r>
          </w:p>
        </w:tc>
        <w:tc>
          <w:tcPr>
            <w:tcW w:w="1939" w:type="dxa"/>
            <w:tcBorders>
              <w:top w:val="nil"/>
              <w:left w:val="nil"/>
              <w:bottom w:val="nil"/>
              <w:right w:val="nil"/>
            </w:tcBorders>
          </w:tcPr>
          <w:p w:rsidR="008170A5" w:rsidRDefault="00935FB4">
            <w:pPr>
              <w:spacing w:after="0" w:line="259" w:lineRule="auto"/>
              <w:ind w:left="0" w:right="0" w:firstLine="0"/>
              <w:jc w:val="left"/>
            </w:pPr>
            <w:r>
              <w:rPr>
                <w:color w:val="000000"/>
                <w:sz w:val="21"/>
              </w:rPr>
              <w:t xml:space="preserve">   2,16 euros/m</w:t>
            </w:r>
            <w:r>
              <w:rPr>
                <w:color w:val="000000"/>
                <w:sz w:val="19"/>
                <w:vertAlign w:val="superscript"/>
              </w:rPr>
              <w:t>3</w:t>
            </w:r>
          </w:p>
        </w:tc>
        <w:tc>
          <w:tcPr>
            <w:tcW w:w="620" w:type="dxa"/>
            <w:tcBorders>
              <w:top w:val="nil"/>
              <w:left w:val="nil"/>
              <w:bottom w:val="nil"/>
              <w:right w:val="nil"/>
            </w:tcBorders>
          </w:tcPr>
          <w:p w:rsidR="008170A5" w:rsidRDefault="00935FB4">
            <w:pPr>
              <w:spacing w:after="0" w:line="259" w:lineRule="auto"/>
              <w:ind w:left="0" w:right="0" w:firstLine="0"/>
            </w:pPr>
            <w:r>
              <w:rPr>
                <w:color w:val="000000"/>
                <w:sz w:val="21"/>
              </w:rPr>
              <w:t xml:space="preserve">   1,9%</w:t>
            </w:r>
          </w:p>
        </w:tc>
      </w:tr>
    </w:tbl>
    <w:p w:rsidR="008170A5" w:rsidRDefault="00935FB4">
      <w:pPr>
        <w:ind w:left="761" w:right="760"/>
      </w:pPr>
      <w:proofErr w:type="gramStart"/>
      <w:r>
        <w:rPr>
          <w:b/>
        </w:rPr>
        <w:t>Segundo.-</w:t>
      </w:r>
      <w:proofErr w:type="gramEnd"/>
      <w:r>
        <w:rPr>
          <w:b/>
        </w:rPr>
        <w:t xml:space="preserve"> </w:t>
      </w:r>
      <w:r>
        <w:t>Estas tarifas surtirán efecto a partir del día siguiente al de su publicación en el Boletín Oficial de Canarias.</w:t>
      </w:r>
    </w:p>
    <w:p w:rsidR="008170A5" w:rsidRDefault="00935FB4">
      <w:pPr>
        <w:ind w:left="761" w:right="760"/>
      </w:pPr>
      <w:r>
        <w:t>Contra el presente acto, que pone fin a la vía administrativa, podrá interponerse recurso potestativo de reposición ante esta Consejería, en el</w:t>
      </w:r>
      <w:r>
        <w:t xml:space="preserve"> plazo de un mes, contado a partir del día siguiente a la notificación o publicación de la presente resolución; o, directamente, recurso contencioso-administrativo, ante la Sala de lo Contencioso del Tribunal Superior de Justicia de Canarias en Las Palmas,</w:t>
      </w:r>
      <w:r>
        <w:t xml:space="preserve"> en el plazo de dos meses, contados a partir del día siguiente al de su notificación o publicación. En el caso de presentar recurso de reposición, no se podrá interponer recurso contencioso-administrativo, hasta la resolución expresa del recurso de reposic</w:t>
      </w:r>
      <w:r>
        <w:t>ión o se produzca la desestimación presunta del mismo, y todo ello sin perjuicio de cualquier otro que pudiera interponerse.</w:t>
      </w:r>
    </w:p>
    <w:p w:rsidR="008170A5" w:rsidRDefault="00935FB4">
      <w:pPr>
        <w:ind w:left="1034" w:right="760" w:firstLine="0"/>
      </w:pPr>
      <w:r>
        <w:t>Las Palmas de Gran Canaria, a 27 de enero de 2017.</w:t>
      </w:r>
    </w:p>
    <w:p w:rsidR="008170A5" w:rsidRDefault="00935FB4">
      <w:pPr>
        <w:spacing w:after="0"/>
        <w:ind w:left="2952" w:right="1284" w:hanging="610"/>
      </w:pPr>
      <w:r>
        <w:t>EL CONSEJERO DE ECONOMÍA, INDUSTRIA, COMERCIO Y CONOCIMIENTO,</w:t>
      </w:r>
    </w:p>
    <w:p w:rsidR="008170A5" w:rsidRDefault="00935FB4">
      <w:pPr>
        <w:spacing w:after="594" w:line="259" w:lineRule="auto"/>
        <w:ind w:left="0" w:right="0" w:firstLine="0"/>
        <w:jc w:val="center"/>
      </w:pPr>
      <w:r>
        <w:t>Pedro Ortega Rodrí</w:t>
      </w:r>
      <w:r>
        <w:t>guez.</w:t>
      </w:r>
    </w:p>
    <w:p w:rsidR="008170A5" w:rsidRDefault="00935FB4">
      <w:pPr>
        <w:tabs>
          <w:tab w:val="right" w:pos="8791"/>
        </w:tabs>
        <w:spacing w:after="297" w:line="259" w:lineRule="auto"/>
        <w:ind w:left="-15" w:right="-15" w:firstLine="0"/>
        <w:jc w:val="left"/>
      </w:pPr>
      <w:r>
        <w:rPr>
          <w:sz w:val="13"/>
        </w:rPr>
        <w:t>https://sede.gobcan.es/cpji/boc</w:t>
      </w:r>
      <w:r>
        <w:rPr>
          <w:sz w:val="13"/>
        </w:rPr>
        <w:tab/>
      </w:r>
      <w:r>
        <w:rPr>
          <w:color w:val="000000"/>
          <w:sz w:val="13"/>
        </w:rPr>
        <w:t>boc-a-2017-032-694</w:t>
      </w:r>
    </w:p>
    <w:sectPr w:rsidR="008170A5">
      <w:pgSz w:w="11906" w:h="16838"/>
      <w:pgMar w:top="2134" w:right="1558" w:bottom="400" w:left="15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4070A"/>
    <w:multiLevelType w:val="hybridMultilevel"/>
    <w:tmpl w:val="8FB8F790"/>
    <w:lvl w:ilvl="0" w:tplc="F1DC0FA4">
      <w:start w:val="1"/>
      <w:numFmt w:val="upperRoman"/>
      <w:pStyle w:val="Ttulo1"/>
      <w:lvlText w:val="%1."/>
      <w:lvlJc w:val="left"/>
      <w:pPr>
        <w:ind w:left="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1" w:tplc="7996CB02">
      <w:start w:val="1"/>
      <w:numFmt w:val="lowerLetter"/>
      <w:lvlText w:val="%2"/>
      <w:lvlJc w:val="left"/>
      <w:pPr>
        <w:ind w:left="4424"/>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2" w:tplc="87C4E344">
      <w:start w:val="1"/>
      <w:numFmt w:val="lowerRoman"/>
      <w:lvlText w:val="%3"/>
      <w:lvlJc w:val="left"/>
      <w:pPr>
        <w:ind w:left="5144"/>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3" w:tplc="63C849AA">
      <w:start w:val="1"/>
      <w:numFmt w:val="decimal"/>
      <w:lvlText w:val="%4"/>
      <w:lvlJc w:val="left"/>
      <w:pPr>
        <w:ind w:left="5864"/>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4" w:tplc="91D04FAA">
      <w:start w:val="1"/>
      <w:numFmt w:val="lowerLetter"/>
      <w:lvlText w:val="%5"/>
      <w:lvlJc w:val="left"/>
      <w:pPr>
        <w:ind w:left="6584"/>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5" w:tplc="A69EA8FC">
      <w:start w:val="1"/>
      <w:numFmt w:val="lowerRoman"/>
      <w:lvlText w:val="%6"/>
      <w:lvlJc w:val="left"/>
      <w:pPr>
        <w:ind w:left="7304"/>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6" w:tplc="3A9E18B4">
      <w:start w:val="1"/>
      <w:numFmt w:val="decimal"/>
      <w:lvlText w:val="%7"/>
      <w:lvlJc w:val="left"/>
      <w:pPr>
        <w:ind w:left="8024"/>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7" w:tplc="334A131C">
      <w:start w:val="1"/>
      <w:numFmt w:val="lowerLetter"/>
      <w:lvlText w:val="%8"/>
      <w:lvlJc w:val="left"/>
      <w:pPr>
        <w:ind w:left="8744"/>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8" w:tplc="72A80890">
      <w:start w:val="1"/>
      <w:numFmt w:val="lowerRoman"/>
      <w:lvlText w:val="%9"/>
      <w:lvlJc w:val="left"/>
      <w:pPr>
        <w:ind w:left="9464"/>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5"/>
    <w:rsid w:val="008170A5"/>
    <w:rsid w:val="00935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2D861-D174-4FAC-B842-700237A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6" w:line="254" w:lineRule="auto"/>
      <w:ind w:left="776" w:right="774" w:firstLine="249"/>
      <w:jc w:val="both"/>
    </w:pPr>
    <w:rPr>
      <w:rFonts w:ascii="Times New Roman" w:eastAsia="Times New Roman" w:hAnsi="Times New Roman" w:cs="Times New Roman"/>
      <w:color w:val="181717"/>
      <w:sz w:val="20"/>
    </w:rPr>
  </w:style>
  <w:style w:type="paragraph" w:styleId="Ttulo1">
    <w:name w:val="heading 1"/>
    <w:next w:val="Normal"/>
    <w:link w:val="Ttulo1Car"/>
    <w:uiPriority w:val="9"/>
    <w:unhideWhenUsed/>
    <w:qFormat/>
    <w:pPr>
      <w:keepNext/>
      <w:keepLines/>
      <w:numPr>
        <w:numId w:val="1"/>
      </w:numPr>
      <w:spacing w:after="278" w:line="264" w:lineRule="auto"/>
      <w:ind w:left="10" w:hanging="10"/>
      <w:jc w:val="center"/>
      <w:outlineLvl w:val="0"/>
    </w:pPr>
    <w:rPr>
      <w:rFonts w:ascii="Times New Roman" w:eastAsia="Times New Roman" w:hAnsi="Times New Roman" w:cs="Times New Roman"/>
      <w:b/>
      <w:color w:val="181717"/>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181717"/>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2024-01-23T14:00:00Z</dcterms:created>
  <dcterms:modified xsi:type="dcterms:W3CDTF">2024-01-23T14:00:00Z</dcterms:modified>
</cp:coreProperties>
</file>