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7A" w:rsidRDefault="00954039">
      <w:pPr>
        <w:tabs>
          <w:tab w:val="right" w:pos="8738"/>
        </w:tabs>
        <w:ind w:left="-2" w:firstLine="0"/>
        <w:jc w:val="left"/>
      </w:pPr>
      <w:bookmarkStart w:id="0" w:name="_GoBack"/>
      <w:bookmarkEnd w:id="0"/>
      <w:r>
        <w:t>13508</w:t>
      </w:r>
      <w:r>
        <w:tab/>
        <w:t>Boletín Oficial de la Provincia de Santa Cruz de Tenerife núm. 109, viernes 28 de julio de 2006</w:t>
      </w:r>
    </w:p>
    <w:p w:rsidR="00184F7A" w:rsidRDefault="00184F7A">
      <w:pPr>
        <w:sectPr w:rsidR="00184F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56" w:right="1586" w:bottom="2458" w:left="1575" w:header="1093" w:footer="720" w:gutter="0"/>
          <w:cols w:space="720"/>
          <w:titlePg/>
        </w:sectPr>
      </w:pPr>
    </w:p>
    <w:p w:rsidR="00184F7A" w:rsidRDefault="00954039">
      <w:pPr>
        <w:ind w:left="-2" w:right="1" w:firstLine="0"/>
      </w:pPr>
      <w:r>
        <w:lastRenderedPageBreak/>
        <w:t xml:space="preserve">enero, de Régimen Jurídico de los Espectáculos Públicos y Actividades Clasificadas, a fin de que quienes se consideren afectados de algún modo por la actividad de referencia, puedan formular por escrito que presentarán en la Secretaría del Ayuntamiento (a </w:t>
      </w:r>
      <w:r>
        <w:t>través del Registro General de Entrada), las observaciones pertinentes, durante el plazo de VEINTE días.</w:t>
      </w:r>
    </w:p>
    <w:p w:rsidR="00184F7A" w:rsidRDefault="00954039">
      <w:pPr>
        <w:ind w:left="168" w:right="1" w:firstLine="0"/>
      </w:pPr>
      <w:r>
        <w:t xml:space="preserve">En la Villa de </w:t>
      </w:r>
      <w:proofErr w:type="spellStart"/>
      <w:r>
        <w:t>Adeje</w:t>
      </w:r>
      <w:proofErr w:type="spellEnd"/>
      <w:r>
        <w:t>, a 03 de julio de 2006.</w:t>
      </w:r>
    </w:p>
    <w:p w:rsidR="00184F7A" w:rsidRDefault="00954039">
      <w:pPr>
        <w:spacing w:after="387"/>
        <w:ind w:left="168" w:right="1" w:firstLine="0"/>
      </w:pPr>
      <w:r>
        <w:t>El Alcalde accidental, José Ricardo Moreno Pérez.</w:t>
      </w:r>
    </w:p>
    <w:p w:rsidR="00184F7A" w:rsidRDefault="00954039">
      <w:pPr>
        <w:spacing w:after="0" w:line="259" w:lineRule="auto"/>
        <w:ind w:left="20" w:hanging="10"/>
        <w:jc w:val="center"/>
      </w:pPr>
      <w:r>
        <w:rPr>
          <w:b/>
        </w:rPr>
        <w:t>A N U N C I O</w:t>
      </w:r>
    </w:p>
    <w:p w:rsidR="00184F7A" w:rsidRDefault="00954039">
      <w:pPr>
        <w:pStyle w:val="Ttulo1"/>
        <w:ind w:left="3683" w:hanging="3685"/>
      </w:pPr>
      <w:r>
        <w:t>6885</w:t>
      </w:r>
    </w:p>
    <w:p w:rsidR="00184F7A" w:rsidRDefault="00954039">
      <w:pPr>
        <w:spacing w:after="393"/>
        <w:ind w:left="-2" w:right="1"/>
      </w:pPr>
      <w:r>
        <w:t xml:space="preserve">La entidad GIOF 2000 RESTAURANTE, S.L., ha solicitado Licencia para establecer la actividad de restaurante, con emplazamiento en la calle Colón, Centro Comercial Playa, local nº 8, Costa </w:t>
      </w:r>
      <w:proofErr w:type="spellStart"/>
      <w:r>
        <w:t>Adeje</w:t>
      </w:r>
      <w:proofErr w:type="spellEnd"/>
      <w:r>
        <w:t xml:space="preserve"> de este término municipal.</w:t>
      </w:r>
    </w:p>
    <w:p w:rsidR="00184F7A" w:rsidRDefault="00954039">
      <w:pPr>
        <w:ind w:left="-2" w:right="1"/>
      </w:pPr>
      <w:r>
        <w:t>Lo que se hace público, en cumplimie</w:t>
      </w:r>
      <w:r>
        <w:t>nto de lo preceptuado en el artículo 16.a de la Ley 1/98, de 8 de enero, de Régimen Jurídico de los Espectáculos Públicos y Actividades Clasificadas, a fin de que quienes se consideren afectados de algún modo por la actividad de referencia, puedan formular</w:t>
      </w:r>
      <w:r>
        <w:t xml:space="preserve"> por escrito que presentarán en la Secretaría del Ayuntamiento (a través del Registro General de Entrada), las observaciones pertinentes, durante el plazo de VEINTE días.</w:t>
      </w:r>
    </w:p>
    <w:p w:rsidR="00184F7A" w:rsidRDefault="00954039">
      <w:pPr>
        <w:ind w:left="168" w:right="1" w:firstLine="0"/>
      </w:pPr>
      <w:r>
        <w:t xml:space="preserve">En la Villa de </w:t>
      </w:r>
      <w:proofErr w:type="spellStart"/>
      <w:r>
        <w:t>Adeje</w:t>
      </w:r>
      <w:proofErr w:type="spellEnd"/>
      <w:r>
        <w:t>, a 03 de julio de 2006.</w:t>
      </w:r>
    </w:p>
    <w:p w:rsidR="00184F7A" w:rsidRDefault="00954039">
      <w:pPr>
        <w:spacing w:after="387"/>
        <w:ind w:left="168" w:right="1" w:firstLine="0"/>
      </w:pPr>
      <w:r>
        <w:t>El Alcalde accidental, José Ricardo More</w:t>
      </w:r>
      <w:r>
        <w:t>no Pérez.</w:t>
      </w:r>
    </w:p>
    <w:p w:rsidR="00184F7A" w:rsidRDefault="00954039">
      <w:pPr>
        <w:spacing w:after="0" w:line="259" w:lineRule="auto"/>
        <w:ind w:left="20" w:hanging="10"/>
        <w:jc w:val="center"/>
      </w:pPr>
      <w:r>
        <w:rPr>
          <w:b/>
        </w:rPr>
        <w:t>A N U N C I O</w:t>
      </w:r>
    </w:p>
    <w:p w:rsidR="00184F7A" w:rsidRDefault="00954039">
      <w:pPr>
        <w:pStyle w:val="Ttulo1"/>
        <w:ind w:left="3683" w:hanging="3685"/>
      </w:pPr>
      <w:r>
        <w:t>6884</w:t>
      </w:r>
    </w:p>
    <w:p w:rsidR="00184F7A" w:rsidRDefault="00954039">
      <w:pPr>
        <w:spacing w:after="393"/>
        <w:ind w:left="-2" w:right="1"/>
      </w:pPr>
      <w:r>
        <w:t xml:space="preserve">DON TIMOTHY CULLOTY, ha solicitado Licencia para establecer la actividad de tienda de buceo, con emplazamiento en la calle Valencia, Centro Comercial Costas, local nº 7-5, Costa </w:t>
      </w:r>
      <w:proofErr w:type="spellStart"/>
      <w:r>
        <w:t>Adeje</w:t>
      </w:r>
      <w:proofErr w:type="spellEnd"/>
      <w:r>
        <w:t xml:space="preserve"> de este término municipal.</w:t>
      </w:r>
    </w:p>
    <w:p w:rsidR="00184F7A" w:rsidRDefault="00954039">
      <w:pPr>
        <w:ind w:left="-2" w:right="1"/>
      </w:pPr>
      <w:r>
        <w:t>Lo que se hace p</w:t>
      </w:r>
      <w:r>
        <w:t>úblico, en cumplimiento de lo preceptuado en el artículo 16.a de la Ley 1/98, de 8 de enero, de Régimen Jurídico de los Espectáculos Públicos y Actividades Clasificadas, a fin de que quienes se consideren afectados de algún modo por la actividad de referen</w:t>
      </w:r>
      <w:r>
        <w:t xml:space="preserve">cia, puedan formular por escrito que presentarán en la Secretaría del Ayuntamiento (a través del Registro General de </w:t>
      </w:r>
      <w:r>
        <w:lastRenderedPageBreak/>
        <w:t>Entrada), las observaciones pertinentes, durante el plazo de VEINTE días.</w:t>
      </w:r>
    </w:p>
    <w:p w:rsidR="00184F7A" w:rsidRDefault="00954039">
      <w:pPr>
        <w:ind w:left="168" w:right="1" w:firstLine="0"/>
      </w:pPr>
      <w:r>
        <w:t xml:space="preserve">En la Villa de </w:t>
      </w:r>
      <w:proofErr w:type="spellStart"/>
      <w:r>
        <w:t>Adeje</w:t>
      </w:r>
      <w:proofErr w:type="spellEnd"/>
      <w:r>
        <w:t>, a 03 de julio de 2006.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184F7A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184F7A" w:rsidRDefault="0095403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954039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</w:t>
            </w:r>
            <w:r>
              <w:rPr>
                <w:rFonts w:ascii="Arial" w:eastAsia="Arial" w:hAnsi="Arial" w:cs="Arial"/>
                <w:sz w:val="12"/>
              </w:rPr>
              <w:t xml:space="preserve">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954039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30-08-2021 10:37:03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954039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F7A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954039">
            <w:pPr>
              <w:spacing w:after="51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79ED454C4E5FFDE10D6F9B8ED7022785</w:t>
            </w:r>
          </w:p>
          <w:p w:rsidR="00184F7A" w:rsidRDefault="0095403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https://sedeelectronica.candelaria.es//publico/documento/79ED454C4E5FFDE10D6F9B8ED7022785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F7A" w:rsidRDefault="00184F7A">
            <w:pPr>
              <w:spacing w:after="160" w:line="259" w:lineRule="auto"/>
              <w:ind w:firstLine="0"/>
              <w:jc w:val="left"/>
            </w:pPr>
          </w:p>
        </w:tc>
      </w:tr>
      <w:tr w:rsidR="00184F7A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954039">
            <w:pPr>
              <w:tabs>
                <w:tab w:val="center" w:pos="5173"/>
                <w:tab w:val="right" w:pos="9180"/>
              </w:tabs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30-08-2021 10:37:03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- 1/4 -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08:15:31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7A" w:rsidRDefault="00184F7A">
            <w:pPr>
              <w:spacing w:after="160" w:line="259" w:lineRule="auto"/>
              <w:ind w:firstLine="0"/>
              <w:jc w:val="left"/>
            </w:pPr>
          </w:p>
        </w:tc>
      </w:tr>
    </w:tbl>
    <w:p w:rsidR="00184F7A" w:rsidRDefault="00954039">
      <w:pPr>
        <w:ind w:left="168" w:right="1" w:firstLine="0"/>
      </w:pPr>
      <w:r>
        <w:t>El Alcalde accidental, José Ricardo Moreno Pérez.</w:t>
      </w:r>
    </w:p>
    <w:p w:rsidR="00184F7A" w:rsidRDefault="00954039">
      <w:pPr>
        <w:spacing w:after="0" w:line="259" w:lineRule="auto"/>
        <w:ind w:left="20" w:right="13" w:hanging="10"/>
        <w:jc w:val="center"/>
      </w:pPr>
      <w:r>
        <w:rPr>
          <w:b/>
        </w:rPr>
        <w:t>A N U N C I O</w:t>
      </w:r>
    </w:p>
    <w:p w:rsidR="00184F7A" w:rsidRDefault="00954039">
      <w:pPr>
        <w:pStyle w:val="Ttulo1"/>
        <w:ind w:left="3683" w:hanging="3685"/>
      </w:pPr>
      <w:r>
        <w:t>6883</w:t>
      </w:r>
    </w:p>
    <w:p w:rsidR="00184F7A" w:rsidRDefault="00954039">
      <w:pPr>
        <w:spacing w:after="36"/>
        <w:ind w:left="155" w:right="1" w:firstLine="0"/>
      </w:pPr>
      <w:r>
        <w:t>La entidad INVERSIONES LAS TERESITAS,</w:t>
      </w:r>
    </w:p>
    <w:p w:rsidR="00184F7A" w:rsidRDefault="00954039">
      <w:pPr>
        <w:spacing w:after="192"/>
        <w:ind w:firstLine="0"/>
        <w:jc w:val="left"/>
      </w:pPr>
      <w:r>
        <w:t>S.L., ha solicitado Licencia para establecer la actividad de comercio al menor de cubiertas, bandas y cámaras de aire, con emplazamiento en la Avenida Barranco de las Torres, parcela S-10-5, de este término municipal.</w:t>
      </w:r>
    </w:p>
    <w:p w:rsidR="00184F7A" w:rsidRDefault="00954039">
      <w:pPr>
        <w:ind w:left="-2" w:right="1"/>
      </w:pPr>
      <w:r>
        <w:t>Lo que se hace público, en cumplimient</w:t>
      </w:r>
      <w:r>
        <w:t>o de lo preceptuado en el artículo 16.a de la Ley 1/98, de 8 de enero, de Régimen Jurídico de los Espectáculos Públicos y Actividades Clasificadas, a fin de que quienes se consideren afectados de algún modo por la actividad de referencia, puedan formular p</w:t>
      </w:r>
      <w:r>
        <w:t>or escrito que presentarán en la Secretaría del Ayuntamiento (a través del Registro General de Entrada), las observaciones pertinentes, durante el plazo de VEINTE días.</w:t>
      </w:r>
    </w:p>
    <w:p w:rsidR="00184F7A" w:rsidRDefault="00954039">
      <w:pPr>
        <w:ind w:left="155" w:right="1" w:firstLine="0"/>
      </w:pPr>
      <w:r>
        <w:t xml:space="preserve">En la Villa de </w:t>
      </w:r>
      <w:proofErr w:type="spellStart"/>
      <w:r>
        <w:t>Adeje</w:t>
      </w:r>
      <w:proofErr w:type="spellEnd"/>
      <w:r>
        <w:t>, a 03 de julio de 2006.</w:t>
      </w:r>
    </w:p>
    <w:p w:rsidR="00184F7A" w:rsidRDefault="00954039">
      <w:pPr>
        <w:spacing w:after="387"/>
        <w:ind w:left="155" w:right="1" w:firstLine="0"/>
      </w:pPr>
      <w:r>
        <w:t>El Alcalde accidental, José Ricardo Moreno Pérez.</w:t>
      </w:r>
    </w:p>
    <w:p w:rsidR="00184F7A" w:rsidRDefault="00954039">
      <w:pPr>
        <w:spacing w:after="150" w:line="259" w:lineRule="auto"/>
        <w:ind w:left="20" w:right="13" w:hanging="10"/>
        <w:jc w:val="center"/>
      </w:pPr>
      <w:r>
        <w:rPr>
          <w:b/>
        </w:rPr>
        <w:t>VILLA DE ARAFO</w:t>
      </w:r>
    </w:p>
    <w:p w:rsidR="00184F7A" w:rsidRDefault="00954039">
      <w:pPr>
        <w:spacing w:after="0" w:line="259" w:lineRule="auto"/>
        <w:ind w:left="20" w:right="13" w:hanging="10"/>
        <w:jc w:val="center"/>
      </w:pPr>
      <w:r>
        <w:rPr>
          <w:b/>
        </w:rPr>
        <w:t>E D I C T O</w:t>
      </w:r>
    </w:p>
    <w:p w:rsidR="00184F7A" w:rsidRDefault="00954039">
      <w:pPr>
        <w:pStyle w:val="Ttulo1"/>
        <w:ind w:left="3683" w:hanging="3685"/>
      </w:pPr>
      <w:r>
        <w:t>6882</w:t>
      </w:r>
    </w:p>
    <w:p w:rsidR="00184F7A" w:rsidRDefault="00954039">
      <w:pPr>
        <w:ind w:left="-2" w:right="1"/>
      </w:pPr>
      <w:r>
        <w:t xml:space="preserve">DON WIGBERTO HERNÁNDEZ </w:t>
      </w:r>
      <w:proofErr w:type="spellStart"/>
      <w:r>
        <w:t>HERNÁNDEZ</w:t>
      </w:r>
      <w:proofErr w:type="spellEnd"/>
      <w:r>
        <w:t>, en representación de AUVENCA, S.L., solicita Licencia Municipal para la instalación de la actividad: “bar cafetería”, a instalar en el Políg</w:t>
      </w:r>
      <w:r>
        <w:t xml:space="preserve">ono Industrial Valle de </w:t>
      </w:r>
      <w:proofErr w:type="spellStart"/>
      <w:r>
        <w:t>Güímar</w:t>
      </w:r>
      <w:proofErr w:type="spellEnd"/>
      <w:r>
        <w:t>, manzana V, parcela nº 43, de este término municipal.</w:t>
      </w:r>
    </w:p>
    <w:p w:rsidR="00184F7A" w:rsidRDefault="00954039">
      <w:pPr>
        <w:ind w:left="-2" w:right="1"/>
      </w:pPr>
      <w:r>
        <w:t>Lo que en cumplimiento de lo establecido en el artículo 16 a), de la vigente Ley 1/1998, de 8 de enero, de Régimen Jurídico de los Espectáculos Públicos y Actividades Clas</w:t>
      </w:r>
      <w:r>
        <w:t>ificadas, se hace público, para que quienes pudieran resultar afectados, de algún modo, por la mencionada actividad que se pretende instalar, pueden formular las observaciones pertinentes en el plazo de VEINTE días a contar de la inserción del presente edi</w:t>
      </w:r>
      <w:r>
        <w:t>cto.</w:t>
      </w:r>
    </w:p>
    <w:p w:rsidR="00184F7A" w:rsidRDefault="00954039">
      <w:pPr>
        <w:ind w:left="155" w:right="1" w:firstLine="0"/>
      </w:pPr>
      <w:r>
        <w:t xml:space="preserve">En la Villa de </w:t>
      </w:r>
      <w:proofErr w:type="spellStart"/>
      <w:r>
        <w:t>Arafo</w:t>
      </w:r>
      <w:proofErr w:type="spellEnd"/>
      <w:r>
        <w:t>, a 17 de julio de 2006.</w:t>
      </w:r>
    </w:p>
    <w:p w:rsidR="00184F7A" w:rsidRDefault="00954039">
      <w:pPr>
        <w:spacing w:after="393"/>
        <w:ind w:left="-2" w:right="1"/>
      </w:pPr>
      <w:r>
        <w:lastRenderedPageBreak/>
        <w:t xml:space="preserve">El </w:t>
      </w:r>
      <w:proofErr w:type="spellStart"/>
      <w:r>
        <w:t>Alcade</w:t>
      </w:r>
      <w:proofErr w:type="spellEnd"/>
      <w:r>
        <w:t xml:space="preserve">-Presidente, Domingo Calzadilla </w:t>
      </w:r>
      <w:proofErr w:type="spellStart"/>
      <w:r>
        <w:t>Ferrera</w:t>
      </w:r>
      <w:proofErr w:type="spellEnd"/>
      <w:r>
        <w:t>.</w:t>
      </w:r>
    </w:p>
    <w:p w:rsidR="00184F7A" w:rsidRDefault="00954039">
      <w:pPr>
        <w:spacing w:after="150" w:line="259" w:lineRule="auto"/>
        <w:ind w:left="20" w:right="13" w:hanging="10"/>
        <w:jc w:val="center"/>
      </w:pPr>
      <w:r>
        <w:rPr>
          <w:b/>
        </w:rPr>
        <w:t>VILLA DE CANDELARIA</w:t>
      </w:r>
    </w:p>
    <w:p w:rsidR="00184F7A" w:rsidRDefault="00954039">
      <w:pPr>
        <w:spacing w:after="0" w:line="259" w:lineRule="auto"/>
        <w:ind w:left="20" w:right="13" w:hanging="10"/>
        <w:jc w:val="center"/>
      </w:pPr>
      <w:r>
        <w:rPr>
          <w:b/>
        </w:rPr>
        <w:t>A N U N C I O</w:t>
      </w:r>
    </w:p>
    <w:p w:rsidR="00184F7A" w:rsidRDefault="00954039">
      <w:pPr>
        <w:pStyle w:val="Ttulo1"/>
        <w:ind w:left="3683" w:hanging="3685"/>
      </w:pPr>
      <w:r>
        <w:t>6774</w:t>
      </w:r>
    </w:p>
    <w:p w:rsidR="00184F7A" w:rsidRDefault="00954039">
      <w:pPr>
        <w:ind w:left="-2" w:right="1"/>
      </w:pPr>
      <w:r>
        <w:t>Habiendo transcurrido el plazo de exposición pública de la Ordenanza Reguladora de la Tasa por Expedición de Licencia Administrativa para la Tenencia de Animales Potencialmente Peligrosos y por la Prestación de Servicios del “Albergue Municipal Canino”, in</w:t>
      </w:r>
      <w:r>
        <w:t>icialmente aprobada por acuerdo del Pleno</w:t>
      </w:r>
    </w:p>
    <w:tbl>
      <w:tblPr>
        <w:tblStyle w:val="TableGrid"/>
        <w:tblpPr w:vertAnchor="text" w:horzAnchor="margin"/>
        <w:tblOverlap w:val="never"/>
        <w:tblW w:w="8790" w:type="dxa"/>
        <w:tblInd w:w="0" w:type="dxa"/>
        <w:tblCellMar>
          <w:top w:w="0" w:type="dxa"/>
          <w:left w:w="1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790"/>
      </w:tblGrid>
      <w:tr w:rsidR="00184F7A">
        <w:trPr>
          <w:trHeight w:val="229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184F7A" w:rsidRDefault="00954039">
            <w:pPr>
              <w:tabs>
                <w:tab w:val="right" w:pos="8738"/>
              </w:tabs>
              <w:spacing w:after="0" w:line="259" w:lineRule="auto"/>
              <w:ind w:firstLine="0"/>
              <w:jc w:val="left"/>
            </w:pPr>
            <w:r>
              <w:t>Boletín Oficial de la Provincia de Santa Cruz de Tenerife núm. 109, viernes 28 de julio de 2006</w:t>
            </w:r>
            <w:r>
              <w:tab/>
              <w:t>13509</w:t>
            </w:r>
          </w:p>
        </w:tc>
      </w:tr>
    </w:tbl>
    <w:p w:rsidR="00184F7A" w:rsidRDefault="00954039">
      <w:pPr>
        <w:ind w:left="-2" w:right="1" w:firstLine="0"/>
      </w:pPr>
      <w:r>
        <w:t>municipal adoptado en sesión celebrada con fecha 23 de mayo de 2006 y de conformidad con lo establecido en el artículo 17.3 y 4 del Real Decreto Legislativo 2/2004, de 5 de marzo, por el que se aprueba el Texto Refundido de la Ley reguladora de las Haciend</w:t>
      </w:r>
      <w:r>
        <w:t>as Locales, transcurrido el plazo legalmente establecido, y no habiendo sido presentadas alegaciones, dicho acuerdo queda elevado a definitivo, procediéndose a su publicación:</w:t>
      </w:r>
    </w:p>
    <w:p w:rsidR="00184F7A" w:rsidRDefault="00954039">
      <w:pPr>
        <w:ind w:left="-2" w:right="1"/>
      </w:pPr>
      <w:r>
        <w:t xml:space="preserve">“ORDENANZA REGULADORA DE LA TASA POR EXPEDICIÓN DE LICENCIA ADMINISTRATIVA PARA </w:t>
      </w:r>
      <w:r>
        <w:t xml:space="preserve">LA TENENCIA DE ANIMALES POTENCIALMENTE PELIGROSOS Y POR LA PRESTACIÓN DE SERVICIOS </w:t>
      </w:r>
      <w:proofErr w:type="gramStart"/>
      <w:r>
        <w:t>DEL“</w:t>
      </w:r>
      <w:proofErr w:type="gramEnd"/>
      <w:r>
        <w:t>ALBERGUE MUNICIPAL CANINO”.</w:t>
      </w:r>
    </w:p>
    <w:p w:rsidR="00184F7A" w:rsidRDefault="00954039">
      <w:pPr>
        <w:ind w:left="155" w:right="1" w:firstLine="0"/>
      </w:pPr>
      <w:r>
        <w:t>Fundamento y naturaleza.</w:t>
      </w:r>
    </w:p>
    <w:p w:rsidR="00184F7A" w:rsidRDefault="00954039">
      <w:pPr>
        <w:ind w:left="-2" w:right="1"/>
      </w:pPr>
      <w:r>
        <w:t xml:space="preserve">Artículo 1.- En uso de las facultades concedidas por los artículos 133.2 y 142 de la Constitución y por el artículo </w:t>
      </w:r>
      <w:r>
        <w:t>106 de la Ley 7/1985, de 2 de abril, reguladora de las Bases del Régimen Local, y de conformidad con lo dispuesto en los artículos 15 a 19 del Real Decreto Legislativo 2/2004, de 5 de marzo, por el que se aprueba el Texto Refundido de las Haciendas Locales</w:t>
      </w:r>
      <w:r>
        <w:t>, así como en la Ley 50/1999, de 23 de diciembre, sobre el Régimen Jurídico de la Tenencia de Animales Potencialmente Peligrosos y el Real Decreto 287/2002, de 22 de marzo, por el que se desarrolla la Ley 50/1999, este Ayuntamiento establece la Tasa por Ex</w:t>
      </w:r>
      <w:r>
        <w:t>pedición de Licencia Administrativa para la Tenencia de Animales Potencialmente Peligrosos y por prestación de servicios del Albergue Municipal Canino o centro que a dicho efecto disponga esta Corporación, que se regirá por la presente Ordenanza Fiscal.</w:t>
      </w:r>
    </w:p>
    <w:p w:rsidR="00184F7A" w:rsidRDefault="00954039">
      <w:pPr>
        <w:ind w:left="155" w:right="1" w:firstLine="0"/>
      </w:pPr>
      <w:r>
        <w:t>He</w:t>
      </w:r>
      <w:r>
        <w:t>cho imponible.</w:t>
      </w:r>
    </w:p>
    <w:p w:rsidR="00184F7A" w:rsidRDefault="00954039">
      <w:pPr>
        <w:ind w:left="-2" w:right="1"/>
      </w:pPr>
      <w:r>
        <w:t>Artículo 2.- Constituye el hecho imponible de la tasa:</w:t>
      </w:r>
    </w:p>
    <w:p w:rsidR="00184F7A" w:rsidRDefault="00954039">
      <w:pPr>
        <w:ind w:left="-2" w:right="1"/>
      </w:pPr>
      <w:r>
        <w:t>1.- La actividad municipal realizada con motivo de la tramitación de toda clase de documentos y expedientes, que relacionado con la tenencia de animales potencialmente peligrosos, expida</w:t>
      </w:r>
      <w:r>
        <w:t xml:space="preserve"> el Ayuntamiento, en particular:</w:t>
      </w:r>
    </w:p>
    <w:p w:rsidR="00184F7A" w:rsidRDefault="00954039">
      <w:pPr>
        <w:numPr>
          <w:ilvl w:val="0"/>
          <w:numId w:val="1"/>
        </w:numPr>
        <w:ind w:right="1"/>
      </w:pPr>
      <w:r>
        <w:lastRenderedPageBreak/>
        <w:t>La tramitación administrativa para el otorga-miento y renovación de la licencia para la tenencia de animales potencialmente peligrosos.</w:t>
      </w:r>
    </w:p>
    <w:p w:rsidR="00184F7A" w:rsidRDefault="00954039">
      <w:pPr>
        <w:numPr>
          <w:ilvl w:val="0"/>
          <w:numId w:val="1"/>
        </w:numPr>
        <w:spacing w:after="36"/>
        <w:ind w:right="1"/>
      </w:pPr>
      <w:r>
        <w:t xml:space="preserve">La inscripción de animales en el Registro de </w:t>
      </w:r>
      <w:proofErr w:type="spellStart"/>
      <w:r>
        <w:t>ani</w:t>
      </w:r>
      <w:proofErr w:type="spellEnd"/>
      <w:r>
        <w:t>-</w:t>
      </w:r>
    </w:p>
    <w:p w:rsidR="00184F7A" w:rsidRDefault="00954039">
      <w:pPr>
        <w:ind w:left="-2" w:right="1" w:firstLine="0"/>
      </w:pPr>
      <w:r>
        <w:t>males potencialmente peligrosos.</w:t>
      </w:r>
    </w:p>
    <w:p w:rsidR="00184F7A" w:rsidRDefault="00954039">
      <w:pPr>
        <w:numPr>
          <w:ilvl w:val="0"/>
          <w:numId w:val="1"/>
        </w:numPr>
        <w:ind w:right="1"/>
      </w:pPr>
      <w:r>
        <w:t>La e</w:t>
      </w:r>
      <w:r>
        <w:t xml:space="preserve">xpedición de certificaciones relativos a </w:t>
      </w:r>
      <w:proofErr w:type="spellStart"/>
      <w:r>
        <w:t>ani</w:t>
      </w:r>
      <w:proofErr w:type="spellEnd"/>
      <w:r>
        <w:t>-males censados en el Registro de animales potencialmente peligrosos.</w:t>
      </w:r>
    </w:p>
    <w:p w:rsidR="00184F7A" w:rsidRDefault="00954039">
      <w:pPr>
        <w:ind w:left="-2" w:right="1"/>
      </w:pPr>
      <w:r>
        <w:t>Todos los propietarios y personas tenedoras de los animales cuyas características o razas se detallan a continuación tienen la obligación de o</w:t>
      </w:r>
      <w:r>
        <w:t>btener licencia.</w:t>
      </w:r>
    </w:p>
    <w:p w:rsidR="00184F7A" w:rsidRDefault="00954039">
      <w:pPr>
        <w:ind w:left="155" w:right="1" w:firstLine="0"/>
      </w:pPr>
      <w:r>
        <w:t>Animales considerados potencialmente peligrosos:</w:t>
      </w:r>
    </w:p>
    <w:p w:rsidR="00184F7A" w:rsidRDefault="00954039">
      <w:pPr>
        <w:spacing w:after="393"/>
        <w:ind w:left="-2" w:right="1"/>
      </w:pPr>
      <w:r>
        <w:t>Con carácter genérico, se consideran Animales Potencialmente Peligrosos todos los que, perteneciendo a la fauna salvaje, siendo utilizados como animales domésticos, o de compañía, con independencia de su agresividad, pertenecen a especies o razas que tenga</w:t>
      </w:r>
      <w:r>
        <w:t>n capacidad de causar la muerte o lesiones a las personas o a otros animales y daños a las cosas (Ley 50/1999).</w:t>
      </w:r>
    </w:p>
    <w:p w:rsidR="00184F7A" w:rsidRDefault="00954039">
      <w:pPr>
        <w:ind w:left="-2" w:right="1"/>
      </w:pPr>
      <w:r>
        <w:t>Todas las razas de perros contenidas en el anexo II del R.D. 278/2002: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proofErr w:type="spellStart"/>
      <w:r>
        <w:t>Pit</w:t>
      </w:r>
      <w:proofErr w:type="spellEnd"/>
      <w:r>
        <w:t xml:space="preserve"> Bull Terrier.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>Staffordshire Bull Terrier.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>American Staffordshire Terr</w:t>
      </w:r>
      <w:r>
        <w:t>ier.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>Rottweiler.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>Dogo Argentino.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>Fila Brasileiro.</w:t>
      </w:r>
    </w:p>
    <w:p w:rsidR="00184F7A" w:rsidRDefault="00954039">
      <w:pPr>
        <w:numPr>
          <w:ilvl w:val="0"/>
          <w:numId w:val="2"/>
        </w:numPr>
        <w:spacing w:after="36"/>
        <w:ind w:right="1" w:hanging="117"/>
      </w:pPr>
      <w:r>
        <w:t xml:space="preserve">Tosa </w:t>
      </w:r>
      <w:proofErr w:type="spellStart"/>
      <w:r>
        <w:t>Inu</w:t>
      </w:r>
      <w:proofErr w:type="spellEnd"/>
      <w:r>
        <w:t>.</w:t>
      </w:r>
    </w:p>
    <w:p w:rsidR="00184F7A" w:rsidRDefault="00954039">
      <w:pPr>
        <w:numPr>
          <w:ilvl w:val="0"/>
          <w:numId w:val="2"/>
        </w:numPr>
        <w:ind w:right="1" w:hanging="117"/>
      </w:pPr>
      <w:r>
        <w:t xml:space="preserve">Akita </w:t>
      </w:r>
      <w:proofErr w:type="spellStart"/>
      <w:r>
        <w:t>Inu</w:t>
      </w:r>
      <w:proofErr w:type="spellEnd"/>
      <w:r>
        <w:t>.</w:t>
      </w:r>
    </w:p>
    <w:p w:rsidR="00184F7A" w:rsidRDefault="00954039">
      <w:pPr>
        <w:ind w:left="-2" w:right="1"/>
      </w:pPr>
      <w:proofErr w:type="spellStart"/>
      <w:r>
        <w:t>Ytodos</w:t>
      </w:r>
      <w:proofErr w:type="spellEnd"/>
      <w:r>
        <w:t xml:space="preserve"> los que tienen todas o la mayoría de las características siguientes (anexo II, R.D. 287/2002):</w:t>
      </w:r>
    </w:p>
    <w:p w:rsidR="00184F7A" w:rsidRDefault="00954039">
      <w:pPr>
        <w:numPr>
          <w:ilvl w:val="0"/>
          <w:numId w:val="3"/>
        </w:numPr>
        <w:spacing w:after="36"/>
        <w:ind w:right="1"/>
      </w:pPr>
      <w:r>
        <w:t>Fuerte musculatura, aspecto poderoso, robusto,</w:t>
      </w:r>
    </w:p>
    <w:p w:rsidR="00184F7A" w:rsidRDefault="00954039">
      <w:pPr>
        <w:ind w:left="-2" w:right="1" w:firstLine="0"/>
      </w:pPr>
      <w:r>
        <w:t>configuración atlética, agilidad, vi</w:t>
      </w:r>
      <w:r>
        <w:t>gor y resistencia.</w:t>
      </w:r>
    </w:p>
    <w:p w:rsidR="00184F7A" w:rsidRDefault="00954039">
      <w:pPr>
        <w:numPr>
          <w:ilvl w:val="0"/>
          <w:numId w:val="3"/>
        </w:numPr>
        <w:spacing w:after="387"/>
        <w:ind w:right="1"/>
      </w:pPr>
      <w:r>
        <w:t>Marcado carácter y gran valor.</w:t>
      </w:r>
    </w:p>
    <w:p w:rsidR="00184F7A" w:rsidRDefault="00954039">
      <w:pPr>
        <w:numPr>
          <w:ilvl w:val="0"/>
          <w:numId w:val="3"/>
        </w:numPr>
        <w:ind w:right="1"/>
      </w:pPr>
      <w:r>
        <w:t>Pelo corto.</w:t>
      </w:r>
    </w:p>
    <w:p w:rsidR="00184F7A" w:rsidRDefault="00954039">
      <w:pPr>
        <w:numPr>
          <w:ilvl w:val="0"/>
          <w:numId w:val="3"/>
        </w:numPr>
        <w:ind w:right="1"/>
      </w:pPr>
      <w:r>
        <w:t>Perímetro torácico comprendido entre 60 y 80centímetros, altura a la cruz entre 50 y 70 centímetros y peso superior a 20 kg.</w:t>
      </w:r>
    </w:p>
    <w:p w:rsidR="00184F7A" w:rsidRDefault="00954039">
      <w:pPr>
        <w:numPr>
          <w:ilvl w:val="0"/>
          <w:numId w:val="3"/>
        </w:numPr>
        <w:spacing w:after="393"/>
        <w:ind w:right="1"/>
      </w:pPr>
      <w:r>
        <w:t xml:space="preserve">Cabeza voluminosa, </w:t>
      </w:r>
      <w:proofErr w:type="spellStart"/>
      <w:r>
        <w:t>cuboide</w:t>
      </w:r>
      <w:proofErr w:type="spellEnd"/>
      <w:r>
        <w:t xml:space="preserve">, robusta, con </w:t>
      </w:r>
      <w:proofErr w:type="spellStart"/>
      <w:r>
        <w:t>crá</w:t>
      </w:r>
      <w:proofErr w:type="spellEnd"/>
      <w:r>
        <w:t>-neo ancho y grande y mej</w:t>
      </w:r>
      <w:r>
        <w:t>illas musculosas y abombadas. Mandíbulas fuertes, boca robusta, ancha y profunda.</w:t>
      </w:r>
    </w:p>
    <w:p w:rsidR="00184F7A" w:rsidRDefault="00954039">
      <w:pPr>
        <w:numPr>
          <w:ilvl w:val="0"/>
          <w:numId w:val="3"/>
        </w:numPr>
        <w:ind w:right="1"/>
      </w:pPr>
      <w:r>
        <w:t>Cuello ancho, musculoso y corto.</w:t>
      </w:r>
    </w:p>
    <w:p w:rsidR="00184F7A" w:rsidRDefault="00954039">
      <w:pPr>
        <w:numPr>
          <w:ilvl w:val="0"/>
          <w:numId w:val="3"/>
        </w:numPr>
        <w:spacing w:after="36"/>
        <w:ind w:right="1"/>
      </w:pPr>
      <w:r>
        <w:lastRenderedPageBreak/>
        <w:t xml:space="preserve">Pecho macizo, ancho, grande, profundo, </w:t>
      </w:r>
      <w:proofErr w:type="spellStart"/>
      <w:r>
        <w:t>costi</w:t>
      </w:r>
      <w:proofErr w:type="spellEnd"/>
      <w:r>
        <w:t>-</w:t>
      </w:r>
    </w:p>
    <w:p w:rsidR="00184F7A" w:rsidRDefault="00954039">
      <w:pPr>
        <w:ind w:left="-2" w:right="1" w:firstLine="0"/>
      </w:pPr>
      <w:proofErr w:type="spellStart"/>
      <w:r>
        <w:t>llas</w:t>
      </w:r>
      <w:proofErr w:type="spellEnd"/>
      <w:r>
        <w:t xml:space="preserve"> arqueadas y lomo musculado y corto.</w:t>
      </w:r>
    </w:p>
    <w:p w:rsidR="00184F7A" w:rsidRDefault="00954039">
      <w:pPr>
        <w:numPr>
          <w:ilvl w:val="0"/>
          <w:numId w:val="3"/>
        </w:numPr>
        <w:ind w:right="1"/>
      </w:pPr>
      <w:r>
        <w:t>Extremidades anteriores paralelas, rectas y ro-</w:t>
      </w:r>
      <w:proofErr w:type="spellStart"/>
      <w:r>
        <w:t>bustas</w:t>
      </w:r>
      <w:proofErr w:type="spellEnd"/>
      <w:r>
        <w:t xml:space="preserve"> y extremidades posteriores muy musculosas, con patas relativamente largas formando un ángulo moderado.</w:t>
      </w:r>
    </w:p>
    <w:p w:rsidR="00184F7A" w:rsidRDefault="00954039">
      <w:pPr>
        <w:ind w:left="-2" w:right="1"/>
      </w:pPr>
      <w:r>
        <w:t>2.- Asimismo, constituye hecho imponible de la tasa la prestación de los siguientes servicios por e</w:t>
      </w:r>
      <w:r>
        <w:t>l Albergue Municipal Canino o centro que a dicho efecto disponga esta Corporación:</w:t>
      </w:r>
    </w:p>
    <w:tbl>
      <w:tblPr>
        <w:tblStyle w:val="TableGrid"/>
        <w:tblpPr w:vertAnchor="text" w:horzAnchor="margin"/>
        <w:tblOverlap w:val="never"/>
        <w:tblW w:w="8790" w:type="dxa"/>
        <w:tblInd w:w="0" w:type="dxa"/>
        <w:tblCellMar>
          <w:top w:w="0" w:type="dxa"/>
          <w:left w:w="1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790"/>
      </w:tblGrid>
      <w:tr w:rsidR="00184F7A">
        <w:trPr>
          <w:trHeight w:val="229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184F7A" w:rsidRDefault="00954039">
            <w:pPr>
              <w:tabs>
                <w:tab w:val="right" w:pos="8738"/>
              </w:tabs>
              <w:spacing w:after="0" w:line="259" w:lineRule="auto"/>
              <w:ind w:firstLine="0"/>
              <w:jc w:val="left"/>
            </w:pPr>
            <w:r>
              <w:t>13510</w:t>
            </w:r>
            <w:r>
              <w:tab/>
              <w:t>Boletín Oficial de la Provincia de Santa Cruz de Tenerife núm. 109, viernes 28 de julio de 2006</w:t>
            </w:r>
          </w:p>
        </w:tc>
      </w:tr>
    </w:tbl>
    <w:p w:rsidR="00184F7A" w:rsidRDefault="00954039">
      <w:pPr>
        <w:numPr>
          <w:ilvl w:val="0"/>
          <w:numId w:val="4"/>
        </w:numPr>
        <w:spacing w:after="393"/>
        <w:ind w:right="1"/>
      </w:pPr>
      <w:r>
        <w:t xml:space="preserve">Retirada de la vía pública de animales </w:t>
      </w:r>
      <w:proofErr w:type="spellStart"/>
      <w:r>
        <w:t>conside-rados</w:t>
      </w:r>
      <w:proofErr w:type="spellEnd"/>
      <w:r>
        <w:t xml:space="preserve"> vagabundos, extra</w:t>
      </w:r>
      <w:r>
        <w:t>viados o no identificados (según la Ordenanza Municipal sobre Tenencia de Animales).</w:t>
      </w:r>
    </w:p>
    <w:p w:rsidR="00184F7A" w:rsidRDefault="00954039">
      <w:pPr>
        <w:numPr>
          <w:ilvl w:val="0"/>
          <w:numId w:val="4"/>
        </w:numPr>
        <w:spacing w:after="393"/>
        <w:ind w:right="1"/>
      </w:pPr>
      <w:r>
        <w:t xml:space="preserve">Retirada de animales de domicilios </w:t>
      </w:r>
      <w:proofErr w:type="spellStart"/>
      <w:proofErr w:type="gramStart"/>
      <w:r>
        <w:t>particulares,a</w:t>
      </w:r>
      <w:proofErr w:type="spellEnd"/>
      <w:proofErr w:type="gramEnd"/>
      <w:r>
        <w:t xml:space="preserve"> petición de sus propietarios, por dificultades para su traslado, a las instalaciones del Centro Municipal de Acogida de A</w:t>
      </w:r>
      <w:r>
        <w:t>nimales.</w:t>
      </w:r>
    </w:p>
    <w:p w:rsidR="00184F7A" w:rsidRDefault="00954039">
      <w:pPr>
        <w:numPr>
          <w:ilvl w:val="0"/>
          <w:numId w:val="4"/>
        </w:numPr>
        <w:spacing w:after="36"/>
        <w:ind w:right="1"/>
      </w:pPr>
      <w:r>
        <w:t>Recepción en el Centro de animales entregados</w:t>
      </w:r>
    </w:p>
    <w:p w:rsidR="00184F7A" w:rsidRDefault="00954039">
      <w:pPr>
        <w:spacing w:after="387"/>
        <w:ind w:left="-2" w:right="1" w:firstLine="0"/>
      </w:pPr>
      <w:r>
        <w:t>para su posterior donación o sacrificio eutanásico.</w:t>
      </w:r>
    </w:p>
    <w:p w:rsidR="00184F7A" w:rsidRDefault="00954039">
      <w:pPr>
        <w:numPr>
          <w:ilvl w:val="0"/>
          <w:numId w:val="4"/>
        </w:numPr>
        <w:spacing w:after="393"/>
        <w:ind w:right="1"/>
      </w:pPr>
      <w:r>
        <w:t>Mantenimiento y estancia de animales, en el Al-</w:t>
      </w:r>
      <w:proofErr w:type="spellStart"/>
      <w:r>
        <w:t>bergue</w:t>
      </w:r>
      <w:proofErr w:type="spellEnd"/>
      <w:r>
        <w:t xml:space="preserve"> Municipal Canino o Centro que a dicho efecto disponga esta Corporación.</w:t>
      </w:r>
    </w:p>
    <w:p w:rsidR="00184F7A" w:rsidRDefault="00954039">
      <w:pPr>
        <w:spacing w:after="387"/>
        <w:ind w:left="168" w:right="1" w:firstLine="0"/>
      </w:pPr>
      <w:r>
        <w:t>Sujeto pasivo.</w:t>
      </w:r>
    </w:p>
    <w:p w:rsidR="00184F7A" w:rsidRDefault="00954039">
      <w:pPr>
        <w:spacing w:after="387"/>
        <w:ind w:left="168" w:right="1" w:firstLine="0"/>
      </w:pPr>
      <w:r>
        <w:t>Artículo 3.</w:t>
      </w:r>
    </w:p>
    <w:p w:rsidR="00184F7A" w:rsidRDefault="00954039">
      <w:pPr>
        <w:spacing w:after="393"/>
        <w:ind w:left="-2" w:right="1"/>
      </w:pPr>
      <w:r>
        <w:t>1.- Respecto de los casos contemplados en el apartado 1 del artículo anterior, será sujeto pasivo de la tasa la persona a nombre de la cual se soliciten o consten las correspondientes licencias, inscripciones, certificaciones o informes relativ</w:t>
      </w:r>
      <w:r>
        <w:t xml:space="preserve">os a la tenencia de animales potencialmente peligrosos. </w:t>
      </w:r>
    </w:p>
    <w:p w:rsidR="00184F7A" w:rsidRDefault="00954039">
      <w:pPr>
        <w:spacing w:after="393"/>
        <w:ind w:left="-2" w:right="1"/>
      </w:pPr>
      <w:r>
        <w:t>Asimismo, serán sujetos pasivos los titulares de los establecimientos o asociaciones que alberguen animales potencialmente peligrosos y se dediquen a su adiestramiento, cría, venta, residencia o mant</w:t>
      </w:r>
      <w:r>
        <w:t>enimiento temporal.</w:t>
      </w:r>
    </w:p>
    <w:p w:rsidR="00184F7A" w:rsidRDefault="00954039">
      <w:pPr>
        <w:spacing w:after="393"/>
        <w:ind w:left="-2" w:right="1"/>
      </w:pPr>
      <w:r>
        <w:t>2.- Respecto de los casos contemplados en el apartado 2 del artículo anterior, será sujeto pasivo de la tasa el propietario o poseedor del animal que solicite o resulte beneficiado por los mencionados servicios.</w:t>
      </w:r>
    </w:p>
    <w:p w:rsidR="00184F7A" w:rsidRDefault="00954039">
      <w:pPr>
        <w:ind w:left="-2" w:right="1"/>
      </w:pPr>
      <w:r>
        <w:t>En caso de duda, se pres</w:t>
      </w:r>
      <w:r>
        <w:t>umirá propietario o poseedor del animal al cabeza de familia en cuya vivienda se hallen los animales, al propietario o arrendatario de las fincas agrícolas o persona titular de la actividad comercial o industrial en cuyos locales se encuentren aquéllos.</w:t>
      </w:r>
    </w:p>
    <w:p w:rsidR="00184F7A" w:rsidRDefault="00954039">
      <w:pPr>
        <w:spacing w:after="387"/>
        <w:ind w:left="168" w:right="1" w:firstLine="0"/>
      </w:pPr>
      <w:r>
        <w:t>Re</w:t>
      </w:r>
      <w:r>
        <w:t>sponsables.</w:t>
      </w:r>
    </w:p>
    <w:p w:rsidR="00184F7A" w:rsidRDefault="00954039">
      <w:pPr>
        <w:ind w:left="-2" w:right="1"/>
      </w:pPr>
      <w:r>
        <w:t>Artículo 4.- Responderán solidariamente de las obligaciones tributarias del sujeto pasivo las personas físicas y jurídicas a que se refiere el artículo 42 de la Ley General Tributaria.</w:t>
      </w:r>
    </w:p>
    <w:p w:rsidR="00184F7A" w:rsidRDefault="00954039">
      <w:pPr>
        <w:ind w:left="155" w:right="1" w:firstLine="0"/>
      </w:pPr>
      <w:r>
        <w:t>Cuota tributaria.</w:t>
      </w:r>
    </w:p>
    <w:p w:rsidR="00184F7A" w:rsidRDefault="00954039">
      <w:pPr>
        <w:ind w:left="-2" w:right="1"/>
      </w:pPr>
      <w:r>
        <w:t>Artículo 5.- La cuota tributaria consiste</w:t>
      </w:r>
      <w:r>
        <w:t xml:space="preserve"> en una cantidad fija que se detalla en el siguiente cuadro de tarifas:</w:t>
      </w:r>
    </w:p>
    <w:p w:rsidR="00184F7A" w:rsidRDefault="00954039">
      <w:pPr>
        <w:ind w:left="155" w:right="1" w:firstLine="0"/>
      </w:pPr>
      <w:r>
        <w:t>Epígrafe 1.</w:t>
      </w:r>
    </w:p>
    <w:p w:rsidR="00184F7A" w:rsidRDefault="00954039">
      <w:pPr>
        <w:ind w:left="-2" w:right="1"/>
      </w:pPr>
      <w:r>
        <w:t>1.- Otorgamiento o renovación de licencia tenencia de animales potencialmente peligrosos: 34 euros por animal.</w:t>
      </w:r>
    </w:p>
    <w:p w:rsidR="00184F7A" w:rsidRDefault="00954039">
      <w:pPr>
        <w:spacing w:after="393"/>
        <w:ind w:left="-2" w:right="1"/>
      </w:pPr>
      <w:r>
        <w:t>2.- Inscripción en el Registro de Animales potencialmente pel</w:t>
      </w:r>
      <w:r>
        <w:t>igrosos: 6 euros por animal.</w:t>
      </w:r>
    </w:p>
    <w:p w:rsidR="00184F7A" w:rsidRDefault="00954039">
      <w:pPr>
        <w:spacing w:after="393"/>
        <w:ind w:left="-2" w:right="1"/>
      </w:pPr>
      <w:r>
        <w:t>3.- Expedición de certificados relativos a animales potencialmente peligrosos que figuren en el Registro, a petición de interesado: 4 euros.</w:t>
      </w:r>
    </w:p>
    <w:p w:rsidR="00184F7A" w:rsidRDefault="00954039">
      <w:pPr>
        <w:ind w:left="155" w:right="1" w:firstLine="0"/>
      </w:pPr>
      <w:r>
        <w:t>Epígrafe 2.</w:t>
      </w:r>
    </w:p>
    <w:p w:rsidR="00184F7A" w:rsidRDefault="00954039">
      <w:pPr>
        <w:spacing w:after="393"/>
        <w:ind w:left="-2" w:right="1"/>
      </w:pPr>
      <w:r>
        <w:t>1.- Retirada de la vía pública de animales considerados vagabundos, extrav</w:t>
      </w:r>
      <w:r>
        <w:t>iados o no identificados (según ordenanza municipal de tenencia de animales): 25 euros por animal.</w:t>
      </w:r>
    </w:p>
    <w:p w:rsidR="00184F7A" w:rsidRDefault="00954039">
      <w:pPr>
        <w:ind w:left="-2" w:right="1"/>
      </w:pPr>
      <w:r>
        <w:t>2.- Retirada de animales de domicilios particulares, previa petición de sus propietarios, por dificultades para su traslado a las instalaciones del Centro mu</w:t>
      </w:r>
      <w:r>
        <w:t>nicipal de Acogida de Animales: 30 euros por animal.</w:t>
      </w:r>
    </w:p>
    <w:p w:rsidR="00184F7A" w:rsidRDefault="00954039">
      <w:pPr>
        <w:spacing w:after="393"/>
        <w:ind w:left="-2" w:right="1"/>
      </w:pPr>
      <w:r>
        <w:t>3.- Por entrega de animal en las instalaciones del Centro Municipal de Acogida de Animales, para su posterior donación o sacrificio eutanásico (excepto cachorros menores de tres meses, que serán gratuito</w:t>
      </w:r>
      <w:r>
        <w:t>s): 20 euros por animal.</w:t>
      </w:r>
    </w:p>
    <w:p w:rsidR="00184F7A" w:rsidRDefault="00954039">
      <w:pPr>
        <w:spacing w:after="393"/>
        <w:ind w:left="-2" w:right="1"/>
      </w:pPr>
      <w:r>
        <w:t>4.- Por manutención y vigilancia del animal en el Centro Municipal de Acogida de Animales: 6 euros por animal por día o fracción.</w:t>
      </w:r>
    </w:p>
    <w:p w:rsidR="00184F7A" w:rsidRDefault="00954039">
      <w:pPr>
        <w:ind w:left="155" w:right="1" w:firstLine="0"/>
      </w:pPr>
      <w:r>
        <w:t>Devengo.</w:t>
      </w:r>
    </w:p>
    <w:p w:rsidR="00184F7A" w:rsidRDefault="00954039">
      <w:pPr>
        <w:spacing w:after="393"/>
        <w:ind w:left="-2" w:right="1"/>
      </w:pPr>
      <w:r>
        <w:t>Artículo 6.- Se devenga la tasa y nace la obligación de contribuir desde que se soliciten las actividades administrativas previstas en el apartado 1 del artículo 2º, o desde que se preste alguno de los servicios previstos en el apartado 2º del mencionado a</w:t>
      </w:r>
      <w:r>
        <w:t xml:space="preserve">rtículo, ya sea de oficio por la administración municipal o a solicitud de los interesados. </w:t>
      </w:r>
    </w:p>
    <w:p w:rsidR="00184F7A" w:rsidRDefault="00954039">
      <w:pPr>
        <w:ind w:left="155" w:right="1" w:firstLine="0"/>
      </w:pPr>
      <w:r>
        <w:t>Gestión e ingreso de la tasa.</w:t>
      </w:r>
    </w:p>
    <w:tbl>
      <w:tblPr>
        <w:tblStyle w:val="TableGrid"/>
        <w:tblpPr w:vertAnchor="text" w:horzAnchor="margin" w:tblpY="424"/>
        <w:tblOverlap w:val="never"/>
        <w:tblW w:w="8791" w:type="dxa"/>
        <w:tblInd w:w="0" w:type="dxa"/>
        <w:tblCellMar>
          <w:top w:w="0" w:type="dxa"/>
          <w:left w:w="1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791"/>
      </w:tblGrid>
      <w:tr w:rsidR="00184F7A">
        <w:trPr>
          <w:trHeight w:val="229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</w:tcPr>
          <w:p w:rsidR="00184F7A" w:rsidRDefault="00954039">
            <w:pPr>
              <w:tabs>
                <w:tab w:val="right" w:pos="8738"/>
              </w:tabs>
              <w:spacing w:after="0" w:line="259" w:lineRule="auto"/>
              <w:ind w:firstLine="0"/>
              <w:jc w:val="left"/>
            </w:pPr>
            <w:r>
              <w:t>Boletín Oficial de la Provincia de Santa Cruz de Tenerife núm. 109, viernes 28 de julio de 2006</w:t>
            </w:r>
            <w:r>
              <w:tab/>
              <w:t>13511</w:t>
            </w:r>
          </w:p>
        </w:tc>
      </w:tr>
    </w:tbl>
    <w:p w:rsidR="00184F7A" w:rsidRDefault="00954039">
      <w:pPr>
        <w:ind w:left="-2" w:right="1"/>
      </w:pPr>
      <w:r>
        <w:t>Artículo 7.- En los casos prev</w:t>
      </w:r>
      <w:r>
        <w:t>istos en el epígrafe 1º del artículo 5, la tasa se pagará en régimen de autoliquidación, en el momento de la solicitud de la tramitación del documentos o expediente, debiendo quedar acreditado el ingreso de la cuota en la entidad colaboradora autorizada, c</w:t>
      </w:r>
      <w:r>
        <w:t>omo requisito previo para que se desarrolle la actividad administrativa solicitada.</w:t>
      </w:r>
    </w:p>
    <w:p w:rsidR="00184F7A" w:rsidRDefault="00954039">
      <w:pPr>
        <w:spacing w:after="393"/>
        <w:ind w:left="-2" w:right="1"/>
      </w:pPr>
      <w:r>
        <w:t xml:space="preserve">Los escritos o solicitudes recibidos por los conductos a que se refiere el artículo 38.4 de la Ley 30/1992, de 26 de noviembre, de Régimen Jurídico de las Administraciones </w:t>
      </w:r>
      <w:r>
        <w:t>Públicas y del Procedimiento Administrativo Común, que no vengan debidamente reintegrados, serán admitidos provisionalmente, pero no se les dará curso hasta que no se subsane la deficiencia, a cuyo fin se requerirá al interesado para que, en el plazo de DI</w:t>
      </w:r>
      <w:r>
        <w:t>EZ días abone las cuotas correspondientes con el apercibimiento de que, transcurrido dicho plazo, sin efectuar el pago de la tasa, se le tendrá por desistido y se procederá al archivo de la solicitud. Ello, sin perjuicio de las sanciones que pudieran proce</w:t>
      </w:r>
      <w:r>
        <w:t>der de acuerdo con la Ordenanza Municipal sobre la Tenencia de Animales.</w:t>
      </w:r>
    </w:p>
    <w:p w:rsidR="00184F7A" w:rsidRDefault="00954039">
      <w:pPr>
        <w:spacing w:after="393"/>
        <w:ind w:left="-2" w:right="1"/>
      </w:pPr>
      <w:r>
        <w:t>En caso de inclusión de oficio en el censo de animales potencialmente peligrosos, se aprobará una liquidación individual que será notificada al interesado y deberá ingresarse de confo</w:t>
      </w:r>
      <w:r>
        <w:t xml:space="preserve">rmidad con </w:t>
      </w:r>
      <w:proofErr w:type="gramStart"/>
      <w:r>
        <w:t>los plazo</w:t>
      </w:r>
      <w:proofErr w:type="gramEnd"/>
      <w:r>
        <w:t xml:space="preserve"> establecidos en el Reglamento General de Recaudación.</w:t>
      </w:r>
    </w:p>
    <w:p w:rsidR="00184F7A" w:rsidRDefault="00954039">
      <w:pPr>
        <w:spacing w:after="393"/>
        <w:ind w:left="-2" w:right="1"/>
      </w:pPr>
      <w:r>
        <w:t>En los casos del epígrafe 2º, el pago de la tasa se realizará en el momento de solicitar o recibir el correspondiente servicio, y en todo caso, como requisito previo a la entrega de</w:t>
      </w:r>
      <w:r>
        <w:t xml:space="preserve"> los animales capturados.</w:t>
      </w:r>
    </w:p>
    <w:p w:rsidR="00184F7A" w:rsidRDefault="00954039">
      <w:pPr>
        <w:ind w:left="155" w:right="1" w:firstLine="0"/>
      </w:pPr>
      <w:r>
        <w:t>Infracciones y sanciones.</w:t>
      </w:r>
    </w:p>
    <w:p w:rsidR="00184F7A" w:rsidRDefault="00954039">
      <w:pPr>
        <w:spacing w:after="393"/>
        <w:ind w:left="-2" w:right="1"/>
      </w:pPr>
      <w:r>
        <w:t xml:space="preserve">Artículo 8.- En todo lo relativo a infracciones tributarias y sus distintas calificaciones, así como a las sanciones que a las mismas corresponden en cada caso, se aplicarán las normas establecidas en la </w:t>
      </w:r>
      <w:r>
        <w:t>vigente Ley General Tributaria y demás normativa aplicable.</w:t>
      </w:r>
    </w:p>
    <w:p w:rsidR="00184F7A" w:rsidRDefault="00954039">
      <w:pPr>
        <w:ind w:left="155" w:right="1" w:firstLine="0"/>
      </w:pPr>
      <w:r>
        <w:t>Exenciones y bonificaciones.</w:t>
      </w:r>
    </w:p>
    <w:p w:rsidR="00184F7A" w:rsidRDefault="00954039">
      <w:pPr>
        <w:spacing w:after="393"/>
        <w:ind w:left="-2" w:right="1"/>
      </w:pPr>
      <w:r>
        <w:t>Artículo 9.- En esta tasa no se reconocen otros beneficios fiscales que los expresamente previstos en las normas con rango de Ley o los derivados de la aplicación de l</w:t>
      </w:r>
      <w:r>
        <w:t>os Tratados Internacionales.</w:t>
      </w:r>
    </w:p>
    <w:p w:rsidR="00184F7A" w:rsidRDefault="00954039">
      <w:pPr>
        <w:ind w:left="155" w:right="1" w:firstLine="0"/>
      </w:pPr>
      <w:r>
        <w:t>Disposición final.</w:t>
      </w:r>
    </w:p>
    <w:p w:rsidR="00184F7A" w:rsidRDefault="00954039">
      <w:pPr>
        <w:ind w:left="-2" w:right="1"/>
      </w:pPr>
      <w:r>
        <w:t>La presente Ordenanza Fiscal entrará en vigor una vez se efectúe la publicación del texto íntegro de la misma en el Boletín Oficial de la Provincia, y transcurrido el plazo establecido en el artículo 65.2 de la Ley 7/1985, de 2 de abril, permaneciendo en v</w:t>
      </w:r>
      <w:r>
        <w:t xml:space="preserve">igor hasta su modificación o derogación expresa. </w:t>
      </w:r>
    </w:p>
    <w:p w:rsidR="00184F7A" w:rsidRDefault="00954039">
      <w:pPr>
        <w:ind w:left="155" w:right="1" w:firstLine="0"/>
      </w:pPr>
      <w:r>
        <w:t>En la Villa de Candelaria, a 11 de julio de 2006.</w:t>
      </w:r>
    </w:p>
    <w:p w:rsidR="00184F7A" w:rsidRDefault="00954039">
      <w:pPr>
        <w:spacing w:after="393"/>
        <w:ind w:left="-2" w:right="1"/>
      </w:pPr>
      <w:r>
        <w:t>El Alcalde-Presidente, José Gumersindo García Trujillo.</w:t>
      </w:r>
    </w:p>
    <w:p w:rsidR="00184F7A" w:rsidRDefault="00954039">
      <w:pPr>
        <w:spacing w:after="150" w:line="259" w:lineRule="auto"/>
        <w:ind w:left="20" w:right="27" w:hanging="10"/>
        <w:jc w:val="center"/>
      </w:pPr>
      <w:r>
        <w:rPr>
          <w:b/>
        </w:rPr>
        <w:t>VILLA DE LA OROTAVA</w:t>
      </w:r>
    </w:p>
    <w:p w:rsidR="00184F7A" w:rsidRDefault="00954039">
      <w:pPr>
        <w:spacing w:after="150" w:line="259" w:lineRule="auto"/>
        <w:ind w:left="20" w:right="27" w:hanging="10"/>
        <w:jc w:val="center"/>
      </w:pPr>
      <w:r>
        <w:rPr>
          <w:b/>
        </w:rPr>
        <w:t>Policía Local</w:t>
      </w:r>
    </w:p>
    <w:p w:rsidR="00184F7A" w:rsidRDefault="00954039">
      <w:pPr>
        <w:spacing w:after="150" w:line="259" w:lineRule="auto"/>
        <w:ind w:left="20" w:right="27" w:hanging="10"/>
        <w:jc w:val="center"/>
      </w:pPr>
      <w:r>
        <w:rPr>
          <w:b/>
        </w:rPr>
        <w:t>Negociado de Multas</w:t>
      </w:r>
    </w:p>
    <w:p w:rsidR="00184F7A" w:rsidRDefault="00954039">
      <w:pPr>
        <w:spacing w:after="0" w:line="259" w:lineRule="auto"/>
        <w:ind w:left="20" w:right="27" w:hanging="10"/>
        <w:jc w:val="center"/>
      </w:pPr>
      <w:r>
        <w:rPr>
          <w:b/>
        </w:rPr>
        <w:t>A N U N C I O</w:t>
      </w:r>
    </w:p>
    <w:p w:rsidR="00184F7A" w:rsidRDefault="00954039">
      <w:pPr>
        <w:pStyle w:val="Ttulo1"/>
        <w:ind w:left="3683" w:hanging="3685"/>
      </w:pPr>
      <w:r>
        <w:t>6818</w:t>
      </w:r>
    </w:p>
    <w:p w:rsidR="00184F7A" w:rsidRDefault="00954039">
      <w:pPr>
        <w:ind w:left="-2" w:right="1"/>
      </w:pPr>
      <w:r>
        <w:t>No habiéndose podido notifi</w:t>
      </w:r>
      <w:r>
        <w:t>car personalmente a los sujetos pasivos que a continuación se relacionan las deudas de derecho público que asimismo se indican en la relación adjunta por resultar desconocidos, hallarse en ignorado paradero o haber rechazado la notificación, se hace públic</w:t>
      </w:r>
      <w:r>
        <w:t>o para conocimiento de los interesados, a los efectos previstos en el apartado 4 del artículo 59 de la Ley 30/1992, de 26 de noviembre, de Régimen Jurídico de las Administraciones Públicas y del Procedimiento Administrativo Común, dándose por notificados e</w:t>
      </w:r>
      <w:r>
        <w:t>n la fecha de publicación del presente en el Boletín Oficial de la Provincia.</w:t>
      </w:r>
    </w:p>
    <w:p w:rsidR="00184F7A" w:rsidRDefault="00954039">
      <w:pPr>
        <w:ind w:left="-2" w:right="1"/>
      </w:pPr>
      <w:r>
        <w:t xml:space="preserve">Las citadas deudas tributarias deberán hacerse efectivas en la Tesorería de la Corporación en el siguiente plazo: si el día de la publicación del presente anuncio se halla entre </w:t>
      </w:r>
      <w:r>
        <w:t>los días UNO y QUINCE del mes, hasta el día CINCO del mes siguiente o inmediato hábil posterior; si el día de publicación se encuentra entre el DIECISÉIS y ÚLTIMO del mes, hasta el día VEINTE del mes siguiente o inmediato hábil posterior. Transcurrido dich</w:t>
      </w:r>
      <w:r>
        <w:t>o plazo sin haberse efectuado el ingreso, se iniciará la vía de apremio, incrementándose intereses de demora al tipo establecido legalmente.</w:t>
      </w:r>
    </w:p>
    <w:p w:rsidR="00184F7A" w:rsidRDefault="00954039">
      <w:pPr>
        <w:spacing w:after="393"/>
        <w:ind w:left="-2" w:right="1"/>
      </w:pPr>
      <w:r>
        <w:t>Contra la presente resolución podrá interponerse pliego de alegaciones ante el Sr. Alcalde, en el plazo de UN MES a</w:t>
      </w:r>
      <w:r>
        <w:t xml:space="preserve"> contar desde el día siguiente al de la publicación del presente edicto, y ante su denegación, en el plazo de DOS meses, si fuese expresa, o de UN AÑO, si fuese tácita, Recurso </w:t>
      </w:r>
      <w:proofErr w:type="spellStart"/>
      <w:r>
        <w:t>ContenciosoAdministrativo</w:t>
      </w:r>
      <w:proofErr w:type="spellEnd"/>
      <w:r>
        <w:t xml:space="preserve"> ante la Sala correspondiente del Tribunal Superior de</w:t>
      </w:r>
      <w:r>
        <w:t xml:space="preserve"> Justicia de Canarias, o cualquier otro recurso que estime pertinente, advirtiéndose que la interposición de recurso o reclamación no suspende, por sí sola, la obligación de pago de la deuda.</w:t>
      </w:r>
    </w:p>
    <w:p w:rsidR="00184F7A" w:rsidRDefault="00954039">
      <w:pPr>
        <w:spacing w:after="387"/>
        <w:ind w:left="155" w:right="1" w:firstLine="0"/>
      </w:pPr>
      <w:r>
        <w:t xml:space="preserve">Villa de La </w:t>
      </w:r>
      <w:proofErr w:type="spellStart"/>
      <w:r>
        <w:t>Orotava</w:t>
      </w:r>
      <w:proofErr w:type="spellEnd"/>
      <w:r>
        <w:t>, a 6 de junio de 2006.</w:t>
      </w:r>
    </w:p>
    <w:p w:rsidR="00184F7A" w:rsidRDefault="00954039">
      <w:pPr>
        <w:ind w:left="155" w:right="1" w:firstLine="0"/>
      </w:pPr>
      <w:r>
        <w:t>El Alcalde, Isaac Val</w:t>
      </w:r>
      <w:r>
        <w:t>encia Domínguez.</w:t>
      </w:r>
    </w:p>
    <w:sectPr w:rsidR="00184F7A">
      <w:type w:val="continuous"/>
      <w:pgSz w:w="11900" w:h="16840"/>
      <w:pgMar w:top="1247" w:right="1550" w:bottom="400" w:left="1544" w:header="720" w:footer="720" w:gutter="0"/>
      <w:cols w:num="2" w:space="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039">
      <w:pPr>
        <w:spacing w:after="0" w:line="240" w:lineRule="auto"/>
      </w:pPr>
      <w:r>
        <w:separator/>
      </w:r>
    </w:p>
  </w:endnote>
  <w:endnote w:type="continuationSeparator" w:id="0">
    <w:p w:rsidR="00000000" w:rsidRDefault="009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184F7A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184F7A" w:rsidRDefault="00954039">
          <w:pPr>
            <w:spacing w:after="0" w:line="259" w:lineRule="auto"/>
            <w:ind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Fecha: 30-08-2021 10:37:03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29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201" name="Picture 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" name="Picture 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84F7A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51" w:line="259" w:lineRule="auto"/>
            <w:ind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79ED454C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2"/>
            </w:rPr>
            <w:t>4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E5FFDE10D6F9B8ED7022785</w:t>
          </w:r>
        </w:p>
        <w:p w:rsidR="00184F7A" w:rsidRDefault="00954039">
          <w:pPr>
            <w:spacing w:after="0" w:line="259" w:lineRule="auto"/>
            <w:ind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https://sedeelectronica.candelaria.es//publico/documento/79ED454C4E5FFDE10D6F9B8ED7022785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84F7A" w:rsidRDefault="00184F7A">
          <w:pPr>
            <w:spacing w:after="160" w:line="259" w:lineRule="auto"/>
            <w:ind w:firstLine="0"/>
            <w:jc w:val="left"/>
          </w:pPr>
        </w:p>
      </w:tc>
    </w:tr>
    <w:tr w:rsidR="00184F7A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tabs>
              <w:tab w:val="center" w:pos="5173"/>
              <w:tab w:val="right" w:pos="9180"/>
            </w:tabs>
            <w:spacing w:after="0" w:line="259" w:lineRule="auto"/>
            <w:ind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30-08-2021 10:37:03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color w:val="404040"/>
              <w:sz w:val="12"/>
            </w:rPr>
            <w:t>2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color w:val="404040"/>
              <w:sz w:val="12"/>
            </w:rPr>
            <w:t>4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08:15:31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184F7A">
          <w:pPr>
            <w:spacing w:after="160" w:line="259" w:lineRule="auto"/>
            <w:ind w:firstLine="0"/>
            <w:jc w:val="left"/>
          </w:pPr>
        </w:p>
      </w:tc>
    </w:tr>
  </w:tbl>
  <w:p w:rsidR="00184F7A" w:rsidRDefault="00184F7A">
    <w:pPr>
      <w:spacing w:after="0" w:line="259" w:lineRule="auto"/>
      <w:ind w:left="-1575" w:right="10314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184F7A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184F7A" w:rsidRDefault="00954039">
          <w:pPr>
            <w:spacing w:after="0" w:line="259" w:lineRule="auto"/>
            <w:ind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Fecha: 30-08-2021 10:37:03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0" w:line="259" w:lineRule="auto"/>
            <w:ind w:left="29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" name="Picture 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" name="Picture 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84F7A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spacing w:after="51" w:line="259" w:lineRule="auto"/>
            <w:ind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79ED454C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954039">
            <w:rPr>
              <w:rFonts w:ascii="Arial" w:eastAsia="Arial" w:hAnsi="Arial" w:cs="Arial"/>
              <w:noProof/>
              <w:sz w:val="12"/>
            </w:rPr>
            <w:t>5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E5FFDE10D6F9B8ED7022785</w:t>
          </w:r>
        </w:p>
        <w:p w:rsidR="00184F7A" w:rsidRDefault="00954039">
          <w:pPr>
            <w:spacing w:after="0" w:line="259" w:lineRule="auto"/>
            <w:ind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https://sedeelectronica.candelaria.es//publico/documento/79ED454C4E5FFDE10D6F9B8ED7022785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84F7A" w:rsidRDefault="00184F7A">
          <w:pPr>
            <w:spacing w:after="160" w:line="259" w:lineRule="auto"/>
            <w:ind w:firstLine="0"/>
            <w:jc w:val="left"/>
          </w:pPr>
        </w:p>
      </w:tc>
    </w:tr>
    <w:tr w:rsidR="00184F7A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954039">
          <w:pPr>
            <w:tabs>
              <w:tab w:val="center" w:pos="5173"/>
              <w:tab w:val="right" w:pos="9180"/>
            </w:tabs>
            <w:spacing w:after="0" w:line="259" w:lineRule="auto"/>
            <w:ind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30-08-2021 10:37:03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954039">
            <w:rPr>
              <w:rFonts w:ascii="Arial" w:eastAsia="Arial" w:hAnsi="Arial" w:cs="Arial"/>
              <w:noProof/>
              <w:color w:val="404040"/>
              <w:sz w:val="12"/>
            </w:rPr>
            <w:t>5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954039">
            <w:rPr>
              <w:rFonts w:ascii="Arial" w:eastAsia="Arial" w:hAnsi="Arial" w:cs="Arial"/>
              <w:noProof/>
              <w:color w:val="404040"/>
              <w:sz w:val="12"/>
            </w:rPr>
            <w:t>5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08:15:31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4F7A" w:rsidRDefault="00184F7A">
          <w:pPr>
            <w:spacing w:after="160" w:line="259" w:lineRule="auto"/>
            <w:ind w:firstLine="0"/>
            <w:jc w:val="left"/>
          </w:pPr>
        </w:p>
      </w:tc>
    </w:tr>
  </w:tbl>
  <w:p w:rsidR="00184F7A" w:rsidRDefault="00184F7A">
    <w:pPr>
      <w:spacing w:after="0" w:line="259" w:lineRule="auto"/>
      <w:ind w:left="-1575" w:right="103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7A" w:rsidRDefault="00184F7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039">
      <w:pPr>
        <w:spacing w:after="0" w:line="240" w:lineRule="auto"/>
      </w:pPr>
      <w:r>
        <w:separator/>
      </w:r>
    </w:p>
  </w:footnote>
  <w:footnote w:type="continuationSeparator" w:id="0">
    <w:p w:rsidR="00000000" w:rsidRDefault="0095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7A" w:rsidRDefault="00954039">
    <w:pPr>
      <w:spacing w:after="0" w:line="259" w:lineRule="auto"/>
      <w:ind w:left="-1575" w:right="103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694348</wp:posOffset>
              </wp:positionV>
              <wp:extent cx="5581354" cy="11583"/>
              <wp:effectExtent l="0" t="0" r="0" b="0"/>
              <wp:wrapSquare wrapText="bothSides"/>
              <wp:docPr id="8742" name="Group 8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743" name="Shape 8743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42" style="width:439.477pt;height:0.912023pt;position:absolute;mso-position-horizontal-relative:page;mso-position-horizontal:absolute;margin-left:77.9146pt;mso-position-vertical-relative:page;margin-top:54.6731pt;" coordsize="55813,115">
              <v:shape id="Shape 8743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184F7A" w:rsidRDefault="009540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989707</wp:posOffset>
              </wp:positionV>
              <wp:extent cx="5581354" cy="11583"/>
              <wp:effectExtent l="0" t="0" r="0" b="0"/>
              <wp:wrapNone/>
              <wp:docPr id="8744" name="Group 8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745" name="Shape 8745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44" style="width:439.477pt;height:0.912023pt;position:absolute;z-index:-2147483648;mso-position-horizontal-relative:page;mso-position-horizontal:absolute;margin-left:77.9146pt;mso-position-vertical-relative:page;margin-top:77.9297pt;" coordsize="55813,115">
              <v:shape id="Shape 8745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7A" w:rsidRDefault="00954039">
    <w:pPr>
      <w:spacing w:after="0" w:line="259" w:lineRule="auto"/>
      <w:ind w:left="-1575" w:right="103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694348</wp:posOffset>
              </wp:positionV>
              <wp:extent cx="5581354" cy="11583"/>
              <wp:effectExtent l="0" t="0" r="0" b="0"/>
              <wp:wrapSquare wrapText="bothSides"/>
              <wp:docPr id="8629" name="Group 8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630" name="Shape 8630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9" style="width:439.477pt;height:0.912023pt;position:absolute;mso-position-horizontal-relative:page;mso-position-horizontal:absolute;margin-left:77.9146pt;mso-position-vertical-relative:page;margin-top:54.6731pt;" coordsize="55813,115">
              <v:shape id="Shape 8630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184F7A" w:rsidRDefault="009540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989707</wp:posOffset>
              </wp:positionV>
              <wp:extent cx="5581354" cy="11583"/>
              <wp:effectExtent l="0" t="0" r="0" b="0"/>
              <wp:wrapNone/>
              <wp:docPr id="8631" name="Group 8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632" name="Shape 8632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31" style="width:439.477pt;height:0.912023pt;position:absolute;z-index:-2147483648;mso-position-horizontal-relative:page;mso-position-horizontal:absolute;margin-left:77.9146pt;mso-position-vertical-relative:page;margin-top:77.9297pt;" coordsize="55813,115">
              <v:shape id="Shape 8632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7A" w:rsidRDefault="00954039">
    <w:pPr>
      <w:spacing w:after="0" w:line="259" w:lineRule="auto"/>
      <w:ind w:left="-1575" w:right="103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694348</wp:posOffset>
              </wp:positionV>
              <wp:extent cx="5581354" cy="11583"/>
              <wp:effectExtent l="0" t="0" r="0" b="0"/>
              <wp:wrapSquare wrapText="bothSides"/>
              <wp:docPr id="8620" name="Group 8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621" name="Shape 8621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0" style="width:439.477pt;height:0.912023pt;position:absolute;mso-position-horizontal-relative:page;mso-position-horizontal:absolute;margin-left:77.9146pt;mso-position-vertical-relative:page;margin-top:54.6731pt;" coordsize="55813,115">
              <v:shape id="Shape 8621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184F7A" w:rsidRDefault="009540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989515</wp:posOffset>
              </wp:positionH>
              <wp:positionV relativeFrom="page">
                <wp:posOffset>989707</wp:posOffset>
              </wp:positionV>
              <wp:extent cx="5581354" cy="11583"/>
              <wp:effectExtent l="0" t="0" r="0" b="0"/>
              <wp:wrapNone/>
              <wp:docPr id="8622" name="Group 8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354" cy="11583"/>
                        <a:chOff x="0" y="0"/>
                        <a:chExt cx="5581354" cy="11583"/>
                      </a:xfrm>
                    </wpg:grpSpPr>
                    <wps:wsp>
                      <wps:cNvPr id="8623" name="Shape 8623"/>
                      <wps:cNvSpPr/>
                      <wps:spPr>
                        <a:xfrm>
                          <a:off x="0" y="0"/>
                          <a:ext cx="5581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354">
                              <a:moveTo>
                                <a:pt x="0" y="0"/>
                              </a:moveTo>
                              <a:lnTo>
                                <a:pt x="5581354" y="0"/>
                              </a:lnTo>
                            </a:path>
                          </a:pathLst>
                        </a:custGeom>
                        <a:ln w="11583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22" style="width:439.477pt;height:0.912023pt;position:absolute;z-index:-2147483648;mso-position-horizontal-relative:page;mso-position-horizontal:absolute;margin-left:77.9146pt;mso-position-vertical-relative:page;margin-top:77.9297pt;" coordsize="55813,115">
              <v:shape id="Shape 8623" style="position:absolute;width:55813;height:0;left:0;top:0;" coordsize="5581354,0" path="m0,0l5581354,0">
                <v:stroke weight="0.912023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085"/>
    <w:multiLevelType w:val="hybridMultilevel"/>
    <w:tmpl w:val="A5007B2C"/>
    <w:lvl w:ilvl="0" w:tplc="CEB6D5DC">
      <w:start w:val="1"/>
      <w:numFmt w:val="lowerLetter"/>
      <w:lvlText w:val="%1)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164C6C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ABB7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8C9066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466B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A94F0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C8C8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C402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016DC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129E7"/>
    <w:multiLevelType w:val="hybridMultilevel"/>
    <w:tmpl w:val="667ACEF8"/>
    <w:lvl w:ilvl="0" w:tplc="9B8E272E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3C24E8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A9BA6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CB676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4F548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2A8B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E7D14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CD282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074E6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641AF"/>
    <w:multiLevelType w:val="hybridMultilevel"/>
    <w:tmpl w:val="4474A6AC"/>
    <w:lvl w:ilvl="0" w:tplc="96E6952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F3A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CA9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C48BE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EE165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CDD9E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89B10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66BCA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2D7DC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46E82"/>
    <w:multiLevelType w:val="hybridMultilevel"/>
    <w:tmpl w:val="729C63B4"/>
    <w:lvl w:ilvl="0" w:tplc="4A2865CA">
      <w:start w:val="10136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AA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EF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6F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AD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4F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E1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4A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EC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852EF2"/>
    <w:multiLevelType w:val="hybridMultilevel"/>
    <w:tmpl w:val="475E5FC0"/>
    <w:lvl w:ilvl="0" w:tplc="9FF4EA2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E13CA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807E06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20AAE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4EF16E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2FAFA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E2792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88BC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C65CC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7A"/>
    <w:rsid w:val="00184F7A"/>
    <w:rsid w:val="009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0A3D7-E89A-4877-AE2F-74E0C1CF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 w:line="216" w:lineRule="auto"/>
      <w:ind w:firstLine="14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5"/>
      </w:numPr>
      <w:spacing w:after="0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2558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2024-01-24T08:17:00Z</dcterms:created>
  <dcterms:modified xsi:type="dcterms:W3CDTF">2024-01-24T08:17:00Z</dcterms:modified>
</cp:coreProperties>
</file>