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AE" w:rsidRDefault="00E27735">
      <w:pPr>
        <w:tabs>
          <w:tab w:val="right" w:pos="8736"/>
        </w:tabs>
        <w:spacing w:after="36"/>
        <w:ind w:left="-15" w:firstLine="0"/>
        <w:jc w:val="left"/>
      </w:pPr>
      <w:bookmarkStart w:id="0" w:name="_GoBack"/>
      <w:bookmarkEnd w:id="0"/>
      <w:r>
        <w:t>16142</w:t>
      </w:r>
      <w:r>
        <w:tab/>
        <w:t>Boletín Oficial de la Provincia de Santa Cruz de Tenerife núm. 150, miércoles 30 de julio de 2008</w:t>
      </w:r>
    </w:p>
    <w:p w:rsidR="00C35BAE" w:rsidRDefault="00E27735">
      <w:pPr>
        <w:spacing w:after="0" w:line="259" w:lineRule="auto"/>
        <w:ind w:left="-18" w:right="-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79143" cy="11578"/>
                <wp:effectExtent l="0" t="0" r="0" b="0"/>
                <wp:docPr id="3801" name="Group 3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143" cy="11578"/>
                          <a:chOff x="0" y="0"/>
                          <a:chExt cx="5579143" cy="11578"/>
                        </a:xfrm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557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43">
                                <a:moveTo>
                                  <a:pt x="0" y="0"/>
                                </a:moveTo>
                                <a:lnTo>
                                  <a:pt x="5579143" y="0"/>
                                </a:lnTo>
                              </a:path>
                            </a:pathLst>
                          </a:custGeom>
                          <a:ln w="115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1" style="width:439.303pt;height:0.911625pt;mso-position-horizontal-relative:char;mso-position-vertical-relative:line" coordsize="55791,115">
                <v:shape id="Shape 158" style="position:absolute;width:55791;height:0;left:0;top:0;" coordsize="5579143,0" path="m0,0l5579143,0">
                  <v:stroke weight="0.9116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5BAE" w:rsidRDefault="00C35BAE">
      <w:pPr>
        <w:sectPr w:rsidR="00C35BAE">
          <w:pgSz w:w="11900" w:h="16840"/>
          <w:pgMar w:top="1422" w:right="1589" w:bottom="2205" w:left="1575" w:header="720" w:footer="720" w:gutter="0"/>
          <w:cols w:space="720"/>
        </w:sectPr>
      </w:pPr>
    </w:p>
    <w:p w:rsidR="00C35BAE" w:rsidRDefault="00E27735">
      <w:pPr>
        <w:spacing w:after="150" w:line="259" w:lineRule="auto"/>
        <w:ind w:left="10" w:right="5" w:hanging="10"/>
        <w:jc w:val="center"/>
      </w:pPr>
      <w:r>
        <w:rPr>
          <w:b/>
        </w:rPr>
        <w:lastRenderedPageBreak/>
        <w:t>VILLA DE CANDELARIA</w:t>
      </w:r>
    </w:p>
    <w:p w:rsidR="00C35BAE" w:rsidRDefault="00E27735">
      <w:pPr>
        <w:spacing w:after="0" w:line="259" w:lineRule="auto"/>
        <w:ind w:left="10" w:right="5" w:hanging="10"/>
        <w:jc w:val="center"/>
      </w:pPr>
      <w:r>
        <w:rPr>
          <w:b/>
        </w:rPr>
        <w:t>A N U N C I O</w:t>
      </w:r>
    </w:p>
    <w:p w:rsidR="00C35BAE" w:rsidRDefault="00E27735">
      <w:pPr>
        <w:tabs>
          <w:tab w:val="right" w:pos="4140"/>
        </w:tabs>
        <w:spacing w:after="0" w:line="259" w:lineRule="auto"/>
        <w:ind w:firstLine="0"/>
        <w:jc w:val="left"/>
      </w:pPr>
      <w:r>
        <w:rPr>
          <w:b/>
        </w:rPr>
        <w:t>10345</w:t>
      </w:r>
      <w:r>
        <w:rPr>
          <w:b/>
        </w:rPr>
        <w:tab/>
        <w:t>7740</w:t>
      </w:r>
    </w:p>
    <w:p w:rsidR="00C35BAE" w:rsidRDefault="00E27735">
      <w:pPr>
        <w:spacing w:after="36"/>
        <w:ind w:left="155" w:firstLine="0"/>
      </w:pPr>
      <w:r>
        <w:t>Ordenanza reguladora del Estacionamiento Muni-</w:t>
      </w:r>
    </w:p>
    <w:p w:rsidR="00C35BAE" w:rsidRDefault="00E27735">
      <w:pPr>
        <w:ind w:left="-15" w:firstLine="0"/>
      </w:pPr>
      <w:r>
        <w:t>cipal de Duración Limitada en la Vía Pública.</w:t>
      </w:r>
    </w:p>
    <w:p w:rsidR="00C35BAE" w:rsidRDefault="00E27735">
      <w:pPr>
        <w:ind w:left="155" w:firstLine="0"/>
      </w:pPr>
      <w:r>
        <w:t>Exposición de motivos.</w:t>
      </w:r>
    </w:p>
    <w:p w:rsidR="00C35BAE" w:rsidRDefault="00E27735">
      <w:pPr>
        <w:ind w:left="-15"/>
      </w:pPr>
      <w:r>
        <w:t>El aparcamiento de vehículos y su circulación tienen una clara influencia en la calidad ambiental y de vida en las poblaciones, por lo que es necesario llevar a término un correcto contro</w:t>
      </w:r>
      <w:r>
        <w:t>l de los vehículos que aparquen en las áreas o zonas de estacionamiento que en temporada turística, festivos y momentos puntuales puedan provocar saturación de las vías e insuficiencia de aparcamientos, con el fin de favorecer la disciplina viaria y la flu</w:t>
      </w:r>
      <w:r>
        <w:t>idez del tráfico rodado, fomentar los usos de las vías urbanas de forma equitativa para todos los usuarios y hacerlo compatible con el uso peatonal de plazas y calles.</w:t>
      </w:r>
    </w:p>
    <w:p w:rsidR="00C35BAE" w:rsidRDefault="00E27735">
      <w:pPr>
        <w:ind w:left="-15"/>
      </w:pPr>
      <w:r>
        <w:t xml:space="preserve">El sistema de estacionamiento regulado con limitación horaria para la permanencia en un </w:t>
      </w:r>
      <w:r>
        <w:t>mismo espacio de aparcamiento es un instrumento adecuado para conseguir estos objetivos.</w:t>
      </w:r>
    </w:p>
    <w:p w:rsidR="00C35BAE" w:rsidRDefault="00E27735">
      <w:pPr>
        <w:ind w:left="-15"/>
      </w:pPr>
      <w:r>
        <w:t>Por todo esto, se considera oportuno tomar medidas limitando el estacionamiento en ciertas áreas de población para garantizar la rotación en la utilización de los apar</w:t>
      </w:r>
      <w:r>
        <w:t>camientos en vías urbanas, elaborando una Ordenanza de carácter general que establezca las condiciones de utilización del servicio, así como los requisitos a cumplir para la obtención de distintivos de aparcamiento para los vecinos de las zonas en que se e</w:t>
      </w:r>
      <w:r>
        <w:t>stablezca el referido servicio y el régimen de infracciones y sanciones aplicables.</w:t>
      </w:r>
    </w:p>
    <w:p w:rsidR="00C35BAE" w:rsidRDefault="00E27735">
      <w:pPr>
        <w:ind w:left="155" w:firstLine="0"/>
      </w:pPr>
      <w:r>
        <w:t>Art. 1º. Naturaleza y fundamento.</w:t>
      </w:r>
    </w:p>
    <w:p w:rsidR="00C35BAE" w:rsidRDefault="00E27735">
      <w:pPr>
        <w:ind w:left="-15"/>
      </w:pPr>
      <w:r>
        <w:t xml:space="preserve">Esta Ordenanza se insta en el ejercicio de las competencias atribuidas a los municipios en materia de ordenación del tráfico de personas y vehículos en las vías urbanas por la Ley 7/1985 de Bases de Régimen Local y por el Real Decreto Legislativo 339/1990 </w:t>
      </w:r>
      <w:r>
        <w:t xml:space="preserve">sobre Tráfico, Circulación de Vehículos a Motor y Seguridad Vial, en sus artículos 7 y 38 Ley 5/1997 de 24 de marzo, de reforma del texto articulado de la Ley sobre Tráfico, Circulación de Vehículos a Motor y Seguridad Vial, así como el Reglamento General </w:t>
      </w:r>
      <w:r>
        <w:t>de Circulación, artículos 93 y 94 que, permiten a los municipios regular el uso de las vías urbanas mediante disposiciones de carácter general, así como la competencia sancionadora, se establece la siguiente ordenanza reguladora del estacionamiento.</w:t>
      </w:r>
    </w:p>
    <w:p w:rsidR="00C35BAE" w:rsidRDefault="00E27735">
      <w:pPr>
        <w:ind w:left="155" w:firstLine="0"/>
      </w:pPr>
      <w:r>
        <w:t>Art. 2</w:t>
      </w:r>
      <w:r>
        <w:t>º. Objeto.</w:t>
      </w:r>
    </w:p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C35BAE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35BAE" w:rsidRDefault="00E27735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E27735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E27735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Fecha: 05-10-2021 12:22:19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E27735">
            <w:pPr>
              <w:spacing w:after="0" w:line="259" w:lineRule="auto"/>
              <w:ind w:left="2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AE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E27735">
            <w:pPr>
              <w:spacing w:after="51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5138661A1D0E9DB699E9D0A638DC5644</w:t>
            </w:r>
          </w:p>
          <w:p w:rsidR="00C35BAE" w:rsidRDefault="00E27735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https://sedeelectronica.candelaria.es//publico/documento/5138661A1D0E9DB699E9D0A638DC5644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BAE" w:rsidRDefault="00C35BAE">
            <w:pPr>
              <w:spacing w:after="160" w:line="259" w:lineRule="auto"/>
              <w:ind w:firstLine="0"/>
              <w:jc w:val="left"/>
            </w:pPr>
          </w:p>
        </w:tc>
      </w:tr>
      <w:tr w:rsidR="00C35BAE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E27735">
            <w:pPr>
              <w:tabs>
                <w:tab w:val="center" w:pos="5173"/>
                <w:tab w:val="right" w:pos="9180"/>
              </w:tabs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 xml:space="preserve">Fecha de sellado electrónico: 05-10-2021 12:22:19               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- 1/2 -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24-01-2024 12:01:32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C35BAE">
            <w:pPr>
              <w:spacing w:after="160" w:line="259" w:lineRule="auto"/>
              <w:ind w:firstLine="0"/>
              <w:jc w:val="left"/>
            </w:pPr>
          </w:p>
        </w:tc>
      </w:tr>
    </w:tbl>
    <w:p w:rsidR="00C35BAE" w:rsidRDefault="00E27735">
      <w:pPr>
        <w:ind w:left="-1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988473</wp:posOffset>
                </wp:positionH>
                <wp:positionV relativeFrom="page">
                  <wp:posOffset>864463</wp:posOffset>
                </wp:positionV>
                <wp:extent cx="5579143" cy="11578"/>
                <wp:effectExtent l="0" t="0" r="0" b="0"/>
                <wp:wrapTopAndBottom/>
                <wp:docPr id="3800" name="Group 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143" cy="11578"/>
                          <a:chOff x="0" y="0"/>
                          <a:chExt cx="5579143" cy="11578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557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43">
                                <a:moveTo>
                                  <a:pt x="0" y="0"/>
                                </a:moveTo>
                                <a:lnTo>
                                  <a:pt x="5579143" y="0"/>
                                </a:lnTo>
                              </a:path>
                            </a:pathLst>
                          </a:custGeom>
                          <a:ln w="115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0" style="width:439.303pt;height:0.911625pt;position:absolute;mso-position-horizontal-relative:page;mso-position-horizontal:absolute;margin-left:77.8325pt;mso-position-vertical-relative:page;margin-top:68.0679pt;" coordsize="55791,115">
                <v:shape id="Shape 157" style="position:absolute;width:55791;height:0;left:0;top:0;" coordsize="5579143,0" path="m0,0l5579143,0">
                  <v:stroke weight="0.9116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2.1.- Esta ordenanza tiene por objeto regular los usos en los lugares o zonas de la vía pública de elevada demanda de estacionamiento que, en cada momento, decida el Ayuntamiento como sujetos a la mis-</w:t>
      </w:r>
    </w:p>
    <w:p w:rsidR="00C35BAE" w:rsidRDefault="00E27735">
      <w:pPr>
        <w:ind w:left="-15" w:firstLine="0"/>
      </w:pPr>
      <w:r>
        <w:t>ma haciendo compatible la equitativa distribución de l</w:t>
      </w:r>
      <w:r>
        <w:t>os aparcamientos entre todos los usuarios, ayudando de esta manera a ordenar y mejorar el tráfico, mediante la limitación funcional, espacial y temporal del estacionamiento de vehículos, así como el establecimiento de medidas para garantizar su cumplimient</w:t>
      </w:r>
      <w:r>
        <w:t>o.</w:t>
      </w:r>
    </w:p>
    <w:p w:rsidR="00C35BAE" w:rsidRDefault="00E27735">
      <w:pPr>
        <w:spacing w:after="393"/>
        <w:ind w:left="-15"/>
      </w:pPr>
      <w:r>
        <w:t>2.2.- La regulación del estacionamiento tiene por objetivo la consecución de un mayor equilibrio entre la oferta y la demanda del mismo en las zonas del Municipio que se entienda delimitar, y para ello se desarrolla con actuaciones de limitación, contro</w:t>
      </w:r>
      <w:r>
        <w:t>l e inversión, destinadas a la consecución de dicho objetivo.</w:t>
      </w:r>
    </w:p>
    <w:p w:rsidR="00C35BAE" w:rsidRDefault="00E27735">
      <w:pPr>
        <w:numPr>
          <w:ilvl w:val="0"/>
          <w:numId w:val="1"/>
        </w:numPr>
      </w:pPr>
      <w:r>
        <w:t>3.- Se podrán contemplar medidas exclusivas para los residentes, comerciantes y usuarios de los comercios en los sectores objeto de regulación.</w:t>
      </w:r>
    </w:p>
    <w:p w:rsidR="00C35BAE" w:rsidRDefault="00E27735">
      <w:pPr>
        <w:ind w:left="155" w:firstLine="0"/>
      </w:pPr>
      <w:r>
        <w:t>Art. 3º. Tipos de regulación del estacionamiento.</w:t>
      </w:r>
    </w:p>
    <w:p w:rsidR="00C35BAE" w:rsidRDefault="00E27735">
      <w:pPr>
        <w:numPr>
          <w:ilvl w:val="0"/>
          <w:numId w:val="1"/>
        </w:numPr>
      </w:pPr>
      <w:r>
        <w:t>1.- El estacionamiento regulado de rotación (ESRO).</w:t>
      </w:r>
    </w:p>
    <w:p w:rsidR="00C35BAE" w:rsidRDefault="00E27735">
      <w:pPr>
        <w:ind w:left="-15"/>
      </w:pPr>
      <w:r>
        <w:t>3.2.- Se contempla la posibilidad de creación de aparcamiento, denominados exprés, para estancias breves, previstas para intervalos nunca superiores a la media hora.</w:t>
      </w:r>
    </w:p>
    <w:p w:rsidR="00C35BAE" w:rsidRDefault="00E27735">
      <w:pPr>
        <w:spacing w:after="36"/>
        <w:ind w:left="155" w:firstLine="0"/>
      </w:pPr>
      <w:r>
        <w:t>3.3.- Estacionamiento combinado. Excep</w:t>
      </w:r>
      <w:r>
        <w:t>ciones al</w:t>
      </w:r>
    </w:p>
    <w:p w:rsidR="00C35BAE" w:rsidRDefault="00E27735">
      <w:pPr>
        <w:ind w:left="-15" w:firstLine="0"/>
      </w:pPr>
      <w:r>
        <w:t>abono de la tasa:</w:t>
      </w:r>
    </w:p>
    <w:p w:rsidR="00C35BAE" w:rsidRDefault="00E27735">
      <w:pPr>
        <w:numPr>
          <w:ilvl w:val="0"/>
          <w:numId w:val="2"/>
        </w:numPr>
      </w:pPr>
      <w:r>
        <w:t>El estacionamiento en zona regulada, de vehí-culos con los que se estén realizando operaciones de carga y descarga, siempre que el conductor esté presente en todo momento y la operación tenga una duración máxima de quince minuto</w:t>
      </w:r>
      <w:r>
        <w:t>s.</w:t>
      </w:r>
    </w:p>
    <w:p w:rsidR="00C35BAE" w:rsidRDefault="00E27735">
      <w:pPr>
        <w:numPr>
          <w:ilvl w:val="0"/>
          <w:numId w:val="2"/>
        </w:numPr>
      </w:pPr>
      <w:r>
        <w:t>El estacionamiento en zona regulada, de los ve-hículos autotaxi durante la prestación de su servicio y siempre que el conductor esté presente durante la parada.</w:t>
      </w:r>
    </w:p>
    <w:p w:rsidR="00C35BAE" w:rsidRDefault="00E27735">
      <w:pPr>
        <w:numPr>
          <w:ilvl w:val="0"/>
          <w:numId w:val="2"/>
        </w:numPr>
      </w:pPr>
      <w:r>
        <w:t>El estacionamiento en zona regulada, de vehí-culos oficiales debidamente identificados y siempre que se encuentren prestando sus servicios.</w:t>
      </w:r>
    </w:p>
    <w:p w:rsidR="00C35BAE" w:rsidRDefault="00E27735">
      <w:pPr>
        <w:numPr>
          <w:ilvl w:val="0"/>
          <w:numId w:val="2"/>
        </w:numPr>
      </w:pPr>
      <w:r>
        <w:t>El estacionamiento en zona regulada, de vehí-culos de las representaciones diplomáticas o consulares debidamente identificados.</w:t>
      </w:r>
    </w:p>
    <w:p w:rsidR="00C35BAE" w:rsidRDefault="00E27735">
      <w:pPr>
        <w:numPr>
          <w:ilvl w:val="0"/>
          <w:numId w:val="2"/>
        </w:numPr>
      </w:pPr>
      <w:r>
        <w:lastRenderedPageBreak/>
        <w:t>El estacionamiento en zona regulada, de ambu-lancias y servicios médicos de urgencia, siempre que se encuentren prestando los se</w:t>
      </w:r>
      <w:r>
        <w:t>rvicios propios de su competencia.</w:t>
      </w:r>
    </w:p>
    <w:p w:rsidR="00C35BAE" w:rsidRDefault="00E27735">
      <w:pPr>
        <w:numPr>
          <w:ilvl w:val="0"/>
          <w:numId w:val="2"/>
        </w:numPr>
      </w:pPr>
      <w:r>
        <w:t>El estacionamiento en zona regulada y sin límite de tiempo de los vehículos destinados al transporte de personas de movilidad reducida en los que se exhiba la “Tarjeta Europea de Aparcamiento para personas con movilidad r</w:t>
      </w:r>
      <w:r>
        <w:t>educida” según lo dispuesto en</w:t>
      </w:r>
    </w:p>
    <w:tbl>
      <w:tblPr>
        <w:tblStyle w:val="TableGrid"/>
        <w:tblpPr w:vertAnchor="text" w:horzAnchor="margin"/>
        <w:tblOverlap w:val="never"/>
        <w:tblW w:w="8791" w:type="dxa"/>
        <w:tblInd w:w="0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8791"/>
      </w:tblGrid>
      <w:tr w:rsidR="00C35BAE">
        <w:trPr>
          <w:trHeight w:val="372"/>
        </w:trPr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</w:tcPr>
          <w:p w:rsidR="00C35BAE" w:rsidRDefault="00E27735">
            <w:pPr>
              <w:spacing w:after="61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579144" cy="11578"/>
                      <wp:effectExtent l="0" t="0" r="0" b="0"/>
                      <wp:docPr id="3802" name="Group 3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9144" cy="11578"/>
                                <a:chOff x="0" y="0"/>
                                <a:chExt cx="5579144" cy="11578"/>
                              </a:xfrm>
                            </wpg:grpSpPr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0" y="0"/>
                                  <a:ext cx="55791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9144">
                                      <a:moveTo>
                                        <a:pt x="0" y="0"/>
                                      </a:moveTo>
                                      <a:lnTo>
                                        <a:pt x="5579144" y="0"/>
                                      </a:lnTo>
                                    </a:path>
                                  </a:pathLst>
                                </a:custGeom>
                                <a:ln w="1157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02" style="width:439.303pt;height:0.911625pt;mso-position-horizontal-relative:char;mso-position-vertical-relative:line" coordsize="55791,115">
                      <v:shape id="Shape 325" style="position:absolute;width:55791;height:0;left:0;top:0;" coordsize="5579144,0" path="m0,0l5579144,0">
                        <v:stroke weight="0.91162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C35BAE" w:rsidRDefault="00E27735">
            <w:pPr>
              <w:tabs>
                <w:tab w:val="right" w:pos="8786"/>
              </w:tabs>
              <w:spacing w:after="0" w:line="259" w:lineRule="auto"/>
              <w:ind w:firstLine="0"/>
              <w:jc w:val="left"/>
            </w:pPr>
            <w:r>
              <w:t>Boletín Oficial de la Provincia de Santa Cruz de Tenerife núm. 150, miércoles 30 de julio de 2008</w:t>
            </w:r>
            <w:r>
              <w:tab/>
              <w:t>16143</w:t>
            </w:r>
          </w:p>
          <w:p w:rsidR="00C35BAE" w:rsidRDefault="00E27735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579144" cy="11578"/>
                      <wp:effectExtent l="0" t="0" r="0" b="0"/>
                      <wp:docPr id="3803" name="Group 3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9144" cy="11578"/>
                                <a:chOff x="0" y="0"/>
                                <a:chExt cx="5579144" cy="11578"/>
                              </a:xfrm>
                            </wpg:grpSpPr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0" y="0"/>
                                  <a:ext cx="55791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9144">
                                      <a:moveTo>
                                        <a:pt x="0" y="0"/>
                                      </a:moveTo>
                                      <a:lnTo>
                                        <a:pt x="5579144" y="0"/>
                                      </a:lnTo>
                                    </a:path>
                                  </a:pathLst>
                                </a:custGeom>
                                <a:ln w="1157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03" style="width:439.303pt;height:0.911625pt;mso-position-horizontal-relative:char;mso-position-vertical-relative:line" coordsize="55791,115">
                      <v:shape id="Shape 326" style="position:absolute;width:55791;height:0;left:0;top:0;" coordsize="5579144,0" path="m0,0l5579144,0">
                        <v:stroke weight="0.91162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C35BAE" w:rsidRDefault="00E27735">
      <w:pPr>
        <w:ind w:left="-15" w:firstLine="0"/>
      </w:pPr>
      <w:r>
        <w:t>la Ley 8/95 de 6 de abril, de accesibilidad y supresión de barreras físicas y de la comunicación, y siempre que se e</w:t>
      </w:r>
      <w:r>
        <w:t>ste transportando al titular de dicha autorización.</w:t>
      </w:r>
    </w:p>
    <w:p w:rsidR="00C35BAE" w:rsidRDefault="00E27735">
      <w:pPr>
        <w:numPr>
          <w:ilvl w:val="0"/>
          <w:numId w:val="2"/>
        </w:numPr>
      </w:pPr>
      <w:r>
        <w:t>El estacionamiento en zona regulada de vehí-culos en cuyo interior permanezca el conductor o pasajero mayor de edad, siempre que su tiempo de parada no sea superior a cinco minutos.</w:t>
      </w:r>
    </w:p>
    <w:p w:rsidR="00C35BAE" w:rsidRDefault="00E27735">
      <w:pPr>
        <w:numPr>
          <w:ilvl w:val="0"/>
          <w:numId w:val="2"/>
        </w:numPr>
      </w:pPr>
      <w:r>
        <w:t xml:space="preserve">El estacionamiento en </w:t>
      </w:r>
      <w:r>
        <w:t>zona regulada, de vehí-culos propiedad de residentes, en horario distinto del sometido a limitación o pago.</w:t>
      </w:r>
    </w:p>
    <w:p w:rsidR="00C35BAE" w:rsidRDefault="00E27735">
      <w:pPr>
        <w:numPr>
          <w:ilvl w:val="0"/>
          <w:numId w:val="2"/>
        </w:numPr>
      </w:pPr>
      <w:r>
        <w:t>El estacionamiento en zona regulada, de cual-quier otro vehículo cuando, previa instrucción del oportuno expediente, se acredite la necesidad de aco</w:t>
      </w:r>
      <w:r>
        <w:t>gerse a éste régimen excepcional y así se autorice.</w:t>
      </w:r>
    </w:p>
    <w:p w:rsidR="00C35BAE" w:rsidRDefault="00E27735">
      <w:pPr>
        <w:spacing w:after="0" w:line="259" w:lineRule="auto"/>
        <w:ind w:right="7" w:firstLine="0"/>
        <w:jc w:val="right"/>
      </w:pPr>
      <w:r>
        <w:t>Art. 4º. Horarios, señalización y zonas sujetas a re-</w:t>
      </w:r>
    </w:p>
    <w:p w:rsidR="00C35BAE" w:rsidRDefault="00E27735">
      <w:pPr>
        <w:ind w:left="-15" w:firstLine="0"/>
      </w:pPr>
      <w:r>
        <w:t>gulación del estacionamiento.</w:t>
      </w:r>
    </w:p>
    <w:p w:rsidR="00C35BAE" w:rsidRDefault="00E27735">
      <w:pPr>
        <w:ind w:left="-15"/>
      </w:pPr>
      <w:r>
        <w:t>4.1.- En cada zona sujeta al estacionamiento regulado, la resolución de Alcaldía que defina la zona indicará también el calendario y horario en el que será de aplicación esta regulación de estacionamiento y el tipo de estacionamiento regulado.</w:t>
      </w:r>
    </w:p>
    <w:p w:rsidR="00C35BAE" w:rsidRDefault="00E27735">
      <w:pPr>
        <w:numPr>
          <w:ilvl w:val="0"/>
          <w:numId w:val="3"/>
        </w:numPr>
        <w:spacing w:after="393"/>
      </w:pPr>
      <w:r>
        <w:t>2.- Los espa</w:t>
      </w:r>
      <w:r>
        <w:t>cios o vías públicas donde se aplique la regulación de estacionamiento serán señalizados de conformidad con la normativa vigente y con este Reglamento.</w:t>
      </w:r>
    </w:p>
    <w:p w:rsidR="00C35BAE" w:rsidRDefault="00E27735">
      <w:pPr>
        <w:ind w:left="155" w:firstLine="0"/>
      </w:pPr>
      <w:r>
        <w:t>Art. 5º. Forma de estacionar en zonas ESRO.</w:t>
      </w:r>
    </w:p>
    <w:p w:rsidR="00C35BAE" w:rsidRDefault="00E27735">
      <w:pPr>
        <w:numPr>
          <w:ilvl w:val="0"/>
          <w:numId w:val="3"/>
        </w:numPr>
      </w:pPr>
      <w:r>
        <w:t>1.- En las zonas sujetas al ESRO, el conductor, cuando estac</w:t>
      </w:r>
      <w:r>
        <w:t>ione, se proveerá, en un expendedor de tiques próximo al lugar, de un tique de estacionamiento regulado que señalará la fecha y hora en la que se inicia el estacionamiento de dicho vehículo, y la fecha y hora límite de finalización del permiso de estaciona</w:t>
      </w:r>
      <w:r>
        <w:t>miento.</w:t>
      </w:r>
    </w:p>
    <w:p w:rsidR="00C35BAE" w:rsidRDefault="00E27735">
      <w:pPr>
        <w:ind w:left="-15"/>
      </w:pPr>
      <w:r>
        <w:t>5.2.- El tique de estacionamiento deberá ser colocado en la parte interior del parabrisas del vehículo, fijándolo convenientemente para evitar su caída y de forma que resulte perfectamente visible desde el exterior.</w:t>
      </w:r>
    </w:p>
    <w:p w:rsidR="00C35BAE" w:rsidRDefault="00E27735">
      <w:pPr>
        <w:ind w:left="-15"/>
      </w:pPr>
      <w:r>
        <w:lastRenderedPageBreak/>
        <w:t>5.3.- El horario en el que se pe</w:t>
      </w:r>
      <w:r>
        <w:t>rmite el estacionamiento de ese vehículo vendrá limitado por la hora marcada en el tique de estacionamiento; a partir de dicho horario el estacionamiento queda prohibido y su conductor o propietario queda sujeto a las sanciones establecidas en este Reglame</w:t>
      </w:r>
      <w:r>
        <w:t>nto y en el Reglamento General de Circulación por estacionar en lugar prohibido.</w:t>
      </w:r>
    </w:p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C35BAE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35BAE" w:rsidRDefault="00E27735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E27735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E27735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Fecha: 05-10-2021 12:22:19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E27735">
            <w:pPr>
              <w:spacing w:after="0" w:line="259" w:lineRule="auto"/>
              <w:ind w:left="2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BAE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E27735">
            <w:pPr>
              <w:spacing w:after="51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5138661A1D0E9DB699E9D0A638DC5644</w:t>
            </w:r>
          </w:p>
          <w:p w:rsidR="00C35BAE" w:rsidRDefault="00E27735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https://sedeelectronica.candelaria.es//publico/documento/5138661A1D0E9DB699E9D0A638DC5644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BAE" w:rsidRDefault="00C35BAE">
            <w:pPr>
              <w:spacing w:after="160" w:line="259" w:lineRule="auto"/>
              <w:ind w:firstLine="0"/>
              <w:jc w:val="left"/>
            </w:pPr>
          </w:p>
        </w:tc>
      </w:tr>
      <w:tr w:rsidR="00C35BAE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E27735">
            <w:pPr>
              <w:tabs>
                <w:tab w:val="center" w:pos="5173"/>
                <w:tab w:val="right" w:pos="9180"/>
              </w:tabs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 de sellado electrónico: 05-10-2021 12:22:19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- 2/2 -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24-01-2024 12:01:32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AE" w:rsidRDefault="00C35BAE">
            <w:pPr>
              <w:spacing w:after="160" w:line="259" w:lineRule="auto"/>
              <w:ind w:firstLine="0"/>
              <w:jc w:val="left"/>
            </w:pPr>
          </w:p>
        </w:tc>
      </w:tr>
    </w:tbl>
    <w:p w:rsidR="00C35BAE" w:rsidRDefault="00E27735">
      <w:pPr>
        <w:numPr>
          <w:ilvl w:val="0"/>
          <w:numId w:val="4"/>
        </w:numPr>
      </w:pPr>
      <w:r>
        <w:t>4.- El Ayuntamiento podrá fijar en cada zona sujeta al ESRO el tiempo máximo de estacionamiento en una hora, o en dos horas, etc., según las necesi-</w:t>
      </w:r>
    </w:p>
    <w:p w:rsidR="00C35BAE" w:rsidRDefault="00E27735">
      <w:pPr>
        <w:spacing w:after="393"/>
        <w:ind w:left="-15" w:firstLine="0"/>
      </w:pPr>
      <w:r>
        <w:t>dades del estacionamiento, debiendo señalizarlo en los accesos a dicha zona.</w:t>
      </w:r>
    </w:p>
    <w:p w:rsidR="00C35BAE" w:rsidRDefault="00E27735">
      <w:pPr>
        <w:ind w:left="155" w:firstLine="0"/>
      </w:pPr>
      <w:r>
        <w:t>Art. 6º. Infracciones y sancio</w:t>
      </w:r>
      <w:r>
        <w:t>nes.</w:t>
      </w:r>
    </w:p>
    <w:p w:rsidR="00C35BAE" w:rsidRDefault="00E27735">
      <w:pPr>
        <w:numPr>
          <w:ilvl w:val="0"/>
          <w:numId w:val="4"/>
        </w:numPr>
      </w:pPr>
      <w:r>
        <w:t>1.- Las infracciones al presente Reglamento serán denunciadas, bien directamente, bien a instancia de los vigilantes de estacionamiento, por la Policía Local, ya sea en la misma vía pública o en las oficinas municipales.</w:t>
      </w:r>
    </w:p>
    <w:p w:rsidR="00C35BAE" w:rsidRDefault="00E27735">
      <w:pPr>
        <w:ind w:left="-15"/>
      </w:pPr>
      <w:r>
        <w:t>6.2.- Dichas infracciones, por</w:t>
      </w:r>
      <w:r>
        <w:t xml:space="preserve"> exceso de tiempo respecto al autorizado, por falseamiento de documento outilización indebida del mismo, por estacionamiento en la zona que afecte a la fluidez o seguridad de la circulación, o por otras causas, se considerarán como infracciones a la Ley de</w:t>
      </w:r>
      <w:r>
        <w:t xml:space="preserve"> Tráfico y Seguridad Vial (Real Decreto Legislativo 339 de 1990, de 2 de marzo).</w:t>
      </w:r>
    </w:p>
    <w:p w:rsidR="00C35BAE" w:rsidRDefault="00E27735">
      <w:pPr>
        <w:ind w:left="-15"/>
      </w:pPr>
      <w:r>
        <w:t>6.3.- Los agentes de la autoridad encargados de la vigilancia del tráfico podrán proceder a la retirada del vehículo de la vía pública y su depósito en el lugar habilitado a t</w:t>
      </w:r>
      <w:r>
        <w:t>al efecto, cuando no se halle provisto del tique que le habilite para el estacionamiento en las zonas limitadas en tiempo o exceda del tiempo autorizado, hasta que se logre la identificación del conductor.</w:t>
      </w:r>
    </w:p>
    <w:p w:rsidR="00C35BAE" w:rsidRDefault="00E27735">
      <w:pPr>
        <w:ind w:left="-15"/>
      </w:pPr>
      <w:r>
        <w:t>6.4.- Todo ello sin perjuicio de exigir el pago de</w:t>
      </w:r>
      <w:r>
        <w:t xml:space="preserve"> los correspondientes derechos fijados en la normativa reguladora de la Tasa, con las sanciones autorizadas en la Ley General Tributaria.</w:t>
      </w:r>
    </w:p>
    <w:p w:rsidR="00C35BAE" w:rsidRDefault="00E27735">
      <w:pPr>
        <w:spacing w:after="393"/>
        <w:ind w:left="-15"/>
      </w:pPr>
      <w:r>
        <w:t>6.5.- En el supuesto de perdida o extravío del ticket, supondrá una multa para el titular del vehículo de 10 euros, ob</w:t>
      </w:r>
      <w:r>
        <w:t>ligatoria para retirar el automóvil de la zona de aparcamiento.</w:t>
      </w:r>
    </w:p>
    <w:p w:rsidR="00C35BAE" w:rsidRDefault="00E27735">
      <w:pPr>
        <w:ind w:left="155" w:firstLine="0"/>
      </w:pPr>
      <w:r>
        <w:t>Disposición final.</w:t>
      </w:r>
    </w:p>
    <w:p w:rsidR="00C35BAE" w:rsidRDefault="00E27735">
      <w:pPr>
        <w:ind w:left="-15"/>
      </w:pPr>
      <w:r>
        <w:t>Primera.- La Alcaldía, en nombre propio o, por delegación, la Concejalía delegada de Tráfico y Seguridad Vial, quedará facultada para dictar cuantas órdenes e instrucciones resulten necesarios para el adecuado desarrollo e interpretación de esta Ordenanza.</w:t>
      </w:r>
    </w:p>
    <w:p w:rsidR="00C35BAE" w:rsidRDefault="00E27735">
      <w:pPr>
        <w:spacing w:after="393"/>
        <w:ind w:left="-15"/>
      </w:pPr>
      <w:r>
        <w:lastRenderedPageBreak/>
        <w:t>Segunda.- La presente Ordenanza, una vez aprobada definitivamente y publicada en la forma legalmente establecida, entrará en vigor conforme a lo previsto en el artículo 70.2 y concordantes de la Ley 7/1985, de 2 de abril, reguladora de las Bases del Régim</w:t>
      </w:r>
      <w:r>
        <w:t>en Local.</w:t>
      </w:r>
    </w:p>
    <w:p w:rsidR="00C35BAE" w:rsidRDefault="00E27735">
      <w:pPr>
        <w:ind w:left="155" w:firstLine="0"/>
      </w:pPr>
      <w:r>
        <w:t>En la Villa de Candelaria, a 21 de julio de 2008.</w:t>
      </w:r>
    </w:p>
    <w:p w:rsidR="00C35BAE" w:rsidRDefault="00E27735">
      <w:pPr>
        <w:ind w:left="-15"/>
      </w:pPr>
      <w:r>
        <w:t>El Alcalde-Presidente, José Gumersindo García Trujillo.</w:t>
      </w:r>
    </w:p>
    <w:sectPr w:rsidR="00C35BAE">
      <w:type w:val="continuous"/>
      <w:pgSz w:w="11900" w:h="16840"/>
      <w:pgMar w:top="1352" w:right="1552" w:bottom="400" w:left="1557" w:header="720" w:footer="720" w:gutter="0"/>
      <w:cols w:num="2" w:space="5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F2D"/>
    <w:multiLevelType w:val="hybridMultilevel"/>
    <w:tmpl w:val="D362E8A0"/>
    <w:lvl w:ilvl="0" w:tplc="D2D4B93E">
      <w:start w:val="2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2AB8A4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6D0B6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8E78AC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3880A4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1C41CE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BC2EA4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F85B54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4909A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A5F78"/>
    <w:multiLevelType w:val="hybridMultilevel"/>
    <w:tmpl w:val="80220C3E"/>
    <w:lvl w:ilvl="0" w:tplc="0958D7F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7C4150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4271B8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700E50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586866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589142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E4B3C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6A960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A91C4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145C38"/>
    <w:multiLevelType w:val="hybridMultilevel"/>
    <w:tmpl w:val="25BC2108"/>
    <w:lvl w:ilvl="0" w:tplc="90DE38B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F83356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0D024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FA4ABA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303B64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4E8CC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245A0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0A178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26070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CC0644"/>
    <w:multiLevelType w:val="hybridMultilevel"/>
    <w:tmpl w:val="256AB892"/>
    <w:lvl w:ilvl="0" w:tplc="5A6AE6B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F69FC6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C291C0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ED020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8ACD66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82898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AA1744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E2BE8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32382A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AE"/>
    <w:rsid w:val="00C35BAE"/>
    <w:rsid w:val="00E2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85D63-D55D-4753-B9DF-A9DEC493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9" w:line="216" w:lineRule="auto"/>
      <w:ind w:firstLine="14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COPIA - GIYS - Ilustre Ayuntamiento de Candelaria</dc:subject>
  <dc:creator>begoña.sarmiento</dc:creator>
  <cp:keywords/>
  <cp:lastModifiedBy>begoña.sarmiento</cp:lastModifiedBy>
  <cp:revision>2</cp:revision>
  <dcterms:created xsi:type="dcterms:W3CDTF">2024-01-24T12:02:00Z</dcterms:created>
  <dcterms:modified xsi:type="dcterms:W3CDTF">2024-01-24T12:02:00Z</dcterms:modified>
</cp:coreProperties>
</file>