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8A" w:rsidRDefault="002B40D1">
      <w:pPr>
        <w:spacing w:after="538" w:line="265" w:lineRule="auto"/>
        <w:ind w:left="-5" w:hanging="10"/>
      </w:pPr>
      <w:r>
        <w:rPr>
          <w:rFonts w:ascii="Times New Roman" w:eastAsia="Times New Roman" w:hAnsi="Times New Roman" w:cs="Times New Roman"/>
          <w:color w:val="181717"/>
          <w:sz w:val="16"/>
        </w:rPr>
        <w:t>29051</w:t>
      </w:r>
    </w:p>
    <w:p w:rsidR="0049318A" w:rsidRDefault="002B40D1">
      <w:pPr>
        <w:spacing w:after="167"/>
        <w:ind w:left="305" w:hanging="10"/>
        <w:jc w:val="center"/>
      </w:pPr>
      <w:r>
        <w:rPr>
          <w:rFonts w:ascii="Times New Roman" w:eastAsia="Times New Roman" w:hAnsi="Times New Roman" w:cs="Times New Roman"/>
          <w:b/>
          <w:color w:val="181717"/>
        </w:rPr>
        <w:t>VILLA DE CANDELARIA</w:t>
      </w:r>
    </w:p>
    <w:p w:rsidR="0049318A" w:rsidRDefault="002B40D1">
      <w:pPr>
        <w:spacing w:after="6"/>
        <w:ind w:left="305" w:right="12" w:hanging="10"/>
        <w:jc w:val="center"/>
      </w:pPr>
      <w:r>
        <w:rPr>
          <w:rFonts w:ascii="Times New Roman" w:eastAsia="Times New Roman" w:hAnsi="Times New Roman" w:cs="Times New Roman"/>
          <w:b/>
          <w:color w:val="181717"/>
        </w:rPr>
        <w:t>ANUNCIO</w:t>
      </w:r>
    </w:p>
    <w:p w:rsidR="0049318A" w:rsidRDefault="002B40D1">
      <w:pPr>
        <w:tabs>
          <w:tab w:val="center" w:pos="566"/>
          <w:tab w:val="right" w:pos="9156"/>
        </w:tabs>
        <w:spacing w:after="9"/>
      </w:pPr>
      <w:r>
        <w:tab/>
      </w:r>
      <w:r>
        <w:rPr>
          <w:rFonts w:ascii="Times New Roman" w:eastAsia="Times New Roman" w:hAnsi="Times New Roman" w:cs="Times New Roman"/>
          <w:b/>
          <w:color w:val="181717"/>
          <w:sz w:val="20"/>
        </w:rPr>
        <w:t xml:space="preserve">5551 </w:t>
      </w:r>
      <w:r>
        <w:rPr>
          <w:rFonts w:ascii="Times New Roman" w:eastAsia="Times New Roman" w:hAnsi="Times New Roman" w:cs="Times New Roman"/>
          <w:b/>
          <w:color w:val="181717"/>
          <w:sz w:val="20"/>
        </w:rPr>
        <w:tab/>
        <w:t>235764</w:t>
      </w:r>
    </w:p>
    <w:p w:rsidR="0049318A" w:rsidRDefault="002B40D1">
      <w:pPr>
        <w:spacing w:after="4" w:line="249" w:lineRule="auto"/>
        <w:ind w:left="1845" w:right="504" w:hanging="10"/>
        <w:jc w:val="both"/>
      </w:pPr>
      <w:r>
        <w:rPr>
          <w:rFonts w:ascii="Arial" w:eastAsia="Arial" w:hAnsi="Arial" w:cs="Arial"/>
          <w:b/>
          <w:sz w:val="18"/>
        </w:rPr>
        <w:t xml:space="preserve">Por el presente se publica que el Ayuntamiento Pleno en sesión </w:t>
      </w:r>
    </w:p>
    <w:p w:rsidR="0049318A" w:rsidRDefault="002B40D1">
      <w:pPr>
        <w:spacing w:after="106" w:line="249" w:lineRule="auto"/>
        <w:ind w:left="797" w:right="504" w:hanging="10"/>
        <w:jc w:val="both"/>
      </w:pPr>
      <w:r>
        <w:rPr>
          <w:rFonts w:ascii="Arial" w:eastAsia="Arial" w:hAnsi="Arial" w:cs="Arial"/>
          <w:b/>
          <w:sz w:val="18"/>
        </w:rPr>
        <w:t xml:space="preserve">ordinaria celebrada el 27 de noviembre de 2025 adoptó el siguiente ACUERDO cuyo contenido literal es:  </w:t>
      </w:r>
    </w:p>
    <w:p w:rsidR="0049318A" w:rsidRDefault="002B40D1">
      <w:pPr>
        <w:spacing w:after="4" w:line="249" w:lineRule="auto"/>
        <w:ind w:left="812" w:right="516" w:hanging="10"/>
        <w:jc w:val="both"/>
      </w:pPr>
      <w:r>
        <w:rPr>
          <w:rFonts w:ascii="Arial" w:eastAsia="Arial" w:hAnsi="Arial" w:cs="Arial"/>
          <w:b/>
          <w:sz w:val="20"/>
        </w:rPr>
        <w:t xml:space="preserve">2.- </w:t>
      </w:r>
      <w:r>
        <w:rPr>
          <w:rFonts w:ascii="Arial" w:eastAsia="Arial" w:hAnsi="Arial" w:cs="Arial"/>
          <w:b/>
          <w:sz w:val="20"/>
          <w:u w:val="single" w:color="000000"/>
        </w:rPr>
        <w:t>Expediente 8908/2025</w:t>
      </w:r>
      <w:r>
        <w:rPr>
          <w:rFonts w:ascii="Arial" w:eastAsia="Arial" w:hAnsi="Arial" w:cs="Arial"/>
          <w:b/>
          <w:sz w:val="20"/>
        </w:rPr>
        <w:t xml:space="preserve">. </w:t>
      </w:r>
      <w:r>
        <w:rPr>
          <w:rFonts w:ascii="Arial" w:eastAsia="Arial" w:hAnsi="Arial" w:cs="Arial"/>
          <w:b/>
          <w:sz w:val="20"/>
        </w:rPr>
        <w:t>Propuesta del Concejal delegado de Hacienda para desestimar las alegaciones presentadas durante el periodo de</w:t>
      </w:r>
      <w:bookmarkStart w:id="0" w:name="_GoBack"/>
      <w:bookmarkEnd w:id="0"/>
      <w:r>
        <w:rPr>
          <w:rFonts w:ascii="Arial" w:eastAsia="Arial" w:hAnsi="Arial" w:cs="Arial"/>
          <w:b/>
          <w:sz w:val="20"/>
        </w:rPr>
        <w:t xml:space="preserve"> exposición al público y la aprobación definitiva de la modificación de la Ordenanza reguladora de la prestación patrimonial de carácter público no</w:t>
      </w:r>
      <w:r>
        <w:rPr>
          <w:rFonts w:ascii="Arial" w:eastAsia="Arial" w:hAnsi="Arial" w:cs="Arial"/>
          <w:b/>
          <w:sz w:val="20"/>
        </w:rPr>
        <w:t xml:space="preserve"> tributario de los servicios municipales de gestión del ciclo integral del agua del Ayuntamiento de la Villa de Candelaria. </w:t>
      </w:r>
    </w:p>
    <w:p w:rsidR="0049318A" w:rsidRDefault="002B40D1">
      <w:pPr>
        <w:spacing w:after="0"/>
        <w:ind w:left="802"/>
      </w:pPr>
      <w:r>
        <w:rPr>
          <w:rFonts w:ascii="Arial" w:eastAsia="Arial" w:hAnsi="Arial" w:cs="Arial"/>
          <w:b/>
          <w:sz w:val="20"/>
        </w:rPr>
        <w:t xml:space="preserve"> </w:t>
      </w:r>
    </w:p>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49318A">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49318A" w:rsidRDefault="002B40D1">
            <w:pPr>
              <w:spacing w:after="0"/>
              <w:jc w:val="center"/>
            </w:pPr>
            <w:r>
              <w:rPr>
                <w:rFonts w:ascii="Arial" w:eastAsia="Arial" w:hAnsi="Arial" w:cs="Arial"/>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Fecha: 15-01-2026 09:40:31</w:t>
            </w:r>
          </w:p>
        </w:tc>
        <w:tc>
          <w:tcPr>
            <w:tcW w:w="1600" w:type="dxa"/>
            <w:vMerge w:val="restart"/>
            <w:tcBorders>
              <w:top w:val="single" w:sz="4" w:space="0" w:color="000000"/>
              <w:left w:val="single" w:sz="4" w:space="0" w:color="000000"/>
              <w:bottom w:val="single" w:sz="4" w:space="0" w:color="000000"/>
              <w:right w:val="single" w:sz="4" w:space="0" w:color="000000"/>
            </w:tcBorders>
          </w:tcPr>
          <w:p w:rsidR="0049318A" w:rsidRDefault="002B40D1">
            <w:pPr>
              <w:spacing w:after="0"/>
              <w:ind w:left="290"/>
            </w:pPr>
            <w:r>
              <w:rPr>
                <w:noProof/>
              </w:rPr>
              <w:drawing>
                <wp:inline distT="0" distB="0" distL="0" distR="0">
                  <wp:extent cx="571500" cy="571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571500" cy="571500"/>
                          </a:xfrm>
                          <a:prstGeom prst="rect">
                            <a:avLst/>
                          </a:prstGeom>
                        </pic:spPr>
                      </pic:pic>
                    </a:graphicData>
                  </a:graphic>
                </wp:inline>
              </w:drawing>
            </w:r>
          </w:p>
        </w:tc>
      </w:tr>
      <w:tr w:rsidR="0049318A">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spacing w:after="51"/>
              <w:jc w:val="center"/>
            </w:pPr>
            <w:r>
              <w:rPr>
                <w:rFonts w:ascii="Arial" w:eastAsia="Arial" w:hAnsi="Arial" w:cs="Arial"/>
                <w:sz w:val="12"/>
              </w:rPr>
              <w:t>Código Seguro de Verificación (CSV): 373CADAA2E9BB6D12243988352F7A5CA</w:t>
            </w:r>
          </w:p>
          <w:p w:rsidR="0049318A" w:rsidRDefault="002B40D1">
            <w:pPr>
              <w:spacing w:after="0"/>
              <w:jc w:val="center"/>
            </w:pPr>
            <w:r>
              <w:rPr>
                <w:rFonts w:ascii="Arial" w:eastAsia="Arial" w:hAnsi="Arial" w:cs="Arial"/>
                <w:sz w:val="12"/>
              </w:rPr>
              <w:t>Comprobación CSV:  https://sedeelectronica.candelaria.es//publico/documento/373CADAA2E9BB6D12243988352F7A5CA .</w:t>
            </w:r>
          </w:p>
        </w:tc>
        <w:tc>
          <w:tcPr>
            <w:tcW w:w="0" w:type="auto"/>
            <w:vMerge/>
            <w:tcBorders>
              <w:top w:val="nil"/>
              <w:left w:val="single" w:sz="4" w:space="0" w:color="000000"/>
              <w:bottom w:val="nil"/>
              <w:right w:val="single" w:sz="4" w:space="0" w:color="000000"/>
            </w:tcBorders>
          </w:tcPr>
          <w:p w:rsidR="0049318A" w:rsidRDefault="0049318A"/>
        </w:tc>
      </w:tr>
      <w:tr w:rsidR="0049318A">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tabs>
                <w:tab w:val="center" w:pos="5177"/>
                <w:tab w:val="right" w:pos="9186"/>
              </w:tabs>
              <w:spacing w:after="0"/>
            </w:pPr>
            <w:r>
              <w:rPr>
                <w:rFonts w:ascii="Arial" w:eastAsia="Arial" w:hAnsi="Arial" w:cs="Arial"/>
                <w:sz w:val="12"/>
              </w:rPr>
              <w:t xml:space="preserve">Fecha de sellado electrónico: 15-01-2026 09:40:31                </w:t>
            </w:r>
            <w:r>
              <w:rPr>
                <w:rFonts w:ascii="Arial" w:eastAsia="Arial" w:hAnsi="Arial" w:cs="Arial"/>
                <w:sz w:val="12"/>
              </w:rPr>
              <w:tab/>
            </w:r>
            <w:r>
              <w:rPr>
                <w:rFonts w:ascii="Arial" w:eastAsia="Arial" w:hAnsi="Arial" w:cs="Arial"/>
                <w:color w:val="404040"/>
                <w:sz w:val="12"/>
              </w:rPr>
              <w:t>- 1/18 -</w:t>
            </w:r>
            <w:r>
              <w:rPr>
                <w:rFonts w:ascii="Arial" w:eastAsia="Arial" w:hAnsi="Arial" w:cs="Arial"/>
                <w:color w:val="404040"/>
                <w:sz w:val="12"/>
              </w:rPr>
              <w:tab/>
            </w:r>
            <w:r>
              <w:rPr>
                <w:rFonts w:ascii="Arial" w:eastAsia="Arial" w:hAnsi="Arial" w:cs="Arial"/>
                <w:sz w:val="12"/>
              </w:rPr>
              <w:t>Fecha de emisión de esta copia: 15-01-2026 09:40:31</w:t>
            </w:r>
          </w:p>
        </w:tc>
        <w:tc>
          <w:tcPr>
            <w:tcW w:w="0" w:type="auto"/>
            <w:vMerge/>
            <w:tcBorders>
              <w:top w:val="nil"/>
              <w:left w:val="single" w:sz="4" w:space="0" w:color="000000"/>
              <w:bottom w:val="single" w:sz="4" w:space="0" w:color="000000"/>
              <w:right w:val="single" w:sz="4" w:space="0" w:color="000000"/>
            </w:tcBorders>
          </w:tcPr>
          <w:p w:rsidR="0049318A" w:rsidRDefault="0049318A"/>
        </w:tc>
      </w:tr>
    </w:tbl>
    <w:p w:rsidR="0049318A" w:rsidRDefault="002B40D1">
      <w:pPr>
        <w:spacing w:after="4" w:line="249" w:lineRule="auto"/>
        <w:ind w:left="797" w:right="504" w:hanging="10"/>
        <w:jc w:val="both"/>
      </w:pPr>
      <w:r>
        <w:rPr>
          <w:rFonts w:ascii="Arial" w:eastAsia="Arial" w:hAnsi="Arial" w:cs="Arial"/>
          <w:b/>
          <w:sz w:val="18"/>
        </w:rPr>
        <w:t xml:space="preserve">De conformidad con el artículo 88.6 de la Ley 39/2015, de 1 de octubre, se transcriben de la certificación, los informes y propuestas que motivan el presente acuerdo. </w:t>
      </w:r>
    </w:p>
    <w:p w:rsidR="0049318A" w:rsidRDefault="002B40D1">
      <w:pPr>
        <w:spacing w:after="0"/>
        <w:ind w:left="802"/>
      </w:pPr>
      <w:r>
        <w:rPr>
          <w:rFonts w:ascii="Arial" w:eastAsia="Arial" w:hAnsi="Arial" w:cs="Arial"/>
          <w:b/>
          <w:sz w:val="18"/>
        </w:rPr>
        <w:t xml:space="preserve"> </w:t>
      </w:r>
    </w:p>
    <w:p w:rsidR="0049318A" w:rsidRDefault="002B40D1">
      <w:pPr>
        <w:spacing w:after="4" w:line="249" w:lineRule="auto"/>
        <w:ind w:left="797" w:right="504" w:hanging="10"/>
        <w:jc w:val="both"/>
      </w:pPr>
      <w:r>
        <w:rPr>
          <w:rFonts w:ascii="Arial" w:eastAsia="Arial" w:hAnsi="Arial" w:cs="Arial"/>
          <w:b/>
          <w:sz w:val="18"/>
        </w:rPr>
        <w:t xml:space="preserve">Consta en el expediente Informe de Intervención emitido por Don Nicolás Rojo Garnica, que desempeña el puesto de trabajo de Interventor Municipal, de 18 de noviembre de 2025, del siguiente tenor literal: </w:t>
      </w:r>
    </w:p>
    <w:p w:rsidR="0049318A" w:rsidRDefault="002B40D1">
      <w:pPr>
        <w:spacing w:after="0"/>
        <w:ind w:left="802"/>
      </w:pPr>
      <w:r>
        <w:rPr>
          <w:rFonts w:ascii="Arial" w:eastAsia="Arial" w:hAnsi="Arial" w:cs="Arial"/>
          <w:b/>
          <w:sz w:val="18"/>
        </w:rPr>
        <w:t xml:space="preserve"> </w:t>
      </w:r>
    </w:p>
    <w:p w:rsidR="0049318A" w:rsidRDefault="002B40D1">
      <w:pPr>
        <w:spacing w:after="0"/>
        <w:ind w:left="802"/>
      </w:pPr>
      <w:r>
        <w:rPr>
          <w:rFonts w:ascii="Arial" w:eastAsia="Arial" w:hAnsi="Arial" w:cs="Arial"/>
          <w:b/>
          <w:sz w:val="18"/>
        </w:rPr>
        <w:t xml:space="preserve"> </w:t>
      </w:r>
    </w:p>
    <w:p w:rsidR="0049318A" w:rsidRDefault="002B40D1">
      <w:pPr>
        <w:pStyle w:val="Ttulo1"/>
      </w:pPr>
      <w:r>
        <w:rPr>
          <w:rFonts w:ascii="Arial" w:eastAsia="Arial" w:hAnsi="Arial" w:cs="Arial"/>
        </w:rPr>
        <w:t xml:space="preserve">“ </w:t>
      </w:r>
      <w:r>
        <w:t xml:space="preserve">INFORME DE INTERVENCIÓN </w:t>
      </w:r>
      <w:r>
        <w:rPr>
          <w:b w:val="0"/>
        </w:rPr>
        <w:t xml:space="preserve"> </w:t>
      </w:r>
    </w:p>
    <w:p w:rsidR="0049318A" w:rsidRDefault="002B40D1">
      <w:pPr>
        <w:spacing w:after="24" w:line="249" w:lineRule="auto"/>
        <w:ind w:left="788" w:right="-496"/>
        <w:jc w:val="both"/>
      </w:pPr>
      <w:r>
        <w:rPr>
          <w:rFonts w:ascii="Arial" w:eastAsia="Arial" w:hAnsi="Arial" w:cs="Arial"/>
          <w:sz w:val="15"/>
        </w:rPr>
        <w:t>ALEGACIONES A LA MODIFICACIÓN DE LA ORDENANZA REGULADORA DE LA PRESTACIÓN PATRIMONIAL DE CARÁCTER PÚBLICO NO TRIBUTARIO DE LOS SERVICIOS MUNICIPALES DE GESTIÓN DEL CICLO INTEGRAL DEL AGUA DEL AYUNTAMIENTO DE LA VILLA DE CANDELARIA</w:t>
      </w:r>
      <w:r>
        <w:rPr>
          <w:noProof/>
        </w:rPr>
        <mc:AlternateContent>
          <mc:Choice Requires="wpg">
            <w:drawing>
              <wp:inline distT="0" distB="0" distL="0" distR="0">
                <wp:extent cx="5568434" cy="426858"/>
                <wp:effectExtent l="0" t="0" r="0" b="0"/>
                <wp:docPr id="48074" name="Group 48074"/>
                <wp:cNvGraphicFramePr/>
                <a:graphic xmlns:a="http://schemas.openxmlformats.org/drawingml/2006/main">
                  <a:graphicData uri="http://schemas.microsoft.com/office/word/2010/wordprocessingGroup">
                    <wpg:wgp>
                      <wpg:cNvGrpSpPr/>
                      <wpg:grpSpPr>
                        <a:xfrm>
                          <a:off x="0" y="0"/>
                          <a:ext cx="5568434" cy="426858"/>
                          <a:chOff x="0" y="0"/>
                          <a:chExt cx="5568434" cy="426858"/>
                        </a:xfrm>
                      </wpg:grpSpPr>
                      <wps:wsp>
                        <wps:cNvPr id="107" name="Rectangle 107"/>
                        <wps:cNvSpPr/>
                        <wps:spPr>
                          <a:xfrm>
                            <a:off x="0" y="79546"/>
                            <a:ext cx="38547" cy="117296"/>
                          </a:xfrm>
                          <a:prstGeom prst="rect">
                            <a:avLst/>
                          </a:prstGeom>
                          <a:ln>
                            <a:noFill/>
                          </a:ln>
                        </wps:spPr>
                        <wps:txbx>
                          <w:txbxContent>
                            <w:p w:rsidR="0049318A" w:rsidRDefault="002B40D1">
                              <w:r>
                                <w:rPr>
                                  <w:rFonts w:ascii="Arial" w:eastAsia="Arial" w:hAnsi="Arial" w:cs="Arial"/>
                                  <w:sz w:val="15"/>
                                </w:rPr>
                                <w:t xml:space="preserve"> </w:t>
                              </w:r>
                            </w:p>
                          </w:txbxContent>
                        </wps:txbx>
                        <wps:bodyPr horzOverflow="overflow" vert="horz" lIns="0" tIns="0" rIns="0" bIns="0" rtlCol="0">
                          <a:noAutofit/>
                        </wps:bodyPr>
                      </wps:wsp>
                      <wps:wsp>
                        <wps:cNvPr id="108" name="Rectangle 108"/>
                        <wps:cNvSpPr/>
                        <wps:spPr>
                          <a:xfrm>
                            <a:off x="410016" y="191899"/>
                            <a:ext cx="34664" cy="111508"/>
                          </a:xfrm>
                          <a:prstGeom prst="rect">
                            <a:avLst/>
                          </a:prstGeom>
                          <a:ln>
                            <a:noFill/>
                          </a:ln>
                        </wps:spPr>
                        <wps:txbx>
                          <w:txbxContent>
                            <w:p w:rsidR="0049318A" w:rsidRDefault="002B40D1">
                              <w:r>
                                <w:rPr>
                                  <w:rFonts w:ascii="Times New Roman" w:eastAsia="Times New Roman" w:hAnsi="Times New Roman" w:cs="Times New Roman"/>
                                  <w:b/>
                                  <w:sz w:val="15"/>
                                </w:rPr>
                                <w:t xml:space="preserve"> </w:t>
                              </w:r>
                            </w:p>
                          </w:txbxContent>
                        </wps:txbx>
                        <wps:bodyPr horzOverflow="overflow" vert="horz" lIns="0" tIns="0" rIns="0" bIns="0" rtlCol="0">
                          <a:noAutofit/>
                        </wps:bodyPr>
                      </wps:wsp>
                      <wps:wsp>
                        <wps:cNvPr id="109" name="Rectangle 109"/>
                        <wps:cNvSpPr/>
                        <wps:spPr>
                          <a:xfrm>
                            <a:off x="410016" y="299488"/>
                            <a:ext cx="34664" cy="111508"/>
                          </a:xfrm>
                          <a:prstGeom prst="rect">
                            <a:avLst/>
                          </a:prstGeom>
                          <a:ln>
                            <a:noFill/>
                          </a:ln>
                        </wps:spPr>
                        <wps:txbx>
                          <w:txbxContent>
                            <w:p w:rsidR="0049318A" w:rsidRDefault="002B40D1">
                              <w:r>
                                <w:rPr>
                                  <w:rFonts w:ascii="Times New Roman" w:eastAsia="Times New Roman" w:hAnsi="Times New Roman" w:cs="Times New Roman"/>
                                  <w:b/>
                                  <w:sz w:val="15"/>
                                </w:rPr>
                                <w:t xml:space="preserve"> </w:t>
                              </w:r>
                            </w:p>
                          </w:txbxContent>
                        </wps:txbx>
                        <wps:bodyPr horzOverflow="overflow" vert="horz" lIns="0" tIns="0" rIns="0" bIns="0" rtlCol="0">
                          <a:noAutofit/>
                        </wps:bodyPr>
                      </wps:wsp>
                      <wps:wsp>
                        <wps:cNvPr id="288" name="Shape 288"/>
                        <wps:cNvSpPr/>
                        <wps:spPr>
                          <a:xfrm>
                            <a:off x="3429" y="156507"/>
                            <a:ext cx="5526569" cy="0"/>
                          </a:xfrm>
                          <a:custGeom>
                            <a:avLst/>
                            <a:gdLst/>
                            <a:ahLst/>
                            <a:cxnLst/>
                            <a:rect l="0" t="0" r="0" b="0"/>
                            <a:pathLst>
                              <a:path w="5526569">
                                <a:moveTo>
                                  <a:pt x="0" y="0"/>
                                </a:moveTo>
                                <a:lnTo>
                                  <a:pt x="5526569" y="0"/>
                                </a:lnTo>
                              </a:path>
                            </a:pathLst>
                          </a:custGeom>
                          <a:ln w="20986" cap="sq">
                            <a:miter lim="127000"/>
                          </a:ln>
                        </wps:spPr>
                        <wps:style>
                          <a:lnRef idx="1">
                            <a:srgbClr val="993366"/>
                          </a:lnRef>
                          <a:fillRef idx="0">
                            <a:srgbClr val="000000">
                              <a:alpha val="0"/>
                            </a:srgbClr>
                          </a:fillRef>
                          <a:effectRef idx="0">
                            <a:scrgbClr r="0" g="0" b="0"/>
                          </a:effectRef>
                          <a:fontRef idx="none"/>
                        </wps:style>
                        <wps:bodyPr/>
                      </wps:wsp>
                      <wps:wsp>
                        <wps:cNvPr id="57418" name="Shape 57418"/>
                        <wps:cNvSpPr/>
                        <wps:spPr>
                          <a:xfrm>
                            <a:off x="4977389" y="0"/>
                            <a:ext cx="591045" cy="426858"/>
                          </a:xfrm>
                          <a:custGeom>
                            <a:avLst/>
                            <a:gdLst/>
                            <a:ahLst/>
                            <a:cxnLst/>
                            <a:rect l="0" t="0" r="0" b="0"/>
                            <a:pathLst>
                              <a:path w="591045" h="426858">
                                <a:moveTo>
                                  <a:pt x="0" y="0"/>
                                </a:moveTo>
                                <a:lnTo>
                                  <a:pt x="591045" y="0"/>
                                </a:lnTo>
                                <a:lnTo>
                                  <a:pt x="591045" y="426858"/>
                                </a:lnTo>
                                <a:lnTo>
                                  <a:pt x="0" y="426858"/>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48074" style="width:438.459pt;height:33.6109pt;mso-position-horizontal-relative:char;mso-position-vertical-relative:line" coordsize="55684,4268">
                <v:rect id="Rectangle 107" style="position:absolute;width:385;height:1172;left:0;top:795;" filled="f" stroked="f">
                  <v:textbox inset="0,0,0,0">
                    <w:txbxContent>
                      <w:p>
                        <w:pPr>
                          <w:spacing w:before="0" w:after="160" w:line="259" w:lineRule="auto"/>
                        </w:pPr>
                        <w:r>
                          <w:rPr>
                            <w:rFonts w:cs="Arial" w:hAnsi="Arial" w:eastAsia="Arial" w:ascii="Arial"/>
                            <w:sz w:val="15"/>
                          </w:rPr>
                          <w:t xml:space="preserve"> </w:t>
                        </w:r>
                      </w:p>
                    </w:txbxContent>
                  </v:textbox>
                </v:rect>
                <v:rect id="Rectangle 108" style="position:absolute;width:346;height:1115;left:4100;top:1918;" filled="f" stroked="f">
                  <v:textbox inset="0,0,0,0">
                    <w:txbxContent>
                      <w:p>
                        <w:pPr>
                          <w:spacing w:before="0" w:after="160" w:line="259" w:lineRule="auto"/>
                        </w:pPr>
                        <w:r>
                          <w:rPr>
                            <w:rFonts w:cs="Times New Roman" w:hAnsi="Times New Roman" w:eastAsia="Times New Roman" w:ascii="Times New Roman"/>
                            <w:b w:val="1"/>
                            <w:sz w:val="15"/>
                          </w:rPr>
                          <w:t xml:space="preserve"> </w:t>
                        </w:r>
                      </w:p>
                    </w:txbxContent>
                  </v:textbox>
                </v:rect>
                <v:rect id="Rectangle 109" style="position:absolute;width:346;height:1115;left:4100;top:2994;" filled="f" stroked="f">
                  <v:textbox inset="0,0,0,0">
                    <w:txbxContent>
                      <w:p>
                        <w:pPr>
                          <w:spacing w:before="0" w:after="160" w:line="259" w:lineRule="auto"/>
                        </w:pPr>
                        <w:r>
                          <w:rPr>
                            <w:rFonts w:cs="Times New Roman" w:hAnsi="Times New Roman" w:eastAsia="Times New Roman" w:ascii="Times New Roman"/>
                            <w:b w:val="1"/>
                            <w:sz w:val="15"/>
                          </w:rPr>
                          <w:t xml:space="preserve"> </w:t>
                        </w:r>
                      </w:p>
                    </w:txbxContent>
                  </v:textbox>
                </v:rect>
                <v:shape id="Shape 288" style="position:absolute;width:55265;height:0;left:34;top:1565;" coordsize="5526569,0" path="m0,0l5526569,0">
                  <v:stroke weight="1.65245pt" endcap="square" joinstyle="miter" miterlimit="10" on="true" color="#993366"/>
                  <v:fill on="false" color="#000000" opacity="0"/>
                </v:shape>
                <v:shape id="Shape 57419" style="position:absolute;width:5910;height:4268;left:49773;top:0;" coordsize="591045,426858" path="m0,0l591045,0l591045,426858l0,426858l0,0">
                  <v:stroke weight="0pt" endcap="square" joinstyle="miter" miterlimit="10" on="false" color="#000000" opacity="0"/>
                  <v:fill on="true" color="#fffefd"/>
                </v:shape>
              </v:group>
            </w:pict>
          </mc:Fallback>
        </mc:AlternateContent>
      </w:r>
      <w:r>
        <w:rPr>
          <w:rFonts w:ascii="Times New Roman" w:eastAsia="Times New Roman" w:hAnsi="Times New Roman" w:cs="Times New Roman"/>
          <w:sz w:val="15"/>
        </w:rPr>
        <w:t xml:space="preserve"> </w:t>
      </w:r>
    </w:p>
    <w:p w:rsidR="0049318A" w:rsidRDefault="002B40D1">
      <w:pPr>
        <w:spacing w:after="93" w:line="249" w:lineRule="auto"/>
        <w:ind w:left="788" w:right="516" w:firstLine="636"/>
        <w:jc w:val="both"/>
      </w:pPr>
      <w:r>
        <w:rPr>
          <w:rFonts w:ascii="Arial" w:eastAsia="Arial" w:hAnsi="Arial" w:cs="Arial"/>
          <w:sz w:val="15"/>
        </w:rPr>
        <w:t>Con fecha 2</w:t>
      </w:r>
      <w:r>
        <w:rPr>
          <w:rFonts w:ascii="Arial" w:eastAsia="Arial" w:hAnsi="Arial" w:cs="Arial"/>
          <w:sz w:val="15"/>
        </w:rPr>
        <w:t>5 de septiembre de 2025, se adoptó el acuerdo plenario de Aprobación de la modificación inicial de la ORDENANZA REGULADORA DE LA PRESTACIÓN PATRIMONIAL DE CARÁCTER PÚBLICO NO TRIBUTARIO DE LOS SERVICIOS MUNICIPALES DE GESTIÓN DEL CICLO INTEGRAL DEL AGUA DE</w:t>
      </w:r>
      <w:r>
        <w:rPr>
          <w:rFonts w:ascii="Arial" w:eastAsia="Arial" w:hAnsi="Arial" w:cs="Arial"/>
          <w:sz w:val="15"/>
        </w:rPr>
        <w:t xml:space="preserve">L AYUNTAMIENTO DE LA VILLA DE CANDELARIA, publicándose en el Boletín Oficial de la Provincia de fecha 3 de octubre de 2025 y exponiéndose al público desde el 6 de octubre al 14 de noviembre de 2025, adoptando la aplicación de las siguientes tarifas: </w:t>
      </w:r>
    </w:p>
    <w:p w:rsidR="0049318A" w:rsidRDefault="002B40D1">
      <w:pPr>
        <w:spacing w:after="169"/>
        <w:ind w:left="1830"/>
      </w:pPr>
      <w:r>
        <w:rPr>
          <w:rFonts w:ascii="Arial" w:eastAsia="Arial" w:hAnsi="Arial" w:cs="Arial"/>
          <w:b/>
          <w:sz w:val="15"/>
        </w:rPr>
        <w:t xml:space="preserve"> </w:t>
      </w:r>
    </w:p>
    <w:p w:rsidR="0049318A" w:rsidRDefault="002B40D1">
      <w:pPr>
        <w:spacing w:after="4"/>
        <w:ind w:left="1840" w:hanging="10"/>
      </w:pPr>
      <w:r>
        <w:rPr>
          <w:rFonts w:ascii="Arial" w:eastAsia="Arial" w:hAnsi="Arial" w:cs="Arial"/>
          <w:b/>
          <w:sz w:val="15"/>
        </w:rPr>
        <w:t xml:space="preserve">TARIFAS DE ABASTECIMIENTO </w:t>
      </w:r>
    </w:p>
    <w:tbl>
      <w:tblPr>
        <w:tblStyle w:val="TableGrid"/>
        <w:tblW w:w="5559" w:type="dxa"/>
        <w:tblInd w:w="2095" w:type="dxa"/>
        <w:tblCellMar>
          <w:top w:w="34" w:type="dxa"/>
          <w:left w:w="99" w:type="dxa"/>
          <w:bottom w:w="0" w:type="dxa"/>
          <w:right w:w="115" w:type="dxa"/>
        </w:tblCellMar>
        <w:tblLook w:val="04A0" w:firstRow="1" w:lastRow="0" w:firstColumn="1" w:lastColumn="0" w:noHBand="0" w:noVBand="1"/>
      </w:tblPr>
      <w:tblGrid>
        <w:gridCol w:w="2586"/>
        <w:gridCol w:w="2973"/>
      </w:tblGrid>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b/>
                <w:sz w:val="15"/>
              </w:rPr>
              <w:t xml:space="preserve">TARIFAS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PROPUESTAS AL PLENO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b/>
                <w:sz w:val="15"/>
              </w:rPr>
              <w:t>CONSUMO DOMÉSTICO</w:t>
            </w:r>
            <w:r>
              <w:rPr>
                <w:rFonts w:ascii="Arial" w:eastAsia="Arial" w:hAnsi="Arial" w:cs="Arial"/>
                <w:sz w:val="15"/>
              </w:rPr>
              <w:t xml:space="preserve">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62"/>
              <w:jc w:val="center"/>
            </w:pPr>
            <w:r>
              <w:rPr>
                <w:rFonts w:ascii="Arial" w:eastAsia="Arial" w:hAnsi="Arial" w:cs="Arial"/>
                <w:sz w:val="15"/>
              </w:rPr>
              <w:t xml:space="preserve">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15,41 €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0,64 €/m3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w:t>
            </w:r>
            <w:r>
              <w:rPr>
                <w:rFonts w:ascii="Arial" w:eastAsia="Arial" w:hAnsi="Arial" w:cs="Arial"/>
                <w:sz w:val="15"/>
              </w:rPr>
              <w:t xml:space="preserve">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1,30 €/m3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i/>
                <w:sz w:val="15"/>
              </w:rPr>
              <w:t xml:space="preserve">De 31 a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2,38 €/m3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9"/>
              <w:jc w:val="center"/>
            </w:pPr>
            <w:r>
              <w:rPr>
                <w:rFonts w:ascii="Arial" w:eastAsia="Arial" w:hAnsi="Arial" w:cs="Arial"/>
                <w:i/>
                <w:sz w:val="15"/>
              </w:rPr>
              <w:t xml:space="preserve">Más de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3,78 €/m3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4"/>
              <w:jc w:val="center"/>
            </w:pPr>
            <w:r>
              <w:rPr>
                <w:rFonts w:ascii="Arial" w:eastAsia="Arial" w:hAnsi="Arial" w:cs="Arial"/>
                <w:b/>
                <w:i/>
                <w:sz w:val="15"/>
              </w:rPr>
              <w:t xml:space="preserve">CONSUMO INDUSTRIAL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5"/>
              </w:rPr>
              <w:t xml:space="preserve">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i/>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22,99 €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0,97 €/m3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2,00 €/m3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lastRenderedPageBreak/>
              <w:t xml:space="preserve">De 31 a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3,08 €/m3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8"/>
              <w:jc w:val="center"/>
            </w:pPr>
            <w:r>
              <w:rPr>
                <w:rFonts w:ascii="Arial" w:eastAsia="Arial" w:hAnsi="Arial" w:cs="Arial"/>
                <w:i/>
                <w:sz w:val="15"/>
              </w:rPr>
              <w:t xml:space="preserve">Más de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4,28 €/m3 </w:t>
            </w:r>
          </w:p>
        </w:tc>
      </w:tr>
    </w:tbl>
    <w:p w:rsidR="0049318A" w:rsidRDefault="002B40D1">
      <w:pPr>
        <w:spacing w:after="691" w:line="265" w:lineRule="auto"/>
        <w:ind w:left="10" w:right="-15" w:hanging="10"/>
        <w:jc w:val="right"/>
      </w:pPr>
      <w:r>
        <w:rPr>
          <w:rFonts w:ascii="Times New Roman" w:eastAsia="Times New Roman" w:hAnsi="Times New Roman" w:cs="Times New Roman"/>
          <w:color w:val="181717"/>
          <w:sz w:val="16"/>
        </w:rPr>
        <w:t>29052</w:t>
      </w:r>
    </w:p>
    <w:p w:rsidR="0049318A" w:rsidRDefault="002B40D1">
      <w:pPr>
        <w:spacing w:after="169"/>
        <w:ind w:left="1029"/>
      </w:pPr>
      <w:r>
        <w:rPr>
          <w:rFonts w:ascii="Arial" w:eastAsia="Arial" w:hAnsi="Arial" w:cs="Arial"/>
          <w:sz w:val="15"/>
        </w:rPr>
        <w:t xml:space="preserve"> </w:t>
      </w:r>
    </w:p>
    <w:p w:rsidR="0049318A" w:rsidRDefault="002B40D1">
      <w:pPr>
        <w:spacing w:after="51"/>
        <w:ind w:left="1028" w:hanging="10"/>
      </w:pPr>
      <w:r>
        <w:rPr>
          <w:rFonts w:ascii="Arial" w:eastAsia="Arial" w:hAnsi="Arial" w:cs="Arial"/>
          <w:b/>
          <w:sz w:val="15"/>
        </w:rPr>
        <w:t xml:space="preserve">TARIFAS DE SANEAMIENTO </w:t>
      </w:r>
    </w:p>
    <w:p w:rsidR="0049318A" w:rsidRDefault="002B40D1">
      <w:pPr>
        <w:spacing w:after="0"/>
        <w:ind w:left="1029"/>
      </w:pPr>
      <w:r>
        <w:rPr>
          <w:rFonts w:ascii="Arial" w:eastAsia="Arial" w:hAnsi="Arial" w:cs="Arial"/>
          <w:sz w:val="15"/>
        </w:rPr>
        <w:t xml:space="preserve"> </w:t>
      </w:r>
    </w:p>
    <w:tbl>
      <w:tblPr>
        <w:tblStyle w:val="TableGrid"/>
        <w:tblW w:w="4407" w:type="dxa"/>
        <w:tblInd w:w="1445" w:type="dxa"/>
        <w:tblCellMar>
          <w:top w:w="46" w:type="dxa"/>
          <w:left w:w="99" w:type="dxa"/>
          <w:bottom w:w="0" w:type="dxa"/>
          <w:right w:w="115" w:type="dxa"/>
        </w:tblCellMar>
        <w:tblLook w:val="04A0" w:firstRow="1" w:lastRow="0" w:firstColumn="1" w:lastColumn="0" w:noHBand="0" w:noVBand="1"/>
      </w:tblPr>
      <w:tblGrid>
        <w:gridCol w:w="2776"/>
        <w:gridCol w:w="1631"/>
      </w:tblGrid>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b/>
                <w:sz w:val="15"/>
              </w:rPr>
              <w:t>CONSUMO DOMÉSTICO</w:t>
            </w:r>
            <w:r>
              <w:rPr>
                <w:rFonts w:ascii="Arial" w:eastAsia="Arial" w:hAnsi="Arial" w:cs="Arial"/>
                <w:sz w:val="15"/>
              </w:rPr>
              <w:t xml:space="preserve">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5"/>
              </w:rPr>
              <w:t>IMPORTE</w:t>
            </w:r>
            <w:r>
              <w:rPr>
                <w:rFonts w:ascii="Arial" w:eastAsia="Arial" w:hAnsi="Arial" w:cs="Arial"/>
                <w:sz w:val="15"/>
              </w:rPr>
              <w:t xml:space="preserve">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 xml:space="preserve">Mínimo de 10 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1,89 € </w:t>
            </w:r>
          </w:p>
        </w:tc>
      </w:tr>
      <w:tr w:rsidR="0049318A">
        <w:trPr>
          <w:trHeight w:val="355"/>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i/>
                <w:sz w:val="15"/>
              </w:rPr>
              <w:t xml:space="preserve">Más de 10 </w:t>
            </w:r>
            <w:r>
              <w:rPr>
                <w:rFonts w:ascii="Arial" w:eastAsia="Arial" w:hAnsi="Arial" w:cs="Arial"/>
                <w:sz w:val="15"/>
              </w:rPr>
              <w:t xml:space="preserve">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0,19 €/m3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b/>
                <w:sz w:val="15"/>
              </w:rPr>
              <w:t>CONSUMO INDUSTRIAL</w:t>
            </w:r>
            <w:r>
              <w:rPr>
                <w:rFonts w:ascii="Arial" w:eastAsia="Arial" w:hAnsi="Arial" w:cs="Arial"/>
                <w:sz w:val="15"/>
              </w:rPr>
              <w:t xml:space="preserve">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Mínimo 10 m3</w:t>
            </w:r>
            <w:r>
              <w:rPr>
                <w:rFonts w:ascii="Arial" w:eastAsia="Arial" w:hAnsi="Arial" w:cs="Arial"/>
                <w:sz w:val="15"/>
              </w:rPr>
              <w:t xml:space="preserve">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2.17 €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 xml:space="preserve">Más de 10 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0,22 €/m3 </w:t>
            </w:r>
          </w:p>
        </w:tc>
      </w:tr>
    </w:tbl>
    <w:p w:rsidR="0049318A" w:rsidRDefault="002B40D1">
      <w:pPr>
        <w:spacing w:after="86"/>
        <w:ind w:left="646"/>
      </w:pPr>
      <w:r>
        <w:rPr>
          <w:rFonts w:ascii="Arial" w:eastAsia="Arial" w:hAnsi="Arial" w:cs="Arial"/>
          <w:sz w:val="15"/>
        </w:rPr>
        <w:t xml:space="preserve"> </w:t>
      </w:r>
    </w:p>
    <w:p w:rsidR="0049318A" w:rsidRDefault="002B40D1">
      <w:pPr>
        <w:spacing w:after="0"/>
        <w:ind w:left="646"/>
      </w:pPr>
      <w:r>
        <w:rPr>
          <w:rFonts w:ascii="Arial" w:eastAsia="Arial" w:hAnsi="Arial" w:cs="Arial"/>
          <w:sz w:val="15"/>
        </w:rPr>
        <w:t xml:space="preserve"> </w:t>
      </w:r>
    </w:p>
    <w:p w:rsidR="0049318A" w:rsidRDefault="002B40D1">
      <w:pPr>
        <w:spacing w:after="0" w:line="249" w:lineRule="auto"/>
        <w:ind w:right="515" w:firstLine="636"/>
        <w:jc w:val="both"/>
      </w:pPr>
      <w:r>
        <w:rPr>
          <w:rFonts w:ascii="Arial" w:eastAsia="Arial" w:hAnsi="Arial" w:cs="Arial"/>
          <w:sz w:val="15"/>
        </w:rPr>
        <w:t>Con fecha 30 de septiembre de 2025, se remitió el acuerdo</w:t>
      </w:r>
      <w:r>
        <w:rPr>
          <w:rFonts w:ascii="Arial" w:eastAsia="Arial" w:hAnsi="Arial" w:cs="Arial"/>
          <w:b/>
          <w:sz w:val="15"/>
        </w:rPr>
        <w:t xml:space="preserve"> </w:t>
      </w:r>
      <w:r>
        <w:rPr>
          <w:rFonts w:ascii="Arial" w:eastAsia="Arial" w:hAnsi="Arial" w:cs="Arial"/>
          <w:sz w:val="15"/>
        </w:rPr>
        <w:t xml:space="preserve">adoptado a la Comisión Territorial de precios de la Consejería de Turismo, Industria y Comercio del Gobierno de Canarias a efectos del informe preceptivo en virtud del régimen de precios autorizados de ámbito autonómico, conforme el Decreto 3173/1983 de 9 </w:t>
      </w:r>
      <w:r>
        <w:rPr>
          <w:rFonts w:ascii="Arial" w:eastAsia="Arial" w:hAnsi="Arial" w:cs="Arial"/>
          <w:sz w:val="15"/>
        </w:rPr>
        <w:t xml:space="preserve">de noviembre, pero solamente en cuanto a las tarifas de abastecimiento, no a las de saneamiento, que no están sujetas a informe. </w:t>
      </w:r>
    </w:p>
    <w:p w:rsidR="0049318A" w:rsidRDefault="002B40D1">
      <w:pPr>
        <w:spacing w:after="0"/>
        <w:ind w:left="646"/>
      </w:pPr>
      <w:r>
        <w:rPr>
          <w:rFonts w:ascii="Arial" w:eastAsia="Arial" w:hAnsi="Arial" w:cs="Arial"/>
          <w:sz w:val="15"/>
        </w:rPr>
        <w:t xml:space="preserve"> </w:t>
      </w:r>
    </w:p>
    <w:p w:rsidR="0049318A" w:rsidRDefault="002B40D1">
      <w:pPr>
        <w:spacing w:after="93" w:line="249" w:lineRule="auto"/>
        <w:ind w:right="523" w:firstLine="636"/>
        <w:jc w:val="both"/>
      </w:pPr>
      <w:r>
        <w:rPr>
          <w:rFonts w:ascii="Arial" w:eastAsia="Arial" w:hAnsi="Arial" w:cs="Arial"/>
          <w:sz w:val="15"/>
        </w:rPr>
        <w:t>Con fecha 9 de noviembre de 2025, se presentan alegaciones a la presente Ordenanza, durante el periodo de exposición al públ</w:t>
      </w:r>
      <w:r>
        <w:rPr>
          <w:rFonts w:ascii="Arial" w:eastAsia="Arial" w:hAnsi="Arial" w:cs="Arial"/>
          <w:sz w:val="15"/>
        </w:rPr>
        <w:t xml:space="preserve">ico, por el partido Unidas Sí Podemos, integrado en el Grupo Mixto, que podemos sintetizar en: </w:t>
      </w:r>
    </w:p>
    <w:p w:rsidR="0049318A" w:rsidRDefault="002B40D1">
      <w:pPr>
        <w:spacing w:after="0" w:line="249" w:lineRule="auto"/>
        <w:ind w:right="521" w:firstLine="636"/>
        <w:jc w:val="both"/>
      </w:pPr>
      <w:r>
        <w:rPr>
          <w:rFonts w:ascii="Arial" w:eastAsia="Arial" w:hAnsi="Arial" w:cs="Arial"/>
          <w:b/>
          <w:sz w:val="15"/>
        </w:rPr>
        <w:t>Alegación 1ª: Rechazo al incremento tarifario y exigencia de auditoría externa independiente</w:t>
      </w:r>
      <w:r>
        <w:rPr>
          <w:rFonts w:ascii="Arial" w:eastAsia="Arial" w:hAnsi="Arial" w:cs="Arial"/>
          <w:sz w:val="15"/>
        </w:rPr>
        <w:t>, después de tres subidas seguidas basado en una solicitud de la emp</w:t>
      </w:r>
      <w:r>
        <w:rPr>
          <w:rFonts w:ascii="Arial" w:eastAsia="Arial" w:hAnsi="Arial" w:cs="Arial"/>
          <w:sz w:val="15"/>
        </w:rPr>
        <w:t xml:space="preserve">resa concesionaria AQUALIA S.A. que alega un déficit actual de 549.000 euros, que genera dudas razonables sobre la fiabilidad de los cálculos de costes, debiendo la Corporación contratar una auditoría externa para contrastar la información.  </w:t>
      </w:r>
    </w:p>
    <w:p w:rsidR="0049318A" w:rsidRDefault="002B40D1">
      <w:pPr>
        <w:spacing w:after="0"/>
        <w:ind w:left="646"/>
      </w:pPr>
      <w:r>
        <w:rPr>
          <w:rFonts w:ascii="Arial" w:eastAsia="Arial" w:hAnsi="Arial" w:cs="Arial"/>
          <w:sz w:val="15"/>
        </w:rPr>
        <w:t xml:space="preserve"> </w:t>
      </w:r>
    </w:p>
    <w:p w:rsidR="0049318A" w:rsidRDefault="002B40D1">
      <w:pPr>
        <w:spacing w:after="0" w:line="249" w:lineRule="auto"/>
        <w:ind w:right="517" w:firstLine="636"/>
        <w:jc w:val="both"/>
      </w:pPr>
      <w:r>
        <w:rPr>
          <w:rFonts w:ascii="Arial" w:eastAsia="Arial" w:hAnsi="Arial" w:cs="Arial"/>
          <w:b/>
          <w:sz w:val="15"/>
        </w:rPr>
        <w:t>Alegación 2ª: ineficiencia en la gestión y pérdidas en la red,</w:t>
      </w:r>
      <w:r>
        <w:rPr>
          <w:rFonts w:ascii="Arial" w:eastAsia="Arial" w:hAnsi="Arial" w:cs="Arial"/>
          <w:sz w:val="15"/>
        </w:rPr>
        <w:t xml:space="preserve"> generando unas pérdidas de agua no controladas del 33,6% en la red municipal, lo que supone una pérdida económica de 796.000 euros anuales, que se repercuten en costes sobre las personas contri</w:t>
      </w:r>
      <w:r>
        <w:rPr>
          <w:rFonts w:ascii="Arial" w:eastAsia="Arial" w:hAnsi="Arial" w:cs="Arial"/>
          <w:sz w:val="15"/>
        </w:rPr>
        <w:t xml:space="preserve">buyentes del municipio, por lo que debe condicionarse la aprobación definitiva de la modificación tarifaria a la presentación, por parte de la Concejalía de Hacienda y de la empresa concesionaria, de un Plan Plurianual de Mejora del Rendimiento Hidráulico </w:t>
      </w:r>
      <w:r>
        <w:rPr>
          <w:rFonts w:ascii="Arial" w:eastAsia="Arial" w:hAnsi="Arial" w:cs="Arial"/>
          <w:sz w:val="15"/>
        </w:rPr>
        <w:t xml:space="preserve">de la red de abastecimiento, con objetivos de reducción de pérdidas definidos. </w:t>
      </w:r>
    </w:p>
    <w:p w:rsidR="0049318A" w:rsidRDefault="002B40D1">
      <w:pPr>
        <w:spacing w:after="0"/>
        <w:ind w:left="646"/>
      </w:pPr>
      <w:r>
        <w:rPr>
          <w:rFonts w:ascii="Arial" w:eastAsia="Arial" w:hAnsi="Arial" w:cs="Arial"/>
          <w:sz w:val="15"/>
        </w:rPr>
        <w:t xml:space="preserve"> </w:t>
      </w:r>
    </w:p>
    <w:p w:rsidR="0049318A" w:rsidRDefault="002B40D1">
      <w:pPr>
        <w:spacing w:after="93" w:line="249" w:lineRule="auto"/>
        <w:ind w:right="514" w:firstLine="636"/>
        <w:jc w:val="both"/>
      </w:pPr>
      <w:r>
        <w:rPr>
          <w:rFonts w:ascii="Arial" w:eastAsia="Arial" w:hAnsi="Arial" w:cs="Arial"/>
          <w:b/>
          <w:sz w:val="15"/>
        </w:rPr>
        <w:t>Alegación 3ª: falta de enfoque social y garantía del derecho humano al agua</w:t>
      </w:r>
      <w:r>
        <w:rPr>
          <w:rFonts w:ascii="Arial" w:eastAsia="Arial" w:hAnsi="Arial" w:cs="Arial"/>
          <w:sz w:val="15"/>
        </w:rPr>
        <w:t>, de la Ordenanza que omite mecanismos de protección a la ciudadanía vulnerable,  penalizando el ah</w:t>
      </w:r>
      <w:r>
        <w:rPr>
          <w:rFonts w:ascii="Arial" w:eastAsia="Arial" w:hAnsi="Arial" w:cs="Arial"/>
          <w:sz w:val="15"/>
        </w:rPr>
        <w:t>orro y el bajo consumo, por lo que se solicita  la eliminación de la Cuota Fija de Abastecimiento para el uso doméstico, o en su defecto, una reducción sustancial de la misma, trasladando el coste a los tramos de consumo más altos (Bloques 3 y 4) para fome</w:t>
      </w:r>
      <w:r>
        <w:rPr>
          <w:rFonts w:ascii="Arial" w:eastAsia="Arial" w:hAnsi="Arial" w:cs="Arial"/>
          <w:sz w:val="15"/>
        </w:rPr>
        <w:t>ntar el ahorro y la progresividad, la inclusión de una Tarifa Social que garantice un mínimo vital de agua gratuito o a coste social para aquellas personas usuarias que acrediten su situación de vulnerabilidad, la inclusión de medidas explícitas para evita</w:t>
      </w:r>
      <w:r>
        <w:rPr>
          <w:rFonts w:ascii="Arial" w:eastAsia="Arial" w:hAnsi="Arial" w:cs="Arial"/>
          <w:sz w:val="15"/>
        </w:rPr>
        <w:t xml:space="preserve">r el corte de suministro en todos los casos de vulnerabilidad económica debidamente acreditada, tal y como se contemplaba en reglamentos anteriores.  </w:t>
      </w:r>
    </w:p>
    <w:p w:rsidR="0049318A" w:rsidRDefault="002B40D1">
      <w:pPr>
        <w:spacing w:after="74"/>
        <w:ind w:left="646"/>
      </w:pPr>
      <w:r>
        <w:rPr>
          <w:rFonts w:ascii="Verdana" w:eastAsia="Verdana" w:hAnsi="Verdana" w:cs="Verdana"/>
          <w:sz w:val="15"/>
        </w:rPr>
        <w:t xml:space="preserve"> </w:t>
      </w:r>
    </w:p>
    <w:p w:rsidR="0049318A" w:rsidRDefault="002B40D1">
      <w:pPr>
        <w:spacing w:after="93" w:line="249" w:lineRule="auto"/>
        <w:ind w:right="518" w:firstLine="636"/>
        <w:jc w:val="both"/>
      </w:pPr>
      <w:r>
        <w:rPr>
          <w:rFonts w:ascii="Arial" w:eastAsia="Arial" w:hAnsi="Arial" w:cs="Arial"/>
          <w:b/>
          <w:sz w:val="15"/>
        </w:rPr>
        <w:t>Alegación 4ª: revisión del Reglamento de la Comisión de seguimiento y control del Servicio de Abastecim</w:t>
      </w:r>
      <w:r>
        <w:rPr>
          <w:rFonts w:ascii="Arial" w:eastAsia="Arial" w:hAnsi="Arial" w:cs="Arial"/>
          <w:b/>
          <w:sz w:val="15"/>
        </w:rPr>
        <w:t>iento de Agua Potable</w:t>
      </w:r>
      <w:r>
        <w:rPr>
          <w:rFonts w:ascii="Arial" w:eastAsia="Arial" w:hAnsi="Arial" w:cs="Arial"/>
          <w:sz w:val="15"/>
        </w:rPr>
        <w:t>, para que se incluya la presencia de concejales y concejalas de los grupos políticos de la oposición en dicha Comisión, se establezca la obligatoriedad de la presentación de Informes anuales de seguimiento y control de la gestión de l</w:t>
      </w:r>
      <w:r>
        <w:rPr>
          <w:rFonts w:ascii="Arial" w:eastAsia="Arial" w:hAnsi="Arial" w:cs="Arial"/>
          <w:sz w:val="15"/>
        </w:rPr>
        <w:t xml:space="preserve">a empresa concesionaria directamente al Pleno del Ayuntamiento para su debate y fiscalización pública.  </w:t>
      </w:r>
    </w:p>
    <w:p w:rsidR="0049318A" w:rsidRDefault="002B40D1">
      <w:pPr>
        <w:spacing w:after="84"/>
        <w:ind w:left="646"/>
      </w:pPr>
      <w:r>
        <w:rPr>
          <w:rFonts w:ascii="Arial" w:eastAsia="Arial" w:hAnsi="Arial" w:cs="Arial"/>
          <w:sz w:val="15"/>
        </w:rPr>
        <w:t xml:space="preserve"> </w:t>
      </w:r>
    </w:p>
    <w:p w:rsidR="0049318A" w:rsidRDefault="002B40D1">
      <w:pPr>
        <w:spacing w:after="93" w:line="249" w:lineRule="auto"/>
        <w:ind w:right="524" w:firstLine="636"/>
        <w:jc w:val="both"/>
      </w:pPr>
      <w:r>
        <w:rPr>
          <w:rFonts w:ascii="Arial" w:eastAsia="Arial" w:hAnsi="Arial" w:cs="Arial"/>
          <w:sz w:val="15"/>
        </w:rPr>
        <w:t>A diferencia de lo que sucede en el procedimiento para aprobar los presupuestos locales, no se tasan en el Texto Refundido de la Ley Reguladora de la</w:t>
      </w:r>
      <w:r>
        <w:rPr>
          <w:rFonts w:ascii="Arial" w:eastAsia="Arial" w:hAnsi="Arial" w:cs="Arial"/>
          <w:sz w:val="15"/>
        </w:rPr>
        <w:t xml:space="preserve">s Haciendas Locales y en otras normas de aplicación general (LRBRL, Ley 39/2015 de Procedimiento Administrativo común) los supuestos por los que se pueden presentar alegaciones o reclamaciones contra las ordenanzas no fiscales. </w:t>
      </w:r>
    </w:p>
    <w:p w:rsidR="0049318A" w:rsidRDefault="002B40D1">
      <w:pPr>
        <w:spacing w:after="1114" w:line="265" w:lineRule="auto"/>
        <w:ind w:left="-5" w:hanging="10"/>
      </w:pPr>
      <w:r>
        <w:rPr>
          <w:rFonts w:ascii="Times New Roman" w:eastAsia="Times New Roman" w:hAnsi="Times New Roman" w:cs="Times New Roman"/>
          <w:color w:val="181717"/>
          <w:sz w:val="16"/>
        </w:rPr>
        <w:t>29053</w:t>
      </w:r>
    </w:p>
    <w:p w:rsidR="0049318A" w:rsidRDefault="002B40D1">
      <w:pPr>
        <w:spacing w:after="289" w:line="249" w:lineRule="auto"/>
        <w:ind w:left="788" w:right="46" w:firstLine="328"/>
        <w:jc w:val="both"/>
      </w:pPr>
      <w:r>
        <w:rPr>
          <w:rFonts w:ascii="Arial" w:eastAsia="Arial" w:hAnsi="Arial" w:cs="Arial"/>
          <w:sz w:val="15"/>
        </w:rPr>
        <w:lastRenderedPageBreak/>
        <w:t>Con respecto a la pri</w:t>
      </w:r>
      <w:r>
        <w:rPr>
          <w:rFonts w:ascii="Arial" w:eastAsia="Arial" w:hAnsi="Arial" w:cs="Arial"/>
          <w:sz w:val="15"/>
        </w:rPr>
        <w:t>mera alegación, relativa a considerar desproporcionada y abusiva una nueva subida media del 8,6%, después de otra subida en un mismo año, señalar que el artículo 36 del Pliego  de Condiciones Económico-Administrativas y Jurídicas que han de regir el concur</w:t>
      </w:r>
      <w:r>
        <w:rPr>
          <w:rFonts w:ascii="Arial" w:eastAsia="Arial" w:hAnsi="Arial" w:cs="Arial"/>
          <w:sz w:val="15"/>
        </w:rPr>
        <w:t>so para la concesión de la gestión de los servicios municipales de abastecimiento de agua y saneamiento del municipio de Candelaria, regula que “las tarifas de los servicios serán revisadas con la antelación suficiente para que puedan entrar en vigor el un</w:t>
      </w:r>
      <w:r>
        <w:rPr>
          <w:rFonts w:ascii="Arial" w:eastAsia="Arial" w:hAnsi="Arial" w:cs="Arial"/>
          <w:sz w:val="15"/>
        </w:rPr>
        <w:t xml:space="preserve">o de enero de cada año” y el artículo 28, que señala “que el Ayuntamiento se compromete a mantener el equilibrio económico financiero del contrato, por lo que revisará periódicamente las tarifas aplicables a los servicios”. Por tanto, los Pliegos, que son </w:t>
      </w:r>
      <w:r>
        <w:rPr>
          <w:rFonts w:ascii="Arial" w:eastAsia="Arial" w:hAnsi="Arial" w:cs="Arial"/>
          <w:sz w:val="15"/>
        </w:rPr>
        <w:t xml:space="preserve">los verdaderos contratos que rigen la prestación de un servicio, establece, a través de este articulado, la revisión de las tarifas anual. </w:t>
      </w:r>
    </w:p>
    <w:p w:rsidR="0049318A" w:rsidRDefault="002B40D1">
      <w:pPr>
        <w:spacing w:after="289" w:line="249" w:lineRule="auto"/>
        <w:ind w:left="788" w:right="46" w:firstLine="328"/>
        <w:jc w:val="both"/>
      </w:pPr>
      <w:r>
        <w:rPr>
          <w:rFonts w:ascii="Arial" w:eastAsia="Arial" w:hAnsi="Arial" w:cs="Arial"/>
          <w:sz w:val="15"/>
        </w:rPr>
        <w:t>En relación a la fiabilidad de los cálculos de costes e ingresos presentado por la empresa concesionaria, solicitand</w:t>
      </w:r>
      <w:r>
        <w:rPr>
          <w:rFonts w:ascii="Arial" w:eastAsia="Arial" w:hAnsi="Arial" w:cs="Arial"/>
          <w:sz w:val="15"/>
        </w:rPr>
        <w:t>o a la Corporación contratar una auditoría externa para contrastar la información, señalar que por aplicación de la Ley de Auditorías de cuentas, Aqualia, está sometida a una Auditoría privada, reflejándose en el expediente, auditoría de los costes e ingre</w:t>
      </w:r>
      <w:r>
        <w:rPr>
          <w:rFonts w:ascii="Arial" w:eastAsia="Arial" w:hAnsi="Arial" w:cs="Arial"/>
          <w:sz w:val="15"/>
        </w:rPr>
        <w:t xml:space="preserve">sos del servicio, que ha servido de base para elaborar previsión de ingresos y gastos para el 2026 y proponer la subida de nuevas tarifas.   </w:t>
      </w:r>
    </w:p>
    <w:p w:rsidR="0049318A" w:rsidRDefault="002B40D1">
      <w:pPr>
        <w:spacing w:after="289" w:line="249" w:lineRule="auto"/>
        <w:ind w:left="788" w:right="46" w:firstLine="328"/>
        <w:jc w:val="both"/>
      </w:pPr>
      <w:r>
        <w:rPr>
          <w:rFonts w:ascii="Arial" w:eastAsia="Arial" w:hAnsi="Arial" w:cs="Arial"/>
          <w:sz w:val="15"/>
        </w:rPr>
        <w:t xml:space="preserve">El RD 424/2017, de 28 de abril, por el que se regula el régimen jurídico del control interno en las entidades del </w:t>
      </w:r>
      <w:r>
        <w:rPr>
          <w:rFonts w:ascii="Arial" w:eastAsia="Arial" w:hAnsi="Arial" w:cs="Arial"/>
          <w:sz w:val="15"/>
        </w:rPr>
        <w:t xml:space="preserve">Sector Público Local, solamente permite hacer auditorias públicas a los entes del sector público local. </w:t>
      </w:r>
    </w:p>
    <w:p w:rsidR="0049318A" w:rsidRDefault="002B40D1">
      <w:pPr>
        <w:spacing w:after="142" w:line="249" w:lineRule="auto"/>
        <w:ind w:left="788" w:right="46" w:firstLine="328"/>
        <w:jc w:val="both"/>
      </w:pPr>
      <w:r>
        <w:rPr>
          <w:rFonts w:ascii="Arial" w:eastAsia="Arial" w:hAnsi="Arial" w:cs="Arial"/>
          <w:sz w:val="15"/>
        </w:rPr>
        <w:t>Asimismo, no consta, en el Pliego de Condiciones Económico-</w:t>
      </w:r>
      <w:r>
        <w:rPr>
          <w:rFonts w:ascii="Arial" w:eastAsia="Arial" w:hAnsi="Arial" w:cs="Arial"/>
          <w:sz w:val="15"/>
        </w:rPr>
        <w:t>Administrativas y Jurídicas que rige el concurso para la concesión de la gestión de los Servicios Municipales de Abastecimiento de Agua y Saneamiento, la posibilidad de realizar una auditoría externa de las cuentas presentadas por la empresa concesionaria,</w:t>
      </w:r>
      <w:r>
        <w:rPr>
          <w:rFonts w:ascii="Arial" w:eastAsia="Arial" w:hAnsi="Arial" w:cs="Arial"/>
          <w:sz w:val="15"/>
        </w:rPr>
        <w:t xml:space="preserve"> como condición previa para la revisión de las tarifas. </w:t>
      </w:r>
    </w:p>
    <w:p w:rsidR="0049318A" w:rsidRDefault="002B40D1">
      <w:pPr>
        <w:spacing w:after="84"/>
        <w:ind w:left="1447"/>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En cuanto a la segunda alegación, relativa a condicionar la aprobación definitiva de la modificación tarifaria a la presentación, por parte de la Concejalía de Hacienda y de la empresa concesionari</w:t>
      </w:r>
      <w:r>
        <w:rPr>
          <w:rFonts w:ascii="Arial" w:eastAsia="Arial" w:hAnsi="Arial" w:cs="Arial"/>
          <w:sz w:val="15"/>
        </w:rPr>
        <w:t xml:space="preserve">a, de un Plan Plurianual de Mejora del Rendimiento Hidráulico de la red de abastecimiento, con objetivos de reducción de pérdidas definidos, no está previsto en el Pliego de Condiciones Económico-Administrativas y Jurídicas que rige el concurso.  </w:t>
      </w:r>
    </w:p>
    <w:p w:rsidR="0049318A" w:rsidRDefault="002B40D1">
      <w:pPr>
        <w:spacing w:after="84"/>
        <w:ind w:left="1447"/>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 xml:space="preserve">En la </w:t>
      </w:r>
      <w:r>
        <w:rPr>
          <w:rFonts w:ascii="Arial" w:eastAsia="Arial" w:hAnsi="Arial" w:cs="Arial"/>
          <w:sz w:val="15"/>
        </w:rPr>
        <w:t>tercera alegación, relativa a la eliminación de la Cuota Fija de Abastecimiento para el uso doméstico, o en su defecto, una reducción sustancial de la misma, trasladando el coste a los tramos de consumo más altos (Bloques 3 y 4) para fomentar el ahorro y l</w:t>
      </w:r>
      <w:r>
        <w:rPr>
          <w:rFonts w:ascii="Arial" w:eastAsia="Arial" w:hAnsi="Arial" w:cs="Arial"/>
          <w:sz w:val="15"/>
        </w:rPr>
        <w:t>a progresividad, la inclusión de una Tarifa Social que garantice un mínimo vital de agua gratuito o a coste social para aquellas personas usuarias que acrediten su situación de vulnerabilidad, la inclusión de medidas explícitas para evitar el corte de sumi</w:t>
      </w:r>
      <w:r>
        <w:rPr>
          <w:rFonts w:ascii="Arial" w:eastAsia="Arial" w:hAnsi="Arial" w:cs="Arial"/>
          <w:sz w:val="15"/>
        </w:rPr>
        <w:t>nistro en todos los casos de vulnerabilidad económica debidamente acreditada, tal y como se contemplaba en reglamentos anteriores, señalar que la aplicación de una cuota fija de abastecimiento, entra dentro de la capacidad de autonomía y de autorganización</w:t>
      </w:r>
      <w:r>
        <w:rPr>
          <w:rFonts w:ascii="Arial" w:eastAsia="Arial" w:hAnsi="Arial" w:cs="Arial"/>
          <w:sz w:val="15"/>
        </w:rPr>
        <w:t xml:space="preserve"> de los entes locales. Asimismo, la normativa vigente no permite en las ordenanzas no fiscales, ningún tipo de beneficio fiscal. </w:t>
      </w:r>
    </w:p>
    <w:p w:rsidR="0049318A" w:rsidRDefault="002B40D1">
      <w:pPr>
        <w:spacing w:after="84"/>
        <w:ind w:left="1447"/>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 xml:space="preserve">En cuanto a la última alegación, que solicita revisar el Reglamento de la Comisión de seguimiento y control del Servicio de </w:t>
      </w:r>
      <w:r>
        <w:rPr>
          <w:rFonts w:ascii="Arial" w:eastAsia="Arial" w:hAnsi="Arial" w:cs="Arial"/>
          <w:sz w:val="15"/>
        </w:rPr>
        <w:t xml:space="preserve">Abastecimiento de Agua Potable en el Municipio de Candelaria para incluir la presencia de concejales y concejalas de los partidos políticos de la oposición en esta Comisión, señalar que no está vinculada a la ordenanza que se quiere aprobar. </w:t>
      </w:r>
    </w:p>
    <w:p w:rsidR="0049318A" w:rsidRDefault="002B40D1">
      <w:pPr>
        <w:spacing w:after="84"/>
        <w:ind w:left="1447"/>
      </w:pPr>
      <w:r>
        <w:rPr>
          <w:rFonts w:ascii="Arial" w:eastAsia="Arial" w:hAnsi="Arial" w:cs="Arial"/>
          <w:sz w:val="15"/>
        </w:rPr>
        <w:t xml:space="preserve"> </w:t>
      </w:r>
    </w:p>
    <w:p w:rsidR="0049318A" w:rsidRDefault="002B40D1">
      <w:pPr>
        <w:spacing w:after="93" w:line="249" w:lineRule="auto"/>
        <w:ind w:left="1447" w:right="46"/>
        <w:jc w:val="both"/>
      </w:pPr>
      <w:r>
        <w:rPr>
          <w:rFonts w:ascii="Arial" w:eastAsia="Arial" w:hAnsi="Arial" w:cs="Arial"/>
          <w:sz w:val="15"/>
        </w:rPr>
        <w:t xml:space="preserve">Por tanto, </w:t>
      </w:r>
      <w:r>
        <w:rPr>
          <w:rFonts w:ascii="Arial" w:eastAsia="Arial" w:hAnsi="Arial" w:cs="Arial"/>
          <w:sz w:val="15"/>
        </w:rPr>
        <w:t xml:space="preserve">este interventor informa negativamente las alegaciones presentadas. </w:t>
      </w:r>
    </w:p>
    <w:p w:rsidR="0049318A" w:rsidRDefault="002B40D1">
      <w:pPr>
        <w:spacing w:after="93" w:line="249" w:lineRule="auto"/>
        <w:ind w:left="788" w:right="46" w:firstLine="636"/>
        <w:jc w:val="both"/>
      </w:pPr>
      <w:r>
        <w:rPr>
          <w:rFonts w:ascii="Arial" w:eastAsia="Arial" w:hAnsi="Arial" w:cs="Arial"/>
          <w:sz w:val="15"/>
        </w:rPr>
        <w:t>Con fecha 10 de noviembre de 2025, se remite al Ayuntamiento de Candelaria, RESOLUCIÓN DEL VICECONSEJERO DE INDUSTRIA, COMERCIO Y CONSUMO POR LA QUE SE APRUEBA LA MODIFICACIÓN DE LAS TARI</w:t>
      </w:r>
      <w:r>
        <w:rPr>
          <w:rFonts w:ascii="Arial" w:eastAsia="Arial" w:hAnsi="Arial" w:cs="Arial"/>
          <w:sz w:val="15"/>
        </w:rPr>
        <w:t>FAS DEL SERVICIO PÚBLICO DE ABASTECIMIENTO DE AGUA A POBLACIONES, para su aplicación en el municipio de Candelaria, que da por ciertos el estudio económico recogido en el informe de intervención, resolviendo aprobar la modificación de las</w:t>
      </w:r>
      <w:r>
        <w:rPr>
          <w:rFonts w:ascii="Arial" w:eastAsia="Arial" w:hAnsi="Arial" w:cs="Arial"/>
          <w:b/>
          <w:sz w:val="15"/>
        </w:rPr>
        <w:t xml:space="preserve"> TARIFAS DE ABASTE</w:t>
      </w:r>
      <w:r>
        <w:rPr>
          <w:rFonts w:ascii="Arial" w:eastAsia="Arial" w:hAnsi="Arial" w:cs="Arial"/>
          <w:b/>
          <w:sz w:val="15"/>
        </w:rPr>
        <w:t>CIMIENTO</w:t>
      </w:r>
      <w:r>
        <w:rPr>
          <w:rFonts w:ascii="Arial" w:eastAsia="Arial" w:hAnsi="Arial" w:cs="Arial"/>
          <w:sz w:val="15"/>
        </w:rPr>
        <w:t xml:space="preserve">, en el mismo importe que las aprobadas inicialmente por el Ayuntamiento, en acuerdo plenario de fecha 25 de septiembre de 2025: </w:t>
      </w:r>
    </w:p>
    <w:p w:rsidR="0049318A" w:rsidRDefault="002B40D1">
      <w:pPr>
        <w:spacing w:after="84"/>
        <w:ind w:left="1447"/>
      </w:pPr>
      <w:r>
        <w:rPr>
          <w:rFonts w:ascii="Arial" w:eastAsia="Arial" w:hAnsi="Arial" w:cs="Arial"/>
          <w:sz w:val="15"/>
        </w:rPr>
        <w:t xml:space="preserve"> </w:t>
      </w:r>
    </w:p>
    <w:p w:rsidR="0049318A" w:rsidRDefault="002B40D1">
      <w:pPr>
        <w:spacing w:after="0"/>
        <w:ind w:left="1830"/>
      </w:pPr>
      <w:r>
        <w:rPr>
          <w:rFonts w:ascii="Arial" w:eastAsia="Arial" w:hAnsi="Arial" w:cs="Arial"/>
          <w:b/>
          <w:sz w:val="15"/>
        </w:rPr>
        <w:t xml:space="preserve"> </w:t>
      </w:r>
    </w:p>
    <w:p w:rsidR="0049318A" w:rsidRDefault="002B40D1">
      <w:pPr>
        <w:spacing w:after="4"/>
        <w:ind w:left="1029"/>
        <w:jc w:val="right"/>
      </w:pPr>
      <w:r>
        <w:rPr>
          <w:rFonts w:ascii="Times New Roman" w:eastAsia="Times New Roman" w:hAnsi="Times New Roman" w:cs="Times New Roman"/>
          <w:color w:val="181717"/>
          <w:sz w:val="16"/>
        </w:rPr>
        <w:t xml:space="preserve">29054 </w:t>
      </w:r>
      <w:r>
        <w:rPr>
          <w:rFonts w:ascii="Arial" w:eastAsia="Arial" w:hAnsi="Arial" w:cs="Arial"/>
          <w:b/>
          <w:sz w:val="15"/>
        </w:rPr>
        <w:t xml:space="preserve">TARIFAS DE ABASTECIMIENTO </w:t>
      </w:r>
    </w:p>
    <w:tbl>
      <w:tblPr>
        <w:tblStyle w:val="TableGrid"/>
        <w:tblW w:w="5559" w:type="dxa"/>
        <w:tblInd w:w="1294" w:type="dxa"/>
        <w:tblCellMar>
          <w:top w:w="34" w:type="dxa"/>
          <w:left w:w="99" w:type="dxa"/>
          <w:bottom w:w="0" w:type="dxa"/>
          <w:right w:w="115" w:type="dxa"/>
        </w:tblCellMar>
        <w:tblLook w:val="04A0" w:firstRow="1" w:lastRow="0" w:firstColumn="1" w:lastColumn="0" w:noHBand="0" w:noVBand="1"/>
      </w:tblPr>
      <w:tblGrid>
        <w:gridCol w:w="2586"/>
        <w:gridCol w:w="2974"/>
      </w:tblGrid>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b/>
                <w:sz w:val="15"/>
              </w:rPr>
              <w:t xml:space="preserve">TARIFAS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PROPUESTAS AL PLENO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b/>
                <w:sz w:val="15"/>
              </w:rPr>
              <w:t>CONSUMO DOMÉSTICO</w:t>
            </w:r>
            <w:r>
              <w:rPr>
                <w:rFonts w:ascii="Arial" w:eastAsia="Arial" w:hAnsi="Arial" w:cs="Arial"/>
                <w:sz w:val="15"/>
              </w:rPr>
              <w:t xml:space="preserve">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62"/>
              <w:jc w:val="center"/>
            </w:pPr>
            <w:r>
              <w:rPr>
                <w:rFonts w:ascii="Arial" w:eastAsia="Arial" w:hAnsi="Arial" w:cs="Arial"/>
                <w:sz w:val="15"/>
              </w:rPr>
              <w:t xml:space="preserve">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15,41 €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0,64 €/m3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w:t>
            </w:r>
            <w:r>
              <w:rPr>
                <w:rFonts w:ascii="Arial" w:eastAsia="Arial" w:hAnsi="Arial" w:cs="Arial"/>
                <w:sz w:val="15"/>
              </w:rPr>
              <w:t xml:space="preserve">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1,30 €/m3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i/>
                <w:sz w:val="15"/>
              </w:rPr>
              <w:t xml:space="preserve">De 31 a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2,38 €/m3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9"/>
              <w:jc w:val="center"/>
            </w:pPr>
            <w:r>
              <w:rPr>
                <w:rFonts w:ascii="Arial" w:eastAsia="Arial" w:hAnsi="Arial" w:cs="Arial"/>
                <w:i/>
                <w:sz w:val="15"/>
              </w:rPr>
              <w:t xml:space="preserve">Más de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3,78 €/m3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4"/>
              <w:jc w:val="center"/>
            </w:pPr>
            <w:r>
              <w:rPr>
                <w:rFonts w:ascii="Arial" w:eastAsia="Arial" w:hAnsi="Arial" w:cs="Arial"/>
                <w:b/>
                <w:i/>
                <w:sz w:val="15"/>
              </w:rPr>
              <w:lastRenderedPageBreak/>
              <w:t xml:space="preserve">CONSUMO INDUSTRIAL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5"/>
              </w:rPr>
              <w:t xml:space="preserve">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i/>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22,99 €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0,97 €/m3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2,00 €/m3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31 a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3,08 €/m3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8"/>
              <w:jc w:val="center"/>
            </w:pPr>
            <w:r>
              <w:rPr>
                <w:rFonts w:ascii="Arial" w:eastAsia="Arial" w:hAnsi="Arial" w:cs="Arial"/>
                <w:i/>
                <w:sz w:val="15"/>
              </w:rPr>
              <w:t xml:space="preserve">Más de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4,28 €/m3 </w:t>
            </w:r>
          </w:p>
        </w:tc>
      </w:tr>
    </w:tbl>
    <w:p w:rsidR="0049318A" w:rsidRDefault="002B40D1">
      <w:pPr>
        <w:spacing w:after="84"/>
        <w:ind w:left="646"/>
      </w:pPr>
      <w:r>
        <w:rPr>
          <w:rFonts w:ascii="Arial" w:eastAsia="Arial" w:hAnsi="Arial" w:cs="Arial"/>
          <w:sz w:val="15"/>
        </w:rPr>
        <w:t xml:space="preserve"> </w:t>
      </w:r>
    </w:p>
    <w:p w:rsidR="0049318A" w:rsidRDefault="002B40D1">
      <w:pPr>
        <w:spacing w:after="6" w:line="249" w:lineRule="auto"/>
        <w:ind w:left="1033" w:right="46"/>
        <w:jc w:val="both"/>
      </w:pPr>
      <w:r>
        <w:rPr>
          <w:rFonts w:ascii="Arial" w:eastAsia="Arial" w:hAnsi="Arial" w:cs="Arial"/>
          <w:sz w:val="15"/>
        </w:rPr>
        <w:t xml:space="preserve">Con las nuevas tarifas aprobadas por esta Corporación y que coinciden con las propuestas </w:t>
      </w:r>
    </w:p>
    <w:p w:rsidR="0049318A" w:rsidRDefault="002B40D1">
      <w:pPr>
        <w:spacing w:after="93" w:line="249" w:lineRule="auto"/>
        <w:ind w:right="46"/>
        <w:jc w:val="both"/>
      </w:pPr>
      <w:r>
        <w:rPr>
          <w:rFonts w:ascii="Arial" w:eastAsia="Arial" w:hAnsi="Arial" w:cs="Arial"/>
          <w:sz w:val="15"/>
        </w:rPr>
        <w:t xml:space="preserve">desde la Comunidad Autónoma, podemos obtener las siguientes tarifas y su diferencia con las vigentes actualmente: </w:t>
      </w:r>
    </w:p>
    <w:p w:rsidR="0049318A" w:rsidRDefault="002B40D1">
      <w:pPr>
        <w:spacing w:after="0"/>
        <w:ind w:left="1033"/>
      </w:pPr>
      <w:r>
        <w:rPr>
          <w:rFonts w:ascii="Arial" w:eastAsia="Arial" w:hAnsi="Arial" w:cs="Arial"/>
          <w:sz w:val="15"/>
        </w:rPr>
        <w:t xml:space="preserve"> </w:t>
      </w:r>
    </w:p>
    <w:tbl>
      <w:tblPr>
        <w:tblStyle w:val="TableGrid"/>
        <w:tblW w:w="8184" w:type="dxa"/>
        <w:tblInd w:w="-63" w:type="dxa"/>
        <w:tblCellMar>
          <w:top w:w="76" w:type="dxa"/>
          <w:left w:w="115" w:type="dxa"/>
          <w:bottom w:w="0" w:type="dxa"/>
          <w:right w:w="115" w:type="dxa"/>
        </w:tblCellMar>
        <w:tblLook w:val="04A0" w:firstRow="1" w:lastRow="0" w:firstColumn="1" w:lastColumn="0" w:noHBand="0" w:noVBand="1"/>
      </w:tblPr>
      <w:tblGrid>
        <w:gridCol w:w="1460"/>
        <w:gridCol w:w="2198"/>
        <w:gridCol w:w="2846"/>
        <w:gridCol w:w="1680"/>
      </w:tblGrid>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4"/>
              <w:jc w:val="center"/>
            </w:pPr>
            <w:r>
              <w:rPr>
                <w:rFonts w:ascii="Arial" w:eastAsia="Arial" w:hAnsi="Arial" w:cs="Arial"/>
                <w:b/>
                <w:sz w:val="15"/>
              </w:rPr>
              <w:t xml:space="preserve">CONSUMO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jc w:val="center"/>
            </w:pPr>
            <w:r>
              <w:rPr>
                <w:rFonts w:ascii="Arial" w:eastAsia="Arial" w:hAnsi="Arial" w:cs="Arial"/>
                <w:b/>
                <w:sz w:val="15"/>
              </w:rPr>
              <w:t xml:space="preserve">TARIFA ACTUAL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4"/>
              <w:jc w:val="center"/>
            </w:pPr>
            <w:r>
              <w:rPr>
                <w:rFonts w:ascii="Arial" w:eastAsia="Arial" w:hAnsi="Arial" w:cs="Arial"/>
                <w:b/>
                <w:sz w:val="15"/>
              </w:rPr>
              <w:t xml:space="preserve">TARIFA PROPUESTA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2"/>
              <w:jc w:val="center"/>
            </w:pPr>
            <w:r>
              <w:rPr>
                <w:rFonts w:ascii="Arial" w:eastAsia="Arial" w:hAnsi="Arial" w:cs="Arial"/>
                <w:b/>
                <w:sz w:val="15"/>
              </w:rPr>
              <w:t xml:space="preserve">DIFERENCIA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14,19 €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15,41 €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1,22 €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14,78 €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16,05 €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1,27 €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15,37 €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16,69 €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1,32 €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15,96 €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17,33 €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1,37 €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16,55 €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17,97 €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17,14 €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18,61 €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1,47 €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17,73 €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19,25 €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18,32 €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19,89 €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1,57 €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18,91 €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20,53 €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1,62 €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19,50 €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21,17 €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1,67 €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20,09 €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21,81 €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1,72 €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21,29 €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23,11 €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1,82 €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22,49 €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24,41 €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1,92 €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23,69 €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25,71 €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2,02 €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24,89 €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27,01 €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2,12 €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26,09 €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28,31 €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2,22 € </w:t>
            </w:r>
          </w:p>
        </w:tc>
      </w:tr>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27,29 €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29,61 €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2,32 €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28,49 €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30,91 €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2,42 €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29,69 €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32,21 €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2,52 €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30,89 €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33,51 €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2,62 €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32,09 €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34,81 €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2,72 €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33,29 €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36,11 €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2,82 €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34,49 €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37,41 €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2,92 € </w:t>
            </w:r>
          </w:p>
        </w:tc>
      </w:tr>
    </w:tbl>
    <w:p w:rsidR="0049318A" w:rsidRDefault="002B40D1">
      <w:pPr>
        <w:spacing w:after="749" w:line="265" w:lineRule="auto"/>
        <w:ind w:left="-5" w:hanging="10"/>
      </w:pPr>
      <w:r>
        <w:rPr>
          <w:rFonts w:ascii="Times New Roman" w:eastAsia="Times New Roman" w:hAnsi="Times New Roman" w:cs="Times New Roman"/>
          <w:color w:val="181717"/>
          <w:sz w:val="16"/>
        </w:rPr>
        <w:t>29055</w:t>
      </w:r>
    </w:p>
    <w:tbl>
      <w:tblPr>
        <w:tblStyle w:val="TableGrid"/>
        <w:tblW w:w="8184" w:type="dxa"/>
        <w:tblInd w:w="601" w:type="dxa"/>
        <w:tblCellMar>
          <w:top w:w="76" w:type="dxa"/>
          <w:left w:w="115" w:type="dxa"/>
          <w:bottom w:w="0" w:type="dxa"/>
          <w:right w:w="115" w:type="dxa"/>
        </w:tblCellMar>
        <w:tblLook w:val="04A0" w:firstRow="1" w:lastRow="0" w:firstColumn="1" w:lastColumn="0" w:noHBand="0" w:noVBand="1"/>
      </w:tblPr>
      <w:tblGrid>
        <w:gridCol w:w="1460"/>
        <w:gridCol w:w="2198"/>
        <w:gridCol w:w="2846"/>
        <w:gridCol w:w="1680"/>
      </w:tblGrid>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35,69 €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38,71 € </w:t>
            </w:r>
          </w:p>
        </w:tc>
        <w:tc>
          <w:tcPr>
            <w:tcW w:w="1680" w:type="dxa"/>
            <w:tcBorders>
              <w:top w:val="single" w:sz="6" w:space="0" w:color="000000"/>
              <w:left w:val="single" w:sz="7" w:space="0" w:color="000000"/>
              <w:bottom w:val="single" w:sz="3" w:space="0" w:color="000000"/>
              <w:right w:val="single" w:sz="7" w:space="0" w:color="000000"/>
            </w:tcBorders>
          </w:tcPr>
          <w:p w:rsidR="0049318A" w:rsidRDefault="002B40D1">
            <w:pPr>
              <w:spacing w:after="0"/>
              <w:ind w:left="1"/>
              <w:jc w:val="center"/>
            </w:pPr>
            <w:r>
              <w:rPr>
                <w:rFonts w:ascii="Arial" w:eastAsia="Arial" w:hAnsi="Arial" w:cs="Arial"/>
                <w:sz w:val="15"/>
              </w:rPr>
              <w:t xml:space="preserve">3,02 € </w:t>
            </w:r>
          </w:p>
        </w:tc>
      </w:tr>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36,89 €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40,01 € </w:t>
            </w:r>
          </w:p>
        </w:tc>
        <w:tc>
          <w:tcPr>
            <w:tcW w:w="1680" w:type="dxa"/>
            <w:tcBorders>
              <w:top w:val="single" w:sz="3"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3,12 €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38,09 €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41,31 €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3,22 €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39,29 €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42,61 €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3,32 €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40,49 €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43,91 €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3,42 €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41,69 €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45,21 €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3,52 €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29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42,89 €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46,51 €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3,62 €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44,09 €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47,81 €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3,72 €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46,28 €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50,19 €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3,91 €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48,47 €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52,57 €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4,10 €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50,66 €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54,95 €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4,29 €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52,85 €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57,33 €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4,48 €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55,04 €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59,71 €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4,67 € </w:t>
            </w:r>
          </w:p>
        </w:tc>
      </w:tr>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57,23 €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62,09 €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4,86 €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59,42 €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64,47 €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5,05 €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61,61 €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66,85 €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5,24 €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39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63,80 €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69,23 €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5,43 €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lastRenderedPageBreak/>
              <w:t xml:space="preserve">40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65,99 €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71,61 €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5,62 €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68,18 €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73,99 €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5,81 €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70,37 €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76,37 €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6,00 €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72,56 €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78,75 €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6,19 €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74,75 €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81,13 €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6,38 €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76,94 €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83,51 €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6,57 €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79,13 €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85,89 €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6,76 €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81,32 €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88,27 €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6,95 €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83,51 €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90,65 €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7,14 €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49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85,70 €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93,03 €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7,33 €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87,89 €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95,41 €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7,52 €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90,08 €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97,79 €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7,71 €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92,27 €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100,17 €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7,90 €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94,46 €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102,55 €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8,09 €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96,65 €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104,93 €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8,28 €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98,84 €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107,31 €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8,47 €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101,03 €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109,69 €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8,66 €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103,22 €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112,07 €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8,85 €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105,41 €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114,45 €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9,04 €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59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107,60 €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116,83 €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9,23 €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109,79 €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119,21 €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9,42 €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113,27 €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122,99 €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9,72 €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116,75 €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126,77 €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10,02 €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120,23 €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130,55 €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10,32 €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123,71 €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134,33 €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10,62 € </w:t>
            </w:r>
          </w:p>
        </w:tc>
      </w:tr>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127,19 €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138,11 € </w:t>
            </w:r>
          </w:p>
        </w:tc>
        <w:tc>
          <w:tcPr>
            <w:tcW w:w="1680" w:type="dxa"/>
            <w:tcBorders>
              <w:top w:val="single" w:sz="6" w:space="0" w:color="000000"/>
              <w:left w:val="single" w:sz="7" w:space="0" w:color="000000"/>
              <w:bottom w:val="single" w:sz="3" w:space="0" w:color="000000"/>
              <w:right w:val="single" w:sz="7" w:space="0" w:color="000000"/>
            </w:tcBorders>
          </w:tcPr>
          <w:p w:rsidR="0049318A" w:rsidRDefault="002B40D1">
            <w:pPr>
              <w:spacing w:after="0"/>
              <w:ind w:right="1"/>
              <w:jc w:val="center"/>
            </w:pPr>
            <w:r>
              <w:rPr>
                <w:rFonts w:ascii="Arial" w:eastAsia="Arial" w:hAnsi="Arial" w:cs="Arial"/>
                <w:sz w:val="15"/>
              </w:rPr>
              <w:t xml:space="preserve">10,92 € </w:t>
            </w:r>
          </w:p>
        </w:tc>
      </w:tr>
    </w:tbl>
    <w:p w:rsidR="0049318A" w:rsidRDefault="002B40D1">
      <w:pPr>
        <w:spacing w:after="817" w:line="265" w:lineRule="auto"/>
        <w:ind w:left="10" w:right="-15" w:hanging="10"/>
        <w:jc w:val="right"/>
      </w:pPr>
      <w:r>
        <w:rPr>
          <w:rFonts w:ascii="Times New Roman" w:eastAsia="Times New Roman" w:hAnsi="Times New Roman" w:cs="Times New Roman"/>
          <w:color w:val="181717"/>
          <w:sz w:val="16"/>
        </w:rPr>
        <w:t>29056</w:t>
      </w:r>
    </w:p>
    <w:tbl>
      <w:tblPr>
        <w:tblStyle w:val="TableGrid"/>
        <w:tblW w:w="8184" w:type="dxa"/>
        <w:tblInd w:w="-59" w:type="dxa"/>
        <w:tblCellMar>
          <w:top w:w="76" w:type="dxa"/>
          <w:left w:w="115" w:type="dxa"/>
          <w:bottom w:w="0" w:type="dxa"/>
          <w:right w:w="115" w:type="dxa"/>
        </w:tblCellMar>
        <w:tblLook w:val="04A0" w:firstRow="1" w:lastRow="0" w:firstColumn="1" w:lastColumn="0" w:noHBand="0" w:noVBand="1"/>
      </w:tblPr>
      <w:tblGrid>
        <w:gridCol w:w="1460"/>
        <w:gridCol w:w="2198"/>
        <w:gridCol w:w="2846"/>
        <w:gridCol w:w="1680"/>
      </w:tblGrid>
      <w:tr w:rsidR="0049318A">
        <w:trPr>
          <w:trHeight w:val="265"/>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66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130,67 €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141,89 € </w:t>
            </w:r>
          </w:p>
        </w:tc>
        <w:tc>
          <w:tcPr>
            <w:tcW w:w="1680" w:type="dxa"/>
            <w:tcBorders>
              <w:top w:val="single" w:sz="3"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11,22 €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67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134,15 €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145,67 €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11,52 €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68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137,63 €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149,45 €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11,82 €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69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141,11 €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153,23 €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12,12 €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70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144,59 €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157,01 €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12,42 €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71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148,07 €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160,79 €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12,72 € </w:t>
            </w:r>
          </w:p>
        </w:tc>
      </w:tr>
      <w:tr w:rsidR="0049318A">
        <w:trPr>
          <w:trHeight w:val="264"/>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72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151,55 €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164,57 €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13,02 €</w:t>
            </w:r>
            <w:r>
              <w:rPr>
                <w:rFonts w:ascii="Arial" w:eastAsia="Arial" w:hAnsi="Arial" w:cs="Arial"/>
                <w:sz w:val="15"/>
              </w:rPr>
              <w:t xml:space="preserve">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73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155,03 €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168,35 €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13,32 € </w:t>
            </w:r>
          </w:p>
        </w:tc>
      </w:tr>
      <w:tr w:rsidR="0049318A">
        <w:trPr>
          <w:trHeight w:val="262"/>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74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158,51 €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172,13 € </w:t>
            </w:r>
          </w:p>
        </w:tc>
        <w:tc>
          <w:tcPr>
            <w:tcW w:w="168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13,62 € </w:t>
            </w:r>
          </w:p>
        </w:tc>
      </w:tr>
      <w:tr w:rsidR="0049318A">
        <w:trPr>
          <w:trHeight w:val="263"/>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161,99 €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175,91 € </w:t>
            </w:r>
          </w:p>
        </w:tc>
        <w:tc>
          <w:tcPr>
            <w:tcW w:w="1680" w:type="dxa"/>
            <w:tcBorders>
              <w:top w:val="single" w:sz="6" w:space="0" w:color="000000"/>
              <w:left w:val="single" w:sz="7" w:space="0" w:color="000000"/>
              <w:bottom w:val="single" w:sz="3" w:space="0" w:color="000000"/>
              <w:right w:val="single" w:sz="7" w:space="0" w:color="000000"/>
            </w:tcBorders>
          </w:tcPr>
          <w:p w:rsidR="0049318A" w:rsidRDefault="002B40D1">
            <w:pPr>
              <w:spacing w:after="0"/>
              <w:ind w:right="1"/>
              <w:jc w:val="center"/>
            </w:pPr>
            <w:r>
              <w:rPr>
                <w:rFonts w:ascii="Arial" w:eastAsia="Arial" w:hAnsi="Arial" w:cs="Arial"/>
                <w:sz w:val="15"/>
              </w:rPr>
              <w:t xml:space="preserve">13,92 € </w:t>
            </w:r>
          </w:p>
        </w:tc>
      </w:tr>
      <w:tr w:rsidR="0049318A">
        <w:trPr>
          <w:trHeight w:val="300"/>
        </w:trPr>
        <w:tc>
          <w:tcPr>
            <w:tcW w:w="1460"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75 m3 </w:t>
            </w:r>
          </w:p>
        </w:tc>
        <w:tc>
          <w:tcPr>
            <w:tcW w:w="2198"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left="1"/>
              <w:jc w:val="center"/>
            </w:pPr>
            <w:r>
              <w:rPr>
                <w:rFonts w:ascii="Arial" w:eastAsia="Arial" w:hAnsi="Arial" w:cs="Arial"/>
                <w:sz w:val="15"/>
              </w:rPr>
              <w:t xml:space="preserve">161,99 € </w:t>
            </w:r>
          </w:p>
        </w:tc>
        <w:tc>
          <w:tcPr>
            <w:tcW w:w="2846" w:type="dxa"/>
            <w:tcBorders>
              <w:top w:val="single" w:sz="6" w:space="0" w:color="000000"/>
              <w:left w:val="single" w:sz="7" w:space="0" w:color="000000"/>
              <w:bottom w:val="single" w:sz="6" w:space="0" w:color="000000"/>
              <w:right w:val="single" w:sz="7" w:space="0" w:color="000000"/>
            </w:tcBorders>
          </w:tcPr>
          <w:p w:rsidR="0049318A" w:rsidRDefault="002B40D1">
            <w:pPr>
              <w:spacing w:after="0"/>
              <w:ind w:right="3"/>
              <w:jc w:val="center"/>
            </w:pPr>
            <w:r>
              <w:rPr>
                <w:rFonts w:ascii="Arial" w:eastAsia="Arial" w:hAnsi="Arial" w:cs="Arial"/>
                <w:sz w:val="15"/>
              </w:rPr>
              <w:t xml:space="preserve">178,29 € </w:t>
            </w:r>
          </w:p>
        </w:tc>
        <w:tc>
          <w:tcPr>
            <w:tcW w:w="1680" w:type="dxa"/>
            <w:tcBorders>
              <w:top w:val="single" w:sz="3" w:space="0" w:color="000000"/>
              <w:left w:val="single" w:sz="7" w:space="0" w:color="000000"/>
              <w:bottom w:val="single" w:sz="6" w:space="0" w:color="000000"/>
              <w:right w:val="single" w:sz="7" w:space="0" w:color="000000"/>
            </w:tcBorders>
          </w:tcPr>
          <w:p w:rsidR="0049318A" w:rsidRDefault="002B40D1">
            <w:pPr>
              <w:spacing w:after="0"/>
              <w:ind w:right="1"/>
              <w:jc w:val="center"/>
            </w:pPr>
            <w:r>
              <w:rPr>
                <w:rFonts w:ascii="Arial" w:eastAsia="Arial" w:hAnsi="Arial" w:cs="Arial"/>
                <w:sz w:val="15"/>
              </w:rPr>
              <w:t xml:space="preserve">16,30 € </w:t>
            </w:r>
          </w:p>
        </w:tc>
      </w:tr>
    </w:tbl>
    <w:p w:rsidR="0049318A" w:rsidRDefault="002B40D1">
      <w:pPr>
        <w:spacing w:after="10" w:line="249" w:lineRule="auto"/>
        <w:ind w:right="46"/>
        <w:jc w:val="both"/>
      </w:pPr>
      <w:r>
        <w:rPr>
          <w:rFonts w:ascii="Arial" w:eastAsia="Arial" w:hAnsi="Arial" w:cs="Arial"/>
          <w:sz w:val="15"/>
        </w:rPr>
        <w:t xml:space="preserve">.” </w:t>
      </w:r>
    </w:p>
    <w:p w:rsidR="0049318A" w:rsidRDefault="002B40D1">
      <w:pPr>
        <w:spacing w:after="0"/>
        <w:ind w:left="4"/>
      </w:pPr>
      <w:r>
        <w:rPr>
          <w:rFonts w:ascii="Arial" w:eastAsia="Arial" w:hAnsi="Arial" w:cs="Arial"/>
          <w:b/>
          <w:sz w:val="15"/>
        </w:rPr>
        <w:t xml:space="preserve">      </w:t>
      </w:r>
    </w:p>
    <w:p w:rsidR="0049318A" w:rsidRDefault="002B40D1">
      <w:pPr>
        <w:spacing w:after="18"/>
        <w:ind w:left="4"/>
      </w:pPr>
      <w:r>
        <w:rPr>
          <w:rFonts w:ascii="Arial" w:eastAsia="Arial" w:hAnsi="Arial" w:cs="Arial"/>
          <w:b/>
          <w:sz w:val="15"/>
        </w:rPr>
        <w:t xml:space="preserve"> </w:t>
      </w:r>
    </w:p>
    <w:p w:rsidR="0049318A" w:rsidRDefault="002B40D1">
      <w:pPr>
        <w:spacing w:after="4" w:line="249" w:lineRule="auto"/>
        <w:ind w:left="14" w:right="597" w:hanging="10"/>
        <w:jc w:val="both"/>
      </w:pPr>
      <w:r>
        <w:rPr>
          <w:rFonts w:ascii="Arial" w:eastAsia="Arial" w:hAnsi="Arial" w:cs="Arial"/>
          <w:b/>
          <w:sz w:val="18"/>
        </w:rPr>
        <w:t xml:space="preserve">Consta en el expediente propuesta del Concejal delegado de Hacienda, D. Airam Pérez Chinea, de fecha 18 de noviembre de 2025, que transcrito literalmente dice: </w:t>
      </w:r>
    </w:p>
    <w:p w:rsidR="0049318A" w:rsidRDefault="002B40D1">
      <w:pPr>
        <w:spacing w:after="0"/>
        <w:ind w:left="4"/>
      </w:pPr>
      <w:r>
        <w:rPr>
          <w:rFonts w:ascii="Arial" w:eastAsia="Arial" w:hAnsi="Arial" w:cs="Arial"/>
          <w:b/>
          <w:sz w:val="15"/>
        </w:rPr>
        <w:t xml:space="preserve"> </w:t>
      </w:r>
    </w:p>
    <w:p w:rsidR="0049318A" w:rsidRDefault="002B40D1">
      <w:pPr>
        <w:spacing w:after="0"/>
        <w:ind w:left="4"/>
      </w:pPr>
      <w:r>
        <w:rPr>
          <w:rFonts w:ascii="Arial" w:eastAsia="Arial" w:hAnsi="Arial" w:cs="Arial"/>
          <w:b/>
          <w:sz w:val="15"/>
        </w:rPr>
        <w:t>“</w:t>
      </w:r>
      <w:r>
        <w:rPr>
          <w:rFonts w:ascii="Times New Roman" w:eastAsia="Times New Roman" w:hAnsi="Times New Roman" w:cs="Times New Roman"/>
          <w:b/>
          <w:sz w:val="15"/>
        </w:rPr>
        <w:t xml:space="preserve">PROPUESTA DE CONCEJALÍA DELEGADA DE HACIENDA </w:t>
      </w:r>
    </w:p>
    <w:p w:rsidR="0049318A" w:rsidRDefault="002B40D1">
      <w:pPr>
        <w:spacing w:after="0"/>
        <w:ind w:left="4"/>
      </w:pPr>
      <w:r>
        <w:rPr>
          <w:rFonts w:ascii="Times New Roman" w:eastAsia="Times New Roman" w:hAnsi="Times New Roman" w:cs="Times New Roman"/>
          <w:sz w:val="15"/>
        </w:rPr>
        <w:t xml:space="preserve"> </w:t>
      </w:r>
    </w:p>
    <w:p w:rsidR="0049318A" w:rsidRDefault="002B40D1">
      <w:pPr>
        <w:spacing w:after="0" w:line="249" w:lineRule="auto"/>
        <w:ind w:left="4" w:right="602"/>
        <w:jc w:val="both"/>
      </w:pPr>
      <w:r>
        <w:rPr>
          <w:rFonts w:ascii="Arial" w:eastAsia="Arial" w:hAnsi="Arial" w:cs="Arial"/>
          <w:sz w:val="15"/>
        </w:rPr>
        <w:t xml:space="preserve">APROBACIÓN DEFINITIVA DE LA MODIFICACIÓN DE </w:t>
      </w:r>
      <w:r>
        <w:rPr>
          <w:rFonts w:ascii="Arial" w:eastAsia="Arial" w:hAnsi="Arial" w:cs="Arial"/>
          <w:sz w:val="15"/>
        </w:rPr>
        <w:t>LA ORDENANZA REGULADORA DE LA PRESTACIÓN PATRIMONIAL DE CARÁCTER PÚBLICO NO TRIBUTARIO DE LOS SERVICIOS MUNICIPALES DE GESTIÓN DEL CICLO INTEGRAL DEL AGUA DEL AYUNTAMIENTO DE LA VILLA DE CANDELARIA</w:t>
      </w:r>
      <w:r>
        <w:rPr>
          <w:rFonts w:ascii="Times New Roman" w:eastAsia="Times New Roman" w:hAnsi="Times New Roman" w:cs="Times New Roman"/>
          <w:sz w:val="15"/>
        </w:rPr>
        <w:t xml:space="preserve"> </w:t>
      </w:r>
    </w:p>
    <w:p w:rsidR="0049318A" w:rsidRDefault="002B40D1">
      <w:pPr>
        <w:spacing w:after="0"/>
        <w:ind w:left="4" w:right="-350"/>
      </w:pPr>
      <w:r>
        <w:rPr>
          <w:rFonts w:ascii="Arial" w:eastAsia="Arial" w:hAnsi="Arial" w:cs="Arial"/>
          <w:sz w:val="15"/>
        </w:rPr>
        <w:t xml:space="preserve"> </w:t>
      </w:r>
      <w:r>
        <w:rPr>
          <w:noProof/>
        </w:rPr>
        <mc:AlternateContent>
          <mc:Choice Requires="wpg">
            <w:drawing>
              <wp:inline distT="0" distB="0" distL="0" distR="0">
                <wp:extent cx="5526570" cy="20986"/>
                <wp:effectExtent l="0" t="0" r="0" b="0"/>
                <wp:docPr id="51843" name="Group 51843"/>
                <wp:cNvGraphicFramePr/>
                <a:graphic xmlns:a="http://schemas.openxmlformats.org/drawingml/2006/main">
                  <a:graphicData uri="http://schemas.microsoft.com/office/word/2010/wordprocessingGroup">
                    <wpg:wgp>
                      <wpg:cNvGrpSpPr/>
                      <wpg:grpSpPr>
                        <a:xfrm>
                          <a:off x="0" y="0"/>
                          <a:ext cx="5526570" cy="20986"/>
                          <a:chOff x="0" y="0"/>
                          <a:chExt cx="5526570" cy="20986"/>
                        </a:xfrm>
                      </wpg:grpSpPr>
                      <wps:wsp>
                        <wps:cNvPr id="3595" name="Shape 3595"/>
                        <wps:cNvSpPr/>
                        <wps:spPr>
                          <a:xfrm>
                            <a:off x="0" y="0"/>
                            <a:ext cx="5526570" cy="0"/>
                          </a:xfrm>
                          <a:custGeom>
                            <a:avLst/>
                            <a:gdLst/>
                            <a:ahLst/>
                            <a:cxnLst/>
                            <a:rect l="0" t="0" r="0" b="0"/>
                            <a:pathLst>
                              <a:path w="5526570">
                                <a:moveTo>
                                  <a:pt x="0" y="0"/>
                                </a:moveTo>
                                <a:lnTo>
                                  <a:pt x="5526570" y="0"/>
                                </a:lnTo>
                              </a:path>
                            </a:pathLst>
                          </a:custGeom>
                          <a:ln w="20986"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843" style="width:435.163pt;height:1.65245pt;mso-position-horizontal-relative:char;mso-position-vertical-relative:line" coordsize="55265,209">
                <v:shape id="Shape 3595" style="position:absolute;width:55265;height:0;left:0;top:0;" coordsize="5526570,0" path="m0,0l5526570,0">
                  <v:stroke weight="1.65245pt" endcap="square" joinstyle="miter" miterlimit="10" on="true" color="#993366"/>
                  <v:fill on="false" color="#000000" opacity="0"/>
                </v:shape>
              </v:group>
            </w:pict>
          </mc:Fallback>
        </mc:AlternateContent>
      </w:r>
    </w:p>
    <w:p w:rsidR="0049318A" w:rsidRDefault="002B40D1">
      <w:pPr>
        <w:spacing w:after="0"/>
        <w:ind w:left="650"/>
      </w:pPr>
      <w:r>
        <w:rPr>
          <w:rFonts w:ascii="Times New Roman" w:eastAsia="Times New Roman" w:hAnsi="Times New Roman" w:cs="Times New Roman"/>
          <w:b/>
          <w:sz w:val="15"/>
        </w:rPr>
        <w:t xml:space="preserve"> </w:t>
      </w:r>
    </w:p>
    <w:p w:rsidR="0049318A" w:rsidRDefault="002B40D1">
      <w:pPr>
        <w:spacing w:after="83"/>
        <w:ind w:left="650"/>
      </w:pPr>
      <w:r>
        <w:rPr>
          <w:rFonts w:ascii="Times New Roman" w:eastAsia="Times New Roman" w:hAnsi="Times New Roman" w:cs="Times New Roman"/>
          <w:b/>
          <w:sz w:val="15"/>
        </w:rPr>
        <w:t xml:space="preserve"> </w:t>
      </w:r>
    </w:p>
    <w:p w:rsidR="0049318A" w:rsidRDefault="002B40D1">
      <w:pPr>
        <w:spacing w:after="93" w:line="249" w:lineRule="auto"/>
        <w:ind w:left="4" w:right="602" w:firstLine="636"/>
        <w:jc w:val="both"/>
      </w:pPr>
      <w:r>
        <w:rPr>
          <w:rFonts w:ascii="Arial" w:eastAsia="Arial" w:hAnsi="Arial" w:cs="Arial"/>
          <w:sz w:val="15"/>
        </w:rPr>
        <w:lastRenderedPageBreak/>
        <w:t xml:space="preserve">Con fecha 25 de septiembre de 2025, se adoptó el acuerdo plenario de Aprobación de la modificación inicial de la ORDENANZA REGULADORA DE LA PRESTACIÓN PATRIMONIAL DE CARÁCTER PÚBLICO NO TRIBUTARIO DE LOS SERVICIOS MUNICIPALES DE GESTIÓN DEL CICLO INTEGRAL </w:t>
      </w:r>
      <w:r>
        <w:rPr>
          <w:rFonts w:ascii="Arial" w:eastAsia="Arial" w:hAnsi="Arial" w:cs="Arial"/>
          <w:sz w:val="15"/>
        </w:rPr>
        <w:t>DEL AGUA DEL AYUNTAMIENTO DE LA VILLA DE CANDELARIA, publicándose en el Boletín Oficial de la Provincia de fecha 3 de octubre de 2025 y exponiéndose al público desde el 6 de octubre al 14 de noviembre de 2025, adoptando la aplicación de las siguientes tari</w:t>
      </w:r>
      <w:r>
        <w:rPr>
          <w:rFonts w:ascii="Arial" w:eastAsia="Arial" w:hAnsi="Arial" w:cs="Arial"/>
          <w:sz w:val="15"/>
        </w:rPr>
        <w:t xml:space="preserve">fas: </w:t>
      </w:r>
    </w:p>
    <w:p w:rsidR="0049318A" w:rsidRDefault="002B40D1">
      <w:pPr>
        <w:spacing w:after="169"/>
        <w:ind w:left="476"/>
        <w:jc w:val="center"/>
      </w:pPr>
      <w:r>
        <w:rPr>
          <w:rFonts w:ascii="Arial" w:eastAsia="Arial" w:hAnsi="Arial" w:cs="Arial"/>
          <w:b/>
          <w:sz w:val="15"/>
        </w:rPr>
        <w:t xml:space="preserve"> </w:t>
      </w:r>
    </w:p>
    <w:p w:rsidR="0049318A" w:rsidRDefault="002B40D1">
      <w:pPr>
        <w:spacing w:after="4"/>
        <w:ind w:left="1028" w:hanging="10"/>
      </w:pPr>
      <w:r>
        <w:rPr>
          <w:rFonts w:ascii="Arial" w:eastAsia="Arial" w:hAnsi="Arial" w:cs="Arial"/>
          <w:b/>
          <w:sz w:val="15"/>
        </w:rPr>
        <w:t xml:space="preserve">TARIFAS DE ABASTECIMIENTO </w:t>
      </w:r>
    </w:p>
    <w:tbl>
      <w:tblPr>
        <w:tblStyle w:val="TableGrid"/>
        <w:tblW w:w="5559" w:type="dxa"/>
        <w:tblInd w:w="1298" w:type="dxa"/>
        <w:tblCellMar>
          <w:top w:w="34" w:type="dxa"/>
          <w:left w:w="99" w:type="dxa"/>
          <w:bottom w:w="0" w:type="dxa"/>
          <w:right w:w="115" w:type="dxa"/>
        </w:tblCellMar>
        <w:tblLook w:val="04A0" w:firstRow="1" w:lastRow="0" w:firstColumn="1" w:lastColumn="0" w:noHBand="0" w:noVBand="1"/>
      </w:tblPr>
      <w:tblGrid>
        <w:gridCol w:w="2586"/>
        <w:gridCol w:w="2974"/>
      </w:tblGrid>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b/>
                <w:sz w:val="15"/>
              </w:rPr>
              <w:t xml:space="preserve">TARIFAS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PROPUESTAS AL PLENO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b/>
                <w:sz w:val="15"/>
              </w:rPr>
              <w:t>CONSUMO DOMÉSTICO</w:t>
            </w:r>
            <w:r>
              <w:rPr>
                <w:rFonts w:ascii="Arial" w:eastAsia="Arial" w:hAnsi="Arial" w:cs="Arial"/>
                <w:sz w:val="15"/>
              </w:rPr>
              <w:t xml:space="preserve">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62"/>
              <w:jc w:val="center"/>
            </w:pPr>
            <w:r>
              <w:rPr>
                <w:rFonts w:ascii="Arial" w:eastAsia="Arial" w:hAnsi="Arial" w:cs="Arial"/>
                <w:sz w:val="15"/>
              </w:rPr>
              <w:t xml:space="preserve">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8"/>
              <w:jc w:val="center"/>
            </w:pPr>
            <w:r>
              <w:rPr>
                <w:rFonts w:ascii="Arial" w:eastAsia="Arial" w:hAnsi="Arial" w:cs="Arial"/>
                <w:sz w:val="15"/>
              </w:rPr>
              <w:t xml:space="preserve">15,41 €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0,64 €/m3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w:t>
            </w:r>
            <w:r>
              <w:rPr>
                <w:rFonts w:ascii="Arial" w:eastAsia="Arial" w:hAnsi="Arial" w:cs="Arial"/>
                <w:sz w:val="15"/>
              </w:rPr>
              <w:t xml:space="preserve">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1,30 €/m3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i/>
                <w:sz w:val="15"/>
              </w:rPr>
              <w:t xml:space="preserve">De 31 a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2,38 €/m3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9"/>
              <w:jc w:val="center"/>
            </w:pPr>
            <w:r>
              <w:rPr>
                <w:rFonts w:ascii="Arial" w:eastAsia="Arial" w:hAnsi="Arial" w:cs="Arial"/>
                <w:i/>
                <w:sz w:val="15"/>
              </w:rPr>
              <w:t xml:space="preserve">Más de 60 </w:t>
            </w:r>
            <w:r>
              <w:rPr>
                <w:rFonts w:ascii="Arial" w:eastAsia="Arial" w:hAnsi="Arial" w:cs="Arial"/>
                <w:sz w:val="15"/>
              </w:rPr>
              <w:t xml:space="preserve">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3,78 €/m3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4"/>
              <w:jc w:val="center"/>
            </w:pPr>
            <w:r>
              <w:rPr>
                <w:rFonts w:ascii="Arial" w:eastAsia="Arial" w:hAnsi="Arial" w:cs="Arial"/>
                <w:b/>
                <w:i/>
                <w:sz w:val="15"/>
              </w:rPr>
              <w:t xml:space="preserve">CONSUMO INDUSTRIAL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5"/>
              </w:rPr>
              <w:t xml:space="preserve">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5"/>
              <w:jc w:val="center"/>
            </w:pPr>
            <w:r>
              <w:rPr>
                <w:rFonts w:ascii="Arial" w:eastAsia="Arial" w:hAnsi="Arial" w:cs="Arial"/>
                <w:i/>
                <w:sz w:val="15"/>
              </w:rPr>
              <w:t xml:space="preserve">CUOTA FIJA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22,99 €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 a 10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0,97 €/m3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11 a 30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2,00 €/m3 </w:t>
            </w:r>
          </w:p>
        </w:tc>
      </w:tr>
      <w:tr w:rsidR="0049318A">
        <w:trPr>
          <w:trHeight w:val="276"/>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6"/>
              <w:jc w:val="center"/>
            </w:pPr>
            <w:r>
              <w:rPr>
                <w:rFonts w:ascii="Arial" w:eastAsia="Arial" w:hAnsi="Arial" w:cs="Arial"/>
                <w:i/>
                <w:sz w:val="15"/>
              </w:rPr>
              <w:t xml:space="preserve">De 31 a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3,08 €/m3 </w:t>
            </w:r>
          </w:p>
        </w:tc>
      </w:tr>
      <w:tr w:rsidR="0049318A">
        <w:trPr>
          <w:trHeight w:val="278"/>
        </w:trPr>
        <w:tc>
          <w:tcPr>
            <w:tcW w:w="258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8"/>
              <w:jc w:val="center"/>
            </w:pPr>
            <w:r>
              <w:rPr>
                <w:rFonts w:ascii="Arial" w:eastAsia="Arial" w:hAnsi="Arial" w:cs="Arial"/>
                <w:i/>
                <w:sz w:val="15"/>
              </w:rPr>
              <w:t xml:space="preserve">Más de 60 m3 </w:t>
            </w:r>
          </w:p>
        </w:tc>
        <w:tc>
          <w:tcPr>
            <w:tcW w:w="2974"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pace="preserve">4,28 €/m3 </w:t>
            </w:r>
          </w:p>
        </w:tc>
      </w:tr>
    </w:tbl>
    <w:p w:rsidR="0049318A" w:rsidRDefault="002B40D1">
      <w:pPr>
        <w:spacing w:after="0"/>
        <w:ind w:left="1033"/>
      </w:pPr>
      <w:r>
        <w:rPr>
          <w:rFonts w:ascii="Arial" w:eastAsia="Arial" w:hAnsi="Arial" w:cs="Arial"/>
          <w:sz w:val="15"/>
        </w:rPr>
        <w:t xml:space="preserve"> </w:t>
      </w:r>
    </w:p>
    <w:p w:rsidR="0049318A" w:rsidRDefault="002B40D1">
      <w:pPr>
        <w:spacing w:after="867" w:line="265" w:lineRule="auto"/>
        <w:ind w:left="-5" w:hanging="10"/>
      </w:pPr>
      <w:r>
        <w:rPr>
          <w:rFonts w:ascii="Times New Roman" w:eastAsia="Times New Roman" w:hAnsi="Times New Roman" w:cs="Times New Roman"/>
          <w:color w:val="181717"/>
          <w:sz w:val="16"/>
        </w:rPr>
        <w:t>29057</w:t>
      </w:r>
    </w:p>
    <w:p w:rsidR="0049318A" w:rsidRDefault="002B40D1">
      <w:pPr>
        <w:spacing w:after="51"/>
        <w:ind w:left="1842" w:hanging="10"/>
      </w:pPr>
      <w:r>
        <w:rPr>
          <w:rFonts w:ascii="Arial" w:eastAsia="Arial" w:hAnsi="Arial" w:cs="Arial"/>
          <w:b/>
          <w:sz w:val="15"/>
        </w:rPr>
        <w:t xml:space="preserve">TARIFAS DE SANEAMIENTO </w:t>
      </w:r>
    </w:p>
    <w:p w:rsidR="0049318A" w:rsidRDefault="002B40D1">
      <w:pPr>
        <w:spacing w:after="0"/>
        <w:ind w:left="1832"/>
      </w:pPr>
      <w:r>
        <w:rPr>
          <w:rFonts w:ascii="Arial" w:eastAsia="Arial" w:hAnsi="Arial" w:cs="Arial"/>
          <w:sz w:val="15"/>
        </w:rPr>
        <w:t xml:space="preserve"> </w:t>
      </w:r>
    </w:p>
    <w:tbl>
      <w:tblPr>
        <w:tblStyle w:val="TableGrid"/>
        <w:tblW w:w="4407" w:type="dxa"/>
        <w:tblInd w:w="2248" w:type="dxa"/>
        <w:tblCellMar>
          <w:top w:w="46" w:type="dxa"/>
          <w:left w:w="99" w:type="dxa"/>
          <w:bottom w:w="0" w:type="dxa"/>
          <w:right w:w="115" w:type="dxa"/>
        </w:tblCellMar>
        <w:tblLook w:val="04A0" w:firstRow="1" w:lastRow="0" w:firstColumn="1" w:lastColumn="0" w:noHBand="0" w:noVBand="1"/>
      </w:tblPr>
      <w:tblGrid>
        <w:gridCol w:w="2776"/>
        <w:gridCol w:w="1631"/>
      </w:tblGrid>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b/>
                <w:sz w:val="15"/>
              </w:rPr>
              <w:t>CONSUMO DOMÉSTICO</w:t>
            </w:r>
            <w:r>
              <w:rPr>
                <w:rFonts w:ascii="Arial" w:eastAsia="Arial" w:hAnsi="Arial" w:cs="Arial"/>
                <w:sz w:val="15"/>
              </w:rPr>
              <w:t xml:space="preserve">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5"/>
              </w:rPr>
              <w:t>IMPORTE</w:t>
            </w:r>
            <w:r>
              <w:rPr>
                <w:rFonts w:ascii="Arial" w:eastAsia="Arial" w:hAnsi="Arial" w:cs="Arial"/>
                <w:sz w:val="15"/>
              </w:rPr>
              <w:t xml:space="preserve"> </w:t>
            </w:r>
          </w:p>
        </w:tc>
      </w:tr>
      <w:tr w:rsidR="0049318A">
        <w:trPr>
          <w:trHeight w:val="355"/>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 xml:space="preserve">Mínimo de 10 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1,89 €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i/>
                <w:sz w:val="15"/>
              </w:rPr>
              <w:t xml:space="preserve">Más de 10 </w:t>
            </w:r>
            <w:r>
              <w:rPr>
                <w:rFonts w:ascii="Arial" w:eastAsia="Arial" w:hAnsi="Arial" w:cs="Arial"/>
                <w:sz w:val="15"/>
              </w:rPr>
              <w:t xml:space="preserve">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0,19 €/m3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b/>
                <w:sz w:val="15"/>
              </w:rPr>
              <w:t>CONSUMO INDUSTRIAL</w:t>
            </w:r>
            <w:r>
              <w:rPr>
                <w:rFonts w:ascii="Arial" w:eastAsia="Arial" w:hAnsi="Arial" w:cs="Arial"/>
                <w:sz w:val="15"/>
              </w:rPr>
              <w:t xml:space="preserve">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 xml:space="preserve">Mínimo 10 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2.17 € </w:t>
            </w:r>
          </w:p>
        </w:tc>
      </w:tr>
      <w:tr w:rsidR="0049318A">
        <w:trPr>
          <w:trHeight w:val="353"/>
        </w:trPr>
        <w:tc>
          <w:tcPr>
            <w:tcW w:w="2776"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left="2"/>
            </w:pPr>
            <w:r>
              <w:rPr>
                <w:rFonts w:ascii="Arial" w:eastAsia="Arial" w:hAnsi="Arial" w:cs="Arial"/>
                <w:sz w:val="15"/>
              </w:rPr>
              <w:t xml:space="preserve">Más de 10 m3 </w:t>
            </w:r>
          </w:p>
        </w:tc>
        <w:tc>
          <w:tcPr>
            <w:tcW w:w="1631"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5"/>
              </w:rPr>
              <w:t xml:space="preserve">0,22 €/m3 </w:t>
            </w:r>
          </w:p>
        </w:tc>
      </w:tr>
    </w:tbl>
    <w:p w:rsidR="0049318A" w:rsidRDefault="002B40D1">
      <w:pPr>
        <w:spacing w:after="86"/>
        <w:ind w:left="1449"/>
      </w:pPr>
      <w:r>
        <w:rPr>
          <w:rFonts w:ascii="Arial" w:eastAsia="Arial" w:hAnsi="Arial" w:cs="Arial"/>
          <w:sz w:val="15"/>
        </w:rPr>
        <w:t xml:space="preserve"> </w:t>
      </w:r>
    </w:p>
    <w:p w:rsidR="0049318A" w:rsidRDefault="002B40D1">
      <w:pPr>
        <w:spacing w:after="0"/>
        <w:ind w:left="1449"/>
      </w:pPr>
      <w:r>
        <w:rPr>
          <w:rFonts w:ascii="Arial" w:eastAsia="Arial" w:hAnsi="Arial" w:cs="Arial"/>
          <w:sz w:val="15"/>
        </w:rPr>
        <w:t xml:space="preserve"> </w:t>
      </w:r>
    </w:p>
    <w:p w:rsidR="0049318A" w:rsidRDefault="002B40D1">
      <w:pPr>
        <w:spacing w:after="0" w:line="249" w:lineRule="auto"/>
        <w:ind w:left="788" w:right="46" w:firstLine="636"/>
        <w:jc w:val="both"/>
      </w:pPr>
      <w:r>
        <w:rPr>
          <w:rFonts w:ascii="Arial" w:eastAsia="Arial" w:hAnsi="Arial" w:cs="Arial"/>
          <w:sz w:val="15"/>
        </w:rPr>
        <w:t>Con fecha 30 de septiembre de 2025, se remitió el acuerdo</w:t>
      </w:r>
      <w:r>
        <w:rPr>
          <w:rFonts w:ascii="Arial" w:eastAsia="Arial" w:hAnsi="Arial" w:cs="Arial"/>
          <w:b/>
          <w:sz w:val="15"/>
        </w:rPr>
        <w:t xml:space="preserve"> </w:t>
      </w:r>
      <w:r>
        <w:rPr>
          <w:rFonts w:ascii="Arial" w:eastAsia="Arial" w:hAnsi="Arial" w:cs="Arial"/>
          <w:sz w:val="15"/>
        </w:rPr>
        <w:t>adoptado a la Comisión Territorial de precios de la Consejería de Turismo, Industria y Comercio del Gobierno de Canarias a efectos del informe pr</w:t>
      </w:r>
      <w:r>
        <w:rPr>
          <w:rFonts w:ascii="Arial" w:eastAsia="Arial" w:hAnsi="Arial" w:cs="Arial"/>
          <w:sz w:val="15"/>
        </w:rPr>
        <w:t xml:space="preserve">eceptivo en virtud del régimen de precios autorizados de ámbito autonómico, conforme el Decreto 3173/1983 de 9 de noviembre, pero solamente en cuanto a las tarifas de abastecimiento, no a las de saneamiento, que no están sujetas a informe. </w:t>
      </w:r>
    </w:p>
    <w:p w:rsidR="0049318A" w:rsidRDefault="002B40D1">
      <w:pPr>
        <w:spacing w:after="0"/>
        <w:ind w:left="1449"/>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 xml:space="preserve">Con fecha 9 de noviembre de 2025, se presentan alegaciones a la presente Ordenanza, durante el periodo de exposición al público, por el partido Unidas Sí Podemos, integrado en el Grupo Mixto, que podemos sintetizar en: </w:t>
      </w:r>
    </w:p>
    <w:p w:rsidR="0049318A" w:rsidRDefault="002B40D1">
      <w:pPr>
        <w:spacing w:after="84"/>
        <w:ind w:left="1449"/>
      </w:pPr>
      <w:r>
        <w:rPr>
          <w:rFonts w:ascii="Arial" w:eastAsia="Arial" w:hAnsi="Arial" w:cs="Arial"/>
          <w:sz w:val="15"/>
        </w:rPr>
        <w:t xml:space="preserve"> </w:t>
      </w:r>
    </w:p>
    <w:p w:rsidR="0049318A" w:rsidRDefault="002B40D1">
      <w:pPr>
        <w:spacing w:after="0" w:line="249" w:lineRule="auto"/>
        <w:ind w:left="788" w:right="46" w:firstLine="636"/>
        <w:jc w:val="both"/>
      </w:pPr>
      <w:r>
        <w:rPr>
          <w:rFonts w:ascii="Arial" w:eastAsia="Arial" w:hAnsi="Arial" w:cs="Arial"/>
          <w:b/>
          <w:sz w:val="15"/>
        </w:rPr>
        <w:t>Alegación 1ª: Rechazo al increment</w:t>
      </w:r>
      <w:r>
        <w:rPr>
          <w:rFonts w:ascii="Arial" w:eastAsia="Arial" w:hAnsi="Arial" w:cs="Arial"/>
          <w:b/>
          <w:sz w:val="15"/>
        </w:rPr>
        <w:t>o tarifario y exigencia de auditoría externa independiente</w:t>
      </w:r>
      <w:r>
        <w:rPr>
          <w:rFonts w:ascii="Arial" w:eastAsia="Arial" w:hAnsi="Arial" w:cs="Arial"/>
          <w:sz w:val="15"/>
        </w:rPr>
        <w:t>, después de tres subidas seguidas basado en una solicitud de la empresa concesionaria AQUALIA S.A. que alega un déficit actual de 549.000 euros, que genera dudas razonables sobre la fiabilidad de l</w:t>
      </w:r>
      <w:r>
        <w:rPr>
          <w:rFonts w:ascii="Arial" w:eastAsia="Arial" w:hAnsi="Arial" w:cs="Arial"/>
          <w:sz w:val="15"/>
        </w:rPr>
        <w:t xml:space="preserve">os cálculos de costes, debiendo la Corporación contratar una auditoría externa para contrastar la información.  </w:t>
      </w:r>
    </w:p>
    <w:p w:rsidR="0049318A" w:rsidRDefault="002B40D1">
      <w:pPr>
        <w:spacing w:after="0"/>
        <w:ind w:left="1449"/>
      </w:pPr>
      <w:r>
        <w:rPr>
          <w:rFonts w:ascii="Arial" w:eastAsia="Arial" w:hAnsi="Arial" w:cs="Arial"/>
          <w:sz w:val="15"/>
        </w:rPr>
        <w:t xml:space="preserve"> </w:t>
      </w:r>
    </w:p>
    <w:p w:rsidR="0049318A" w:rsidRDefault="002B40D1">
      <w:pPr>
        <w:spacing w:after="0"/>
        <w:ind w:left="1449"/>
      </w:pPr>
      <w:r>
        <w:rPr>
          <w:rFonts w:ascii="Arial" w:eastAsia="Arial" w:hAnsi="Arial" w:cs="Arial"/>
          <w:sz w:val="15"/>
        </w:rPr>
        <w:t xml:space="preserve"> </w:t>
      </w:r>
    </w:p>
    <w:p w:rsidR="0049318A" w:rsidRDefault="002B40D1">
      <w:pPr>
        <w:spacing w:after="0" w:line="249" w:lineRule="auto"/>
        <w:ind w:left="788" w:right="46" w:firstLine="636"/>
        <w:jc w:val="both"/>
      </w:pPr>
      <w:r>
        <w:rPr>
          <w:rFonts w:ascii="Arial" w:eastAsia="Arial" w:hAnsi="Arial" w:cs="Arial"/>
          <w:b/>
          <w:sz w:val="15"/>
        </w:rPr>
        <w:t>Alegación 2ª: ineficiencia en la gestión y pérdidas en la red,</w:t>
      </w:r>
      <w:r>
        <w:rPr>
          <w:rFonts w:ascii="Arial" w:eastAsia="Arial" w:hAnsi="Arial" w:cs="Arial"/>
          <w:sz w:val="15"/>
        </w:rPr>
        <w:t xml:space="preserve"> generando unas pérdidas de agua no controladas del 33,6% en la red municipal</w:t>
      </w:r>
      <w:r>
        <w:rPr>
          <w:rFonts w:ascii="Arial" w:eastAsia="Arial" w:hAnsi="Arial" w:cs="Arial"/>
          <w:sz w:val="15"/>
        </w:rPr>
        <w:t>, lo que supone una pérdida económica de 796.000 euros anuales, que se repercuten en costes sobre las personas contribuyentes del municipio, por lo que debe condicionarse la aprobación definitiva de la modificación tarifaria a la presentación, por parte de</w:t>
      </w:r>
      <w:r>
        <w:rPr>
          <w:rFonts w:ascii="Arial" w:eastAsia="Arial" w:hAnsi="Arial" w:cs="Arial"/>
          <w:sz w:val="15"/>
        </w:rPr>
        <w:t xml:space="preserve"> la Concejalía de Hacienda y de la empresa concesionaria, de un Plan Plurianual de Mejora del Rendimiento Hidráulico de la red de abastecimiento, con objetivos de reducción de pérdidas definidos. </w:t>
      </w:r>
    </w:p>
    <w:p w:rsidR="0049318A" w:rsidRDefault="002B40D1">
      <w:pPr>
        <w:spacing w:after="0"/>
        <w:ind w:left="1449"/>
      </w:pPr>
      <w:r>
        <w:rPr>
          <w:rFonts w:ascii="Arial" w:eastAsia="Arial" w:hAnsi="Arial" w:cs="Arial"/>
          <w:sz w:val="15"/>
        </w:rPr>
        <w:lastRenderedPageBreak/>
        <w:t xml:space="preserve"> </w:t>
      </w:r>
    </w:p>
    <w:p w:rsidR="0049318A" w:rsidRDefault="002B40D1">
      <w:pPr>
        <w:spacing w:after="0"/>
        <w:ind w:left="1449"/>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b/>
          <w:sz w:val="15"/>
        </w:rPr>
        <w:t>Alegación 3ª: falta de enfoque social y garantía del de</w:t>
      </w:r>
      <w:r>
        <w:rPr>
          <w:rFonts w:ascii="Arial" w:eastAsia="Arial" w:hAnsi="Arial" w:cs="Arial"/>
          <w:b/>
          <w:sz w:val="15"/>
        </w:rPr>
        <w:t>recho humano al agua</w:t>
      </w:r>
      <w:r>
        <w:rPr>
          <w:rFonts w:ascii="Arial" w:eastAsia="Arial" w:hAnsi="Arial" w:cs="Arial"/>
          <w:sz w:val="15"/>
        </w:rPr>
        <w:t>, de la Ordenanza que omite mecanismos de protección a la ciudadanía vulnerable,  penalizando el ahorro y el bajo consumo, por lo que se solicita  la eliminación de la Cuota Fija de Abastecimiento para el uso doméstico, o en su defecto,</w:t>
      </w:r>
      <w:r>
        <w:rPr>
          <w:rFonts w:ascii="Arial" w:eastAsia="Arial" w:hAnsi="Arial" w:cs="Arial"/>
          <w:sz w:val="15"/>
        </w:rPr>
        <w:t xml:space="preserve"> una reducción sustancial de la misma, trasladando el coste a los tramos de consumo más altos (Bloques 3 y 4) para fomentar el ahorro y la progresividad, la inclusión de una Tarifa Social que garantice un mínimo vital de agua gratuito o a coste social para</w:t>
      </w:r>
      <w:r>
        <w:rPr>
          <w:rFonts w:ascii="Arial" w:eastAsia="Arial" w:hAnsi="Arial" w:cs="Arial"/>
          <w:sz w:val="15"/>
        </w:rPr>
        <w:t xml:space="preserve"> aquellas personas usuarias que acrediten su situación de vulnerabilidad, la inclusión de medidas explícitas para evitar el corte de suministro en todos los casos de vulnerabilidad económica debidamente acreditada, tal y como se contemplaba en reglamentos </w:t>
      </w:r>
      <w:r>
        <w:rPr>
          <w:rFonts w:ascii="Arial" w:eastAsia="Arial" w:hAnsi="Arial" w:cs="Arial"/>
          <w:sz w:val="15"/>
        </w:rPr>
        <w:t xml:space="preserve">anteriores.  </w:t>
      </w:r>
    </w:p>
    <w:p w:rsidR="0049318A" w:rsidRDefault="002B40D1">
      <w:pPr>
        <w:spacing w:after="84"/>
        <w:ind w:left="1449"/>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b/>
          <w:sz w:val="15"/>
        </w:rPr>
        <w:t>Alegación 4ª: revisión del Reglamento de la Comisión de seguimiento y control del Servicio de Abastecimiento de Agua Potable</w:t>
      </w:r>
      <w:r>
        <w:rPr>
          <w:rFonts w:ascii="Arial" w:eastAsia="Arial" w:hAnsi="Arial" w:cs="Arial"/>
          <w:sz w:val="15"/>
        </w:rPr>
        <w:t>, para que se incluya la presencia de concejales y concejalas de los grupos políticos de la oposición en dicha Comis</w:t>
      </w:r>
      <w:r>
        <w:rPr>
          <w:rFonts w:ascii="Arial" w:eastAsia="Arial" w:hAnsi="Arial" w:cs="Arial"/>
          <w:sz w:val="15"/>
        </w:rPr>
        <w:t xml:space="preserve">ión, se establezca la obligatoriedad de la presentación de Informes anuales de seguimiento y control de la gestión de la empresa concesionaria directamente al Pleno del Ayuntamiento para su debate y fiscalización pública.  </w:t>
      </w:r>
    </w:p>
    <w:p w:rsidR="0049318A" w:rsidRDefault="002B40D1">
      <w:pPr>
        <w:spacing w:after="84"/>
        <w:ind w:left="1449"/>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Visto el informe de la Interve</w:t>
      </w:r>
      <w:r>
        <w:rPr>
          <w:rFonts w:ascii="Arial" w:eastAsia="Arial" w:hAnsi="Arial" w:cs="Arial"/>
          <w:sz w:val="15"/>
        </w:rPr>
        <w:t xml:space="preserve">nción municipal, que desestima dichas alegaciones, por los siguientes motivos: </w:t>
      </w:r>
    </w:p>
    <w:p w:rsidR="0049318A" w:rsidRDefault="002B40D1">
      <w:pPr>
        <w:spacing w:after="93" w:line="249" w:lineRule="auto"/>
        <w:ind w:left="788" w:right="46" w:firstLine="636"/>
        <w:jc w:val="both"/>
      </w:pPr>
      <w:r>
        <w:rPr>
          <w:rFonts w:ascii="Arial" w:eastAsia="Arial" w:hAnsi="Arial" w:cs="Arial"/>
          <w:sz w:val="15"/>
        </w:rPr>
        <w:t>“A diferencia de lo que sucede en el procedimiento para aprobar los presupuestos locales, no se tasan en el Texto Refundido de la Ley Reguladora de las Haciendas Locales y en o</w:t>
      </w:r>
      <w:r>
        <w:rPr>
          <w:rFonts w:ascii="Arial" w:eastAsia="Arial" w:hAnsi="Arial" w:cs="Arial"/>
          <w:sz w:val="15"/>
        </w:rPr>
        <w:t xml:space="preserve">tras normas de </w:t>
      </w:r>
    </w:p>
    <w:p w:rsidR="0049318A" w:rsidRDefault="002B40D1">
      <w:pPr>
        <w:spacing w:after="795" w:line="265" w:lineRule="auto"/>
        <w:ind w:left="10" w:right="-15" w:hanging="10"/>
        <w:jc w:val="right"/>
      </w:pPr>
      <w:r>
        <w:rPr>
          <w:rFonts w:ascii="Times New Roman" w:eastAsia="Times New Roman" w:hAnsi="Times New Roman" w:cs="Times New Roman"/>
          <w:color w:val="181717"/>
          <w:sz w:val="16"/>
        </w:rPr>
        <w:t>29058</w:t>
      </w:r>
    </w:p>
    <w:p w:rsidR="0049318A" w:rsidRDefault="002B40D1">
      <w:pPr>
        <w:spacing w:after="240" w:line="249" w:lineRule="auto"/>
        <w:ind w:right="205"/>
        <w:jc w:val="both"/>
      </w:pPr>
      <w:r>
        <w:rPr>
          <w:rFonts w:ascii="Arial" w:eastAsia="Arial" w:hAnsi="Arial" w:cs="Arial"/>
          <w:sz w:val="15"/>
        </w:rPr>
        <w:t xml:space="preserve">aplicación general (LRBRL, Ley 39/2015 de Procedimiento Administrativo común) los supuestos por los que se pueden presentar alegaciones o reclamaciones contra las ordenanzas no fiscales. </w:t>
      </w:r>
    </w:p>
    <w:p w:rsidR="0049318A" w:rsidRDefault="002B40D1">
      <w:pPr>
        <w:spacing w:after="289" w:line="249" w:lineRule="auto"/>
        <w:ind w:right="519" w:firstLine="328"/>
        <w:jc w:val="both"/>
      </w:pPr>
      <w:r>
        <w:rPr>
          <w:rFonts w:ascii="Arial" w:eastAsia="Arial" w:hAnsi="Arial" w:cs="Arial"/>
          <w:sz w:val="15"/>
        </w:rPr>
        <w:t>Con respecto a la primera alegación, relativa a considerar desproporcionada y abusiva una nueva subida media del 8,6%, después de otra subida en un mismo año, señalar que el artículo 36 del Pliego  de Condiciones Económico-Administrativas y Jurídicas que h</w:t>
      </w:r>
      <w:r>
        <w:rPr>
          <w:rFonts w:ascii="Arial" w:eastAsia="Arial" w:hAnsi="Arial" w:cs="Arial"/>
          <w:sz w:val="15"/>
        </w:rPr>
        <w:t xml:space="preserve">an de regir el concurso para la concesión de la gestión de los servicios municipales de abastecimiento de agua y saneamiento del municipio de Candelaria, regula que “las tarifas de los servicios serán revisadas con la antelación suficiente para que puedan </w:t>
      </w:r>
      <w:r>
        <w:rPr>
          <w:rFonts w:ascii="Arial" w:eastAsia="Arial" w:hAnsi="Arial" w:cs="Arial"/>
          <w:sz w:val="15"/>
        </w:rPr>
        <w:t xml:space="preserve">entrar en vigor el uno de enero de cada año” y el artículo 28, que señala “que el Ayuntamiento se compromete a mantener el equilibrio económico financiero del contrato, por lo que revisará periódicamente las tarifas aplicables a los servicios”. Por tanto, </w:t>
      </w:r>
      <w:r>
        <w:rPr>
          <w:rFonts w:ascii="Arial" w:eastAsia="Arial" w:hAnsi="Arial" w:cs="Arial"/>
          <w:sz w:val="15"/>
        </w:rPr>
        <w:t xml:space="preserve">los Pliegos, que son los verdaderos contratos que rigen la prestación de un servicio, establece, a través de este articulado, la revisión de las tarifas anual. </w:t>
      </w:r>
    </w:p>
    <w:p w:rsidR="0049318A" w:rsidRDefault="002B40D1">
      <w:pPr>
        <w:spacing w:after="292" w:line="249" w:lineRule="auto"/>
        <w:ind w:right="525" w:firstLine="328"/>
        <w:jc w:val="both"/>
      </w:pPr>
      <w:r>
        <w:rPr>
          <w:rFonts w:ascii="Arial" w:eastAsia="Arial" w:hAnsi="Arial" w:cs="Arial"/>
          <w:sz w:val="15"/>
        </w:rPr>
        <w:t>En relación a la fiabilidad de los cálculos de costes e ingresos presentado por la empresa conc</w:t>
      </w:r>
      <w:r>
        <w:rPr>
          <w:rFonts w:ascii="Arial" w:eastAsia="Arial" w:hAnsi="Arial" w:cs="Arial"/>
          <w:sz w:val="15"/>
        </w:rPr>
        <w:t xml:space="preserve">esionaria, solicitando a la Corporación contratar una auditoría externa para contrastar la información, señalar que por aplicación de la Ley de Auditorías de cuentas, Aqualia, está sometida a una Auditoría privada, reflejándose en el expediente, auditoría </w:t>
      </w:r>
      <w:r>
        <w:rPr>
          <w:rFonts w:ascii="Arial" w:eastAsia="Arial" w:hAnsi="Arial" w:cs="Arial"/>
          <w:sz w:val="15"/>
        </w:rPr>
        <w:t xml:space="preserve">de los costes e ingresos del servicio, que ha servido de base para elaborar previsión de ingresos y gastos para el 2026 y proponer la subida de nuevas tarifas.   </w:t>
      </w:r>
    </w:p>
    <w:p w:rsidR="0049318A" w:rsidRDefault="002B40D1">
      <w:pPr>
        <w:spacing w:after="289" w:line="249" w:lineRule="auto"/>
        <w:ind w:right="525" w:firstLine="328"/>
        <w:jc w:val="both"/>
      </w:pPr>
      <w:r>
        <w:rPr>
          <w:rFonts w:ascii="Arial" w:eastAsia="Arial" w:hAnsi="Arial" w:cs="Arial"/>
          <w:sz w:val="15"/>
        </w:rPr>
        <w:t xml:space="preserve">El RD 424/2017, de 28 de abril, por el que se regula el régimen jurídico del control interno </w:t>
      </w:r>
      <w:r>
        <w:rPr>
          <w:rFonts w:ascii="Arial" w:eastAsia="Arial" w:hAnsi="Arial" w:cs="Arial"/>
          <w:sz w:val="15"/>
        </w:rPr>
        <w:t xml:space="preserve">en las entidades del Sector Público Local, solamente permite hacer auditorias públicas a los entes del sector público local. </w:t>
      </w:r>
    </w:p>
    <w:p w:rsidR="0049318A" w:rsidRDefault="002B40D1">
      <w:pPr>
        <w:spacing w:after="142" w:line="249" w:lineRule="auto"/>
        <w:ind w:right="519" w:firstLine="328"/>
        <w:jc w:val="both"/>
      </w:pPr>
      <w:r>
        <w:rPr>
          <w:rFonts w:ascii="Arial" w:eastAsia="Arial" w:hAnsi="Arial" w:cs="Arial"/>
          <w:sz w:val="15"/>
        </w:rPr>
        <w:t>Asimismo, no consta, en el Pliego de Condiciones Económico-Administrativas y Jurídicas que rige el concurso para la concesión de l</w:t>
      </w:r>
      <w:r>
        <w:rPr>
          <w:rFonts w:ascii="Arial" w:eastAsia="Arial" w:hAnsi="Arial" w:cs="Arial"/>
          <w:sz w:val="15"/>
        </w:rPr>
        <w:t xml:space="preserve">a gestión de los Servicios Municipales de Abastecimiento de Agua y Saneamiento, la posibilidad de realizar una auditoría externa de las cuentas presentadas por la empresa concesionaria, como condición previa para la revisión de las tarifas. </w:t>
      </w:r>
    </w:p>
    <w:p w:rsidR="0049318A" w:rsidRDefault="002B40D1">
      <w:pPr>
        <w:spacing w:after="84"/>
        <w:ind w:left="646"/>
      </w:pPr>
      <w:r>
        <w:rPr>
          <w:rFonts w:ascii="Arial" w:eastAsia="Arial" w:hAnsi="Arial" w:cs="Arial"/>
          <w:sz w:val="15"/>
        </w:rPr>
        <w:t xml:space="preserve"> </w:t>
      </w:r>
    </w:p>
    <w:p w:rsidR="0049318A" w:rsidRDefault="002B40D1">
      <w:pPr>
        <w:spacing w:after="93" w:line="249" w:lineRule="auto"/>
        <w:ind w:right="521" w:firstLine="636"/>
        <w:jc w:val="both"/>
      </w:pPr>
      <w:r>
        <w:rPr>
          <w:rFonts w:ascii="Arial" w:eastAsia="Arial" w:hAnsi="Arial" w:cs="Arial"/>
          <w:sz w:val="15"/>
        </w:rPr>
        <w:t xml:space="preserve">En cuanto a </w:t>
      </w:r>
      <w:r>
        <w:rPr>
          <w:rFonts w:ascii="Arial" w:eastAsia="Arial" w:hAnsi="Arial" w:cs="Arial"/>
          <w:sz w:val="15"/>
        </w:rPr>
        <w:t>la segunda alegación, relativa a condicionar la aprobación definitiva de la modificación tarifaria a la presentación, por parte de la Concejalía de Hacienda y de la empresa concesionaria, de un Plan Plurianual de Mejora del Rendimiento Hidráulico de la red</w:t>
      </w:r>
      <w:r>
        <w:rPr>
          <w:rFonts w:ascii="Arial" w:eastAsia="Arial" w:hAnsi="Arial" w:cs="Arial"/>
          <w:sz w:val="15"/>
        </w:rPr>
        <w:t xml:space="preserve"> de abastecimiento, con objetivos de reducción de pérdidas definidos, no está previsto en el Pliego de Condiciones Económico-Administrativas y Jurídicas que rige el concurso.  </w:t>
      </w:r>
    </w:p>
    <w:p w:rsidR="0049318A" w:rsidRDefault="002B40D1">
      <w:pPr>
        <w:spacing w:after="84"/>
        <w:ind w:left="646"/>
      </w:pPr>
      <w:r>
        <w:rPr>
          <w:rFonts w:ascii="Arial" w:eastAsia="Arial" w:hAnsi="Arial" w:cs="Arial"/>
          <w:sz w:val="15"/>
        </w:rPr>
        <w:t xml:space="preserve"> </w:t>
      </w:r>
    </w:p>
    <w:p w:rsidR="0049318A" w:rsidRDefault="002B40D1">
      <w:pPr>
        <w:spacing w:after="93" w:line="249" w:lineRule="auto"/>
        <w:ind w:right="522" w:firstLine="636"/>
        <w:jc w:val="both"/>
      </w:pPr>
      <w:r>
        <w:rPr>
          <w:rFonts w:ascii="Arial" w:eastAsia="Arial" w:hAnsi="Arial" w:cs="Arial"/>
          <w:sz w:val="15"/>
        </w:rPr>
        <w:t>En la tercera alegación, relativa a la eliminación de la Cuota Fija de Abaste</w:t>
      </w:r>
      <w:r>
        <w:rPr>
          <w:rFonts w:ascii="Arial" w:eastAsia="Arial" w:hAnsi="Arial" w:cs="Arial"/>
          <w:sz w:val="15"/>
        </w:rPr>
        <w:t>cimiento para el uso doméstico, o en su defecto, una reducción sustancial de la misma, trasladando el coste a los tramos de consumo más altos (Bloques 3 y 4) para fomentar el ahorro y la progresividad, la inclusión de una Tarifa Social que garantice un mín</w:t>
      </w:r>
      <w:r>
        <w:rPr>
          <w:rFonts w:ascii="Arial" w:eastAsia="Arial" w:hAnsi="Arial" w:cs="Arial"/>
          <w:sz w:val="15"/>
        </w:rPr>
        <w:t>imo vital de agua gratuito o a coste social para aquellas personas usuarias que acrediten su situación de vulnerabilidad, la inclusión de medidas explícitas para evitar el corte de suministro en todos los casos de vulnerabilidad económica debidamente acred</w:t>
      </w:r>
      <w:r>
        <w:rPr>
          <w:rFonts w:ascii="Arial" w:eastAsia="Arial" w:hAnsi="Arial" w:cs="Arial"/>
          <w:sz w:val="15"/>
        </w:rPr>
        <w:t xml:space="preserve">itada, tal y como se contemplaba en reglamentos anteriores, señalar que la aplicación de una </w:t>
      </w:r>
      <w:r>
        <w:rPr>
          <w:rFonts w:ascii="Arial" w:eastAsia="Arial" w:hAnsi="Arial" w:cs="Arial"/>
          <w:sz w:val="15"/>
        </w:rPr>
        <w:lastRenderedPageBreak/>
        <w:t>cuota fija de abastecimiento, entra dentro de la capacidad de autonomía y de autorganización de los entes locales. Asimismo, la normativa vigente no permite en las</w:t>
      </w:r>
      <w:r>
        <w:rPr>
          <w:rFonts w:ascii="Arial" w:eastAsia="Arial" w:hAnsi="Arial" w:cs="Arial"/>
          <w:sz w:val="15"/>
        </w:rPr>
        <w:t xml:space="preserve"> ordenanzas no fiscales, ningún tipo de beneficio fiscal. </w:t>
      </w:r>
    </w:p>
    <w:p w:rsidR="0049318A" w:rsidRDefault="002B40D1">
      <w:pPr>
        <w:spacing w:after="84"/>
        <w:ind w:left="646"/>
      </w:pPr>
      <w:r>
        <w:rPr>
          <w:rFonts w:ascii="Arial" w:eastAsia="Arial" w:hAnsi="Arial" w:cs="Arial"/>
          <w:sz w:val="15"/>
        </w:rPr>
        <w:t xml:space="preserve"> </w:t>
      </w:r>
    </w:p>
    <w:p w:rsidR="0049318A" w:rsidRDefault="002B40D1">
      <w:pPr>
        <w:spacing w:after="93" w:line="249" w:lineRule="auto"/>
        <w:ind w:right="523" w:firstLine="636"/>
        <w:jc w:val="both"/>
      </w:pPr>
      <w:r>
        <w:rPr>
          <w:rFonts w:ascii="Arial" w:eastAsia="Arial" w:hAnsi="Arial" w:cs="Arial"/>
          <w:sz w:val="15"/>
        </w:rPr>
        <w:t>En cuanto a la última alegación, que solicita revisar el Reglamento de la Comisión de seguimiento y control del Servicio de Abastecimiento de Agua Potable en el Municipio de Candelaria para inclu</w:t>
      </w:r>
      <w:r>
        <w:rPr>
          <w:rFonts w:ascii="Arial" w:eastAsia="Arial" w:hAnsi="Arial" w:cs="Arial"/>
          <w:sz w:val="15"/>
        </w:rPr>
        <w:t xml:space="preserve">ir la presencia de concejales y concejalas de los partidos políticos de la oposición en esta Comisión, señalar que no está vinculada a la ordenanza que se quiere aprobar. </w:t>
      </w:r>
    </w:p>
    <w:p w:rsidR="0049318A" w:rsidRDefault="002B40D1">
      <w:pPr>
        <w:spacing w:after="87"/>
        <w:ind w:left="646"/>
      </w:pPr>
      <w:r>
        <w:rPr>
          <w:rFonts w:ascii="Arial" w:eastAsia="Arial" w:hAnsi="Arial" w:cs="Arial"/>
          <w:sz w:val="15"/>
        </w:rPr>
        <w:t xml:space="preserve"> </w:t>
      </w:r>
    </w:p>
    <w:p w:rsidR="0049318A" w:rsidRDefault="002B40D1">
      <w:pPr>
        <w:spacing w:after="93" w:line="249" w:lineRule="auto"/>
        <w:ind w:left="646" w:right="46"/>
        <w:jc w:val="both"/>
      </w:pPr>
      <w:r>
        <w:rPr>
          <w:rFonts w:ascii="Arial" w:eastAsia="Arial" w:hAnsi="Arial" w:cs="Arial"/>
          <w:sz w:val="15"/>
        </w:rPr>
        <w:t xml:space="preserve">Por tanto, este interventor informa negativamente las alegaciones presentadas.” </w:t>
      </w:r>
    </w:p>
    <w:p w:rsidR="0049318A" w:rsidRDefault="002B40D1">
      <w:pPr>
        <w:spacing w:after="93" w:line="249" w:lineRule="auto"/>
        <w:ind w:right="514" w:firstLine="636"/>
        <w:jc w:val="both"/>
      </w:pPr>
      <w:r>
        <w:rPr>
          <w:rFonts w:ascii="Arial" w:eastAsia="Arial" w:hAnsi="Arial" w:cs="Arial"/>
          <w:sz w:val="15"/>
        </w:rPr>
        <w:t>Con fecha 10 de noviembre de 2025, se remite al Ayuntamiento de Candelaria, RESOLUCIÓN DEL VICECONSEJERO DE INDUSTRIA, COMERCIO Y CONSUMO POR LA QUE SE APRUEBA LA MODIFICACIÓN DE LAS TARIFAS DEL SERVICIO PÚBLICO DE ABASTECIMIENTO DE AGUA A POBLACIONES, par</w:t>
      </w:r>
      <w:r>
        <w:rPr>
          <w:rFonts w:ascii="Arial" w:eastAsia="Arial" w:hAnsi="Arial" w:cs="Arial"/>
          <w:sz w:val="15"/>
        </w:rPr>
        <w:t>a su aplicación en el municipio de Candelaria, que da por ciertos el estudio económico recogido en el informe de intervención, resolviendo aprobar la modificación de las</w:t>
      </w:r>
      <w:r>
        <w:rPr>
          <w:rFonts w:ascii="Arial" w:eastAsia="Arial" w:hAnsi="Arial" w:cs="Arial"/>
          <w:b/>
          <w:sz w:val="15"/>
        </w:rPr>
        <w:t xml:space="preserve"> TARIFAS DE ABASTECIMIENTO</w:t>
      </w:r>
      <w:r>
        <w:rPr>
          <w:rFonts w:ascii="Arial" w:eastAsia="Arial" w:hAnsi="Arial" w:cs="Arial"/>
          <w:sz w:val="15"/>
        </w:rPr>
        <w:t xml:space="preserve">, en el mismo importe que las aprobadas inicialmente por el Ayuntamiento, en acuerdo plenario de fecha 25 de septiembre de 2025. </w:t>
      </w:r>
    </w:p>
    <w:p w:rsidR="0049318A" w:rsidRDefault="002B40D1">
      <w:pPr>
        <w:spacing w:after="837" w:line="265" w:lineRule="auto"/>
        <w:ind w:left="-5" w:hanging="10"/>
      </w:pPr>
      <w:r>
        <w:rPr>
          <w:rFonts w:ascii="Times New Roman" w:eastAsia="Times New Roman" w:hAnsi="Times New Roman" w:cs="Times New Roman"/>
          <w:color w:val="181717"/>
          <w:sz w:val="16"/>
        </w:rPr>
        <w:t>29059</w:t>
      </w:r>
    </w:p>
    <w:p w:rsidR="0049318A" w:rsidRDefault="002B40D1">
      <w:pPr>
        <w:spacing w:after="87"/>
        <w:ind w:left="1447"/>
      </w:pPr>
      <w:r>
        <w:rPr>
          <w:rFonts w:ascii="Arial" w:eastAsia="Arial" w:hAnsi="Arial" w:cs="Arial"/>
          <w:sz w:val="15"/>
        </w:rPr>
        <w:t xml:space="preserve"> </w:t>
      </w:r>
    </w:p>
    <w:p w:rsidR="0049318A" w:rsidRDefault="002B40D1">
      <w:pPr>
        <w:spacing w:after="93" w:line="249" w:lineRule="auto"/>
        <w:ind w:left="788" w:right="46" w:firstLine="636"/>
        <w:jc w:val="both"/>
      </w:pPr>
      <w:r>
        <w:rPr>
          <w:rFonts w:ascii="Arial" w:eastAsia="Arial" w:hAnsi="Arial" w:cs="Arial"/>
          <w:sz w:val="15"/>
        </w:rPr>
        <w:t xml:space="preserve">Por ello, este Concejal Delegado de Hacienda PROPONE al Ayuntamiento Pleno, la adopción del siguiente acuerdo: </w:t>
      </w:r>
    </w:p>
    <w:p w:rsidR="0049318A" w:rsidRDefault="002B40D1">
      <w:pPr>
        <w:spacing w:after="84"/>
        <w:ind w:left="801"/>
      </w:pPr>
      <w:r>
        <w:rPr>
          <w:rFonts w:ascii="Arial" w:eastAsia="Arial" w:hAnsi="Arial" w:cs="Arial"/>
          <w:sz w:val="15"/>
        </w:rPr>
        <w:t xml:space="preserve"> </w:t>
      </w:r>
    </w:p>
    <w:p w:rsidR="0049318A" w:rsidRDefault="002B40D1">
      <w:pPr>
        <w:spacing w:after="0" w:line="249" w:lineRule="auto"/>
        <w:ind w:left="788" w:right="46"/>
        <w:jc w:val="both"/>
      </w:pPr>
      <w:r>
        <w:rPr>
          <w:rFonts w:ascii="Arial" w:eastAsia="Arial" w:hAnsi="Arial" w:cs="Arial"/>
          <w:b/>
          <w:sz w:val="15"/>
        </w:rPr>
        <w:t>Prim</w:t>
      </w:r>
      <w:r>
        <w:rPr>
          <w:rFonts w:ascii="Arial" w:eastAsia="Arial" w:hAnsi="Arial" w:cs="Arial"/>
          <w:b/>
          <w:sz w:val="15"/>
        </w:rPr>
        <w:t>ero:</w:t>
      </w:r>
      <w:r>
        <w:rPr>
          <w:rFonts w:ascii="Arial" w:eastAsia="Arial" w:hAnsi="Arial" w:cs="Arial"/>
          <w:sz w:val="15"/>
        </w:rPr>
        <w:t xml:space="preserve"> Desestimar las alegaciones presentadas, con fecha 9 de noviembre de 2025, contra el acuerdo de aprobación inicial de la Ordenanza, durante el periodo de exposición al público, por el partido Unidas Sí Podemos, integrado en el Grupo Mixto. </w:t>
      </w:r>
    </w:p>
    <w:p w:rsidR="0049318A" w:rsidRDefault="002B40D1">
      <w:pPr>
        <w:spacing w:after="0"/>
        <w:ind w:left="801"/>
      </w:pPr>
      <w:r>
        <w:rPr>
          <w:rFonts w:ascii="Arial" w:eastAsia="Arial" w:hAnsi="Arial" w:cs="Arial"/>
          <w:sz w:val="15"/>
        </w:rPr>
        <w:t xml:space="preserve"> </w:t>
      </w:r>
    </w:p>
    <w:p w:rsidR="0049318A" w:rsidRDefault="002B40D1">
      <w:pPr>
        <w:spacing w:after="0" w:line="249" w:lineRule="auto"/>
        <w:ind w:left="788" w:right="46"/>
        <w:jc w:val="both"/>
      </w:pPr>
      <w:r>
        <w:rPr>
          <w:rFonts w:ascii="Arial" w:eastAsia="Arial" w:hAnsi="Arial" w:cs="Arial"/>
          <w:b/>
          <w:sz w:val="15"/>
        </w:rPr>
        <w:t>Segundo:</w:t>
      </w:r>
      <w:r>
        <w:rPr>
          <w:rFonts w:ascii="Arial" w:eastAsia="Arial" w:hAnsi="Arial" w:cs="Arial"/>
          <w:sz w:val="15"/>
        </w:rPr>
        <w:t xml:space="preserve"> </w:t>
      </w:r>
      <w:r>
        <w:rPr>
          <w:rFonts w:ascii="Arial" w:eastAsia="Arial" w:hAnsi="Arial" w:cs="Arial"/>
          <w:sz w:val="15"/>
        </w:rPr>
        <w:t xml:space="preserve">Aprobar definitivamente la modificación de la ORDENANZA REGULADORA DE LA PRESTACIÓN PATRIMONIAL DE CARÁCTER PÚBLICO NO TRIBUTARIO DE LOS SERVICIOS MUNICIPALES DE GESTIÓN DEL CICLO INTEGRAL DEL AGUA DEL AYUNTAMIENTO DE LA VILLA </w:t>
      </w:r>
    </w:p>
    <w:p w:rsidR="0049318A" w:rsidRDefault="002B40D1">
      <w:pPr>
        <w:spacing w:after="93" w:line="249" w:lineRule="auto"/>
        <w:ind w:left="788" w:right="46"/>
        <w:jc w:val="both"/>
      </w:pPr>
      <w:r>
        <w:rPr>
          <w:rFonts w:ascii="Arial" w:eastAsia="Arial" w:hAnsi="Arial" w:cs="Arial"/>
          <w:sz w:val="15"/>
        </w:rPr>
        <w:t>DE CANDELARIA, cuyo tenor li</w:t>
      </w:r>
      <w:r>
        <w:rPr>
          <w:rFonts w:ascii="Arial" w:eastAsia="Arial" w:hAnsi="Arial" w:cs="Arial"/>
          <w:sz w:val="15"/>
        </w:rPr>
        <w:t xml:space="preserve">teral se inserta a continuación: </w:t>
      </w:r>
    </w:p>
    <w:p w:rsidR="0049318A" w:rsidRDefault="002B40D1">
      <w:pPr>
        <w:spacing w:after="93" w:line="249" w:lineRule="auto"/>
        <w:ind w:left="788" w:right="46"/>
        <w:jc w:val="both"/>
      </w:pPr>
      <w:r>
        <w:rPr>
          <w:rFonts w:ascii="Arial" w:eastAsia="Arial" w:hAnsi="Arial" w:cs="Arial"/>
          <w:sz w:val="15"/>
        </w:rPr>
        <w:t xml:space="preserve">(…) </w:t>
      </w:r>
    </w:p>
    <w:p w:rsidR="0049318A" w:rsidRDefault="002B40D1">
      <w:pPr>
        <w:spacing w:after="0" w:line="249" w:lineRule="auto"/>
        <w:ind w:left="788" w:right="46"/>
        <w:jc w:val="both"/>
      </w:pPr>
      <w:r>
        <w:rPr>
          <w:rFonts w:ascii="Arial" w:eastAsia="Arial" w:hAnsi="Arial" w:cs="Arial"/>
          <w:b/>
          <w:sz w:val="15"/>
        </w:rPr>
        <w:t>Tercero:</w:t>
      </w:r>
      <w:r>
        <w:rPr>
          <w:rFonts w:ascii="Arial" w:eastAsia="Arial" w:hAnsi="Arial" w:cs="Arial"/>
          <w:sz w:val="15"/>
        </w:rPr>
        <w:t xml:space="preserve"> Publicar el contenido íntegro de la presente Ordenanza en el Boletín Oficial de la Provincia que entrará en vigor al 1 de enero de 2026. </w:t>
      </w:r>
    </w:p>
    <w:p w:rsidR="0049318A" w:rsidRDefault="002B40D1">
      <w:pPr>
        <w:spacing w:after="0"/>
        <w:ind w:left="801"/>
      </w:pPr>
      <w:r>
        <w:rPr>
          <w:rFonts w:ascii="Arial" w:eastAsia="Arial" w:hAnsi="Arial" w:cs="Arial"/>
          <w:sz w:val="15"/>
        </w:rPr>
        <w:t xml:space="preserve"> </w:t>
      </w:r>
    </w:p>
    <w:p w:rsidR="0049318A" w:rsidRDefault="002B40D1">
      <w:pPr>
        <w:spacing w:after="20"/>
        <w:ind w:left="801"/>
      </w:pPr>
      <w:r>
        <w:rPr>
          <w:rFonts w:ascii="Arial" w:eastAsia="Arial" w:hAnsi="Arial" w:cs="Arial"/>
          <w:sz w:val="15"/>
        </w:rPr>
        <w:t xml:space="preserve"> </w:t>
      </w:r>
    </w:p>
    <w:p w:rsidR="0049318A" w:rsidRDefault="002B40D1">
      <w:pPr>
        <w:spacing w:after="0"/>
        <w:ind w:left="801"/>
      </w:pPr>
      <w:r>
        <w:rPr>
          <w:rFonts w:ascii="Arial" w:eastAsia="Arial" w:hAnsi="Arial" w:cs="Arial"/>
          <w:b/>
          <w:sz w:val="18"/>
        </w:rPr>
        <w:t xml:space="preserve"> </w:t>
      </w:r>
    </w:p>
    <w:p w:rsidR="0049318A" w:rsidRDefault="002B40D1">
      <w:pPr>
        <w:spacing w:after="4" w:line="249" w:lineRule="auto"/>
        <w:ind w:left="797" w:right="53" w:hanging="10"/>
        <w:jc w:val="both"/>
      </w:pPr>
      <w:r>
        <w:rPr>
          <w:rFonts w:ascii="Arial" w:eastAsia="Arial" w:hAnsi="Arial" w:cs="Arial"/>
          <w:b/>
          <w:sz w:val="18"/>
        </w:rPr>
        <w:t xml:space="preserve">DICTAMEN FAVORABLE DE 24 DE NOVIEMBRE DE LA COMISIÓN INFORMATIVA DE HACIENDA, RECURSOS HUMANOS Y SERVICIOS GENERALES. </w:t>
      </w:r>
    </w:p>
    <w:p w:rsidR="0049318A" w:rsidRDefault="002B40D1">
      <w:pPr>
        <w:spacing w:after="0"/>
        <w:ind w:left="801"/>
      </w:pPr>
      <w:r>
        <w:rPr>
          <w:rFonts w:ascii="Arial" w:eastAsia="Arial" w:hAnsi="Arial" w:cs="Arial"/>
          <w:b/>
          <w:sz w:val="18"/>
        </w:rPr>
        <w:t xml:space="preserve"> </w:t>
      </w:r>
    </w:p>
    <w:p w:rsidR="0049318A" w:rsidRDefault="002B40D1">
      <w:pPr>
        <w:spacing w:after="4" w:line="269" w:lineRule="auto"/>
        <w:ind w:left="796" w:right="48" w:hanging="10"/>
        <w:jc w:val="both"/>
      </w:pPr>
      <w:r>
        <w:rPr>
          <w:rFonts w:ascii="Arial" w:eastAsia="Arial" w:hAnsi="Arial" w:cs="Arial"/>
          <w:sz w:val="16"/>
        </w:rPr>
        <w:t xml:space="preserve">Votos a favor: 4. </w:t>
      </w:r>
    </w:p>
    <w:p w:rsidR="0049318A" w:rsidRDefault="002B40D1">
      <w:pPr>
        <w:spacing w:after="4" w:line="269" w:lineRule="auto"/>
        <w:ind w:left="796" w:right="48" w:hanging="10"/>
        <w:jc w:val="both"/>
      </w:pPr>
      <w:r>
        <w:rPr>
          <w:rFonts w:ascii="Arial" w:eastAsia="Arial" w:hAnsi="Arial" w:cs="Arial"/>
          <w:sz w:val="16"/>
        </w:rPr>
        <w:t xml:space="preserve">Los 4 concejales del Grupo Socialista: D. Airam Pérez Chinea, Dª María del Carmen Clemente Díaz, Doña Margarita Eva </w:t>
      </w:r>
      <w:r>
        <w:rPr>
          <w:rFonts w:ascii="Arial" w:eastAsia="Arial" w:hAnsi="Arial" w:cs="Arial"/>
          <w:sz w:val="16"/>
        </w:rPr>
        <w:t xml:space="preserve">Tendero Barroso y Doña Mónica Montserrat Yanes Delgado.  </w:t>
      </w:r>
    </w:p>
    <w:p w:rsidR="0049318A" w:rsidRDefault="002B40D1">
      <w:pPr>
        <w:spacing w:after="0"/>
        <w:ind w:left="801"/>
      </w:pPr>
      <w:r>
        <w:rPr>
          <w:rFonts w:ascii="Arial" w:eastAsia="Arial" w:hAnsi="Arial" w:cs="Arial"/>
          <w:sz w:val="16"/>
        </w:rPr>
        <w:t xml:space="preserve"> </w:t>
      </w:r>
    </w:p>
    <w:p w:rsidR="0049318A" w:rsidRDefault="002B40D1">
      <w:pPr>
        <w:spacing w:after="4" w:line="269" w:lineRule="auto"/>
        <w:ind w:left="796" w:right="48" w:hanging="10"/>
        <w:jc w:val="both"/>
      </w:pPr>
      <w:r>
        <w:rPr>
          <w:rFonts w:ascii="Arial" w:eastAsia="Arial" w:hAnsi="Arial" w:cs="Arial"/>
          <w:sz w:val="16"/>
        </w:rPr>
        <w:t xml:space="preserve">Votos en contra: 0. </w:t>
      </w:r>
    </w:p>
    <w:p w:rsidR="0049318A" w:rsidRDefault="002B40D1">
      <w:pPr>
        <w:spacing w:after="0"/>
        <w:ind w:left="801"/>
      </w:pPr>
      <w:r>
        <w:rPr>
          <w:rFonts w:ascii="Arial" w:eastAsia="Arial" w:hAnsi="Arial" w:cs="Arial"/>
          <w:sz w:val="16"/>
        </w:rPr>
        <w:t xml:space="preserve"> </w:t>
      </w:r>
    </w:p>
    <w:p w:rsidR="0049318A" w:rsidRDefault="002B40D1">
      <w:pPr>
        <w:spacing w:after="4" w:line="269" w:lineRule="auto"/>
        <w:ind w:left="796" w:right="48" w:hanging="10"/>
        <w:jc w:val="both"/>
      </w:pPr>
      <w:r>
        <w:rPr>
          <w:rFonts w:ascii="Arial" w:eastAsia="Arial" w:hAnsi="Arial" w:cs="Arial"/>
          <w:sz w:val="16"/>
        </w:rPr>
        <w:t xml:space="preserve">Abstenciones: 3. </w:t>
      </w:r>
    </w:p>
    <w:p w:rsidR="0049318A" w:rsidRDefault="002B40D1">
      <w:pPr>
        <w:spacing w:after="0"/>
        <w:ind w:left="801"/>
      </w:pPr>
      <w:r>
        <w:rPr>
          <w:rFonts w:ascii="Arial" w:eastAsia="Arial" w:hAnsi="Arial" w:cs="Arial"/>
          <w:sz w:val="16"/>
        </w:rPr>
        <w:t xml:space="preserve"> </w:t>
      </w:r>
    </w:p>
    <w:p w:rsidR="0049318A" w:rsidRDefault="002B40D1">
      <w:pPr>
        <w:spacing w:after="4" w:line="269" w:lineRule="auto"/>
        <w:ind w:left="796" w:right="48" w:hanging="10"/>
        <w:jc w:val="both"/>
      </w:pPr>
      <w:r>
        <w:rPr>
          <w:rFonts w:ascii="Arial" w:eastAsia="Arial" w:hAnsi="Arial" w:cs="Arial"/>
          <w:sz w:val="16"/>
        </w:rPr>
        <w:t xml:space="preserve">2 de los concejales del Grupo Popular: D. Jacobo López Fariña y Doña Shaila Castellano </w:t>
      </w:r>
    </w:p>
    <w:p w:rsidR="0049318A" w:rsidRDefault="002B40D1">
      <w:pPr>
        <w:spacing w:after="4" w:line="269" w:lineRule="auto"/>
        <w:ind w:left="796" w:right="48" w:hanging="10"/>
        <w:jc w:val="both"/>
      </w:pPr>
      <w:r>
        <w:rPr>
          <w:rFonts w:ascii="Arial" w:eastAsia="Arial" w:hAnsi="Arial" w:cs="Arial"/>
          <w:sz w:val="16"/>
        </w:rPr>
        <w:t xml:space="preserve">Batista,  </w:t>
      </w:r>
    </w:p>
    <w:p w:rsidR="0049318A" w:rsidRDefault="002B40D1">
      <w:pPr>
        <w:spacing w:after="4" w:line="269" w:lineRule="auto"/>
        <w:ind w:left="796" w:right="48" w:hanging="10"/>
        <w:jc w:val="both"/>
      </w:pPr>
      <w:r>
        <w:rPr>
          <w:rFonts w:ascii="Arial" w:eastAsia="Arial" w:hAnsi="Arial" w:cs="Arial"/>
          <w:sz w:val="16"/>
        </w:rPr>
        <w:t xml:space="preserve">1 del concejal del Grupo Mixto (CC), Doña Ángela Cruz </w:t>
      </w:r>
      <w:r>
        <w:rPr>
          <w:rFonts w:ascii="Arial" w:eastAsia="Arial" w:hAnsi="Arial" w:cs="Arial"/>
          <w:sz w:val="16"/>
        </w:rPr>
        <w:t xml:space="preserve">Perera. </w:t>
      </w:r>
    </w:p>
    <w:p w:rsidR="0049318A" w:rsidRDefault="002B40D1">
      <w:pPr>
        <w:spacing w:after="0"/>
        <w:ind w:left="801"/>
      </w:pPr>
      <w:r>
        <w:rPr>
          <w:rFonts w:ascii="Arial" w:eastAsia="Arial" w:hAnsi="Arial" w:cs="Arial"/>
          <w:sz w:val="18"/>
        </w:rPr>
        <w:t xml:space="preserve"> </w:t>
      </w:r>
    </w:p>
    <w:p w:rsidR="0049318A" w:rsidRDefault="002B40D1">
      <w:pPr>
        <w:spacing w:after="0"/>
        <w:ind w:left="801"/>
      </w:pPr>
      <w:r>
        <w:rPr>
          <w:rFonts w:ascii="Arial" w:eastAsia="Arial" w:hAnsi="Arial" w:cs="Arial"/>
          <w:b/>
          <w:sz w:val="18"/>
        </w:rPr>
        <w:t xml:space="preserve"> </w:t>
      </w:r>
    </w:p>
    <w:p w:rsidR="0049318A" w:rsidRDefault="002B40D1">
      <w:pPr>
        <w:spacing w:after="4" w:line="249" w:lineRule="auto"/>
        <w:ind w:left="797" w:right="504" w:hanging="10"/>
        <w:jc w:val="both"/>
      </w:pPr>
      <w:r>
        <w:rPr>
          <w:rFonts w:ascii="Arial" w:eastAsia="Arial" w:hAnsi="Arial" w:cs="Arial"/>
          <w:b/>
          <w:sz w:val="18"/>
        </w:rPr>
        <w:t xml:space="preserve">JUNTA DE PORTAVOCES DE 24 DE NOVIEMBRE DE 2025. </w:t>
      </w:r>
    </w:p>
    <w:p w:rsidR="0049318A" w:rsidRDefault="002B40D1">
      <w:pPr>
        <w:spacing w:after="4" w:line="269" w:lineRule="auto"/>
        <w:ind w:left="796" w:right="48" w:hanging="10"/>
        <w:jc w:val="both"/>
      </w:pPr>
      <w:r>
        <w:rPr>
          <w:rFonts w:ascii="Arial" w:eastAsia="Arial" w:hAnsi="Arial" w:cs="Arial"/>
          <w:sz w:val="16"/>
        </w:rPr>
        <w:t xml:space="preserve">Quedó oída.  </w:t>
      </w:r>
    </w:p>
    <w:p w:rsidR="0049318A" w:rsidRDefault="002B40D1">
      <w:pPr>
        <w:spacing w:after="0"/>
        <w:ind w:left="2095"/>
      </w:pPr>
      <w:r>
        <w:rPr>
          <w:rFonts w:ascii="Arial" w:eastAsia="Arial" w:hAnsi="Arial" w:cs="Arial"/>
          <w:b/>
          <w:sz w:val="18"/>
        </w:rPr>
        <w:t xml:space="preserve"> </w:t>
      </w:r>
    </w:p>
    <w:p w:rsidR="0049318A" w:rsidRDefault="002B40D1">
      <w:pPr>
        <w:spacing w:after="4" w:line="249" w:lineRule="auto"/>
        <w:ind w:left="2105" w:right="504" w:hanging="10"/>
        <w:jc w:val="both"/>
      </w:pPr>
      <w:r>
        <w:rPr>
          <w:rFonts w:ascii="Arial" w:eastAsia="Arial" w:hAnsi="Arial" w:cs="Arial"/>
          <w:b/>
          <w:sz w:val="18"/>
        </w:rPr>
        <w:lastRenderedPageBreak/>
        <w:t xml:space="preserve">VOTACIÓN EN EL PLENO DE 27 DE NOVIEMBRE DE 2025. </w:t>
      </w:r>
    </w:p>
    <w:p w:rsidR="0049318A" w:rsidRDefault="002B40D1">
      <w:pPr>
        <w:spacing w:after="0"/>
        <w:ind w:left="801"/>
      </w:pPr>
      <w:r>
        <w:rPr>
          <w:rFonts w:ascii="Arial" w:eastAsia="Arial" w:hAnsi="Arial" w:cs="Arial"/>
          <w:b/>
          <w:sz w:val="18"/>
        </w:rPr>
        <w:t xml:space="preserve"> </w:t>
      </w:r>
    </w:p>
    <w:p w:rsidR="0049318A" w:rsidRDefault="002B40D1">
      <w:pPr>
        <w:spacing w:after="4" w:line="269" w:lineRule="auto"/>
        <w:ind w:left="796" w:right="48" w:hanging="10"/>
        <w:jc w:val="both"/>
      </w:pPr>
      <w:r>
        <w:rPr>
          <w:rFonts w:ascii="Arial" w:eastAsia="Arial" w:hAnsi="Arial" w:cs="Arial"/>
          <w:sz w:val="16"/>
        </w:rPr>
        <w:t xml:space="preserve">Votos a favor: 11. </w:t>
      </w:r>
    </w:p>
    <w:p w:rsidR="0049318A" w:rsidRDefault="002B40D1">
      <w:pPr>
        <w:spacing w:after="4" w:line="269" w:lineRule="auto"/>
        <w:ind w:left="796" w:right="48" w:hanging="10"/>
        <w:jc w:val="both"/>
      </w:pPr>
      <w:r>
        <w:rPr>
          <w:rFonts w:ascii="Arial" w:eastAsia="Arial" w:hAnsi="Arial" w:cs="Arial"/>
          <w:sz w:val="16"/>
        </w:rPr>
        <w:t xml:space="preserve">11 concejales del Grupo Socialista: Doña María Concepción Brito Núñez, Don Jorge Baute Delgado, Don José Francisco Pinto Ramos, Doña Olivia Concepción Pérez, Don Reinaldo José Triviño Blanco, Don Manuel Alberto González Pestano, Doña Margarita Eva Tendero </w:t>
      </w:r>
      <w:r>
        <w:rPr>
          <w:rFonts w:ascii="Arial" w:eastAsia="Arial" w:hAnsi="Arial" w:cs="Arial"/>
          <w:sz w:val="16"/>
        </w:rPr>
        <w:t xml:space="preserve">Barroso, Don Airam Pérez Chinea, Doña María del Carmen Clemente Díaz, Don Olegario Francisco Alonso Bello, Doña Mónica Monserrat Yanes Delgado.  </w:t>
      </w:r>
    </w:p>
    <w:p w:rsidR="0049318A" w:rsidRDefault="002B40D1">
      <w:pPr>
        <w:spacing w:after="0"/>
        <w:ind w:left="801"/>
      </w:pPr>
      <w:r>
        <w:rPr>
          <w:rFonts w:ascii="Arial" w:eastAsia="Arial" w:hAnsi="Arial" w:cs="Arial"/>
          <w:sz w:val="16"/>
        </w:rPr>
        <w:t xml:space="preserve"> </w:t>
      </w:r>
    </w:p>
    <w:p w:rsidR="0049318A" w:rsidRDefault="002B40D1">
      <w:pPr>
        <w:spacing w:after="4" w:line="269" w:lineRule="auto"/>
        <w:ind w:left="796" w:right="48" w:hanging="10"/>
        <w:jc w:val="both"/>
      </w:pPr>
      <w:r>
        <w:rPr>
          <w:rFonts w:ascii="Arial" w:eastAsia="Arial" w:hAnsi="Arial" w:cs="Arial"/>
          <w:sz w:val="16"/>
        </w:rPr>
        <w:t xml:space="preserve">Votos en contra: 9 </w:t>
      </w:r>
    </w:p>
    <w:p w:rsidR="0049318A" w:rsidRDefault="002B40D1">
      <w:pPr>
        <w:spacing w:after="4" w:line="269" w:lineRule="auto"/>
        <w:ind w:left="796" w:right="48" w:hanging="10"/>
        <w:jc w:val="both"/>
      </w:pPr>
      <w:r>
        <w:rPr>
          <w:rFonts w:ascii="Arial" w:eastAsia="Arial" w:hAnsi="Arial" w:cs="Arial"/>
          <w:sz w:val="16"/>
        </w:rPr>
        <w:t>5 concejales del Grupo Popular: Don Jacobo López Fariña, Don Miguel Eduardo Hernández Ch</w:t>
      </w:r>
      <w:r>
        <w:rPr>
          <w:rFonts w:ascii="Arial" w:eastAsia="Arial" w:hAnsi="Arial" w:cs="Arial"/>
          <w:sz w:val="16"/>
        </w:rPr>
        <w:t xml:space="preserve">itty, Doña María Carlota Díaz González, Don José Daniel Sosa González, y Doña Shaila Castellano Batista.  </w:t>
      </w:r>
    </w:p>
    <w:p w:rsidR="0049318A" w:rsidRDefault="002B40D1">
      <w:pPr>
        <w:spacing w:after="4" w:line="269" w:lineRule="auto"/>
        <w:ind w:left="796" w:right="48" w:hanging="10"/>
        <w:jc w:val="both"/>
      </w:pPr>
      <w:r>
        <w:rPr>
          <w:rFonts w:ascii="Arial" w:eastAsia="Arial" w:hAnsi="Arial" w:cs="Arial"/>
          <w:sz w:val="16"/>
        </w:rPr>
        <w:t>2 concejales del Grupo Mixto: Doña Ángela Cruz Perera y Don José Yeray Padilla Cruz (CC). 1 del concejal del Grupo Mixto (Vox) Don José Tortosa Palla</w:t>
      </w:r>
      <w:r>
        <w:rPr>
          <w:rFonts w:ascii="Arial" w:eastAsia="Arial" w:hAnsi="Arial" w:cs="Arial"/>
          <w:sz w:val="16"/>
        </w:rPr>
        <w:t xml:space="preserve">rés y 1 de la concejal del Grupo Mixto (USP), Doña Violeta López Jiménez. </w:t>
      </w:r>
    </w:p>
    <w:p w:rsidR="0049318A" w:rsidRDefault="002B40D1">
      <w:pPr>
        <w:spacing w:after="0"/>
        <w:ind w:left="801"/>
      </w:pPr>
      <w:r>
        <w:rPr>
          <w:rFonts w:ascii="Arial" w:eastAsia="Arial" w:hAnsi="Arial" w:cs="Arial"/>
          <w:sz w:val="16"/>
        </w:rPr>
        <w:t xml:space="preserve"> </w:t>
      </w:r>
    </w:p>
    <w:p w:rsidR="0049318A" w:rsidRDefault="002B40D1">
      <w:pPr>
        <w:spacing w:after="4" w:line="269" w:lineRule="auto"/>
        <w:ind w:left="796" w:right="48" w:hanging="10"/>
        <w:jc w:val="both"/>
      </w:pPr>
      <w:r>
        <w:rPr>
          <w:rFonts w:ascii="Arial" w:eastAsia="Arial" w:hAnsi="Arial" w:cs="Arial"/>
          <w:sz w:val="16"/>
        </w:rPr>
        <w:t xml:space="preserve">Abstenciones: 0. </w:t>
      </w:r>
    </w:p>
    <w:p w:rsidR="0049318A" w:rsidRDefault="002B40D1">
      <w:pPr>
        <w:spacing w:after="0"/>
        <w:ind w:left="801"/>
      </w:pPr>
      <w:r>
        <w:rPr>
          <w:rFonts w:ascii="Arial" w:eastAsia="Arial" w:hAnsi="Arial" w:cs="Arial"/>
          <w:sz w:val="18"/>
        </w:rPr>
        <w:t xml:space="preserve"> </w:t>
      </w:r>
    </w:p>
    <w:p w:rsidR="0049318A" w:rsidRDefault="002B40D1">
      <w:pPr>
        <w:spacing w:after="0"/>
        <w:ind w:left="1447"/>
      </w:pPr>
      <w:r>
        <w:rPr>
          <w:rFonts w:ascii="Arial" w:eastAsia="Arial" w:hAnsi="Arial" w:cs="Arial"/>
          <w:b/>
          <w:sz w:val="18"/>
        </w:rPr>
        <w:t xml:space="preserve"> </w:t>
      </w:r>
    </w:p>
    <w:p w:rsidR="0049318A" w:rsidRDefault="002B40D1">
      <w:pPr>
        <w:spacing w:after="1031" w:line="265" w:lineRule="auto"/>
        <w:ind w:left="10" w:right="-15" w:hanging="10"/>
        <w:jc w:val="right"/>
      </w:pPr>
      <w:r>
        <w:rPr>
          <w:rFonts w:ascii="Times New Roman" w:eastAsia="Times New Roman" w:hAnsi="Times New Roman" w:cs="Times New Roman"/>
          <w:color w:val="181717"/>
          <w:sz w:val="16"/>
        </w:rPr>
        <w:t>29060</w:t>
      </w:r>
    </w:p>
    <w:p w:rsidR="0049318A" w:rsidRDefault="002B40D1">
      <w:pPr>
        <w:spacing w:after="74" w:line="249" w:lineRule="auto"/>
        <w:ind w:left="1043" w:right="685" w:hanging="10"/>
        <w:jc w:val="both"/>
      </w:pPr>
      <w:r>
        <w:rPr>
          <w:rFonts w:ascii="Arial" w:eastAsia="Arial" w:hAnsi="Arial" w:cs="Arial"/>
          <w:b/>
          <w:sz w:val="20"/>
        </w:rPr>
        <w:t xml:space="preserve">ACUERDO DEL PLENO DE 27 DE NOVIEMBRE DE 2025. </w:t>
      </w:r>
    </w:p>
    <w:p w:rsidR="0049318A" w:rsidRDefault="002B40D1">
      <w:pPr>
        <w:spacing w:after="0"/>
      </w:pPr>
      <w:r>
        <w:rPr>
          <w:rFonts w:ascii="Arial" w:eastAsia="Arial" w:hAnsi="Arial" w:cs="Arial"/>
          <w:b/>
          <w:sz w:val="18"/>
        </w:rPr>
        <w:t xml:space="preserve"> </w:t>
      </w:r>
    </w:p>
    <w:p w:rsidR="0049318A" w:rsidRDefault="002B40D1">
      <w:pPr>
        <w:spacing w:after="4" w:line="249" w:lineRule="auto"/>
        <w:ind w:left="-5" w:right="685" w:hanging="10"/>
        <w:jc w:val="both"/>
      </w:pPr>
      <w:r>
        <w:rPr>
          <w:rFonts w:ascii="Arial" w:eastAsia="Arial" w:hAnsi="Arial" w:cs="Arial"/>
          <w:b/>
          <w:sz w:val="20"/>
        </w:rPr>
        <w:t xml:space="preserve">       </w:t>
      </w:r>
      <w:r>
        <w:rPr>
          <w:rFonts w:ascii="Arial" w:eastAsia="Arial" w:hAnsi="Arial" w:cs="Arial"/>
          <w:b/>
          <w:sz w:val="20"/>
        </w:rPr>
        <w:t xml:space="preserve">PRIMERO: Desestimar las alegaciones presentadas, con fecha 9 de noviembre de 2025, contra el acuerdo de aprobación inicial de la Ordenanza, durante el periodo de exposición al público, por el partido Unidas Sí Podemos, integrado en el Grupo Mixto. </w:t>
      </w:r>
    </w:p>
    <w:p w:rsidR="0049318A" w:rsidRDefault="002B40D1">
      <w:pPr>
        <w:spacing w:after="0"/>
      </w:pPr>
      <w:r>
        <w:rPr>
          <w:rFonts w:ascii="Arial" w:eastAsia="Arial" w:hAnsi="Arial" w:cs="Arial"/>
          <w:b/>
          <w:sz w:val="20"/>
        </w:rPr>
        <w:t xml:space="preserve"> </w:t>
      </w:r>
    </w:p>
    <w:p w:rsidR="0049318A" w:rsidRDefault="002B40D1">
      <w:pPr>
        <w:spacing w:after="96"/>
      </w:pPr>
      <w:r>
        <w:rPr>
          <w:rFonts w:ascii="Arial" w:eastAsia="Arial" w:hAnsi="Arial" w:cs="Arial"/>
          <w:b/>
          <w:sz w:val="18"/>
        </w:rPr>
        <w:t xml:space="preserve">  </w:t>
      </w:r>
    </w:p>
    <w:p w:rsidR="0049318A" w:rsidRDefault="002B40D1">
      <w:pPr>
        <w:spacing w:after="4" w:line="249" w:lineRule="auto"/>
        <w:ind w:left="-5" w:right="685" w:hanging="10"/>
        <w:jc w:val="both"/>
      </w:pPr>
      <w:r>
        <w:rPr>
          <w:rFonts w:ascii="Arial" w:eastAsia="Arial" w:hAnsi="Arial" w:cs="Arial"/>
          <w:b/>
          <w:sz w:val="18"/>
        </w:rPr>
        <w:t xml:space="preserve">  </w:t>
      </w:r>
      <w:r>
        <w:rPr>
          <w:rFonts w:ascii="Arial" w:eastAsia="Arial" w:hAnsi="Arial" w:cs="Arial"/>
          <w:b/>
          <w:sz w:val="18"/>
        </w:rPr>
        <w:t xml:space="preserve">   </w:t>
      </w:r>
      <w:r>
        <w:rPr>
          <w:rFonts w:ascii="Arial" w:eastAsia="Arial" w:hAnsi="Arial" w:cs="Arial"/>
          <w:b/>
          <w:sz w:val="20"/>
        </w:rPr>
        <w:t xml:space="preserve">Segundo: Aprobar definitivamente la modificación de la ORDENANZA </w:t>
      </w:r>
    </w:p>
    <w:p w:rsidR="0049318A" w:rsidRDefault="002B40D1">
      <w:pPr>
        <w:spacing w:after="60" w:line="249" w:lineRule="auto"/>
        <w:ind w:left="-5" w:right="685" w:hanging="10"/>
        <w:jc w:val="both"/>
      </w:pPr>
      <w:r>
        <w:rPr>
          <w:rFonts w:ascii="Arial" w:eastAsia="Arial" w:hAnsi="Arial" w:cs="Arial"/>
          <w:b/>
          <w:sz w:val="20"/>
        </w:rPr>
        <w:t>REGULADORA DE LA PRESTACIÓN PATRIMONIAL DE CARÁCTER PÚBLICO NO TRIBUTARIO DE LOS SERVICIOS MUNICIPALES DE GESTIÓN DEL CICLO INTEGRAL DEL AGUA DEL AYUNTAMIENTO DE LA VILLA DE CANDELARIA, c</w:t>
      </w:r>
      <w:r>
        <w:rPr>
          <w:rFonts w:ascii="Arial" w:eastAsia="Arial" w:hAnsi="Arial" w:cs="Arial"/>
          <w:b/>
          <w:sz w:val="20"/>
        </w:rPr>
        <w:t xml:space="preserve">uyo tenor literal se inserta a continuación: </w:t>
      </w:r>
    </w:p>
    <w:p w:rsidR="0049318A" w:rsidRDefault="002B40D1">
      <w:pPr>
        <w:spacing w:after="0"/>
      </w:pPr>
      <w:r>
        <w:rPr>
          <w:rFonts w:ascii="Arial" w:eastAsia="Arial" w:hAnsi="Arial" w:cs="Arial"/>
          <w:b/>
          <w:sz w:val="16"/>
        </w:rPr>
        <w:t xml:space="preserve"> </w:t>
      </w:r>
    </w:p>
    <w:p w:rsidR="0049318A" w:rsidRDefault="002B40D1">
      <w:pPr>
        <w:spacing w:after="92"/>
      </w:pPr>
      <w:r>
        <w:rPr>
          <w:rFonts w:ascii="Arial" w:eastAsia="Arial" w:hAnsi="Arial" w:cs="Arial"/>
          <w:sz w:val="16"/>
        </w:rPr>
        <w:t xml:space="preserve"> </w:t>
      </w:r>
    </w:p>
    <w:p w:rsidR="0049318A" w:rsidRDefault="002B40D1">
      <w:pPr>
        <w:numPr>
          <w:ilvl w:val="0"/>
          <w:numId w:val="1"/>
        </w:numPr>
        <w:spacing w:after="17"/>
        <w:ind w:hanging="328"/>
      </w:pPr>
      <w:r>
        <w:rPr>
          <w:sz w:val="16"/>
        </w:rPr>
        <w:t>“</w:t>
      </w:r>
      <w:r>
        <w:rPr>
          <w:rFonts w:ascii="Arial" w:eastAsia="Arial" w:hAnsi="Arial" w:cs="Arial"/>
          <w:b/>
          <w:sz w:val="16"/>
        </w:rPr>
        <w:t xml:space="preserve">Naturaleza, Objeto y Fundamento. </w:t>
      </w:r>
    </w:p>
    <w:p w:rsidR="0049318A" w:rsidRDefault="002B40D1">
      <w:pPr>
        <w:spacing w:after="4" w:line="269" w:lineRule="auto"/>
        <w:ind w:left="656" w:right="394" w:hanging="328"/>
        <w:jc w:val="both"/>
      </w:pPr>
      <w:r>
        <w:rPr>
          <w:rFonts w:ascii="Arial" w:eastAsia="Arial" w:hAnsi="Arial" w:cs="Arial"/>
          <w:sz w:val="16"/>
        </w:rPr>
        <w:t xml:space="preserve">1. En uso de las facultades concedidas por los artículos 133.2 y 142 de la Constitución y por el artículo 106 de la Ley 7/1985, de 2 de abril, Reguladora de las Bases de </w:t>
      </w:r>
    </w:p>
    <w:p w:rsidR="0049318A" w:rsidRDefault="002B40D1">
      <w:pPr>
        <w:spacing w:after="4" w:line="269" w:lineRule="auto"/>
        <w:ind w:left="667" w:right="704" w:hanging="10"/>
        <w:jc w:val="both"/>
      </w:pPr>
      <w:r>
        <w:rPr>
          <w:rFonts w:ascii="Arial" w:eastAsia="Arial" w:hAnsi="Arial" w:cs="Arial"/>
          <w:sz w:val="16"/>
        </w:rPr>
        <w:t>Régimen Local, y de conformidad con lo dispuesto en los artículos 15 a 27 del Real Decreto Legislativo 2/2004, de 5 de marzo, por el que aprueba el Texto Refundido de la Ley Reguladora de las Haciendas Locales, este Ayuntamiento establece la prestación pat</w:t>
      </w:r>
      <w:r>
        <w:rPr>
          <w:rFonts w:ascii="Arial" w:eastAsia="Arial" w:hAnsi="Arial" w:cs="Arial"/>
          <w:sz w:val="16"/>
        </w:rPr>
        <w:t>rimonial de carácter no tributario de los servicios municipales de gestión del ciclo integral del agua y las actividades conexas a los mismos el término municipal de Candelaria, que se regulará por la presente Ordenanza, redactada conforme a lo dispuesto e</w:t>
      </w:r>
      <w:r>
        <w:rPr>
          <w:rFonts w:ascii="Arial" w:eastAsia="Arial" w:hAnsi="Arial" w:cs="Arial"/>
          <w:sz w:val="16"/>
        </w:rPr>
        <w:t xml:space="preserve">n el artículo 57 del Real Decreto Legislativo 2/2004, de 5 de marzo que aprueba el Texto Refundido de la Ley Reguladora de las Haciendas Locales. </w:t>
      </w:r>
    </w:p>
    <w:p w:rsidR="0049318A" w:rsidRDefault="002B40D1">
      <w:pPr>
        <w:spacing w:after="14"/>
      </w:pPr>
      <w:r>
        <w:rPr>
          <w:rFonts w:ascii="Arial" w:eastAsia="Arial" w:hAnsi="Arial" w:cs="Arial"/>
          <w:sz w:val="16"/>
        </w:rPr>
        <w:t xml:space="preserve"> </w:t>
      </w:r>
    </w:p>
    <w:p w:rsidR="0049318A" w:rsidRDefault="002B40D1">
      <w:pPr>
        <w:spacing w:after="14"/>
      </w:pPr>
      <w:r>
        <w:rPr>
          <w:rFonts w:ascii="Arial" w:eastAsia="Arial" w:hAnsi="Arial" w:cs="Arial"/>
          <w:sz w:val="16"/>
        </w:rPr>
        <w:t xml:space="preserve"> </w:t>
      </w:r>
    </w:p>
    <w:p w:rsidR="0049318A" w:rsidRDefault="002B40D1">
      <w:pPr>
        <w:numPr>
          <w:ilvl w:val="0"/>
          <w:numId w:val="1"/>
        </w:numPr>
        <w:spacing w:after="17"/>
        <w:ind w:hanging="328"/>
      </w:pPr>
      <w:r>
        <w:rPr>
          <w:rFonts w:ascii="Arial" w:eastAsia="Arial" w:hAnsi="Arial" w:cs="Arial"/>
          <w:b/>
          <w:sz w:val="16"/>
        </w:rPr>
        <w:t xml:space="preserve">Obligación de contribuir.  </w:t>
      </w:r>
    </w:p>
    <w:p w:rsidR="0049318A" w:rsidRDefault="002B40D1">
      <w:pPr>
        <w:spacing w:after="4" w:line="269" w:lineRule="auto"/>
        <w:ind w:left="777" w:right="702" w:hanging="328"/>
        <w:jc w:val="both"/>
      </w:pPr>
      <w:r>
        <w:rPr>
          <w:rFonts w:ascii="Arial" w:eastAsia="Arial" w:hAnsi="Arial" w:cs="Arial"/>
          <w:sz w:val="16"/>
        </w:rPr>
        <w:t xml:space="preserve">1. </w:t>
      </w:r>
      <w:r>
        <w:rPr>
          <w:rFonts w:ascii="Arial" w:eastAsia="Arial" w:hAnsi="Arial" w:cs="Arial"/>
          <w:sz w:val="16"/>
        </w:rPr>
        <w:t xml:space="preserve">Constituye el presupuesto de hecho de la prestación patrimonial de carácter no tributario de los servicios municipales de gestión del ciclo integral del agua y las actividades conexas a los </w:t>
      </w:r>
      <w:r>
        <w:rPr>
          <w:rFonts w:ascii="Arial" w:eastAsia="Arial" w:hAnsi="Arial" w:cs="Arial"/>
          <w:sz w:val="16"/>
        </w:rPr>
        <w:lastRenderedPageBreak/>
        <w:t>mismos el término municipal de Candelaria, ya sea manera directa p</w:t>
      </w:r>
      <w:r>
        <w:rPr>
          <w:rFonts w:ascii="Arial" w:eastAsia="Arial" w:hAnsi="Arial" w:cs="Arial"/>
          <w:sz w:val="16"/>
        </w:rPr>
        <w:t xml:space="preserve">or el Ayuntamiento o de forma indirecta por una empresa concesionaria del servicio: </w:t>
      </w:r>
    </w:p>
    <w:p w:rsidR="0049318A" w:rsidRDefault="002B40D1">
      <w:pPr>
        <w:numPr>
          <w:ilvl w:val="1"/>
          <w:numId w:val="5"/>
        </w:numPr>
        <w:spacing w:after="4" w:line="269" w:lineRule="auto"/>
        <w:ind w:right="704" w:hanging="394"/>
        <w:jc w:val="both"/>
      </w:pPr>
      <w:r>
        <w:rPr>
          <w:rFonts w:ascii="Arial" w:eastAsia="Arial" w:hAnsi="Arial" w:cs="Arial"/>
          <w:sz w:val="16"/>
        </w:rPr>
        <w:t>La actividad municipal, técnica y administrativa, tendente a verificar si se dan las condiciones necesarias para autorizar la acometida a las redes municipales de abasteci</w:t>
      </w:r>
      <w:r>
        <w:rPr>
          <w:rFonts w:ascii="Arial" w:eastAsia="Arial" w:hAnsi="Arial" w:cs="Arial"/>
          <w:sz w:val="16"/>
        </w:rPr>
        <w:t xml:space="preserve">miento de agua potable y de alcantarillado. </w:t>
      </w:r>
    </w:p>
    <w:p w:rsidR="0049318A" w:rsidRDefault="002B40D1">
      <w:pPr>
        <w:numPr>
          <w:ilvl w:val="1"/>
          <w:numId w:val="5"/>
        </w:numPr>
        <w:spacing w:after="4" w:line="269" w:lineRule="auto"/>
        <w:ind w:right="704" w:hanging="394"/>
        <w:jc w:val="both"/>
      </w:pPr>
      <w:r>
        <w:rPr>
          <w:rFonts w:ascii="Arial" w:eastAsia="Arial" w:hAnsi="Arial" w:cs="Arial"/>
          <w:sz w:val="16"/>
        </w:rPr>
        <w:t>La prestación de los servicios de abastecimiento de agua potable, de evacuación de excretas, aguas pluviales, negras y residuales, a través de la red de alcantarillado municipal, y su tratamiento para depurarlas</w:t>
      </w:r>
      <w:r>
        <w:rPr>
          <w:rFonts w:ascii="Arial" w:eastAsia="Arial" w:hAnsi="Arial" w:cs="Arial"/>
          <w:sz w:val="16"/>
        </w:rPr>
        <w:t xml:space="preserve">. </w:t>
      </w:r>
    </w:p>
    <w:p w:rsidR="0049318A" w:rsidRDefault="002B40D1">
      <w:pPr>
        <w:spacing w:after="4" w:line="269" w:lineRule="auto"/>
        <w:ind w:left="1681" w:right="703" w:hanging="517"/>
        <w:jc w:val="both"/>
      </w:pPr>
      <w:r>
        <w:rPr>
          <w:rFonts w:ascii="Arial" w:eastAsia="Arial" w:hAnsi="Arial" w:cs="Arial"/>
          <w:sz w:val="16"/>
        </w:rPr>
        <w:t>1.2.1. En la prestación de los servicios de abastecimiento de agua potable, al tratarse de un servicio de recepción obligatoria, la obligación de satisfacer la prestación patrimonial de carácter no tributario nace desde el momento en que, a solicitud de</w:t>
      </w:r>
      <w:r>
        <w:rPr>
          <w:rFonts w:ascii="Arial" w:eastAsia="Arial" w:hAnsi="Arial" w:cs="Arial"/>
          <w:sz w:val="16"/>
        </w:rPr>
        <w:t xml:space="preserve"> parte y previo el cumplimiento de los requisitos necesarios para formalizar el contrato de abono al servicio, se ejecute el acople de la instalación del usuario a la red general de suministro de agua. La base de percepción de esta prestación patrimonial d</w:t>
      </w:r>
      <w:r>
        <w:rPr>
          <w:rFonts w:ascii="Arial" w:eastAsia="Arial" w:hAnsi="Arial" w:cs="Arial"/>
          <w:sz w:val="16"/>
        </w:rPr>
        <w:t xml:space="preserve">e carácter no tributario será la cantidad de metros cúbicos de agua suministrada en períodos bimestrales, de acuerdo con la lectura que arroja el contador de medida. </w:t>
      </w:r>
    </w:p>
    <w:p w:rsidR="0049318A" w:rsidRDefault="002B40D1">
      <w:pPr>
        <w:spacing w:after="0"/>
      </w:pPr>
      <w:r>
        <w:rPr>
          <w:rFonts w:ascii="Arial" w:eastAsia="Arial" w:hAnsi="Arial" w:cs="Arial"/>
          <w:sz w:val="16"/>
        </w:rPr>
        <w:t xml:space="preserve"> </w:t>
      </w:r>
    </w:p>
    <w:p w:rsidR="0049318A" w:rsidRDefault="002B40D1">
      <w:pPr>
        <w:spacing w:after="964" w:line="265" w:lineRule="auto"/>
        <w:ind w:left="-5" w:hanging="10"/>
      </w:pPr>
      <w:r>
        <w:rPr>
          <w:rFonts w:ascii="Times New Roman" w:eastAsia="Times New Roman" w:hAnsi="Times New Roman" w:cs="Times New Roman"/>
          <w:color w:val="181717"/>
          <w:sz w:val="16"/>
        </w:rPr>
        <w:t>29061</w:t>
      </w:r>
    </w:p>
    <w:p w:rsidR="0049318A" w:rsidRDefault="002B40D1">
      <w:pPr>
        <w:numPr>
          <w:ilvl w:val="0"/>
          <w:numId w:val="1"/>
        </w:numPr>
        <w:spacing w:after="17"/>
        <w:ind w:hanging="328"/>
      </w:pPr>
      <w:r>
        <w:rPr>
          <w:rFonts w:ascii="Arial" w:eastAsia="Arial" w:hAnsi="Arial" w:cs="Arial"/>
          <w:b/>
          <w:sz w:val="16"/>
        </w:rPr>
        <w:t xml:space="preserve">Obligados al Pago. </w:t>
      </w:r>
    </w:p>
    <w:p w:rsidR="0049318A" w:rsidRDefault="002B40D1">
      <w:pPr>
        <w:numPr>
          <w:ilvl w:val="4"/>
          <w:numId w:val="6"/>
        </w:numPr>
        <w:spacing w:after="4" w:line="269" w:lineRule="auto"/>
        <w:ind w:left="1303" w:right="48" w:hanging="328"/>
        <w:jc w:val="both"/>
      </w:pPr>
      <w:r>
        <w:rPr>
          <w:rFonts w:ascii="Arial" w:eastAsia="Arial" w:hAnsi="Arial" w:cs="Arial"/>
          <w:sz w:val="16"/>
        </w:rPr>
        <w:t>Son obligados al pago las personas físicas y jurídicas y también las herencias yacentes, comunidad de bienes y otras entidades que, sin personalidad jurídica, constituyan una unidad económica separada o patrimonio separado, susceptible de imposición, que o</w:t>
      </w:r>
      <w:r>
        <w:rPr>
          <w:rFonts w:ascii="Arial" w:eastAsia="Arial" w:hAnsi="Arial" w:cs="Arial"/>
          <w:sz w:val="16"/>
        </w:rPr>
        <w:t xml:space="preserve">cupen o utilicen las viviendas y locales ubicados en las vías públicas en el que se preste el servicio, ya sea a título de propietario, usufructuario o habitacionista, arrendatario o incluso de precario. </w:t>
      </w:r>
    </w:p>
    <w:p w:rsidR="0049318A" w:rsidRDefault="002B40D1">
      <w:pPr>
        <w:numPr>
          <w:ilvl w:val="4"/>
          <w:numId w:val="6"/>
        </w:numPr>
        <w:spacing w:after="4" w:line="269" w:lineRule="auto"/>
        <w:ind w:left="1303" w:right="48" w:hanging="328"/>
        <w:jc w:val="both"/>
      </w:pPr>
      <w:r>
        <w:rPr>
          <w:rFonts w:ascii="Arial" w:eastAsia="Arial" w:hAnsi="Arial" w:cs="Arial"/>
          <w:sz w:val="16"/>
        </w:rPr>
        <w:t xml:space="preserve">Tendrán la consideración de sustituto del obligado </w:t>
      </w:r>
      <w:r>
        <w:rPr>
          <w:rFonts w:ascii="Arial" w:eastAsia="Arial" w:hAnsi="Arial" w:cs="Arial"/>
          <w:sz w:val="16"/>
        </w:rPr>
        <w:t xml:space="preserve">al pago, el propietario de las viviendas o locales, que podrá repercutir, en su caso, las cuotas satisfechas sobre los usuarios de aquéllas, beneficiarios del servicio. </w:t>
      </w:r>
    </w:p>
    <w:p w:rsidR="0049318A" w:rsidRDefault="002B40D1">
      <w:pPr>
        <w:numPr>
          <w:ilvl w:val="4"/>
          <w:numId w:val="6"/>
        </w:numPr>
        <w:spacing w:after="4" w:line="269" w:lineRule="auto"/>
        <w:ind w:left="1303" w:right="48" w:hanging="328"/>
        <w:jc w:val="both"/>
      </w:pPr>
      <w:r>
        <w:rPr>
          <w:rFonts w:ascii="Arial" w:eastAsia="Arial" w:hAnsi="Arial" w:cs="Arial"/>
          <w:sz w:val="16"/>
        </w:rPr>
        <w:t>En el supuesto de alquiler, traspaso o cesión gratuita de las viviendas o locales a pe</w:t>
      </w:r>
      <w:r>
        <w:rPr>
          <w:rFonts w:ascii="Arial" w:eastAsia="Arial" w:hAnsi="Arial" w:cs="Arial"/>
          <w:sz w:val="16"/>
        </w:rPr>
        <w:t>rsona distinta de la que figure como abonado, sin haberse procedido al cambio de titularidad en el disfrute del servicio, el obligado al pago será siempre el abonado, sin perjuicio de la facultad de éste de repercutir el pago de la deuda tributaria en quie</w:t>
      </w:r>
      <w:r>
        <w:rPr>
          <w:rFonts w:ascii="Arial" w:eastAsia="Arial" w:hAnsi="Arial" w:cs="Arial"/>
          <w:sz w:val="16"/>
        </w:rPr>
        <w:t xml:space="preserve">n resulte beneficiario “de hecho” del servicio. </w:t>
      </w:r>
    </w:p>
    <w:p w:rsidR="0049318A" w:rsidRDefault="002B40D1">
      <w:pPr>
        <w:spacing w:after="16"/>
        <w:ind w:left="1304"/>
      </w:pPr>
      <w:r>
        <w:rPr>
          <w:rFonts w:ascii="Arial" w:eastAsia="Arial" w:hAnsi="Arial" w:cs="Arial"/>
          <w:sz w:val="16"/>
        </w:rPr>
        <w:t xml:space="preserve"> </w:t>
      </w:r>
    </w:p>
    <w:p w:rsidR="0049318A" w:rsidRDefault="002B40D1">
      <w:pPr>
        <w:numPr>
          <w:ilvl w:val="0"/>
          <w:numId w:val="1"/>
        </w:numPr>
        <w:spacing w:after="17"/>
        <w:ind w:hanging="328"/>
      </w:pPr>
      <w:r>
        <w:rPr>
          <w:rFonts w:ascii="Arial" w:eastAsia="Arial" w:hAnsi="Arial" w:cs="Arial"/>
          <w:b/>
          <w:sz w:val="16"/>
        </w:rPr>
        <w:t xml:space="preserve">Responsables. </w:t>
      </w:r>
    </w:p>
    <w:p w:rsidR="0049318A" w:rsidRDefault="002B40D1">
      <w:pPr>
        <w:numPr>
          <w:ilvl w:val="4"/>
          <w:numId w:val="4"/>
        </w:numPr>
        <w:spacing w:after="4" w:line="269" w:lineRule="auto"/>
        <w:ind w:left="1303" w:right="48" w:hanging="328"/>
        <w:jc w:val="both"/>
      </w:pPr>
      <w:r>
        <w:rPr>
          <w:rFonts w:ascii="Arial" w:eastAsia="Arial" w:hAnsi="Arial" w:cs="Arial"/>
          <w:sz w:val="16"/>
        </w:rPr>
        <w:t xml:space="preserve">Responderán solidariamente de las obligaciones no tributarias del obligado al pago, las personas físicas y jurídicas a que se refieren los artículos 41 y 42 de la Ley General Tributaria. </w:t>
      </w:r>
    </w:p>
    <w:p w:rsidR="0049318A" w:rsidRDefault="002B40D1">
      <w:pPr>
        <w:numPr>
          <w:ilvl w:val="4"/>
          <w:numId w:val="4"/>
        </w:numPr>
        <w:spacing w:after="4" w:line="269" w:lineRule="auto"/>
        <w:ind w:left="1303" w:right="48" w:hanging="328"/>
        <w:jc w:val="both"/>
      </w:pPr>
      <w:r>
        <w:rPr>
          <w:rFonts w:ascii="Arial" w:eastAsia="Arial" w:hAnsi="Arial" w:cs="Arial"/>
          <w:sz w:val="16"/>
        </w:rPr>
        <w:t>Serán responsables subsidiarios los administradores de las sociedades y los síndicos, interventores o liquidadores de quiebras, concursos, sociedades y entidades en general, en los supuestos y con el alcance que se señala en el artículo 43 de la Ley Genera</w:t>
      </w:r>
      <w:r>
        <w:rPr>
          <w:rFonts w:ascii="Arial" w:eastAsia="Arial" w:hAnsi="Arial" w:cs="Arial"/>
          <w:sz w:val="16"/>
        </w:rPr>
        <w:t xml:space="preserve">l Tributaria. </w:t>
      </w:r>
    </w:p>
    <w:p w:rsidR="0049318A" w:rsidRDefault="002B40D1">
      <w:pPr>
        <w:numPr>
          <w:ilvl w:val="4"/>
          <w:numId w:val="4"/>
        </w:numPr>
        <w:spacing w:after="4" w:line="269" w:lineRule="auto"/>
        <w:ind w:left="1303" w:right="48" w:hanging="328"/>
        <w:jc w:val="both"/>
      </w:pPr>
      <w:r>
        <w:rPr>
          <w:rFonts w:ascii="Arial" w:eastAsia="Arial" w:hAnsi="Arial" w:cs="Arial"/>
          <w:sz w:val="16"/>
        </w:rPr>
        <w:t xml:space="preserve">En lo no previsto en este artículo relativo a la responsabilidad y responsables solidarios y subsidiarios se estará a lo establecido en los artículos 41 a 43 de la Ley 58/2003, de 17 de diciembre, General Tributaria. </w:t>
      </w:r>
    </w:p>
    <w:p w:rsidR="0049318A" w:rsidRDefault="002B40D1">
      <w:pPr>
        <w:spacing w:after="14"/>
        <w:ind w:left="975"/>
      </w:pPr>
      <w:r>
        <w:rPr>
          <w:rFonts w:ascii="Arial" w:eastAsia="Arial" w:hAnsi="Arial" w:cs="Arial"/>
          <w:sz w:val="16"/>
        </w:rPr>
        <w:t xml:space="preserve"> </w:t>
      </w:r>
    </w:p>
    <w:p w:rsidR="0049318A" w:rsidRDefault="002B40D1">
      <w:pPr>
        <w:spacing w:after="14"/>
        <w:ind w:left="1304"/>
      </w:pPr>
      <w:r>
        <w:rPr>
          <w:rFonts w:ascii="Arial" w:eastAsia="Arial" w:hAnsi="Arial" w:cs="Arial"/>
          <w:sz w:val="16"/>
        </w:rPr>
        <w:t xml:space="preserve"> </w:t>
      </w:r>
    </w:p>
    <w:p w:rsidR="0049318A" w:rsidRDefault="002B40D1">
      <w:pPr>
        <w:numPr>
          <w:ilvl w:val="0"/>
          <w:numId w:val="1"/>
        </w:numPr>
        <w:spacing w:after="17"/>
        <w:ind w:hanging="328"/>
      </w:pPr>
      <w:r>
        <w:rPr>
          <w:rFonts w:ascii="Arial" w:eastAsia="Arial" w:hAnsi="Arial" w:cs="Arial"/>
          <w:b/>
          <w:sz w:val="16"/>
        </w:rPr>
        <w:t xml:space="preserve">Períodicidad de la </w:t>
      </w:r>
      <w:r>
        <w:rPr>
          <w:rFonts w:ascii="Arial" w:eastAsia="Arial" w:hAnsi="Arial" w:cs="Arial"/>
          <w:b/>
          <w:sz w:val="16"/>
        </w:rPr>
        <w:t xml:space="preserve">Facturación y Nacimiento de la obligación al Pago. </w:t>
      </w:r>
    </w:p>
    <w:p w:rsidR="0049318A" w:rsidRDefault="002B40D1">
      <w:pPr>
        <w:spacing w:after="16"/>
        <w:ind w:left="647"/>
      </w:pPr>
      <w:r>
        <w:rPr>
          <w:rFonts w:ascii="Arial" w:eastAsia="Arial" w:hAnsi="Arial" w:cs="Arial"/>
          <w:b/>
          <w:sz w:val="16"/>
        </w:rPr>
        <w:t xml:space="preserve"> </w:t>
      </w:r>
    </w:p>
    <w:p w:rsidR="0049318A" w:rsidRDefault="002B40D1">
      <w:pPr>
        <w:numPr>
          <w:ilvl w:val="4"/>
          <w:numId w:val="2"/>
        </w:numPr>
        <w:spacing w:after="4" w:line="269" w:lineRule="auto"/>
        <w:ind w:left="1292" w:right="48" w:hanging="328"/>
        <w:jc w:val="both"/>
      </w:pPr>
      <w:r>
        <w:rPr>
          <w:rFonts w:ascii="Arial" w:eastAsia="Arial" w:hAnsi="Arial" w:cs="Arial"/>
          <w:sz w:val="16"/>
        </w:rPr>
        <w:t>Nace la obligación de contribuir desde el momento en que se inicia la prestación del servicio, entendiéndose iniciada, dada la naturaleza de recepción obligatoria del mismo, cuando esté establecida y en</w:t>
      </w:r>
      <w:r>
        <w:rPr>
          <w:rFonts w:ascii="Arial" w:eastAsia="Arial" w:hAnsi="Arial" w:cs="Arial"/>
          <w:sz w:val="16"/>
        </w:rPr>
        <w:t xml:space="preserve"> funcionamiento el servicio municipal de conservación y mantenimiento de los sistemas municipales de gestión del ciclo integral del agua y las actividades conexas a los mismos el término municipal de Candelaria. </w:t>
      </w:r>
    </w:p>
    <w:p w:rsidR="0049318A" w:rsidRDefault="002B40D1">
      <w:pPr>
        <w:numPr>
          <w:ilvl w:val="4"/>
          <w:numId w:val="2"/>
        </w:numPr>
        <w:spacing w:after="4" w:line="269" w:lineRule="auto"/>
        <w:ind w:left="1292" w:right="48" w:hanging="328"/>
        <w:jc w:val="both"/>
      </w:pPr>
      <w:r>
        <w:rPr>
          <w:rFonts w:ascii="Arial" w:eastAsia="Arial" w:hAnsi="Arial" w:cs="Arial"/>
          <w:sz w:val="16"/>
        </w:rPr>
        <w:t>Los servicios de evacuación de excretas, ag</w:t>
      </w:r>
      <w:r>
        <w:rPr>
          <w:rFonts w:ascii="Arial" w:eastAsia="Arial" w:hAnsi="Arial" w:cs="Arial"/>
          <w:sz w:val="16"/>
        </w:rPr>
        <w:t>uas pluviales, negras y residuales, tienen carácter obligatorio para todas las fincas del municipio que tengas fachada a calles, plazas o vías públicas en que exista alcantarillado, siempre que la distancia entre la red y la finca no exceda de cien metros,</w:t>
      </w:r>
      <w:r>
        <w:rPr>
          <w:rFonts w:ascii="Arial" w:eastAsia="Arial" w:hAnsi="Arial" w:cs="Arial"/>
          <w:sz w:val="16"/>
        </w:rPr>
        <w:t xml:space="preserve"> y se devengará la prestación patrimonial de carácter no tributario aún cuando los interesados no procedan a efectuar la acometida a la red. </w:t>
      </w:r>
    </w:p>
    <w:p w:rsidR="0049318A" w:rsidRDefault="002B40D1">
      <w:pPr>
        <w:numPr>
          <w:ilvl w:val="1"/>
          <w:numId w:val="3"/>
        </w:numPr>
        <w:spacing w:after="4" w:line="269" w:lineRule="auto"/>
        <w:ind w:right="48" w:hanging="394"/>
        <w:jc w:val="both"/>
      </w:pPr>
      <w:r>
        <w:rPr>
          <w:rFonts w:ascii="Arial" w:eastAsia="Arial" w:hAnsi="Arial" w:cs="Arial"/>
          <w:sz w:val="16"/>
        </w:rPr>
        <w:t xml:space="preserve">Salvo lo dispuesto en el apartado 2.3 de este artículo, el período de facturación coincide con el año natural. </w:t>
      </w:r>
    </w:p>
    <w:p w:rsidR="0049318A" w:rsidRDefault="002B40D1">
      <w:pPr>
        <w:numPr>
          <w:ilvl w:val="1"/>
          <w:numId w:val="3"/>
        </w:numPr>
        <w:spacing w:after="4" w:line="269" w:lineRule="auto"/>
        <w:ind w:right="48" w:hanging="394"/>
        <w:jc w:val="both"/>
      </w:pPr>
      <w:r>
        <w:rPr>
          <w:rFonts w:ascii="Arial" w:eastAsia="Arial" w:hAnsi="Arial" w:cs="Arial"/>
          <w:sz w:val="16"/>
        </w:rPr>
        <w:t>La</w:t>
      </w:r>
      <w:r>
        <w:rPr>
          <w:rFonts w:ascii="Arial" w:eastAsia="Arial" w:hAnsi="Arial" w:cs="Arial"/>
          <w:sz w:val="16"/>
        </w:rPr>
        <w:t xml:space="preserve"> prestación patrimonial de carácter no tributario se devenga el primer día del año. </w:t>
      </w:r>
    </w:p>
    <w:p w:rsidR="0049318A" w:rsidRDefault="002B40D1">
      <w:pPr>
        <w:numPr>
          <w:ilvl w:val="1"/>
          <w:numId w:val="3"/>
        </w:numPr>
        <w:spacing w:after="4" w:line="269" w:lineRule="auto"/>
        <w:ind w:right="48" w:hanging="394"/>
        <w:jc w:val="both"/>
      </w:pPr>
      <w:r>
        <w:rPr>
          <w:rFonts w:ascii="Arial" w:eastAsia="Arial" w:hAnsi="Arial" w:cs="Arial"/>
          <w:sz w:val="16"/>
        </w:rPr>
        <w:lastRenderedPageBreak/>
        <w:t>Para los supuestos de inicio o cese en el uso del servicio, el período de facturación se ajustará a esa circunstancia comprendiendo, respectivamente, desde la fecha de ini</w:t>
      </w:r>
      <w:r>
        <w:rPr>
          <w:rFonts w:ascii="Arial" w:eastAsia="Arial" w:hAnsi="Arial" w:cs="Arial"/>
          <w:sz w:val="16"/>
        </w:rPr>
        <w:t xml:space="preserve">cio hasta el último día del bimestre natural que le corresponda, o desde el primer día de éste hasta la fecha de cese; en estos casos, procederá el prorrateo de la cuota en función del tiempo de esta manera establecido. </w:t>
      </w:r>
    </w:p>
    <w:p w:rsidR="0049318A" w:rsidRDefault="002B40D1">
      <w:pPr>
        <w:spacing w:after="0"/>
        <w:ind w:left="905"/>
      </w:pPr>
      <w:r>
        <w:rPr>
          <w:rFonts w:ascii="Arial" w:eastAsia="Arial" w:hAnsi="Arial" w:cs="Arial"/>
          <w:b/>
          <w:sz w:val="16"/>
        </w:rPr>
        <w:t xml:space="preserve"> </w:t>
      </w:r>
    </w:p>
    <w:p w:rsidR="0049318A" w:rsidRDefault="002B40D1">
      <w:pPr>
        <w:spacing w:after="1370" w:line="265" w:lineRule="auto"/>
        <w:ind w:left="10" w:right="-15" w:hanging="10"/>
        <w:jc w:val="right"/>
      </w:pPr>
      <w:r>
        <w:rPr>
          <w:rFonts w:ascii="Times New Roman" w:eastAsia="Times New Roman" w:hAnsi="Times New Roman" w:cs="Times New Roman"/>
          <w:color w:val="181717"/>
          <w:sz w:val="16"/>
        </w:rPr>
        <w:t>29062</w:t>
      </w:r>
    </w:p>
    <w:p w:rsidR="0049318A" w:rsidRDefault="002B40D1">
      <w:pPr>
        <w:numPr>
          <w:ilvl w:val="0"/>
          <w:numId w:val="1"/>
        </w:numPr>
        <w:spacing w:after="25" w:line="249" w:lineRule="auto"/>
        <w:ind w:hanging="328"/>
      </w:pPr>
      <w:r>
        <w:rPr>
          <w:rFonts w:ascii="Arial" w:eastAsia="Arial" w:hAnsi="Arial" w:cs="Arial"/>
          <w:b/>
          <w:sz w:val="18"/>
        </w:rPr>
        <w:t xml:space="preserve">Condiciones Generales de Prestación del Servicio. </w:t>
      </w:r>
    </w:p>
    <w:p w:rsidR="0049318A" w:rsidRDefault="002B40D1">
      <w:pPr>
        <w:numPr>
          <w:ilvl w:val="0"/>
          <w:numId w:val="7"/>
        </w:numPr>
        <w:spacing w:after="9" w:line="271" w:lineRule="auto"/>
        <w:ind w:right="869" w:hanging="328"/>
        <w:jc w:val="both"/>
      </w:pPr>
      <w:r>
        <w:rPr>
          <w:rFonts w:ascii="Arial" w:eastAsia="Arial" w:hAnsi="Arial" w:cs="Arial"/>
          <w:sz w:val="18"/>
        </w:rPr>
        <w:t>Para poder figurar como abonado al servicio municipal de aguas, el interesado deberá solicitar del Ayuntamiento la licencia de acople correspondiente. Obtenida la licencia y previo pago de los derechos est</w:t>
      </w:r>
      <w:r>
        <w:rPr>
          <w:rFonts w:ascii="Arial" w:eastAsia="Arial" w:hAnsi="Arial" w:cs="Arial"/>
          <w:sz w:val="18"/>
        </w:rPr>
        <w:t>ablecidos, la condición de abonado se formalizará inexcusablemente en una póliza o contrato de adhesión suscrita, por duplicado, entre el abonado y la Administración Municipal, que podrá estar representada por una empresa concesionaria del servicio si lo h</w:t>
      </w:r>
      <w:r>
        <w:rPr>
          <w:rFonts w:ascii="Arial" w:eastAsia="Arial" w:hAnsi="Arial" w:cs="Arial"/>
          <w:sz w:val="18"/>
        </w:rPr>
        <w:t xml:space="preserve">ubiera. La firma de la póliza obliga a ambas partes al cumplimiento de sus cláusulas, en las que deberán figurar las condiciones básicas por las que se rige el servicio. </w:t>
      </w:r>
    </w:p>
    <w:p w:rsidR="0049318A" w:rsidRDefault="002B40D1">
      <w:pPr>
        <w:numPr>
          <w:ilvl w:val="0"/>
          <w:numId w:val="7"/>
        </w:numPr>
        <w:spacing w:after="9" w:line="271" w:lineRule="auto"/>
        <w:ind w:right="869" w:hanging="328"/>
        <w:jc w:val="both"/>
      </w:pPr>
      <w:r>
        <w:rPr>
          <w:rFonts w:ascii="Arial" w:eastAsia="Arial" w:hAnsi="Arial" w:cs="Arial"/>
          <w:sz w:val="18"/>
        </w:rPr>
        <w:t>La prestación de los servicios de abastecimiento de agua potable, de evacuación de ex</w:t>
      </w:r>
      <w:r>
        <w:rPr>
          <w:rFonts w:ascii="Arial" w:eastAsia="Arial" w:hAnsi="Arial" w:cs="Arial"/>
          <w:sz w:val="18"/>
        </w:rPr>
        <w:t xml:space="preserve">cretas, aguas pluviales, negras y residuales, a través de la red de alcantarillado municipal, y su tratamiento para depurarlas, estará sujeta al suministro de agua cuyo consumo se medirá por un aparato contador que deberá ser verificado oficialmente antes </w:t>
      </w:r>
      <w:r>
        <w:rPr>
          <w:rFonts w:ascii="Arial" w:eastAsia="Arial" w:hAnsi="Arial" w:cs="Arial"/>
          <w:sz w:val="18"/>
        </w:rPr>
        <w:t>de su puesta en servicio. Cuando en un mismo edificio existe más de un abonado, cada uno precisará de contador independiente, situados en planta baja, colocados en batería y de forma que el personal del servicio tenga acceso a los mismos. Asimismo, todos l</w:t>
      </w:r>
      <w:r>
        <w:rPr>
          <w:rFonts w:ascii="Arial" w:eastAsia="Arial" w:hAnsi="Arial" w:cs="Arial"/>
          <w:sz w:val="18"/>
        </w:rPr>
        <w:t>os contadores de viviendas unifamiliares y de edificios individuales deberán estar instalados en fachadas o arquetas con acceso desde el exterior. En todo caso, antes del contador no podrá existir ningún tipo de instalación que permita consumo o pérdida de</w:t>
      </w:r>
      <w:r>
        <w:rPr>
          <w:rFonts w:ascii="Arial" w:eastAsia="Arial" w:hAnsi="Arial" w:cs="Arial"/>
          <w:sz w:val="18"/>
        </w:rPr>
        <w:t xml:space="preserve"> agua sin registrar. </w:t>
      </w:r>
    </w:p>
    <w:p w:rsidR="0049318A" w:rsidRDefault="002B40D1">
      <w:pPr>
        <w:numPr>
          <w:ilvl w:val="0"/>
          <w:numId w:val="7"/>
        </w:numPr>
        <w:spacing w:after="9" w:line="271" w:lineRule="auto"/>
        <w:ind w:right="869" w:hanging="328"/>
        <w:jc w:val="both"/>
      </w:pPr>
      <w:r>
        <w:rPr>
          <w:rFonts w:ascii="Arial" w:eastAsia="Arial" w:hAnsi="Arial" w:cs="Arial"/>
          <w:sz w:val="18"/>
        </w:rPr>
        <w:t>Con independencia de las condiciones generales que figuren en la póliza, la prestación del servicio se realizará en la forma y condiciones establecidas en el Reglamento que lo regula, que será vigente en cada momento, en especial en l</w:t>
      </w:r>
      <w:r>
        <w:rPr>
          <w:rFonts w:ascii="Arial" w:eastAsia="Arial" w:hAnsi="Arial" w:cs="Arial"/>
          <w:sz w:val="18"/>
        </w:rPr>
        <w:t xml:space="preserve">o referente a las características de las instalaciones. </w:t>
      </w:r>
    </w:p>
    <w:p w:rsidR="0049318A" w:rsidRDefault="002B40D1">
      <w:pPr>
        <w:spacing w:after="15"/>
        <w:ind w:left="259"/>
      </w:pPr>
      <w:r>
        <w:rPr>
          <w:rFonts w:ascii="Arial" w:eastAsia="Arial" w:hAnsi="Arial" w:cs="Arial"/>
          <w:sz w:val="18"/>
        </w:rPr>
        <w:t xml:space="preserve"> </w:t>
      </w:r>
    </w:p>
    <w:p w:rsidR="0049318A" w:rsidRDefault="002B40D1">
      <w:pPr>
        <w:numPr>
          <w:ilvl w:val="0"/>
          <w:numId w:val="8"/>
        </w:numPr>
        <w:spacing w:after="25" w:line="249" w:lineRule="auto"/>
        <w:ind w:right="504" w:hanging="258"/>
        <w:jc w:val="both"/>
      </w:pPr>
      <w:r>
        <w:rPr>
          <w:rFonts w:ascii="Arial" w:eastAsia="Arial" w:hAnsi="Arial" w:cs="Arial"/>
          <w:b/>
          <w:sz w:val="18"/>
        </w:rPr>
        <w:t xml:space="preserve">Cuota y Tarifas. </w:t>
      </w:r>
    </w:p>
    <w:p w:rsidR="0049318A" w:rsidRDefault="002B40D1">
      <w:pPr>
        <w:spacing w:after="9" w:line="271" w:lineRule="auto"/>
        <w:ind w:left="645" w:right="52" w:hanging="328"/>
        <w:jc w:val="both"/>
      </w:pPr>
      <w:r>
        <w:rPr>
          <w:rFonts w:ascii="Arial" w:eastAsia="Arial" w:hAnsi="Arial" w:cs="Arial"/>
          <w:sz w:val="18"/>
        </w:rPr>
        <w:t>1. La cuota a satisfacer por el obligado al pago correspondiente al suministro o distribución de agua</w:t>
      </w:r>
      <w:r>
        <w:rPr>
          <w:rFonts w:ascii="Arial" w:eastAsia="Arial" w:hAnsi="Arial" w:cs="Arial"/>
          <w:b/>
          <w:sz w:val="18"/>
        </w:rPr>
        <w:t xml:space="preserve"> </w:t>
      </w:r>
      <w:r>
        <w:rPr>
          <w:rFonts w:ascii="Arial" w:eastAsia="Arial" w:hAnsi="Arial" w:cs="Arial"/>
          <w:sz w:val="18"/>
        </w:rPr>
        <w:t xml:space="preserve">se determinará en función de: </w:t>
      </w:r>
    </w:p>
    <w:p w:rsidR="0049318A" w:rsidRDefault="002B40D1">
      <w:pPr>
        <w:numPr>
          <w:ilvl w:val="5"/>
          <w:numId w:val="9"/>
        </w:numPr>
        <w:spacing w:after="9" w:line="271" w:lineRule="auto"/>
        <w:ind w:right="102" w:hanging="328"/>
        <w:jc w:val="both"/>
      </w:pPr>
      <w:r>
        <w:rPr>
          <w:rFonts w:ascii="Arial" w:eastAsia="Arial" w:hAnsi="Arial" w:cs="Arial"/>
          <w:sz w:val="18"/>
        </w:rPr>
        <w:t>Derecho de acometida a la red general de abast</w:t>
      </w:r>
      <w:r>
        <w:rPr>
          <w:rFonts w:ascii="Arial" w:eastAsia="Arial" w:hAnsi="Arial" w:cs="Arial"/>
          <w:sz w:val="18"/>
        </w:rPr>
        <w:t xml:space="preserve">ecimiento: el hecho de la conexión a la red por cada inmueble, vivienda individual, local comercial o suministro para obras. </w:t>
      </w:r>
    </w:p>
    <w:p w:rsidR="0049318A" w:rsidRDefault="002B40D1">
      <w:pPr>
        <w:numPr>
          <w:ilvl w:val="5"/>
          <w:numId w:val="9"/>
        </w:numPr>
        <w:spacing w:after="9" w:line="271" w:lineRule="auto"/>
        <w:ind w:right="102" w:hanging="328"/>
        <w:jc w:val="both"/>
      </w:pPr>
      <w:r>
        <w:rPr>
          <w:rFonts w:ascii="Arial" w:eastAsia="Arial" w:hAnsi="Arial" w:cs="Arial"/>
          <w:sz w:val="18"/>
        </w:rPr>
        <w:t>Ejecución de acometida: ejecución, si procede, de nueva acometida desde la red municipal de abastecimiento hasta la llave de regis</w:t>
      </w:r>
      <w:r>
        <w:rPr>
          <w:rFonts w:ascii="Arial" w:eastAsia="Arial" w:hAnsi="Arial" w:cs="Arial"/>
          <w:sz w:val="18"/>
        </w:rPr>
        <w:t xml:space="preserve">tro. </w:t>
      </w:r>
    </w:p>
    <w:p w:rsidR="0049318A" w:rsidRDefault="002B40D1">
      <w:pPr>
        <w:numPr>
          <w:ilvl w:val="5"/>
          <w:numId w:val="9"/>
        </w:numPr>
        <w:spacing w:after="9" w:line="271" w:lineRule="auto"/>
        <w:ind w:right="102" w:hanging="328"/>
        <w:jc w:val="both"/>
      </w:pPr>
      <w:r>
        <w:rPr>
          <w:rFonts w:ascii="Arial" w:eastAsia="Arial" w:hAnsi="Arial" w:cs="Arial"/>
          <w:sz w:val="18"/>
        </w:rPr>
        <w:t xml:space="preserve">La colocación y utilización de contador: el calibre del contador a instalar. </w:t>
      </w:r>
    </w:p>
    <w:p w:rsidR="0049318A" w:rsidRDefault="002B40D1">
      <w:pPr>
        <w:numPr>
          <w:ilvl w:val="5"/>
          <w:numId w:val="9"/>
        </w:numPr>
        <w:spacing w:after="9" w:line="271" w:lineRule="auto"/>
        <w:ind w:right="102" w:hanging="328"/>
        <w:jc w:val="both"/>
      </w:pPr>
      <w:r>
        <w:rPr>
          <w:rFonts w:ascii="Arial" w:eastAsia="Arial" w:hAnsi="Arial" w:cs="Arial"/>
          <w:sz w:val="18"/>
        </w:rPr>
        <w:t xml:space="preserve">Los metros cúbicos de agua consumida en el inmueble donde esté instalado el servicio. </w:t>
      </w:r>
    </w:p>
    <w:p w:rsidR="0049318A" w:rsidRDefault="002B40D1">
      <w:pPr>
        <w:spacing w:after="15"/>
        <w:ind w:left="965"/>
      </w:pPr>
      <w:r>
        <w:rPr>
          <w:rFonts w:ascii="Arial" w:eastAsia="Arial" w:hAnsi="Arial" w:cs="Arial"/>
          <w:sz w:val="18"/>
        </w:rPr>
        <w:t xml:space="preserve"> </w:t>
      </w:r>
    </w:p>
    <w:p w:rsidR="0049318A" w:rsidRDefault="002B40D1">
      <w:pPr>
        <w:spacing w:after="9" w:line="271" w:lineRule="auto"/>
        <w:ind w:left="656" w:right="52" w:hanging="10"/>
        <w:jc w:val="both"/>
      </w:pPr>
      <w:r>
        <w:rPr>
          <w:rFonts w:ascii="Arial" w:eastAsia="Arial" w:hAnsi="Arial" w:cs="Arial"/>
          <w:sz w:val="18"/>
        </w:rPr>
        <w:t xml:space="preserve">Las tarifas a aplicar son las siguientes: </w:t>
      </w:r>
    </w:p>
    <w:p w:rsidR="0049318A" w:rsidRDefault="002B40D1">
      <w:pPr>
        <w:spacing w:after="9" w:line="271" w:lineRule="auto"/>
        <w:ind w:left="910" w:right="52" w:hanging="10"/>
        <w:jc w:val="both"/>
      </w:pPr>
      <w:r>
        <w:rPr>
          <w:rFonts w:ascii="Arial" w:eastAsia="Arial" w:hAnsi="Arial" w:cs="Arial"/>
          <w:sz w:val="18"/>
        </w:rPr>
        <w:t xml:space="preserve">1.1. Acoples a la red.  </w:t>
      </w:r>
    </w:p>
    <w:p w:rsidR="0049318A" w:rsidRDefault="002B40D1">
      <w:pPr>
        <w:spacing w:after="31"/>
        <w:ind w:right="84"/>
        <w:jc w:val="center"/>
      </w:pPr>
      <w:r>
        <w:rPr>
          <w:rFonts w:ascii="Arial" w:eastAsia="Arial" w:hAnsi="Arial" w:cs="Arial"/>
          <w:sz w:val="18"/>
        </w:rPr>
        <w:t xml:space="preserve">1.1.1. Por concesión de la licencia de acometida a la red general de agua </w:t>
      </w:r>
    </w:p>
    <w:p w:rsidR="0049318A" w:rsidRDefault="002B40D1">
      <w:pPr>
        <w:numPr>
          <w:ilvl w:val="3"/>
          <w:numId w:val="10"/>
        </w:numPr>
        <w:spacing w:after="9" w:line="271" w:lineRule="auto"/>
        <w:ind w:right="206" w:hanging="1235"/>
        <w:jc w:val="both"/>
      </w:pPr>
      <w:r>
        <w:rPr>
          <w:rFonts w:ascii="Arial" w:eastAsia="Arial" w:hAnsi="Arial" w:cs="Arial"/>
          <w:sz w:val="18"/>
        </w:rPr>
        <w:t xml:space="preserve">Para abonados con uso doméstico 42,37 euros </w:t>
      </w:r>
    </w:p>
    <w:p w:rsidR="0049318A" w:rsidRDefault="002B40D1">
      <w:pPr>
        <w:numPr>
          <w:ilvl w:val="3"/>
          <w:numId w:val="10"/>
        </w:numPr>
        <w:spacing w:after="9" w:line="271" w:lineRule="auto"/>
        <w:ind w:right="206" w:hanging="1235"/>
        <w:jc w:val="both"/>
      </w:pPr>
      <w:r>
        <w:rPr>
          <w:rFonts w:ascii="Arial" w:eastAsia="Arial" w:hAnsi="Arial" w:cs="Arial"/>
          <w:sz w:val="18"/>
        </w:rPr>
        <w:t xml:space="preserve">Para abonados con uso industrial o comercial 63,56 euros </w:t>
      </w:r>
    </w:p>
    <w:p w:rsidR="0049318A" w:rsidRDefault="002B40D1">
      <w:pPr>
        <w:spacing w:after="16"/>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15"/>
      </w:pPr>
      <w:r>
        <w:rPr>
          <w:rFonts w:ascii="Arial" w:eastAsia="Arial" w:hAnsi="Arial" w:cs="Arial"/>
          <w:sz w:val="18"/>
        </w:rPr>
        <w:lastRenderedPageBreak/>
        <w:t xml:space="preserve"> </w:t>
      </w:r>
    </w:p>
    <w:p w:rsidR="0049318A" w:rsidRDefault="002B40D1">
      <w:pPr>
        <w:spacing w:after="17"/>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0"/>
      </w:pPr>
      <w:r>
        <w:rPr>
          <w:rFonts w:ascii="Arial" w:eastAsia="Arial" w:hAnsi="Arial" w:cs="Arial"/>
          <w:sz w:val="18"/>
        </w:rPr>
        <w:t xml:space="preserve"> </w:t>
      </w:r>
    </w:p>
    <w:p w:rsidR="0049318A" w:rsidRDefault="002B40D1">
      <w:pPr>
        <w:spacing w:after="1114" w:line="265" w:lineRule="auto"/>
        <w:ind w:left="92" w:hanging="10"/>
      </w:pPr>
      <w:r>
        <w:rPr>
          <w:rFonts w:ascii="Times New Roman" w:eastAsia="Times New Roman" w:hAnsi="Times New Roman" w:cs="Times New Roman"/>
          <w:color w:val="181717"/>
          <w:sz w:val="16"/>
        </w:rPr>
        <w:t>29063</w:t>
      </w:r>
    </w:p>
    <w:p w:rsidR="0049318A" w:rsidRDefault="002B40D1">
      <w:pPr>
        <w:numPr>
          <w:ilvl w:val="2"/>
          <w:numId w:val="12"/>
        </w:numPr>
        <w:spacing w:after="9" w:line="271" w:lineRule="auto"/>
        <w:ind w:left="1811" w:right="52" w:hanging="517"/>
        <w:jc w:val="both"/>
      </w:pPr>
      <w:r>
        <w:rPr>
          <w:rFonts w:ascii="Arial" w:eastAsia="Arial" w:hAnsi="Arial" w:cs="Arial"/>
          <w:sz w:val="18"/>
        </w:rPr>
        <w:t xml:space="preserve">Por unidad de ejecución de nueva acometida desde la red municipal de abastecimiento hasta la llave de registro, derivada de cualquier red y longitud hasta 20 metros lineales. </w:t>
      </w:r>
    </w:p>
    <w:p w:rsidR="0049318A" w:rsidRDefault="002B40D1">
      <w:pPr>
        <w:spacing w:after="0"/>
      </w:pPr>
      <w:r>
        <w:rPr>
          <w:rFonts w:ascii="Arial" w:eastAsia="Arial" w:hAnsi="Arial" w:cs="Arial"/>
          <w:sz w:val="18"/>
        </w:rPr>
        <w:t xml:space="preserve"> </w:t>
      </w:r>
    </w:p>
    <w:tbl>
      <w:tblPr>
        <w:tblStyle w:val="TableGrid"/>
        <w:tblW w:w="5244" w:type="dxa"/>
        <w:tblInd w:w="2612" w:type="dxa"/>
        <w:tblCellMar>
          <w:top w:w="43" w:type="dxa"/>
          <w:left w:w="99" w:type="dxa"/>
          <w:bottom w:w="0" w:type="dxa"/>
          <w:right w:w="0" w:type="dxa"/>
        </w:tblCellMar>
        <w:tblLook w:val="04A0" w:firstRow="1" w:lastRow="0" w:firstColumn="1" w:lastColumn="0" w:noHBand="0" w:noVBand="1"/>
      </w:tblPr>
      <w:tblGrid>
        <w:gridCol w:w="3113"/>
        <w:gridCol w:w="2130"/>
      </w:tblGrid>
      <w:tr w:rsidR="0049318A">
        <w:trPr>
          <w:trHeight w:val="493"/>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Acometidas para contadores de calibre: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27" w:right="76"/>
              <w:jc w:val="center"/>
            </w:pPr>
            <w:r>
              <w:rPr>
                <w:rFonts w:ascii="Arial" w:eastAsia="Arial" w:hAnsi="Arial" w:cs="Arial"/>
                <w:b/>
                <w:sz w:val="18"/>
              </w:rPr>
              <w:t xml:space="preserve">Valoración económica </w:t>
            </w:r>
          </w:p>
        </w:tc>
      </w:tr>
      <w:tr w:rsidR="0049318A">
        <w:trPr>
          <w:trHeight w:val="250"/>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13-15mm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159</w:t>
            </w:r>
            <w:r>
              <w:rPr>
                <w:rFonts w:ascii="Arial" w:eastAsia="Arial" w:hAnsi="Arial" w:cs="Arial"/>
                <w:sz w:val="18"/>
              </w:rPr>
              <w:t xml:space="preserve">,30 euros  </w:t>
            </w:r>
          </w:p>
        </w:tc>
      </w:tr>
      <w:tr w:rsidR="0049318A">
        <w:trPr>
          <w:trHeight w:val="252"/>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20-25mm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189,16 euros  </w:t>
            </w:r>
          </w:p>
        </w:tc>
      </w:tr>
      <w:tr w:rsidR="0049318A">
        <w:trPr>
          <w:trHeight w:val="250"/>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30-32mm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257,20 euros  </w:t>
            </w:r>
          </w:p>
        </w:tc>
      </w:tr>
      <w:tr w:rsidR="0049318A">
        <w:trPr>
          <w:trHeight w:val="250"/>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40 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359,18 euros  </w:t>
            </w:r>
          </w:p>
        </w:tc>
      </w:tr>
      <w:tr w:rsidR="0049318A">
        <w:trPr>
          <w:trHeight w:val="252"/>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50 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359,18 euros  </w:t>
            </w:r>
          </w:p>
        </w:tc>
      </w:tr>
      <w:tr w:rsidR="0049318A">
        <w:trPr>
          <w:trHeight w:val="250"/>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65 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533,85 euros  </w:t>
            </w:r>
          </w:p>
        </w:tc>
      </w:tr>
      <w:tr w:rsidR="0049318A">
        <w:trPr>
          <w:trHeight w:val="250"/>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DN 80 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775,36 euros  </w:t>
            </w:r>
          </w:p>
        </w:tc>
      </w:tr>
      <w:tr w:rsidR="0049318A">
        <w:trPr>
          <w:trHeight w:val="252"/>
        </w:trPr>
        <w:tc>
          <w:tcPr>
            <w:tcW w:w="3113"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 xml:space="preserve">iguales o superiores a DN100mm </w:t>
            </w:r>
          </w:p>
        </w:tc>
        <w:tc>
          <w:tcPr>
            <w:tcW w:w="213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2"/>
              <w:jc w:val="right"/>
            </w:pPr>
            <w:r>
              <w:rPr>
                <w:rFonts w:ascii="Arial" w:eastAsia="Arial" w:hAnsi="Arial" w:cs="Arial"/>
                <w:sz w:val="18"/>
              </w:rPr>
              <w:t xml:space="preserve">1.123,50 euros </w:t>
            </w:r>
          </w:p>
        </w:tc>
      </w:tr>
    </w:tbl>
    <w:p w:rsidR="0049318A" w:rsidRDefault="002B40D1">
      <w:pPr>
        <w:spacing w:after="16"/>
        <w:ind w:left="1810"/>
      </w:pPr>
      <w:r>
        <w:rPr>
          <w:rFonts w:ascii="Arial" w:eastAsia="Arial" w:hAnsi="Arial" w:cs="Arial"/>
          <w:sz w:val="18"/>
        </w:rPr>
        <w:t xml:space="preserve"> </w:t>
      </w:r>
    </w:p>
    <w:p w:rsidR="0049318A" w:rsidRDefault="002B40D1">
      <w:pPr>
        <w:numPr>
          <w:ilvl w:val="2"/>
          <w:numId w:val="12"/>
        </w:numPr>
        <w:spacing w:after="9" w:line="271" w:lineRule="auto"/>
        <w:ind w:left="1811" w:right="52" w:hanging="517"/>
        <w:jc w:val="both"/>
      </w:pPr>
      <w:r>
        <w:rPr>
          <w:rFonts w:ascii="Arial" w:eastAsia="Arial" w:hAnsi="Arial" w:cs="Arial"/>
          <w:sz w:val="18"/>
        </w:rPr>
        <w:t xml:space="preserve">Por la colocación y utilización de contador: el calibre del contador a instalar.  </w:t>
      </w:r>
    </w:p>
    <w:p w:rsidR="0049318A" w:rsidRDefault="002B40D1">
      <w:pPr>
        <w:numPr>
          <w:ilvl w:val="3"/>
          <w:numId w:val="11"/>
        </w:numPr>
        <w:spacing w:after="9" w:line="271" w:lineRule="auto"/>
        <w:ind w:left="2570" w:right="52" w:hanging="775"/>
        <w:jc w:val="both"/>
      </w:pPr>
      <w:r>
        <w:rPr>
          <w:rFonts w:ascii="Arial" w:eastAsia="Arial" w:hAnsi="Arial" w:cs="Arial"/>
          <w:sz w:val="18"/>
        </w:rPr>
        <w:t xml:space="preserve">Instalación en batería de contadores de equipo de medida, cuando se trate de un edificio de varias viviendas: </w:t>
      </w:r>
    </w:p>
    <w:p w:rsidR="0049318A" w:rsidRDefault="002B40D1">
      <w:pPr>
        <w:spacing w:after="0"/>
        <w:ind w:left="2457"/>
      </w:pPr>
      <w:r>
        <w:rPr>
          <w:rFonts w:ascii="Arial" w:eastAsia="Arial" w:hAnsi="Arial" w:cs="Arial"/>
          <w:sz w:val="18"/>
        </w:rPr>
        <w:t xml:space="preserve"> </w:t>
      </w:r>
    </w:p>
    <w:tbl>
      <w:tblPr>
        <w:tblStyle w:val="TableGrid"/>
        <w:tblW w:w="5244" w:type="dxa"/>
        <w:tblInd w:w="2612" w:type="dxa"/>
        <w:tblCellMar>
          <w:top w:w="43" w:type="dxa"/>
          <w:left w:w="0" w:type="dxa"/>
          <w:bottom w:w="0" w:type="dxa"/>
          <w:right w:w="0" w:type="dxa"/>
        </w:tblCellMar>
        <w:tblLook w:val="04A0" w:firstRow="1" w:lastRow="0" w:firstColumn="1" w:lastColumn="0" w:noHBand="0" w:noVBand="1"/>
      </w:tblPr>
      <w:tblGrid>
        <w:gridCol w:w="1763"/>
        <w:gridCol w:w="1030"/>
        <w:gridCol w:w="316"/>
        <w:gridCol w:w="2135"/>
      </w:tblGrid>
      <w:tr w:rsidR="0049318A">
        <w:trPr>
          <w:trHeight w:val="493"/>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b/>
                <w:sz w:val="18"/>
              </w:rPr>
              <w:t xml:space="preserve">Instalación </w:t>
            </w:r>
            <w:r>
              <w:rPr>
                <w:rFonts w:ascii="Arial" w:eastAsia="Arial" w:hAnsi="Arial" w:cs="Arial"/>
                <w:b/>
                <w:sz w:val="18"/>
              </w:rPr>
              <w:tab/>
              <w:t xml:space="preserve">de calibre: </w:t>
            </w:r>
          </w:p>
        </w:tc>
        <w:tc>
          <w:tcPr>
            <w:tcW w:w="1030" w:type="dxa"/>
            <w:tcBorders>
              <w:top w:val="single" w:sz="4" w:space="0" w:color="000000"/>
              <w:left w:val="nil"/>
              <w:bottom w:val="single" w:sz="4" w:space="0" w:color="000000"/>
              <w:right w:val="nil"/>
            </w:tcBorders>
          </w:tcPr>
          <w:p w:rsidR="0049318A" w:rsidRDefault="002B40D1">
            <w:pPr>
              <w:spacing w:after="0"/>
            </w:pPr>
            <w:r>
              <w:rPr>
                <w:rFonts w:ascii="Arial" w:eastAsia="Arial" w:hAnsi="Arial" w:cs="Arial"/>
                <w:b/>
                <w:sz w:val="18"/>
              </w:rPr>
              <w:t xml:space="preserve">contador </w:t>
            </w:r>
          </w:p>
        </w:tc>
        <w:tc>
          <w:tcPr>
            <w:tcW w:w="316" w:type="dxa"/>
            <w:tcBorders>
              <w:top w:val="single" w:sz="4" w:space="0" w:color="000000"/>
              <w:left w:val="nil"/>
              <w:bottom w:val="single" w:sz="4" w:space="0" w:color="000000"/>
              <w:right w:val="single" w:sz="4" w:space="0" w:color="000000"/>
            </w:tcBorders>
          </w:tcPr>
          <w:p w:rsidR="0049318A" w:rsidRDefault="002B40D1">
            <w:pPr>
              <w:spacing w:after="0"/>
              <w:jc w:val="both"/>
            </w:pPr>
            <w:r>
              <w:rPr>
                <w:rFonts w:ascii="Arial" w:eastAsia="Arial" w:hAnsi="Arial" w:cs="Arial"/>
                <w:b/>
                <w:sz w:val="18"/>
              </w:rPr>
              <w:t xml:space="preserve">de </w:t>
            </w:r>
          </w:p>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99"/>
            </w:pPr>
            <w:r>
              <w:rPr>
                <w:rFonts w:ascii="Arial" w:eastAsia="Arial" w:hAnsi="Arial" w:cs="Arial"/>
                <w:b/>
                <w:sz w:val="18"/>
              </w:rPr>
              <w:t>Valoración económica</w:t>
            </w:r>
            <w:r>
              <w:rPr>
                <w:rFonts w:ascii="Arial" w:eastAsia="Arial" w:hAnsi="Arial" w:cs="Arial"/>
                <w:b/>
                <w:sz w:val="18"/>
              </w:rPr>
              <w:t xml:space="preserve">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13-15mm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72,84 euros  </w:t>
            </w:r>
          </w:p>
        </w:tc>
      </w:tr>
      <w:tr w:rsidR="0049318A">
        <w:trPr>
          <w:trHeight w:val="252"/>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20-25mm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102,25 euros  </w:t>
            </w:r>
          </w:p>
        </w:tc>
      </w:tr>
    </w:tbl>
    <w:p w:rsidR="0049318A" w:rsidRDefault="002B40D1">
      <w:pPr>
        <w:spacing w:after="15"/>
      </w:pPr>
      <w:r>
        <w:rPr>
          <w:rFonts w:ascii="Arial" w:eastAsia="Arial" w:hAnsi="Arial" w:cs="Arial"/>
          <w:sz w:val="18"/>
        </w:rPr>
        <w:t xml:space="preserve"> </w:t>
      </w:r>
    </w:p>
    <w:p w:rsidR="0049318A" w:rsidRDefault="002B40D1">
      <w:pPr>
        <w:numPr>
          <w:ilvl w:val="3"/>
          <w:numId w:val="11"/>
        </w:numPr>
        <w:spacing w:after="9" w:line="271" w:lineRule="auto"/>
        <w:ind w:left="2570" w:right="52" w:hanging="775"/>
        <w:jc w:val="both"/>
      </w:pPr>
      <w:r>
        <w:rPr>
          <w:rFonts w:ascii="Arial" w:eastAsia="Arial" w:hAnsi="Arial" w:cs="Arial"/>
          <w:sz w:val="18"/>
        </w:rPr>
        <w:t xml:space="preserve">Instalación en la caja de armario, cuando se trate de una vivienda individual, local comercial o suministro para obras.  </w:t>
      </w:r>
    </w:p>
    <w:p w:rsidR="0049318A" w:rsidRDefault="002B40D1">
      <w:pPr>
        <w:spacing w:after="0"/>
        <w:ind w:left="2586"/>
      </w:pPr>
      <w:r>
        <w:rPr>
          <w:rFonts w:ascii="Arial" w:eastAsia="Arial" w:hAnsi="Arial" w:cs="Arial"/>
          <w:sz w:val="18"/>
        </w:rPr>
        <w:t xml:space="preserve"> </w:t>
      </w:r>
    </w:p>
    <w:tbl>
      <w:tblPr>
        <w:tblStyle w:val="TableGrid"/>
        <w:tblW w:w="5244" w:type="dxa"/>
        <w:tblInd w:w="2612" w:type="dxa"/>
        <w:tblCellMar>
          <w:top w:w="43" w:type="dxa"/>
          <w:left w:w="0" w:type="dxa"/>
          <w:bottom w:w="0" w:type="dxa"/>
          <w:right w:w="0" w:type="dxa"/>
        </w:tblCellMar>
        <w:tblLook w:val="04A0" w:firstRow="1" w:lastRow="0" w:firstColumn="1" w:lastColumn="0" w:noHBand="0" w:noVBand="1"/>
      </w:tblPr>
      <w:tblGrid>
        <w:gridCol w:w="1763"/>
        <w:gridCol w:w="1030"/>
        <w:gridCol w:w="316"/>
        <w:gridCol w:w="2135"/>
      </w:tblGrid>
      <w:tr w:rsidR="0049318A">
        <w:trPr>
          <w:trHeight w:val="493"/>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b/>
                <w:sz w:val="18"/>
              </w:rPr>
              <w:t xml:space="preserve">Instalación </w:t>
            </w:r>
            <w:r>
              <w:rPr>
                <w:rFonts w:ascii="Arial" w:eastAsia="Arial" w:hAnsi="Arial" w:cs="Arial"/>
                <w:b/>
                <w:sz w:val="18"/>
              </w:rPr>
              <w:tab/>
              <w:t xml:space="preserve">de calibre: </w:t>
            </w:r>
          </w:p>
        </w:tc>
        <w:tc>
          <w:tcPr>
            <w:tcW w:w="1030" w:type="dxa"/>
            <w:tcBorders>
              <w:top w:val="single" w:sz="4" w:space="0" w:color="000000"/>
              <w:left w:val="nil"/>
              <w:bottom w:val="single" w:sz="4" w:space="0" w:color="000000"/>
              <w:right w:val="nil"/>
            </w:tcBorders>
          </w:tcPr>
          <w:p w:rsidR="0049318A" w:rsidRDefault="002B40D1">
            <w:pPr>
              <w:spacing w:after="0"/>
            </w:pPr>
            <w:r>
              <w:rPr>
                <w:rFonts w:ascii="Arial" w:eastAsia="Arial" w:hAnsi="Arial" w:cs="Arial"/>
                <w:b/>
                <w:sz w:val="18"/>
              </w:rPr>
              <w:t xml:space="preserve">contador </w:t>
            </w:r>
          </w:p>
        </w:tc>
        <w:tc>
          <w:tcPr>
            <w:tcW w:w="316" w:type="dxa"/>
            <w:tcBorders>
              <w:top w:val="single" w:sz="4" w:space="0" w:color="000000"/>
              <w:left w:val="nil"/>
              <w:bottom w:val="single" w:sz="4" w:space="0" w:color="000000"/>
              <w:right w:val="single" w:sz="4" w:space="0" w:color="000000"/>
            </w:tcBorders>
          </w:tcPr>
          <w:p w:rsidR="0049318A" w:rsidRDefault="002B40D1">
            <w:pPr>
              <w:spacing w:after="0"/>
              <w:jc w:val="both"/>
            </w:pPr>
            <w:r>
              <w:rPr>
                <w:rFonts w:ascii="Arial" w:eastAsia="Arial" w:hAnsi="Arial" w:cs="Arial"/>
                <w:b/>
                <w:sz w:val="18"/>
              </w:rPr>
              <w:t xml:space="preserve">de </w:t>
            </w:r>
          </w:p>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99"/>
            </w:pPr>
            <w:r>
              <w:rPr>
                <w:rFonts w:ascii="Arial" w:eastAsia="Arial" w:hAnsi="Arial" w:cs="Arial"/>
                <w:b/>
                <w:sz w:val="18"/>
              </w:rPr>
              <w:t xml:space="preserve">Valoración económica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DN 13</w:t>
            </w:r>
            <w:r>
              <w:rPr>
                <w:rFonts w:ascii="Arial" w:eastAsia="Arial" w:hAnsi="Arial" w:cs="Arial"/>
                <w:sz w:val="18"/>
              </w:rPr>
              <w:t xml:space="preserve">-15mm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169,56 euros  </w:t>
            </w:r>
          </w:p>
        </w:tc>
      </w:tr>
      <w:tr w:rsidR="0049318A">
        <w:trPr>
          <w:trHeight w:val="252"/>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20-25mm </w:t>
            </w:r>
          </w:p>
        </w:tc>
        <w:tc>
          <w:tcPr>
            <w:tcW w:w="1030" w:type="dxa"/>
            <w:tcBorders>
              <w:top w:val="single" w:sz="4" w:space="0" w:color="000000"/>
              <w:left w:val="nil"/>
              <w:bottom w:val="single" w:sz="4" w:space="0" w:color="000000"/>
              <w:right w:val="nil"/>
            </w:tcBorders>
            <w:vAlign w:val="center"/>
          </w:tcPr>
          <w:p w:rsidR="0049318A" w:rsidRDefault="0049318A"/>
        </w:tc>
        <w:tc>
          <w:tcPr>
            <w:tcW w:w="316" w:type="dxa"/>
            <w:tcBorders>
              <w:top w:val="single" w:sz="4" w:space="0" w:color="000000"/>
              <w:left w:val="nil"/>
              <w:bottom w:val="single" w:sz="4" w:space="0" w:color="000000"/>
              <w:right w:val="single" w:sz="4" w:space="0" w:color="000000"/>
            </w:tcBorders>
            <w:vAlign w:val="center"/>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221,84 euros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30-32mm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416,02 euros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40 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626,64 euros  </w:t>
            </w:r>
          </w:p>
        </w:tc>
      </w:tr>
      <w:tr w:rsidR="0049318A">
        <w:trPr>
          <w:trHeight w:val="252"/>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50 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vAlign w:val="bottom"/>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1.265,42 euros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65 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vAlign w:val="center"/>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1.569,92 euros  </w:t>
            </w:r>
          </w:p>
        </w:tc>
      </w:tr>
      <w:tr w:rsidR="0049318A">
        <w:trPr>
          <w:trHeight w:val="250"/>
        </w:trPr>
        <w:tc>
          <w:tcPr>
            <w:tcW w:w="1763" w:type="dxa"/>
            <w:tcBorders>
              <w:top w:val="single" w:sz="4" w:space="0" w:color="000000"/>
              <w:left w:val="single" w:sz="4" w:space="0" w:color="000000"/>
              <w:bottom w:val="single" w:sz="4" w:space="0" w:color="000000"/>
              <w:right w:val="nil"/>
            </w:tcBorders>
          </w:tcPr>
          <w:p w:rsidR="0049318A" w:rsidRDefault="002B40D1">
            <w:pPr>
              <w:spacing w:after="0"/>
              <w:ind w:left="99"/>
            </w:pPr>
            <w:r>
              <w:rPr>
                <w:rFonts w:ascii="Arial" w:eastAsia="Arial" w:hAnsi="Arial" w:cs="Arial"/>
                <w:sz w:val="18"/>
              </w:rPr>
              <w:t xml:space="preserve">DN 80 mm: </w:t>
            </w:r>
          </w:p>
        </w:tc>
        <w:tc>
          <w:tcPr>
            <w:tcW w:w="1030" w:type="dxa"/>
            <w:tcBorders>
              <w:top w:val="single" w:sz="4" w:space="0" w:color="000000"/>
              <w:left w:val="nil"/>
              <w:bottom w:val="single" w:sz="4" w:space="0" w:color="000000"/>
              <w:right w:val="nil"/>
            </w:tcBorders>
          </w:tcPr>
          <w:p w:rsidR="0049318A" w:rsidRDefault="0049318A"/>
        </w:tc>
        <w:tc>
          <w:tcPr>
            <w:tcW w:w="316" w:type="dxa"/>
            <w:tcBorders>
              <w:top w:val="single" w:sz="4" w:space="0" w:color="000000"/>
              <w:left w:val="nil"/>
              <w:bottom w:val="single" w:sz="4" w:space="0" w:color="000000"/>
              <w:right w:val="single" w:sz="4" w:space="0" w:color="000000"/>
            </w:tcBorders>
          </w:tcPr>
          <w:p w:rsidR="0049318A" w:rsidRDefault="0049318A"/>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0"/>
              <w:jc w:val="right"/>
            </w:pPr>
            <w:r>
              <w:rPr>
                <w:rFonts w:ascii="Arial" w:eastAsia="Arial" w:hAnsi="Arial" w:cs="Arial"/>
                <w:sz w:val="18"/>
              </w:rPr>
              <w:t xml:space="preserve">2.032,29 euros  </w:t>
            </w:r>
          </w:p>
        </w:tc>
      </w:tr>
      <w:tr w:rsidR="0049318A">
        <w:trPr>
          <w:trHeight w:val="252"/>
        </w:trPr>
        <w:tc>
          <w:tcPr>
            <w:tcW w:w="3109" w:type="dxa"/>
            <w:gridSpan w:val="3"/>
            <w:tcBorders>
              <w:top w:val="single" w:sz="4" w:space="0" w:color="000000"/>
              <w:left w:val="single" w:sz="4" w:space="0" w:color="000000"/>
              <w:bottom w:val="single" w:sz="4" w:space="0" w:color="000000"/>
              <w:right w:val="single" w:sz="4" w:space="0" w:color="000000"/>
            </w:tcBorders>
          </w:tcPr>
          <w:p w:rsidR="0049318A" w:rsidRDefault="002B40D1">
            <w:pPr>
              <w:spacing w:after="0"/>
              <w:ind w:left="99"/>
            </w:pPr>
            <w:r>
              <w:rPr>
                <w:rFonts w:ascii="Arial" w:eastAsia="Arial" w:hAnsi="Arial" w:cs="Arial"/>
                <w:sz w:val="18"/>
              </w:rPr>
              <w:t xml:space="preserve">iguales o superiores a DN100mm </w:t>
            </w:r>
          </w:p>
        </w:tc>
        <w:tc>
          <w:tcPr>
            <w:tcW w:w="213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02"/>
              <w:jc w:val="right"/>
            </w:pPr>
            <w:r>
              <w:rPr>
                <w:rFonts w:ascii="Arial" w:eastAsia="Arial" w:hAnsi="Arial" w:cs="Arial"/>
                <w:sz w:val="18"/>
              </w:rPr>
              <w:t xml:space="preserve">2.525,80 euros </w:t>
            </w:r>
          </w:p>
        </w:tc>
      </w:tr>
    </w:tbl>
    <w:p w:rsidR="0049318A" w:rsidRDefault="002B40D1">
      <w:pPr>
        <w:spacing w:after="15"/>
        <w:ind w:left="1810"/>
      </w:pPr>
      <w:r>
        <w:rPr>
          <w:rFonts w:ascii="Arial" w:eastAsia="Arial" w:hAnsi="Arial" w:cs="Arial"/>
          <w:sz w:val="18"/>
        </w:rPr>
        <w:t xml:space="preserve"> </w:t>
      </w:r>
    </w:p>
    <w:p w:rsidR="0049318A" w:rsidRDefault="002B40D1">
      <w:pPr>
        <w:spacing w:after="9" w:line="271" w:lineRule="auto"/>
        <w:ind w:left="2594" w:right="52" w:hanging="10"/>
        <w:jc w:val="both"/>
      </w:pPr>
      <w:r>
        <w:rPr>
          <w:rFonts w:ascii="Arial" w:eastAsia="Arial" w:hAnsi="Arial" w:cs="Arial"/>
          <w:sz w:val="18"/>
        </w:rPr>
        <w:t xml:space="preserve">En todos los casos en que para la realización de acometidas o colocación de contadores sea necesario realizar obra civil, ésta será siempre a cargo del abonado, previa licencia municipal emitida desde la oficina técnica del Ayuntamiento.  </w:t>
      </w:r>
    </w:p>
    <w:p w:rsidR="0049318A" w:rsidRDefault="002B40D1">
      <w:pPr>
        <w:spacing w:after="15"/>
        <w:ind w:left="2584"/>
      </w:pPr>
      <w:r>
        <w:rPr>
          <w:rFonts w:ascii="Arial" w:eastAsia="Arial" w:hAnsi="Arial" w:cs="Arial"/>
          <w:sz w:val="18"/>
        </w:rPr>
        <w:lastRenderedPageBreak/>
        <w:t xml:space="preserve"> </w:t>
      </w:r>
    </w:p>
    <w:p w:rsidR="0049318A" w:rsidRDefault="002B40D1">
      <w:pPr>
        <w:spacing w:after="15"/>
        <w:ind w:left="2584"/>
      </w:pPr>
      <w:r>
        <w:rPr>
          <w:rFonts w:ascii="Arial" w:eastAsia="Arial" w:hAnsi="Arial" w:cs="Arial"/>
          <w:sz w:val="18"/>
        </w:rPr>
        <w:t xml:space="preserve"> </w:t>
      </w:r>
    </w:p>
    <w:p w:rsidR="0049318A" w:rsidRDefault="002B40D1">
      <w:pPr>
        <w:spacing w:after="17"/>
        <w:ind w:left="2584"/>
      </w:pPr>
      <w:r>
        <w:rPr>
          <w:rFonts w:ascii="Arial" w:eastAsia="Arial" w:hAnsi="Arial" w:cs="Arial"/>
          <w:sz w:val="18"/>
        </w:rPr>
        <w:t xml:space="preserve"> </w:t>
      </w:r>
    </w:p>
    <w:p w:rsidR="0049318A" w:rsidRDefault="002B40D1">
      <w:pPr>
        <w:spacing w:after="15"/>
        <w:ind w:left="2584"/>
      </w:pPr>
      <w:r>
        <w:rPr>
          <w:rFonts w:ascii="Arial" w:eastAsia="Arial" w:hAnsi="Arial" w:cs="Arial"/>
          <w:sz w:val="18"/>
        </w:rPr>
        <w:t xml:space="preserve"> </w:t>
      </w:r>
    </w:p>
    <w:p w:rsidR="0049318A" w:rsidRDefault="002B40D1">
      <w:pPr>
        <w:spacing w:after="15"/>
        <w:ind w:left="2584"/>
      </w:pPr>
      <w:r>
        <w:rPr>
          <w:rFonts w:ascii="Arial" w:eastAsia="Arial" w:hAnsi="Arial" w:cs="Arial"/>
          <w:sz w:val="18"/>
        </w:rPr>
        <w:t xml:space="preserve"> </w:t>
      </w:r>
    </w:p>
    <w:p w:rsidR="0049318A" w:rsidRDefault="002B40D1">
      <w:pPr>
        <w:spacing w:after="15"/>
        <w:ind w:left="2584"/>
      </w:pPr>
      <w:r>
        <w:rPr>
          <w:rFonts w:ascii="Arial" w:eastAsia="Arial" w:hAnsi="Arial" w:cs="Arial"/>
          <w:sz w:val="18"/>
        </w:rPr>
        <w:t xml:space="preserve"> </w:t>
      </w:r>
    </w:p>
    <w:p w:rsidR="0049318A" w:rsidRDefault="002B40D1">
      <w:pPr>
        <w:spacing w:after="15"/>
        <w:ind w:left="2584"/>
      </w:pPr>
      <w:r>
        <w:rPr>
          <w:rFonts w:ascii="Arial" w:eastAsia="Arial" w:hAnsi="Arial" w:cs="Arial"/>
          <w:sz w:val="18"/>
        </w:rPr>
        <w:t xml:space="preserve"> </w:t>
      </w:r>
    </w:p>
    <w:p w:rsidR="0049318A" w:rsidRDefault="002B40D1">
      <w:pPr>
        <w:spacing w:after="17"/>
        <w:ind w:left="2584"/>
      </w:pPr>
      <w:r>
        <w:rPr>
          <w:rFonts w:ascii="Arial" w:eastAsia="Arial" w:hAnsi="Arial" w:cs="Arial"/>
          <w:sz w:val="18"/>
        </w:rPr>
        <w:t xml:space="preserve"> </w:t>
      </w:r>
    </w:p>
    <w:p w:rsidR="0049318A" w:rsidRDefault="002B40D1">
      <w:pPr>
        <w:spacing w:after="0"/>
        <w:ind w:left="2584"/>
      </w:pPr>
      <w:r>
        <w:rPr>
          <w:rFonts w:ascii="Arial" w:eastAsia="Arial" w:hAnsi="Arial" w:cs="Arial"/>
          <w:sz w:val="18"/>
        </w:rPr>
        <w:t xml:space="preserve"> </w:t>
      </w:r>
    </w:p>
    <w:p w:rsidR="0049318A" w:rsidRDefault="002B40D1">
      <w:pPr>
        <w:spacing w:after="944" w:line="265" w:lineRule="auto"/>
        <w:ind w:left="10" w:right="-15" w:hanging="10"/>
        <w:jc w:val="right"/>
      </w:pPr>
      <w:r>
        <w:rPr>
          <w:rFonts w:ascii="Times New Roman" w:eastAsia="Times New Roman" w:hAnsi="Times New Roman" w:cs="Times New Roman"/>
          <w:color w:val="181717"/>
          <w:sz w:val="16"/>
        </w:rPr>
        <w:t>29064</w:t>
      </w:r>
    </w:p>
    <w:p w:rsidR="0049318A" w:rsidRDefault="002B40D1">
      <w:pPr>
        <w:spacing w:after="9" w:line="271" w:lineRule="auto"/>
        <w:ind w:left="1304" w:right="52" w:hanging="10"/>
        <w:jc w:val="both"/>
      </w:pPr>
      <w:r>
        <w:rPr>
          <w:rFonts w:ascii="Arial" w:eastAsia="Arial" w:hAnsi="Arial" w:cs="Arial"/>
          <w:sz w:val="18"/>
        </w:rPr>
        <w:t xml:space="preserve">1.1.4. Consumos de agua al bimestre. </w:t>
      </w:r>
    </w:p>
    <w:p w:rsidR="0049318A" w:rsidRDefault="002B40D1">
      <w:pPr>
        <w:numPr>
          <w:ilvl w:val="3"/>
          <w:numId w:val="13"/>
        </w:numPr>
        <w:spacing w:after="9" w:line="271" w:lineRule="auto"/>
        <w:ind w:left="2570" w:right="520" w:hanging="775"/>
        <w:jc w:val="both"/>
      </w:pPr>
      <w:r>
        <w:rPr>
          <w:rFonts w:ascii="Arial" w:eastAsia="Arial" w:hAnsi="Arial" w:cs="Arial"/>
          <w:sz w:val="18"/>
        </w:rPr>
        <w:t>Para uso doméstico. El suministro para usos domésticos será aquellos en los que el agua potable se utiliza exclusivamente para atender las necesidades del consumo humano según RD 3/2033. Se aplicará esta moda</w:t>
      </w:r>
      <w:r>
        <w:rPr>
          <w:rFonts w:ascii="Arial" w:eastAsia="Arial" w:hAnsi="Arial" w:cs="Arial"/>
          <w:sz w:val="18"/>
        </w:rPr>
        <w:t xml:space="preserve">lidad, exclusivamente a inmuebles destinados a viviendas, siempre que en ellos no se realice actividad industrial, comercial o profesional de ningún tipo. </w:t>
      </w:r>
    </w:p>
    <w:p w:rsidR="0049318A" w:rsidRDefault="002B40D1">
      <w:pPr>
        <w:spacing w:after="0"/>
        <w:ind w:left="2456"/>
      </w:pPr>
      <w:r>
        <w:rPr>
          <w:rFonts w:ascii="Arial" w:eastAsia="Arial" w:hAnsi="Arial" w:cs="Arial"/>
          <w:sz w:val="18"/>
        </w:rPr>
        <w:t xml:space="preserve"> </w:t>
      </w:r>
    </w:p>
    <w:tbl>
      <w:tblPr>
        <w:tblStyle w:val="TableGrid"/>
        <w:tblW w:w="4396" w:type="dxa"/>
        <w:tblInd w:w="1552" w:type="dxa"/>
        <w:tblCellMar>
          <w:top w:w="43" w:type="dxa"/>
          <w:left w:w="98" w:type="dxa"/>
          <w:bottom w:w="0" w:type="dxa"/>
          <w:right w:w="115" w:type="dxa"/>
        </w:tblCellMar>
        <w:tblLook w:val="04A0" w:firstRow="1" w:lastRow="0" w:firstColumn="1" w:lastColumn="0" w:noHBand="0" w:noVBand="1"/>
      </w:tblPr>
      <w:tblGrid>
        <w:gridCol w:w="2715"/>
        <w:gridCol w:w="1681"/>
      </w:tblGrid>
      <w:tr w:rsidR="0049318A">
        <w:trPr>
          <w:trHeight w:val="328"/>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CONSUMO DOMÉSTICO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IMPORTE </w:t>
            </w:r>
          </w:p>
        </w:tc>
      </w:tr>
      <w:tr w:rsidR="0049318A">
        <w:trPr>
          <w:trHeight w:val="368"/>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5"/>
              <w:jc w:val="center"/>
            </w:pPr>
            <w:r>
              <w:rPr>
                <w:rFonts w:ascii="Arial" w:eastAsia="Arial" w:hAnsi="Arial" w:cs="Arial"/>
                <w:sz w:val="18"/>
              </w:rPr>
              <w:t xml:space="preserve">CUOTA FIJA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5"/>
              <w:jc w:val="center"/>
            </w:pPr>
            <w:r>
              <w:rPr>
                <w:rFonts w:ascii="Arial" w:eastAsia="Arial" w:hAnsi="Arial" w:cs="Arial"/>
                <w:sz w:val="18"/>
              </w:rPr>
              <w:t xml:space="preserve">15,41 € </w:t>
            </w:r>
          </w:p>
        </w:tc>
      </w:tr>
      <w:tr w:rsidR="0049318A">
        <w:trPr>
          <w:trHeight w:val="372"/>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5"/>
              <w:jc w:val="center"/>
            </w:pPr>
            <w:r>
              <w:rPr>
                <w:rFonts w:ascii="Arial" w:eastAsia="Arial" w:hAnsi="Arial" w:cs="Arial"/>
                <w:sz w:val="18"/>
              </w:rPr>
              <w:t xml:space="preserve">De 1 a 10 m3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7"/>
              <w:jc w:val="center"/>
            </w:pPr>
            <w:r>
              <w:rPr>
                <w:rFonts w:ascii="Arial" w:eastAsia="Arial" w:hAnsi="Arial" w:cs="Arial"/>
                <w:sz w:val="18"/>
              </w:rPr>
              <w:t xml:space="preserve">0,64 €/m3 </w:t>
            </w:r>
          </w:p>
        </w:tc>
      </w:tr>
      <w:tr w:rsidR="0049318A">
        <w:trPr>
          <w:trHeight w:val="368"/>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6"/>
              <w:jc w:val="center"/>
            </w:pPr>
            <w:r>
              <w:rPr>
                <w:rFonts w:ascii="Arial" w:eastAsia="Arial" w:hAnsi="Arial" w:cs="Arial"/>
                <w:i/>
                <w:sz w:val="18"/>
              </w:rPr>
              <w:t xml:space="preserve">De </w:t>
            </w:r>
            <w:r>
              <w:rPr>
                <w:rFonts w:ascii="Arial" w:eastAsia="Arial" w:hAnsi="Arial" w:cs="Arial"/>
                <w:sz w:val="18"/>
              </w:rPr>
              <w:t xml:space="preserve">11 a 30 m3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7"/>
              <w:jc w:val="center"/>
            </w:pPr>
            <w:r>
              <w:rPr>
                <w:rFonts w:ascii="Arial" w:eastAsia="Arial" w:hAnsi="Arial" w:cs="Arial"/>
                <w:sz w:val="18"/>
              </w:rPr>
              <w:t xml:space="preserve">1,30 €/m3 </w:t>
            </w:r>
          </w:p>
        </w:tc>
      </w:tr>
      <w:tr w:rsidR="0049318A">
        <w:trPr>
          <w:trHeight w:val="370"/>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7"/>
              <w:jc w:val="center"/>
            </w:pPr>
            <w:r>
              <w:rPr>
                <w:rFonts w:ascii="Arial" w:eastAsia="Arial" w:hAnsi="Arial" w:cs="Arial"/>
                <w:i/>
                <w:sz w:val="18"/>
              </w:rPr>
              <w:t xml:space="preserve">De 31 a 60 </w:t>
            </w:r>
            <w:r>
              <w:rPr>
                <w:rFonts w:ascii="Arial" w:eastAsia="Arial" w:hAnsi="Arial" w:cs="Arial"/>
                <w:sz w:val="18"/>
              </w:rPr>
              <w:t xml:space="preserve">m3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7"/>
              <w:jc w:val="center"/>
            </w:pPr>
            <w:r>
              <w:rPr>
                <w:rFonts w:ascii="Arial" w:eastAsia="Arial" w:hAnsi="Arial" w:cs="Arial"/>
                <w:sz w:val="18"/>
              </w:rPr>
              <w:t xml:space="preserve">2,38 €/m3 </w:t>
            </w:r>
          </w:p>
        </w:tc>
      </w:tr>
      <w:tr w:rsidR="0049318A">
        <w:trPr>
          <w:trHeight w:val="261"/>
        </w:trPr>
        <w:tc>
          <w:tcPr>
            <w:tcW w:w="2715"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5"/>
              <w:jc w:val="center"/>
            </w:pPr>
            <w:r>
              <w:rPr>
                <w:rFonts w:ascii="Arial" w:eastAsia="Arial" w:hAnsi="Arial" w:cs="Arial"/>
                <w:i/>
                <w:sz w:val="18"/>
              </w:rPr>
              <w:t xml:space="preserve">Más de 60 </w:t>
            </w:r>
            <w:r>
              <w:rPr>
                <w:rFonts w:ascii="Arial" w:eastAsia="Arial" w:hAnsi="Arial" w:cs="Arial"/>
                <w:sz w:val="18"/>
              </w:rPr>
              <w:t xml:space="preserve">m3 </w:t>
            </w:r>
          </w:p>
        </w:tc>
        <w:tc>
          <w:tcPr>
            <w:tcW w:w="1681"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17"/>
              <w:jc w:val="center"/>
            </w:pPr>
            <w:r>
              <w:rPr>
                <w:rFonts w:ascii="Arial" w:eastAsia="Arial" w:hAnsi="Arial" w:cs="Arial"/>
                <w:sz w:val="18"/>
              </w:rPr>
              <w:t xml:space="preserve">3,78 €/m3 </w:t>
            </w:r>
          </w:p>
        </w:tc>
      </w:tr>
    </w:tbl>
    <w:p w:rsidR="0049318A" w:rsidRDefault="002B40D1">
      <w:pPr>
        <w:numPr>
          <w:ilvl w:val="3"/>
          <w:numId w:val="13"/>
        </w:numPr>
        <w:spacing w:after="9" w:line="271" w:lineRule="auto"/>
        <w:ind w:left="2570" w:right="520" w:hanging="775"/>
        <w:jc w:val="both"/>
      </w:pPr>
      <w:r>
        <w:rPr>
          <w:rFonts w:ascii="Arial" w:eastAsia="Arial" w:hAnsi="Arial" w:cs="Arial"/>
          <w:sz w:val="18"/>
        </w:rPr>
        <w:t>Para uso industrial o comercial o de obras. El suministro para usos industriales o comerciales serán todos aquellos suministros de agua potable destinados a locales donde se desarrollen actividades comerciales, profesionales o industriales, y además, aquel</w:t>
      </w:r>
      <w:r>
        <w:rPr>
          <w:rFonts w:ascii="Arial" w:eastAsia="Arial" w:hAnsi="Arial" w:cs="Arial"/>
          <w:sz w:val="18"/>
        </w:rPr>
        <w:t>los suministros que aun precisando el agua como elemento de atención directa a las necesidades primarias de la vida sean objeto de una actividad económica lucrativa, y en general todos aquellos en los que el agua no se utilice para los fines expuestos en e</w:t>
      </w:r>
      <w:r>
        <w:rPr>
          <w:rFonts w:ascii="Arial" w:eastAsia="Arial" w:hAnsi="Arial" w:cs="Arial"/>
          <w:sz w:val="18"/>
        </w:rPr>
        <w:t xml:space="preserve">l apartado anterior. </w:t>
      </w:r>
    </w:p>
    <w:p w:rsidR="0049318A" w:rsidRDefault="002B40D1">
      <w:pPr>
        <w:spacing w:after="9" w:line="271" w:lineRule="auto"/>
        <w:ind w:left="2596" w:right="522" w:hanging="10"/>
        <w:jc w:val="both"/>
      </w:pPr>
      <w:r>
        <w:rPr>
          <w:rFonts w:ascii="Arial" w:eastAsia="Arial" w:hAnsi="Arial" w:cs="Arial"/>
          <w:sz w:val="18"/>
        </w:rPr>
        <w:t xml:space="preserve">Podrá suministrarse agua de obra en la ejecución de obras de edificación o urbanización, siendo necesario para su contratación la presentación de la correspondiente licencia o autorización municipal. </w:t>
      </w:r>
    </w:p>
    <w:p w:rsidR="0049318A" w:rsidRDefault="002B40D1">
      <w:pPr>
        <w:spacing w:after="0"/>
        <w:ind w:left="328"/>
      </w:pPr>
      <w:r>
        <w:rPr>
          <w:rFonts w:ascii="Arial" w:eastAsia="Arial" w:hAnsi="Arial" w:cs="Arial"/>
          <w:sz w:val="18"/>
        </w:rPr>
        <w:t xml:space="preserve"> </w:t>
      </w:r>
    </w:p>
    <w:tbl>
      <w:tblPr>
        <w:tblStyle w:val="TableGrid"/>
        <w:tblW w:w="4396" w:type="dxa"/>
        <w:tblInd w:w="1552" w:type="dxa"/>
        <w:tblCellMar>
          <w:top w:w="43" w:type="dxa"/>
          <w:left w:w="96" w:type="dxa"/>
          <w:bottom w:w="0" w:type="dxa"/>
          <w:right w:w="115" w:type="dxa"/>
        </w:tblCellMar>
        <w:tblLook w:val="04A0" w:firstRow="1" w:lastRow="0" w:firstColumn="1" w:lastColumn="0" w:noHBand="0" w:noVBand="1"/>
      </w:tblPr>
      <w:tblGrid>
        <w:gridCol w:w="2777"/>
        <w:gridCol w:w="1620"/>
      </w:tblGrid>
      <w:tr w:rsidR="0049318A">
        <w:trPr>
          <w:trHeight w:val="328"/>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2"/>
            </w:pPr>
            <w:r>
              <w:rPr>
                <w:rFonts w:ascii="Arial" w:eastAsia="Arial" w:hAnsi="Arial" w:cs="Arial"/>
                <w:b/>
                <w:sz w:val="18"/>
              </w:rPr>
              <w:t xml:space="preserve">CONSUMO INDUSTRIAL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IMPORTE </w:t>
            </w:r>
          </w:p>
        </w:tc>
      </w:tr>
      <w:tr w:rsidR="0049318A">
        <w:trPr>
          <w:trHeight w:val="236"/>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3"/>
              <w:jc w:val="center"/>
            </w:pPr>
            <w:r>
              <w:rPr>
                <w:rFonts w:ascii="Arial" w:eastAsia="Arial" w:hAnsi="Arial" w:cs="Arial"/>
                <w:sz w:val="18"/>
              </w:rPr>
              <w:t xml:space="preserve">CUOTA FIJA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3"/>
              <w:jc w:val="center"/>
            </w:pPr>
            <w:r>
              <w:rPr>
                <w:rFonts w:ascii="Arial" w:eastAsia="Arial" w:hAnsi="Arial" w:cs="Arial"/>
                <w:sz w:val="18"/>
              </w:rPr>
              <w:t xml:space="preserve">22,99 € </w:t>
            </w:r>
          </w:p>
        </w:tc>
      </w:tr>
      <w:tr w:rsidR="0049318A">
        <w:trPr>
          <w:trHeight w:val="236"/>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3"/>
              <w:jc w:val="center"/>
            </w:pPr>
            <w:r>
              <w:rPr>
                <w:rFonts w:ascii="Arial" w:eastAsia="Arial" w:hAnsi="Arial" w:cs="Arial"/>
                <w:sz w:val="18"/>
              </w:rPr>
              <w:t xml:space="preserve">De 1 a 10 m3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6"/>
              <w:jc w:val="center"/>
            </w:pPr>
            <w:r>
              <w:rPr>
                <w:rFonts w:ascii="Arial" w:eastAsia="Arial" w:hAnsi="Arial" w:cs="Arial"/>
                <w:sz w:val="18"/>
              </w:rPr>
              <w:t xml:space="preserve">0,97 €/m3 </w:t>
            </w:r>
          </w:p>
        </w:tc>
      </w:tr>
      <w:tr w:rsidR="0049318A">
        <w:trPr>
          <w:trHeight w:val="234"/>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2"/>
              <w:jc w:val="center"/>
            </w:pPr>
            <w:r>
              <w:rPr>
                <w:rFonts w:ascii="Arial" w:eastAsia="Arial" w:hAnsi="Arial" w:cs="Arial"/>
                <w:i/>
                <w:sz w:val="18"/>
              </w:rPr>
              <w:t xml:space="preserve">De </w:t>
            </w:r>
            <w:r>
              <w:rPr>
                <w:rFonts w:ascii="Arial" w:eastAsia="Arial" w:hAnsi="Arial" w:cs="Arial"/>
                <w:sz w:val="18"/>
              </w:rPr>
              <w:t xml:space="preserve">11 a 30 m3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6"/>
              <w:jc w:val="center"/>
            </w:pPr>
            <w:r>
              <w:rPr>
                <w:rFonts w:ascii="Arial" w:eastAsia="Arial" w:hAnsi="Arial" w:cs="Arial"/>
                <w:sz w:val="18"/>
              </w:rPr>
              <w:t xml:space="preserve">2,00 €/m3 </w:t>
            </w:r>
          </w:p>
        </w:tc>
      </w:tr>
      <w:tr w:rsidR="0049318A">
        <w:trPr>
          <w:trHeight w:val="236"/>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1"/>
              <w:jc w:val="center"/>
            </w:pPr>
            <w:r>
              <w:rPr>
                <w:rFonts w:ascii="Arial" w:eastAsia="Arial" w:hAnsi="Arial" w:cs="Arial"/>
                <w:i/>
                <w:sz w:val="18"/>
              </w:rPr>
              <w:t xml:space="preserve">De 31 a 60 </w:t>
            </w:r>
            <w:r>
              <w:rPr>
                <w:rFonts w:ascii="Arial" w:eastAsia="Arial" w:hAnsi="Arial" w:cs="Arial"/>
                <w:sz w:val="18"/>
              </w:rPr>
              <w:t xml:space="preserve">m3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6"/>
              <w:jc w:val="center"/>
            </w:pPr>
            <w:r>
              <w:rPr>
                <w:rFonts w:ascii="Arial" w:eastAsia="Arial" w:hAnsi="Arial" w:cs="Arial"/>
                <w:sz w:val="18"/>
              </w:rPr>
              <w:t xml:space="preserve">3,08 €/m3 </w:t>
            </w:r>
          </w:p>
        </w:tc>
      </w:tr>
      <w:tr w:rsidR="0049318A">
        <w:trPr>
          <w:trHeight w:val="236"/>
        </w:trPr>
        <w:tc>
          <w:tcPr>
            <w:tcW w:w="2777"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4"/>
              <w:jc w:val="center"/>
            </w:pPr>
            <w:r>
              <w:rPr>
                <w:rFonts w:ascii="Arial" w:eastAsia="Arial" w:hAnsi="Arial" w:cs="Arial"/>
                <w:i/>
                <w:sz w:val="18"/>
              </w:rPr>
              <w:t xml:space="preserve">Más de 60 </w:t>
            </w:r>
            <w:r>
              <w:rPr>
                <w:rFonts w:ascii="Arial" w:eastAsia="Arial" w:hAnsi="Arial" w:cs="Arial"/>
                <w:sz w:val="18"/>
              </w:rPr>
              <w:t xml:space="preserve">m3 </w:t>
            </w:r>
          </w:p>
        </w:tc>
        <w:tc>
          <w:tcPr>
            <w:tcW w:w="162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16"/>
              <w:jc w:val="center"/>
            </w:pPr>
            <w:r>
              <w:rPr>
                <w:rFonts w:ascii="Arial" w:eastAsia="Arial" w:hAnsi="Arial" w:cs="Arial"/>
                <w:sz w:val="18"/>
              </w:rPr>
              <w:t xml:space="preserve">4,28 €/m3 </w:t>
            </w:r>
          </w:p>
        </w:tc>
      </w:tr>
    </w:tbl>
    <w:p w:rsidR="0049318A" w:rsidRDefault="002B40D1">
      <w:pPr>
        <w:spacing w:after="15"/>
        <w:ind w:left="328"/>
      </w:pPr>
      <w:r>
        <w:rPr>
          <w:rFonts w:ascii="Arial" w:eastAsia="Arial" w:hAnsi="Arial" w:cs="Arial"/>
          <w:sz w:val="18"/>
        </w:rPr>
        <w:t xml:space="preserve"> </w:t>
      </w:r>
    </w:p>
    <w:p w:rsidR="0049318A" w:rsidRDefault="002B40D1">
      <w:pPr>
        <w:spacing w:after="15"/>
        <w:ind w:left="328"/>
      </w:pPr>
      <w:r>
        <w:rPr>
          <w:rFonts w:ascii="Arial" w:eastAsia="Arial" w:hAnsi="Arial" w:cs="Arial"/>
          <w:sz w:val="18"/>
        </w:rPr>
        <w:t xml:space="preserve"> </w:t>
      </w:r>
    </w:p>
    <w:p w:rsidR="0049318A" w:rsidRDefault="002B40D1">
      <w:pPr>
        <w:spacing w:after="9" w:line="271" w:lineRule="auto"/>
        <w:ind w:left="2593" w:right="518" w:hanging="10"/>
        <w:jc w:val="both"/>
      </w:pPr>
      <w:r>
        <w:rPr>
          <w:rFonts w:ascii="Arial" w:eastAsia="Arial" w:hAnsi="Arial" w:cs="Arial"/>
          <w:sz w:val="18"/>
        </w:rPr>
        <w:t>A estos efectos, se entiende que el uso del servicio tiene carácter industrial o comercial, cuando la actividad que desarrolle el usuario esté contenida en el hecho imponible del Impuesto so</w:t>
      </w:r>
      <w:r>
        <w:rPr>
          <w:rFonts w:ascii="Arial" w:eastAsia="Arial" w:hAnsi="Arial" w:cs="Arial"/>
          <w:sz w:val="18"/>
        </w:rPr>
        <w:lastRenderedPageBreak/>
        <w:t xml:space="preserve">bre Actividades Económicas y comprendida en la Sección Primera de </w:t>
      </w:r>
      <w:r>
        <w:rPr>
          <w:rFonts w:ascii="Arial" w:eastAsia="Arial" w:hAnsi="Arial" w:cs="Arial"/>
          <w:sz w:val="18"/>
        </w:rPr>
        <w:t xml:space="preserve">las Tarifas del referido Impuesto, así como cualquier otro uso que no resulte ser estrictamente doméstico. </w:t>
      </w:r>
    </w:p>
    <w:p w:rsidR="0049318A" w:rsidRDefault="002B40D1">
      <w:pPr>
        <w:spacing w:after="15"/>
        <w:ind w:left="2583"/>
      </w:pPr>
      <w:r>
        <w:rPr>
          <w:rFonts w:ascii="Arial" w:eastAsia="Arial" w:hAnsi="Arial" w:cs="Arial"/>
          <w:sz w:val="18"/>
        </w:rPr>
        <w:t xml:space="preserve"> </w:t>
      </w:r>
    </w:p>
    <w:p w:rsidR="0049318A" w:rsidRDefault="002B40D1">
      <w:pPr>
        <w:spacing w:after="17"/>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15"/>
      </w:pPr>
      <w:r>
        <w:rPr>
          <w:rFonts w:ascii="Arial" w:eastAsia="Arial" w:hAnsi="Arial" w:cs="Arial"/>
          <w:sz w:val="18"/>
        </w:rPr>
        <w:t xml:space="preserve"> </w:t>
      </w:r>
    </w:p>
    <w:p w:rsidR="0049318A" w:rsidRDefault="002B40D1">
      <w:pPr>
        <w:spacing w:after="0"/>
      </w:pPr>
      <w:r>
        <w:rPr>
          <w:rFonts w:ascii="Arial" w:eastAsia="Arial" w:hAnsi="Arial" w:cs="Arial"/>
          <w:sz w:val="18"/>
        </w:rPr>
        <w:t xml:space="preserve"> </w:t>
      </w:r>
    </w:p>
    <w:p w:rsidR="0049318A" w:rsidRDefault="002B40D1">
      <w:pPr>
        <w:spacing w:after="908" w:line="265" w:lineRule="auto"/>
        <w:ind w:left="-5" w:hanging="10"/>
      </w:pPr>
      <w:r>
        <w:rPr>
          <w:rFonts w:ascii="Times New Roman" w:eastAsia="Times New Roman" w:hAnsi="Times New Roman" w:cs="Times New Roman"/>
          <w:color w:val="181717"/>
          <w:sz w:val="16"/>
        </w:rPr>
        <w:t>29065</w:t>
      </w:r>
    </w:p>
    <w:p w:rsidR="0049318A" w:rsidRDefault="002B40D1">
      <w:pPr>
        <w:spacing w:after="9" w:line="271" w:lineRule="auto"/>
        <w:ind w:left="1447" w:right="52" w:hanging="328"/>
        <w:jc w:val="both"/>
      </w:pPr>
      <w:r>
        <w:rPr>
          <w:rFonts w:ascii="Arial" w:eastAsia="Arial" w:hAnsi="Arial" w:cs="Arial"/>
          <w:sz w:val="18"/>
        </w:rPr>
        <w:t xml:space="preserve">2. </w:t>
      </w:r>
      <w:r>
        <w:rPr>
          <w:rFonts w:ascii="Arial" w:eastAsia="Arial" w:hAnsi="Arial" w:cs="Arial"/>
          <w:sz w:val="18"/>
        </w:rPr>
        <w:t xml:space="preserve">La cuota a pagar correspondiente al servicio de evacuación de excretas, aguas pluviales, negras y residuales, a través de la red de alcantarillado municipal, y su tratamiento para depurarlas, se determinará en función de: </w:t>
      </w:r>
    </w:p>
    <w:p w:rsidR="0049318A" w:rsidRDefault="002B40D1">
      <w:pPr>
        <w:numPr>
          <w:ilvl w:val="7"/>
          <w:numId w:val="15"/>
        </w:numPr>
        <w:spacing w:after="9" w:line="271" w:lineRule="auto"/>
        <w:ind w:left="2123" w:right="52" w:hanging="328"/>
        <w:jc w:val="both"/>
      </w:pPr>
      <w:r>
        <w:rPr>
          <w:rFonts w:ascii="Arial" w:eastAsia="Arial" w:hAnsi="Arial" w:cs="Arial"/>
          <w:sz w:val="18"/>
        </w:rPr>
        <w:t>Derecho de acometida a la red gen</w:t>
      </w:r>
      <w:r>
        <w:rPr>
          <w:rFonts w:ascii="Arial" w:eastAsia="Arial" w:hAnsi="Arial" w:cs="Arial"/>
          <w:sz w:val="18"/>
        </w:rPr>
        <w:t xml:space="preserve">eral de alcantarillado: el hecho de la conexión a la red por cada inmueble, vivienda individual, local comercial o suministro para obras. </w:t>
      </w:r>
    </w:p>
    <w:p w:rsidR="0049318A" w:rsidRDefault="002B40D1">
      <w:pPr>
        <w:numPr>
          <w:ilvl w:val="7"/>
          <w:numId w:val="15"/>
        </w:numPr>
        <w:spacing w:after="9" w:line="271" w:lineRule="auto"/>
        <w:ind w:left="2123" w:right="52" w:hanging="328"/>
        <w:jc w:val="both"/>
      </w:pPr>
      <w:r>
        <w:rPr>
          <w:rFonts w:ascii="Arial" w:eastAsia="Arial" w:hAnsi="Arial" w:cs="Arial"/>
          <w:sz w:val="18"/>
        </w:rPr>
        <w:t>Los metros cúbicos de agua consumida en el inmueble donde esté instalado el servicio: se determinará en función del c</w:t>
      </w:r>
      <w:r>
        <w:rPr>
          <w:rFonts w:ascii="Arial" w:eastAsia="Arial" w:hAnsi="Arial" w:cs="Arial"/>
          <w:sz w:val="18"/>
        </w:rPr>
        <w:t xml:space="preserve">onsumo bimestral de agua, medido en metros cúbicos, deducido de la lectura del contador de abastecimiento de agua. </w:t>
      </w:r>
    </w:p>
    <w:p w:rsidR="0049318A" w:rsidRDefault="002B40D1">
      <w:pPr>
        <w:spacing w:after="9" w:line="271" w:lineRule="auto"/>
        <w:ind w:left="1712" w:right="52" w:hanging="10"/>
        <w:jc w:val="both"/>
      </w:pPr>
      <w:r>
        <w:rPr>
          <w:rFonts w:ascii="Arial" w:eastAsia="Arial" w:hAnsi="Arial" w:cs="Arial"/>
          <w:sz w:val="18"/>
        </w:rPr>
        <w:t xml:space="preserve">Las tarifas a aplicar son las siguientes: </w:t>
      </w:r>
    </w:p>
    <w:p w:rsidR="0049318A" w:rsidRDefault="002B40D1">
      <w:pPr>
        <w:spacing w:after="9" w:line="271" w:lineRule="auto"/>
        <w:ind w:left="2096" w:right="52" w:hanging="394"/>
        <w:jc w:val="both"/>
      </w:pPr>
      <w:r>
        <w:rPr>
          <w:rFonts w:ascii="Arial" w:eastAsia="Arial" w:hAnsi="Arial" w:cs="Arial"/>
          <w:sz w:val="18"/>
        </w:rPr>
        <w:t>2.1. La concesión de la licencia o autorización de acometida a la red de alcantarillado se exigir</w:t>
      </w:r>
      <w:r>
        <w:rPr>
          <w:rFonts w:ascii="Arial" w:eastAsia="Arial" w:hAnsi="Arial" w:cs="Arial"/>
          <w:sz w:val="18"/>
        </w:rPr>
        <w:t xml:space="preserve">á por una sola vez, con arreglo a las siguientes tarifas: </w:t>
      </w:r>
    </w:p>
    <w:p w:rsidR="0049318A" w:rsidRDefault="002B40D1">
      <w:pPr>
        <w:numPr>
          <w:ilvl w:val="2"/>
          <w:numId w:val="18"/>
        </w:numPr>
        <w:spacing w:after="9" w:line="271" w:lineRule="auto"/>
        <w:ind w:right="52" w:hanging="646"/>
        <w:jc w:val="both"/>
      </w:pPr>
      <w:r>
        <w:rPr>
          <w:rFonts w:ascii="Arial" w:eastAsia="Arial" w:hAnsi="Arial" w:cs="Arial"/>
          <w:sz w:val="18"/>
        </w:rPr>
        <w:t xml:space="preserve">Cuando se trate de acometidas individuales, para una sola vivienda o local, por cada licencia de acometida 66,10 euros. </w:t>
      </w:r>
    </w:p>
    <w:p w:rsidR="0049318A" w:rsidRDefault="002B40D1">
      <w:pPr>
        <w:numPr>
          <w:ilvl w:val="2"/>
          <w:numId w:val="18"/>
        </w:numPr>
        <w:spacing w:after="9" w:line="271" w:lineRule="auto"/>
        <w:ind w:right="52" w:hanging="646"/>
        <w:jc w:val="both"/>
      </w:pPr>
      <w:r>
        <w:rPr>
          <w:rFonts w:ascii="Arial" w:eastAsia="Arial" w:hAnsi="Arial" w:cs="Arial"/>
          <w:sz w:val="18"/>
        </w:rPr>
        <w:t xml:space="preserve">Cuando se trate de licencias de acometidas colectivas, a solicitud del promotor o propietario de un edificio, por cada unidad de vivienda o local 42,60 euros. En este supuesto, el promotor o propietario del edificio podrá repercutir la unidad de cuota, en </w:t>
      </w:r>
      <w:r>
        <w:rPr>
          <w:rFonts w:ascii="Arial" w:eastAsia="Arial" w:hAnsi="Arial" w:cs="Arial"/>
          <w:sz w:val="18"/>
        </w:rPr>
        <w:t xml:space="preserve">el adquirente de cada vivienda o local. </w:t>
      </w:r>
    </w:p>
    <w:p w:rsidR="0049318A" w:rsidRDefault="002B40D1">
      <w:pPr>
        <w:spacing w:after="15"/>
        <w:ind w:left="2483"/>
      </w:pPr>
      <w:r>
        <w:rPr>
          <w:rFonts w:ascii="Arial" w:eastAsia="Arial" w:hAnsi="Arial" w:cs="Arial"/>
          <w:sz w:val="18"/>
        </w:rPr>
        <w:t xml:space="preserve"> </w:t>
      </w:r>
    </w:p>
    <w:p w:rsidR="0049318A" w:rsidRDefault="002B40D1">
      <w:pPr>
        <w:spacing w:after="9" w:line="271" w:lineRule="auto"/>
        <w:ind w:left="1712" w:right="52" w:hanging="10"/>
        <w:jc w:val="both"/>
      </w:pPr>
      <w:r>
        <w:rPr>
          <w:rFonts w:ascii="Arial" w:eastAsia="Arial" w:hAnsi="Arial" w:cs="Arial"/>
          <w:sz w:val="18"/>
        </w:rPr>
        <w:t xml:space="preserve">2.2. Consumos de agua al bimestre. </w:t>
      </w:r>
    </w:p>
    <w:p w:rsidR="0049318A" w:rsidRDefault="002B40D1">
      <w:pPr>
        <w:numPr>
          <w:ilvl w:val="2"/>
          <w:numId w:val="14"/>
        </w:numPr>
        <w:spacing w:after="9" w:line="271" w:lineRule="auto"/>
        <w:ind w:right="52" w:hanging="646"/>
        <w:jc w:val="both"/>
      </w:pPr>
      <w:r>
        <w:rPr>
          <w:rFonts w:ascii="Arial" w:eastAsia="Arial" w:hAnsi="Arial" w:cs="Arial"/>
          <w:sz w:val="18"/>
        </w:rPr>
        <w:t>Para uso doméstico. Se aplicará esta modalidad, exclusivamente a inmuebles destinados a viviendas, siempre que en ellos no se realice actividad industrial, comercial o profesion</w:t>
      </w:r>
      <w:r>
        <w:rPr>
          <w:rFonts w:ascii="Arial" w:eastAsia="Arial" w:hAnsi="Arial" w:cs="Arial"/>
          <w:sz w:val="18"/>
        </w:rPr>
        <w:t xml:space="preserve">al de ningún tipo. </w:t>
      </w:r>
    </w:p>
    <w:p w:rsidR="0049318A" w:rsidRDefault="002B40D1">
      <w:pPr>
        <w:spacing w:after="0"/>
        <w:ind w:left="2742"/>
      </w:pPr>
      <w:r>
        <w:rPr>
          <w:rFonts w:ascii="Arial" w:eastAsia="Arial" w:hAnsi="Arial" w:cs="Arial"/>
          <w:sz w:val="18"/>
        </w:rPr>
        <w:t xml:space="preserve"> </w:t>
      </w:r>
    </w:p>
    <w:tbl>
      <w:tblPr>
        <w:tblStyle w:val="TableGrid"/>
        <w:tblW w:w="5373" w:type="dxa"/>
        <w:tblInd w:w="3285" w:type="dxa"/>
        <w:tblCellMar>
          <w:top w:w="43" w:type="dxa"/>
          <w:left w:w="98" w:type="dxa"/>
          <w:bottom w:w="0" w:type="dxa"/>
          <w:right w:w="48" w:type="dxa"/>
        </w:tblCellMar>
        <w:tblLook w:val="04A0" w:firstRow="1" w:lastRow="0" w:firstColumn="1" w:lastColumn="0" w:noHBand="0" w:noVBand="1"/>
      </w:tblPr>
      <w:tblGrid>
        <w:gridCol w:w="2697"/>
        <w:gridCol w:w="2676"/>
      </w:tblGrid>
      <w:tr w:rsidR="0049318A">
        <w:trPr>
          <w:trHeight w:val="250"/>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Bloque de Consumo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4"/>
              <w:jc w:val="center"/>
            </w:pPr>
            <w:r>
              <w:rPr>
                <w:rFonts w:ascii="Arial" w:eastAsia="Arial" w:hAnsi="Arial" w:cs="Arial"/>
                <w:b/>
                <w:sz w:val="18"/>
              </w:rPr>
              <w:t xml:space="preserve">Importe </w:t>
            </w:r>
          </w:p>
        </w:tc>
      </w:tr>
      <w:tr w:rsidR="0049318A">
        <w:trPr>
          <w:trHeight w:val="219"/>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Mínimo de 10 m3</w:t>
            </w:r>
            <w:r>
              <w:rPr>
                <w:rFonts w:ascii="Arial" w:eastAsia="Arial" w:hAnsi="Arial" w:cs="Arial"/>
                <w:b/>
                <w:sz w:val="18"/>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3"/>
              <w:jc w:val="right"/>
            </w:pPr>
            <w:r>
              <w:rPr>
                <w:rFonts w:ascii="Arial" w:eastAsia="Arial" w:hAnsi="Arial" w:cs="Arial"/>
                <w:sz w:val="18"/>
              </w:rPr>
              <w:t>1,89 €</w:t>
            </w:r>
            <w:r>
              <w:rPr>
                <w:rFonts w:ascii="Arial" w:eastAsia="Arial" w:hAnsi="Arial" w:cs="Arial"/>
                <w:b/>
                <w:sz w:val="18"/>
              </w:rPr>
              <w:t xml:space="preserve"> </w:t>
            </w:r>
          </w:p>
        </w:tc>
      </w:tr>
      <w:tr w:rsidR="0049318A">
        <w:trPr>
          <w:trHeight w:val="219"/>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Mas de 10 m3</w:t>
            </w:r>
            <w:r>
              <w:rPr>
                <w:rFonts w:ascii="Arial" w:eastAsia="Arial" w:hAnsi="Arial" w:cs="Arial"/>
                <w:b/>
                <w:sz w:val="18"/>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3"/>
              <w:jc w:val="right"/>
            </w:pPr>
            <w:r>
              <w:rPr>
                <w:rFonts w:ascii="Arial" w:eastAsia="Arial" w:hAnsi="Arial" w:cs="Arial"/>
                <w:sz w:val="18"/>
              </w:rPr>
              <w:t>0,19 €/m3</w:t>
            </w:r>
            <w:r>
              <w:rPr>
                <w:rFonts w:ascii="Arial" w:eastAsia="Arial" w:hAnsi="Arial" w:cs="Arial"/>
                <w:b/>
                <w:sz w:val="18"/>
              </w:rPr>
              <w:t xml:space="preserve"> </w:t>
            </w:r>
          </w:p>
        </w:tc>
      </w:tr>
    </w:tbl>
    <w:p w:rsidR="0049318A" w:rsidRDefault="002B40D1">
      <w:pPr>
        <w:spacing w:after="18"/>
        <w:ind w:left="2742"/>
      </w:pPr>
      <w:r>
        <w:rPr>
          <w:rFonts w:ascii="Arial" w:eastAsia="Arial" w:hAnsi="Arial" w:cs="Arial"/>
          <w:sz w:val="18"/>
        </w:rPr>
        <w:t xml:space="preserve"> </w:t>
      </w:r>
    </w:p>
    <w:p w:rsidR="0049318A" w:rsidRDefault="002B40D1">
      <w:pPr>
        <w:numPr>
          <w:ilvl w:val="2"/>
          <w:numId w:val="14"/>
        </w:numPr>
        <w:spacing w:after="9" w:line="271" w:lineRule="auto"/>
        <w:ind w:right="52" w:hanging="646"/>
        <w:jc w:val="both"/>
      </w:pPr>
      <w:r>
        <w:rPr>
          <w:rFonts w:ascii="Arial" w:eastAsia="Arial" w:hAnsi="Arial" w:cs="Arial"/>
          <w:sz w:val="18"/>
        </w:rPr>
        <w:t>Para uso industrial o comercial o de obras. El suministro para usos industriales o comerciales serán todos aquellos suministros de agua potable destinados a locales donde se desarrollen actividades comerciales, profesionales o industriales, y además, aquel</w:t>
      </w:r>
      <w:r>
        <w:rPr>
          <w:rFonts w:ascii="Arial" w:eastAsia="Arial" w:hAnsi="Arial" w:cs="Arial"/>
          <w:sz w:val="18"/>
        </w:rPr>
        <w:t>los suministros que aun precisando el agua como elemento de atención directa a las necesidades primarias de la vida sean objeto de una actividad económica lucrativa, y en general todos aquellos en los que el agua no se utilice para los fines expuestos en e</w:t>
      </w:r>
      <w:r>
        <w:rPr>
          <w:rFonts w:ascii="Arial" w:eastAsia="Arial" w:hAnsi="Arial" w:cs="Arial"/>
          <w:sz w:val="18"/>
        </w:rPr>
        <w:t xml:space="preserve">l apartado anterior. </w:t>
      </w:r>
    </w:p>
    <w:p w:rsidR="0049318A" w:rsidRDefault="002B40D1">
      <w:pPr>
        <w:spacing w:after="0"/>
        <w:ind w:left="802"/>
      </w:pPr>
      <w:r>
        <w:rPr>
          <w:rFonts w:ascii="Arial" w:eastAsia="Arial" w:hAnsi="Arial" w:cs="Arial"/>
          <w:sz w:val="18"/>
        </w:rPr>
        <w:t xml:space="preserve"> </w:t>
      </w:r>
    </w:p>
    <w:tbl>
      <w:tblPr>
        <w:tblStyle w:val="TableGrid"/>
        <w:tblW w:w="5373" w:type="dxa"/>
        <w:tblInd w:w="3285" w:type="dxa"/>
        <w:tblCellMar>
          <w:top w:w="43" w:type="dxa"/>
          <w:left w:w="98" w:type="dxa"/>
          <w:bottom w:w="0" w:type="dxa"/>
          <w:right w:w="48" w:type="dxa"/>
        </w:tblCellMar>
        <w:tblLook w:val="04A0" w:firstRow="1" w:lastRow="0" w:firstColumn="1" w:lastColumn="0" w:noHBand="0" w:noVBand="1"/>
      </w:tblPr>
      <w:tblGrid>
        <w:gridCol w:w="2697"/>
        <w:gridCol w:w="2676"/>
      </w:tblGrid>
      <w:tr w:rsidR="0049318A">
        <w:trPr>
          <w:trHeight w:val="252"/>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b/>
                <w:sz w:val="18"/>
              </w:rPr>
              <w:t xml:space="preserve">Bloque de Consumo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4"/>
              <w:jc w:val="center"/>
            </w:pPr>
            <w:r>
              <w:rPr>
                <w:rFonts w:ascii="Arial" w:eastAsia="Arial" w:hAnsi="Arial" w:cs="Arial"/>
                <w:b/>
                <w:sz w:val="18"/>
              </w:rPr>
              <w:t xml:space="preserve">Importe </w:t>
            </w:r>
          </w:p>
        </w:tc>
      </w:tr>
      <w:tr w:rsidR="0049318A">
        <w:trPr>
          <w:trHeight w:val="219"/>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t>Mínimo de 10 m3</w:t>
            </w:r>
            <w:r>
              <w:rPr>
                <w:rFonts w:ascii="Arial" w:eastAsia="Arial" w:hAnsi="Arial" w:cs="Arial"/>
                <w:b/>
                <w:sz w:val="18"/>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3"/>
              <w:jc w:val="right"/>
            </w:pPr>
            <w:r>
              <w:rPr>
                <w:rFonts w:ascii="Arial" w:eastAsia="Arial" w:hAnsi="Arial" w:cs="Arial"/>
                <w:sz w:val="18"/>
              </w:rPr>
              <w:t>2.17 €</w:t>
            </w:r>
            <w:r>
              <w:rPr>
                <w:rFonts w:ascii="Arial" w:eastAsia="Arial" w:hAnsi="Arial" w:cs="Arial"/>
                <w:b/>
                <w:sz w:val="18"/>
              </w:rPr>
              <w:t xml:space="preserve"> </w:t>
            </w:r>
          </w:p>
        </w:tc>
      </w:tr>
      <w:tr w:rsidR="0049318A">
        <w:trPr>
          <w:trHeight w:val="219"/>
        </w:trPr>
        <w:tc>
          <w:tcPr>
            <w:tcW w:w="2697" w:type="dxa"/>
            <w:tcBorders>
              <w:top w:val="single" w:sz="4" w:space="0" w:color="000000"/>
              <w:left w:val="single" w:sz="4" w:space="0" w:color="000000"/>
              <w:bottom w:val="single" w:sz="4" w:space="0" w:color="000000"/>
              <w:right w:val="single" w:sz="4" w:space="0" w:color="000000"/>
            </w:tcBorders>
          </w:tcPr>
          <w:p w:rsidR="0049318A" w:rsidRDefault="002B40D1">
            <w:pPr>
              <w:spacing w:after="0"/>
            </w:pPr>
            <w:r>
              <w:rPr>
                <w:rFonts w:ascii="Arial" w:eastAsia="Arial" w:hAnsi="Arial" w:cs="Arial"/>
                <w:sz w:val="18"/>
              </w:rPr>
              <w:lastRenderedPageBreak/>
              <w:t>Mas de 10 m3</w:t>
            </w:r>
            <w:r>
              <w:rPr>
                <w:rFonts w:ascii="Arial" w:eastAsia="Arial" w:hAnsi="Arial" w:cs="Arial"/>
                <w:b/>
                <w:sz w:val="18"/>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right="53"/>
              <w:jc w:val="right"/>
            </w:pPr>
            <w:r>
              <w:rPr>
                <w:rFonts w:ascii="Arial" w:eastAsia="Arial" w:hAnsi="Arial" w:cs="Arial"/>
                <w:sz w:val="18"/>
              </w:rPr>
              <w:t>0,22 €/m3</w:t>
            </w:r>
            <w:r>
              <w:rPr>
                <w:rFonts w:ascii="Arial" w:eastAsia="Arial" w:hAnsi="Arial" w:cs="Arial"/>
                <w:b/>
                <w:sz w:val="18"/>
              </w:rPr>
              <w:t xml:space="preserve"> </w:t>
            </w:r>
          </w:p>
        </w:tc>
      </w:tr>
    </w:tbl>
    <w:p w:rsidR="0049318A" w:rsidRDefault="002B40D1">
      <w:pPr>
        <w:spacing w:after="15"/>
        <w:ind w:left="802"/>
      </w:pPr>
      <w:r>
        <w:rPr>
          <w:rFonts w:ascii="Arial" w:eastAsia="Arial" w:hAnsi="Arial" w:cs="Arial"/>
          <w:sz w:val="18"/>
        </w:rPr>
        <w:t xml:space="preserve"> </w:t>
      </w:r>
    </w:p>
    <w:p w:rsidR="0049318A" w:rsidRDefault="002B40D1">
      <w:pPr>
        <w:numPr>
          <w:ilvl w:val="0"/>
          <w:numId w:val="8"/>
        </w:numPr>
        <w:spacing w:after="4" w:line="249" w:lineRule="auto"/>
        <w:ind w:right="504" w:hanging="258"/>
        <w:jc w:val="both"/>
      </w:pPr>
      <w:r>
        <w:rPr>
          <w:rFonts w:ascii="Arial" w:eastAsia="Arial" w:hAnsi="Arial" w:cs="Arial"/>
          <w:b/>
          <w:sz w:val="18"/>
        </w:rPr>
        <w:t xml:space="preserve">Depósito previo. </w:t>
      </w:r>
    </w:p>
    <w:p w:rsidR="0049318A" w:rsidRDefault="002B40D1">
      <w:pPr>
        <w:numPr>
          <w:ilvl w:val="5"/>
          <w:numId w:val="17"/>
        </w:numPr>
        <w:spacing w:after="9" w:line="271" w:lineRule="auto"/>
        <w:ind w:left="1057" w:right="50" w:hanging="328"/>
        <w:jc w:val="both"/>
      </w:pPr>
      <w:r>
        <w:rPr>
          <w:rFonts w:ascii="Arial" w:eastAsia="Arial" w:hAnsi="Arial" w:cs="Arial"/>
          <w:sz w:val="18"/>
        </w:rPr>
        <w:t>Con carácter previo a la formalización del contrato de suministro y como garantía del pago de este, el abonado viene obligado a constituir el depósito correspondiente, que le será devuelto al producirse la baja del servicio, siempre que no exista a su carg</w:t>
      </w:r>
      <w:r>
        <w:rPr>
          <w:rFonts w:ascii="Arial" w:eastAsia="Arial" w:hAnsi="Arial" w:cs="Arial"/>
          <w:sz w:val="18"/>
        </w:rPr>
        <w:t xml:space="preserve">o deuda alguna por el expresado concepto. </w:t>
      </w:r>
    </w:p>
    <w:p w:rsidR="0049318A" w:rsidRDefault="002B40D1">
      <w:pPr>
        <w:spacing w:after="15"/>
        <w:ind w:left="802"/>
      </w:pPr>
      <w:r>
        <w:rPr>
          <w:rFonts w:ascii="Arial" w:eastAsia="Arial" w:hAnsi="Arial" w:cs="Arial"/>
          <w:sz w:val="18"/>
        </w:rPr>
        <w:t xml:space="preserve"> </w:t>
      </w:r>
    </w:p>
    <w:p w:rsidR="0049318A" w:rsidRDefault="002B40D1">
      <w:pPr>
        <w:spacing w:after="17"/>
        <w:ind w:left="802"/>
      </w:pPr>
      <w:r>
        <w:rPr>
          <w:rFonts w:ascii="Arial" w:eastAsia="Arial" w:hAnsi="Arial" w:cs="Arial"/>
          <w:sz w:val="18"/>
        </w:rPr>
        <w:t xml:space="preserve"> </w:t>
      </w:r>
    </w:p>
    <w:p w:rsidR="0049318A" w:rsidRDefault="002B40D1">
      <w:pPr>
        <w:spacing w:after="15"/>
        <w:ind w:left="802"/>
      </w:pPr>
      <w:r>
        <w:rPr>
          <w:rFonts w:ascii="Arial" w:eastAsia="Arial" w:hAnsi="Arial" w:cs="Arial"/>
          <w:sz w:val="18"/>
        </w:rPr>
        <w:t xml:space="preserve"> </w:t>
      </w:r>
    </w:p>
    <w:p w:rsidR="0049318A" w:rsidRDefault="002B40D1">
      <w:pPr>
        <w:spacing w:after="15"/>
        <w:ind w:left="802"/>
      </w:pPr>
      <w:r>
        <w:rPr>
          <w:rFonts w:ascii="Arial" w:eastAsia="Arial" w:hAnsi="Arial" w:cs="Arial"/>
          <w:sz w:val="18"/>
        </w:rPr>
        <w:t xml:space="preserve"> </w:t>
      </w:r>
    </w:p>
    <w:p w:rsidR="0049318A" w:rsidRDefault="002B40D1">
      <w:pPr>
        <w:spacing w:after="0"/>
        <w:ind w:left="802"/>
      </w:pPr>
      <w:r>
        <w:rPr>
          <w:rFonts w:ascii="Arial" w:eastAsia="Arial" w:hAnsi="Arial" w:cs="Arial"/>
          <w:sz w:val="18"/>
        </w:rPr>
        <w:t xml:space="preserve"> </w:t>
      </w:r>
    </w:p>
    <w:p w:rsidR="0049318A" w:rsidRDefault="002B40D1">
      <w:pPr>
        <w:spacing w:after="1197" w:line="265" w:lineRule="auto"/>
        <w:ind w:left="10" w:right="-15" w:hanging="10"/>
        <w:jc w:val="right"/>
      </w:pPr>
      <w:r>
        <w:rPr>
          <w:rFonts w:ascii="Times New Roman" w:eastAsia="Times New Roman" w:hAnsi="Times New Roman" w:cs="Times New Roman"/>
          <w:color w:val="181717"/>
          <w:sz w:val="16"/>
        </w:rPr>
        <w:t>29066</w:t>
      </w:r>
    </w:p>
    <w:p w:rsidR="0049318A" w:rsidRDefault="002B40D1">
      <w:pPr>
        <w:numPr>
          <w:ilvl w:val="5"/>
          <w:numId w:val="17"/>
        </w:numPr>
        <w:spacing w:after="4" w:line="269" w:lineRule="auto"/>
        <w:ind w:left="1057" w:right="50" w:hanging="328"/>
        <w:jc w:val="both"/>
      </w:pPr>
      <w:r>
        <w:rPr>
          <w:rFonts w:ascii="Arial" w:eastAsia="Arial" w:hAnsi="Arial" w:cs="Arial"/>
          <w:sz w:val="16"/>
        </w:rPr>
        <w:t xml:space="preserve">La cuantía del depósito correspondiente será la siguiente:  </w:t>
      </w:r>
    </w:p>
    <w:p w:rsidR="0049318A" w:rsidRDefault="002B40D1">
      <w:pPr>
        <w:numPr>
          <w:ilvl w:val="1"/>
          <w:numId w:val="16"/>
        </w:numPr>
        <w:spacing w:after="4" w:line="269" w:lineRule="auto"/>
        <w:ind w:left="1001" w:right="48" w:hanging="355"/>
        <w:jc w:val="both"/>
      </w:pPr>
      <w:r>
        <w:rPr>
          <w:rFonts w:ascii="Arial" w:eastAsia="Arial" w:hAnsi="Arial" w:cs="Arial"/>
          <w:sz w:val="16"/>
        </w:rPr>
        <w:t xml:space="preserve">Si se trata de un contrato o póliza con uso doméstico: </w:t>
      </w:r>
    </w:p>
    <w:p w:rsidR="0049318A" w:rsidRDefault="002B40D1">
      <w:pPr>
        <w:spacing w:after="0"/>
        <w:ind w:left="1000"/>
      </w:pPr>
      <w:r>
        <w:rPr>
          <w:rFonts w:ascii="Arial" w:eastAsia="Arial" w:hAnsi="Arial" w:cs="Arial"/>
          <w:sz w:val="16"/>
        </w:rPr>
        <w:t xml:space="preserve"> </w:t>
      </w:r>
    </w:p>
    <w:tbl>
      <w:tblPr>
        <w:tblStyle w:val="TableGrid"/>
        <w:tblW w:w="5818" w:type="dxa"/>
        <w:tblInd w:w="970" w:type="dxa"/>
        <w:tblCellMar>
          <w:top w:w="39" w:type="dxa"/>
          <w:left w:w="96" w:type="dxa"/>
          <w:bottom w:w="0" w:type="dxa"/>
          <w:right w:w="0" w:type="dxa"/>
        </w:tblCellMar>
        <w:tblLook w:val="04A0" w:firstRow="1" w:lastRow="0" w:firstColumn="1" w:lastColumn="0" w:noHBand="0" w:noVBand="1"/>
      </w:tblPr>
      <w:tblGrid>
        <w:gridCol w:w="3490"/>
        <w:gridCol w:w="2327"/>
      </w:tblGrid>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6"/>
              </w:rPr>
              <w:t xml:space="preserve">Abonado con contador de calibre: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center"/>
            </w:pPr>
            <w:r>
              <w:rPr>
                <w:rFonts w:ascii="Arial" w:eastAsia="Arial" w:hAnsi="Arial" w:cs="Arial"/>
                <w:b/>
                <w:sz w:val="16"/>
              </w:rPr>
              <w:t xml:space="preserve">Depósito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13-15mm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right"/>
            </w:pPr>
            <w:r>
              <w:rPr>
                <w:rFonts w:ascii="Arial" w:eastAsia="Arial" w:hAnsi="Arial" w:cs="Arial"/>
                <w:sz w:val="16"/>
              </w:rPr>
              <w:t xml:space="preserve">25,57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DN 20-</w:t>
            </w:r>
            <w:r>
              <w:rPr>
                <w:rFonts w:ascii="Arial" w:eastAsia="Arial" w:hAnsi="Arial" w:cs="Arial"/>
                <w:sz w:val="16"/>
              </w:rPr>
              <w:t xml:space="preserve">25mm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right"/>
            </w:pPr>
            <w:r>
              <w:rPr>
                <w:rFonts w:ascii="Arial" w:eastAsia="Arial" w:hAnsi="Arial" w:cs="Arial"/>
                <w:sz w:val="16"/>
              </w:rPr>
              <w:t xml:space="preserve">54,80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30-32mm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116,42 euros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40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215,60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50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339,56 euros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65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463,52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80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744,44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iguales o superiores a DN100mm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2"/>
              <w:jc w:val="right"/>
            </w:pPr>
            <w:r>
              <w:rPr>
                <w:rFonts w:ascii="Arial" w:eastAsia="Arial" w:hAnsi="Arial" w:cs="Arial"/>
                <w:sz w:val="16"/>
              </w:rPr>
              <w:t xml:space="preserve">1.207,26 euros </w:t>
            </w:r>
          </w:p>
        </w:tc>
      </w:tr>
    </w:tbl>
    <w:p w:rsidR="0049318A" w:rsidRDefault="002B40D1">
      <w:pPr>
        <w:spacing w:after="16"/>
        <w:ind w:left="1000"/>
      </w:pPr>
      <w:r>
        <w:rPr>
          <w:rFonts w:ascii="Arial" w:eastAsia="Arial" w:hAnsi="Arial" w:cs="Arial"/>
          <w:sz w:val="16"/>
        </w:rPr>
        <w:t xml:space="preserve"> </w:t>
      </w:r>
    </w:p>
    <w:p w:rsidR="0049318A" w:rsidRDefault="002B40D1">
      <w:pPr>
        <w:numPr>
          <w:ilvl w:val="1"/>
          <w:numId w:val="16"/>
        </w:numPr>
        <w:spacing w:after="4" w:line="269" w:lineRule="auto"/>
        <w:ind w:left="1001" w:right="48" w:hanging="355"/>
        <w:jc w:val="both"/>
      </w:pPr>
      <w:r>
        <w:rPr>
          <w:rFonts w:ascii="Arial" w:eastAsia="Arial" w:hAnsi="Arial" w:cs="Arial"/>
          <w:sz w:val="16"/>
        </w:rPr>
        <w:t xml:space="preserve">Si se trata de un contrato o póliza con uso industrial o comercial o suministro para obras: </w:t>
      </w:r>
    </w:p>
    <w:p w:rsidR="0049318A" w:rsidRDefault="002B40D1">
      <w:pPr>
        <w:spacing w:after="0"/>
        <w:ind w:left="1000"/>
      </w:pPr>
      <w:r>
        <w:rPr>
          <w:rFonts w:ascii="Arial" w:eastAsia="Arial" w:hAnsi="Arial" w:cs="Arial"/>
          <w:sz w:val="16"/>
        </w:rPr>
        <w:t xml:space="preserve"> </w:t>
      </w:r>
    </w:p>
    <w:tbl>
      <w:tblPr>
        <w:tblStyle w:val="TableGrid"/>
        <w:tblW w:w="5818" w:type="dxa"/>
        <w:tblInd w:w="970" w:type="dxa"/>
        <w:tblCellMar>
          <w:top w:w="39" w:type="dxa"/>
          <w:left w:w="96" w:type="dxa"/>
          <w:bottom w:w="0" w:type="dxa"/>
          <w:right w:w="0" w:type="dxa"/>
        </w:tblCellMar>
        <w:tblLook w:val="04A0" w:firstRow="1" w:lastRow="0" w:firstColumn="1" w:lastColumn="0" w:noHBand="0" w:noVBand="1"/>
      </w:tblPr>
      <w:tblGrid>
        <w:gridCol w:w="3490"/>
        <w:gridCol w:w="2327"/>
      </w:tblGrid>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b/>
                <w:sz w:val="16"/>
              </w:rPr>
              <w:t xml:space="preserve">Abonado con contador de calibre: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center"/>
            </w:pPr>
            <w:r>
              <w:rPr>
                <w:rFonts w:ascii="Arial" w:eastAsia="Arial" w:hAnsi="Arial" w:cs="Arial"/>
                <w:b/>
                <w:sz w:val="16"/>
              </w:rPr>
              <w:t xml:space="preserve">Depósito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13-15mm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right"/>
            </w:pPr>
            <w:r>
              <w:rPr>
                <w:rFonts w:ascii="Arial" w:eastAsia="Arial" w:hAnsi="Arial" w:cs="Arial"/>
                <w:sz w:val="16"/>
              </w:rPr>
              <w:t xml:space="preserve">93,15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20-25mm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156,91 euros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30-32mm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380,20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40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635,39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50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1"/>
              <w:jc w:val="right"/>
            </w:pPr>
            <w:r>
              <w:rPr>
                <w:rFonts w:ascii="Arial" w:eastAsia="Arial" w:hAnsi="Arial" w:cs="Arial"/>
                <w:sz w:val="16"/>
              </w:rPr>
              <w:t xml:space="preserve">954,38 euros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65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right"/>
            </w:pPr>
            <w:r>
              <w:rPr>
                <w:rFonts w:ascii="Arial" w:eastAsia="Arial" w:hAnsi="Arial" w:cs="Arial"/>
                <w:sz w:val="16"/>
              </w:rPr>
              <w:t xml:space="preserve">1.273,37 euros  </w:t>
            </w:r>
          </w:p>
        </w:tc>
      </w:tr>
      <w:tr w:rsidR="0049318A">
        <w:trPr>
          <w:trHeight w:val="225"/>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DN 80 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0"/>
              <w:jc w:val="right"/>
            </w:pPr>
            <w:r>
              <w:rPr>
                <w:rFonts w:ascii="Arial" w:eastAsia="Arial" w:hAnsi="Arial" w:cs="Arial"/>
                <w:sz w:val="16"/>
              </w:rPr>
              <w:t xml:space="preserve">1.911,35 euros  </w:t>
            </w:r>
          </w:p>
        </w:tc>
      </w:tr>
      <w:tr w:rsidR="0049318A">
        <w:trPr>
          <w:trHeight w:val="227"/>
        </w:trPr>
        <w:tc>
          <w:tcPr>
            <w:tcW w:w="3490" w:type="dxa"/>
            <w:tcBorders>
              <w:top w:val="single" w:sz="3" w:space="0" w:color="000000"/>
              <w:left w:val="single" w:sz="4" w:space="0" w:color="000000"/>
              <w:bottom w:val="single" w:sz="3" w:space="0" w:color="000000"/>
              <w:right w:val="single" w:sz="4" w:space="0" w:color="000000"/>
            </w:tcBorders>
          </w:tcPr>
          <w:p w:rsidR="0049318A" w:rsidRDefault="002B40D1">
            <w:pPr>
              <w:spacing w:after="0"/>
            </w:pPr>
            <w:r>
              <w:rPr>
                <w:rFonts w:ascii="Arial" w:eastAsia="Arial" w:hAnsi="Arial" w:cs="Arial"/>
                <w:sz w:val="16"/>
              </w:rPr>
              <w:t xml:space="preserve">iguales o superiores a DN100mm </w:t>
            </w:r>
          </w:p>
        </w:tc>
        <w:tc>
          <w:tcPr>
            <w:tcW w:w="2327" w:type="dxa"/>
            <w:tcBorders>
              <w:top w:val="single" w:sz="3" w:space="0" w:color="000000"/>
              <w:left w:val="single" w:sz="4" w:space="0" w:color="000000"/>
              <w:bottom w:val="single" w:sz="3" w:space="0" w:color="000000"/>
              <w:right w:val="single" w:sz="4" w:space="0" w:color="000000"/>
            </w:tcBorders>
          </w:tcPr>
          <w:p w:rsidR="0049318A" w:rsidRDefault="002B40D1">
            <w:pPr>
              <w:spacing w:after="0"/>
              <w:ind w:right="102"/>
              <w:jc w:val="right"/>
            </w:pPr>
            <w:r>
              <w:rPr>
                <w:rFonts w:ascii="Arial" w:eastAsia="Arial" w:hAnsi="Arial" w:cs="Arial"/>
                <w:sz w:val="16"/>
              </w:rPr>
              <w:t xml:space="preserve">3.187,29 euros </w:t>
            </w:r>
          </w:p>
        </w:tc>
      </w:tr>
    </w:tbl>
    <w:p w:rsidR="0049318A" w:rsidRDefault="002B40D1">
      <w:pPr>
        <w:numPr>
          <w:ilvl w:val="0"/>
          <w:numId w:val="8"/>
        </w:numPr>
        <w:spacing w:after="17"/>
        <w:ind w:right="504" w:hanging="258"/>
        <w:jc w:val="both"/>
      </w:pPr>
      <w:r>
        <w:rPr>
          <w:rFonts w:ascii="Arial" w:eastAsia="Arial" w:hAnsi="Arial" w:cs="Arial"/>
          <w:b/>
          <w:sz w:val="16"/>
        </w:rPr>
        <w:t xml:space="preserve">Cambio de titularidad </w:t>
      </w:r>
    </w:p>
    <w:p w:rsidR="0049318A" w:rsidRDefault="002B40D1">
      <w:pPr>
        <w:numPr>
          <w:ilvl w:val="0"/>
          <w:numId w:val="19"/>
        </w:numPr>
        <w:spacing w:after="4" w:line="269" w:lineRule="auto"/>
        <w:ind w:left="645" w:right="520" w:hanging="328"/>
        <w:jc w:val="both"/>
      </w:pPr>
      <w:r>
        <w:rPr>
          <w:rFonts w:ascii="Arial" w:eastAsia="Arial" w:hAnsi="Arial" w:cs="Arial"/>
          <w:sz w:val="16"/>
        </w:rPr>
        <w:t>En los casos en que la solicitud de cambio de titularidad conlleve un cambio en la calificación del uso o de la acometida, no podrá autorizarse el mismo, siendo preceptiva la baja del abonado y el alta del nuevo titular. A estos importes habría que sumarle</w:t>
      </w:r>
      <w:r>
        <w:rPr>
          <w:rFonts w:ascii="Arial" w:eastAsia="Arial" w:hAnsi="Arial" w:cs="Arial"/>
          <w:sz w:val="16"/>
        </w:rPr>
        <w:t xml:space="preserve">s los derivados del presupuesto de adecuación de la instalación, si procede. Las tarifas a aplicar son las siguientes </w:t>
      </w:r>
    </w:p>
    <w:p w:rsidR="0049318A" w:rsidRDefault="002B40D1">
      <w:pPr>
        <w:numPr>
          <w:ilvl w:val="1"/>
          <w:numId w:val="19"/>
        </w:numPr>
        <w:spacing w:after="14"/>
        <w:ind w:right="103" w:hanging="394"/>
        <w:jc w:val="both"/>
      </w:pPr>
      <w:r>
        <w:rPr>
          <w:rFonts w:ascii="Arial" w:eastAsia="Arial" w:hAnsi="Arial" w:cs="Arial"/>
          <w:sz w:val="16"/>
        </w:rPr>
        <w:t xml:space="preserve">Si se trata de un cambio en un contrato o póliza con uso doméstico 10,60 euros  </w:t>
      </w:r>
    </w:p>
    <w:p w:rsidR="0049318A" w:rsidRDefault="002B40D1">
      <w:pPr>
        <w:numPr>
          <w:ilvl w:val="1"/>
          <w:numId w:val="19"/>
        </w:numPr>
        <w:spacing w:after="4" w:line="269" w:lineRule="auto"/>
        <w:ind w:right="103" w:hanging="394"/>
        <w:jc w:val="both"/>
      </w:pPr>
      <w:r>
        <w:rPr>
          <w:rFonts w:ascii="Arial" w:eastAsia="Arial" w:hAnsi="Arial" w:cs="Arial"/>
          <w:sz w:val="16"/>
        </w:rPr>
        <w:t>Si se trata de un cambio en un contrato o póliza con uso</w:t>
      </w:r>
      <w:r>
        <w:rPr>
          <w:rFonts w:ascii="Arial" w:eastAsia="Arial" w:hAnsi="Arial" w:cs="Arial"/>
          <w:sz w:val="16"/>
        </w:rPr>
        <w:t xml:space="preserve"> industrial o comercial 14,45 euros  </w:t>
      </w:r>
    </w:p>
    <w:p w:rsidR="0049318A" w:rsidRDefault="002B40D1">
      <w:pPr>
        <w:spacing w:after="14"/>
        <w:ind w:left="258"/>
      </w:pPr>
      <w:r>
        <w:rPr>
          <w:rFonts w:ascii="Arial" w:eastAsia="Arial" w:hAnsi="Arial" w:cs="Arial"/>
          <w:b/>
          <w:sz w:val="16"/>
        </w:rPr>
        <w:t xml:space="preserve"> </w:t>
      </w:r>
    </w:p>
    <w:p w:rsidR="0049318A" w:rsidRDefault="002B40D1">
      <w:pPr>
        <w:spacing w:after="17"/>
        <w:ind w:left="338" w:hanging="10"/>
      </w:pPr>
      <w:r>
        <w:rPr>
          <w:rFonts w:ascii="Arial" w:eastAsia="Arial" w:hAnsi="Arial" w:cs="Arial"/>
          <w:b/>
          <w:sz w:val="16"/>
        </w:rPr>
        <w:t xml:space="preserve">10. Reenganche por impago. </w:t>
      </w:r>
    </w:p>
    <w:p w:rsidR="0049318A" w:rsidRDefault="002B40D1">
      <w:pPr>
        <w:spacing w:after="4" w:line="269" w:lineRule="auto"/>
        <w:ind w:left="338" w:right="516" w:hanging="10"/>
        <w:jc w:val="both"/>
      </w:pPr>
      <w:r>
        <w:rPr>
          <w:rFonts w:ascii="Arial" w:eastAsia="Arial" w:hAnsi="Arial" w:cs="Arial"/>
          <w:sz w:val="16"/>
        </w:rPr>
        <w:t>1. En los casos de suspensión de suministro por el impago del cliente cuando este no haya satisfecho el importe de los servicios conforme a lo estipulado en el contrato de suministro o póliza de abono, la cuantía a abonar para el restablecimiento del sumin</w:t>
      </w:r>
      <w:r>
        <w:rPr>
          <w:rFonts w:ascii="Arial" w:eastAsia="Arial" w:hAnsi="Arial" w:cs="Arial"/>
          <w:sz w:val="16"/>
        </w:rPr>
        <w:t xml:space="preserve">istro será de 62,70€  </w:t>
      </w:r>
    </w:p>
    <w:p w:rsidR="0049318A" w:rsidRDefault="002B40D1">
      <w:pPr>
        <w:spacing w:after="14"/>
        <w:ind w:left="258"/>
      </w:pPr>
      <w:r>
        <w:rPr>
          <w:rFonts w:ascii="Arial" w:eastAsia="Arial" w:hAnsi="Arial" w:cs="Arial"/>
          <w:b/>
          <w:sz w:val="16"/>
        </w:rPr>
        <w:t xml:space="preserve"> </w:t>
      </w:r>
    </w:p>
    <w:p w:rsidR="0049318A" w:rsidRDefault="002B40D1">
      <w:pPr>
        <w:numPr>
          <w:ilvl w:val="0"/>
          <w:numId w:val="20"/>
        </w:numPr>
        <w:spacing w:after="17"/>
        <w:ind w:hanging="309"/>
      </w:pPr>
      <w:r>
        <w:rPr>
          <w:rFonts w:ascii="Arial" w:eastAsia="Arial" w:hAnsi="Arial" w:cs="Arial"/>
          <w:b/>
          <w:sz w:val="16"/>
        </w:rPr>
        <w:t xml:space="preserve">Gestión. </w:t>
      </w:r>
    </w:p>
    <w:p w:rsidR="0049318A" w:rsidRDefault="002B40D1">
      <w:pPr>
        <w:numPr>
          <w:ilvl w:val="3"/>
          <w:numId w:val="24"/>
        </w:numPr>
        <w:spacing w:after="4" w:line="269" w:lineRule="auto"/>
        <w:ind w:left="656" w:right="524" w:hanging="328"/>
        <w:jc w:val="both"/>
      </w:pPr>
      <w:r>
        <w:rPr>
          <w:rFonts w:ascii="Arial" w:eastAsia="Arial" w:hAnsi="Arial" w:cs="Arial"/>
          <w:sz w:val="16"/>
        </w:rPr>
        <w:t xml:space="preserve">La prestación patrimonial de carácter no tributario se exigirá, con carácter general, y una vez de alta en el registro de contribuyentes, por el sistema de padrón en el que figurarán todos aquellos sujetos a la misma. </w:t>
      </w:r>
    </w:p>
    <w:p w:rsidR="0049318A" w:rsidRDefault="002B40D1">
      <w:pPr>
        <w:numPr>
          <w:ilvl w:val="3"/>
          <w:numId w:val="24"/>
        </w:numPr>
        <w:spacing w:after="4" w:line="269" w:lineRule="auto"/>
        <w:ind w:left="656" w:right="524" w:hanging="328"/>
        <w:jc w:val="both"/>
      </w:pPr>
      <w:r>
        <w:rPr>
          <w:rFonts w:ascii="Arial" w:eastAsia="Arial" w:hAnsi="Arial" w:cs="Arial"/>
          <w:sz w:val="16"/>
        </w:rPr>
        <w:lastRenderedPageBreak/>
        <w:t xml:space="preserve">El pago de la prestación patrimonial de carácter no tributario mediante padrón se realizará por bimestres, en el período de cobranza que el Ayuntamiento determine, por los medios previstos por la legislación y que se estimen más convenientes. </w:t>
      </w:r>
    </w:p>
    <w:p w:rsidR="0049318A" w:rsidRDefault="002B40D1">
      <w:pPr>
        <w:numPr>
          <w:ilvl w:val="3"/>
          <w:numId w:val="24"/>
        </w:numPr>
        <w:spacing w:after="4" w:line="269" w:lineRule="auto"/>
        <w:ind w:left="656" w:right="524" w:hanging="328"/>
        <w:jc w:val="both"/>
      </w:pPr>
      <w:r>
        <w:rPr>
          <w:rFonts w:ascii="Arial" w:eastAsia="Arial" w:hAnsi="Arial" w:cs="Arial"/>
          <w:sz w:val="16"/>
        </w:rPr>
        <w:t>Una vez noti</w:t>
      </w:r>
      <w:r>
        <w:rPr>
          <w:rFonts w:ascii="Arial" w:eastAsia="Arial" w:hAnsi="Arial" w:cs="Arial"/>
          <w:sz w:val="16"/>
        </w:rPr>
        <w:t>ficada la liquidación correspondiente al alta en el servicio, las notificaciones de los padrones se realizarán colectivamente, mediante anuncio en el Boletín Oficial de la Provincia y producirá los efectos de notificación de la liquidación a cada uno de lo</w:t>
      </w:r>
      <w:r>
        <w:rPr>
          <w:rFonts w:ascii="Arial" w:eastAsia="Arial" w:hAnsi="Arial" w:cs="Arial"/>
          <w:sz w:val="16"/>
        </w:rPr>
        <w:t xml:space="preserve">s sujetos pasivos en él incluidos. </w:t>
      </w:r>
    </w:p>
    <w:p w:rsidR="0049318A" w:rsidRDefault="002B40D1">
      <w:pPr>
        <w:spacing w:after="880" w:line="265" w:lineRule="auto"/>
        <w:ind w:left="-5" w:hanging="10"/>
      </w:pPr>
      <w:r>
        <w:rPr>
          <w:rFonts w:ascii="Times New Roman" w:eastAsia="Times New Roman" w:hAnsi="Times New Roman" w:cs="Times New Roman"/>
          <w:color w:val="181717"/>
          <w:sz w:val="16"/>
        </w:rPr>
        <w:t>29067</w:t>
      </w:r>
    </w:p>
    <w:p w:rsidR="0049318A" w:rsidRDefault="002B40D1">
      <w:pPr>
        <w:spacing w:after="16"/>
        <w:ind w:left="801"/>
      </w:pPr>
      <w:r>
        <w:rPr>
          <w:rFonts w:ascii="Arial" w:eastAsia="Arial" w:hAnsi="Arial" w:cs="Arial"/>
          <w:b/>
          <w:sz w:val="16"/>
        </w:rPr>
        <w:t xml:space="preserve"> </w:t>
      </w:r>
    </w:p>
    <w:p w:rsidR="0049318A" w:rsidRDefault="002B40D1">
      <w:pPr>
        <w:numPr>
          <w:ilvl w:val="0"/>
          <w:numId w:val="20"/>
        </w:numPr>
        <w:spacing w:after="17"/>
        <w:ind w:hanging="309"/>
      </w:pPr>
      <w:r>
        <w:rPr>
          <w:rFonts w:ascii="Arial" w:eastAsia="Arial" w:hAnsi="Arial" w:cs="Arial"/>
          <w:b/>
          <w:sz w:val="16"/>
        </w:rPr>
        <w:t xml:space="preserve">Reanudación o rehabilitación de la conexión </w:t>
      </w:r>
    </w:p>
    <w:p w:rsidR="0049318A" w:rsidRDefault="002B40D1">
      <w:pPr>
        <w:numPr>
          <w:ilvl w:val="4"/>
          <w:numId w:val="25"/>
        </w:numPr>
        <w:spacing w:after="4" w:line="269" w:lineRule="auto"/>
        <w:ind w:right="48" w:hanging="328"/>
        <w:jc w:val="both"/>
      </w:pPr>
      <w:r>
        <w:rPr>
          <w:rFonts w:ascii="Arial" w:eastAsia="Arial" w:hAnsi="Arial" w:cs="Arial"/>
          <w:sz w:val="16"/>
        </w:rPr>
        <w:t>Para llevar a efecto la reanudación o rehabilitación de una conexión dada la baja, será preciso que el anterior titular haya causado la misma voluntariamente. En el ca</w:t>
      </w:r>
      <w:r>
        <w:rPr>
          <w:rFonts w:ascii="Arial" w:eastAsia="Arial" w:hAnsi="Arial" w:cs="Arial"/>
          <w:sz w:val="16"/>
        </w:rPr>
        <w:t>so de inhabilitación de la conexión por corte del suministro, será requisito indispensable para su rehabilitación o reanudación la liquidación de los recibos pendientes de pago, el abono de los trabajos de corte y reanudación del servicio según los precios</w:t>
      </w:r>
      <w:r>
        <w:rPr>
          <w:rFonts w:ascii="Arial" w:eastAsia="Arial" w:hAnsi="Arial" w:cs="Arial"/>
          <w:sz w:val="16"/>
        </w:rPr>
        <w:t xml:space="preserve"> unitarios aprobados por el Ayuntamiento y la constitución del depósito correspondiente, si no estuviese previamente constituido. </w:t>
      </w:r>
    </w:p>
    <w:p w:rsidR="0049318A" w:rsidRDefault="002B40D1">
      <w:pPr>
        <w:numPr>
          <w:ilvl w:val="4"/>
          <w:numId w:val="25"/>
        </w:numPr>
        <w:spacing w:after="4" w:line="269" w:lineRule="auto"/>
        <w:ind w:right="48" w:hanging="328"/>
        <w:jc w:val="both"/>
      </w:pPr>
      <w:r>
        <w:rPr>
          <w:rFonts w:ascii="Arial" w:eastAsia="Arial" w:hAnsi="Arial" w:cs="Arial"/>
          <w:sz w:val="16"/>
        </w:rPr>
        <w:t>Si la reanudación de la conexión se efectúa a favor de un abonado distinto al anterior titular, aquél deberá suscribir la pól</w:t>
      </w:r>
      <w:r>
        <w:rPr>
          <w:rFonts w:ascii="Arial" w:eastAsia="Arial" w:hAnsi="Arial" w:cs="Arial"/>
          <w:sz w:val="16"/>
        </w:rPr>
        <w:t>iza correspondiente previo abono de los trabajos de reanudación del servicio, del precio de la conexión, y de constitución del depósito correspondiente, no así de los trabajos y suministros que no sean necesarios por existir previamente la instalación requ</w:t>
      </w:r>
      <w:r>
        <w:rPr>
          <w:rFonts w:ascii="Arial" w:eastAsia="Arial" w:hAnsi="Arial" w:cs="Arial"/>
          <w:sz w:val="16"/>
        </w:rPr>
        <w:t xml:space="preserve">erida con arreglo a la normativa vigente en cada momento. </w:t>
      </w:r>
    </w:p>
    <w:p w:rsidR="0049318A" w:rsidRDefault="002B40D1">
      <w:pPr>
        <w:spacing w:after="16"/>
        <w:ind w:left="801"/>
      </w:pPr>
      <w:r>
        <w:rPr>
          <w:rFonts w:ascii="Arial" w:eastAsia="Arial" w:hAnsi="Arial" w:cs="Arial"/>
          <w:sz w:val="16"/>
        </w:rPr>
        <w:t xml:space="preserve"> </w:t>
      </w:r>
    </w:p>
    <w:p w:rsidR="0049318A" w:rsidRDefault="002B40D1">
      <w:pPr>
        <w:numPr>
          <w:ilvl w:val="0"/>
          <w:numId w:val="20"/>
        </w:numPr>
        <w:spacing w:after="17"/>
        <w:ind w:hanging="309"/>
      </w:pPr>
      <w:r>
        <w:rPr>
          <w:rFonts w:ascii="Arial" w:eastAsia="Arial" w:hAnsi="Arial" w:cs="Arial"/>
          <w:b/>
          <w:sz w:val="16"/>
        </w:rPr>
        <w:t xml:space="preserve">Bajas por suspensión prolongada. </w:t>
      </w:r>
    </w:p>
    <w:p w:rsidR="0049318A" w:rsidRDefault="002B40D1">
      <w:pPr>
        <w:spacing w:after="4" w:line="269" w:lineRule="auto"/>
        <w:ind w:left="1447" w:right="48" w:hanging="328"/>
        <w:jc w:val="both"/>
      </w:pPr>
      <w:r>
        <w:rPr>
          <w:rFonts w:ascii="Arial" w:eastAsia="Arial" w:hAnsi="Arial" w:cs="Arial"/>
          <w:sz w:val="16"/>
        </w:rPr>
        <w:t xml:space="preserve">1. El contrato de suministro de agua quedará sin efecto por cualquiera de las causas siguientes: </w:t>
      </w:r>
    </w:p>
    <w:p w:rsidR="0049318A" w:rsidRDefault="002B40D1">
      <w:pPr>
        <w:numPr>
          <w:ilvl w:val="1"/>
          <w:numId w:val="26"/>
        </w:numPr>
        <w:spacing w:after="4" w:line="269" w:lineRule="auto"/>
        <w:ind w:right="48" w:hanging="394"/>
        <w:jc w:val="both"/>
      </w:pPr>
      <w:r>
        <w:rPr>
          <w:rFonts w:ascii="Arial" w:eastAsia="Arial" w:hAnsi="Arial" w:cs="Arial"/>
          <w:sz w:val="16"/>
        </w:rPr>
        <w:t xml:space="preserve">A petición del abonado del servicio. </w:t>
      </w:r>
    </w:p>
    <w:p w:rsidR="0049318A" w:rsidRDefault="002B40D1">
      <w:pPr>
        <w:numPr>
          <w:ilvl w:val="1"/>
          <w:numId w:val="26"/>
        </w:numPr>
        <w:spacing w:after="4" w:line="269" w:lineRule="auto"/>
        <w:ind w:right="48" w:hanging="394"/>
        <w:jc w:val="both"/>
      </w:pPr>
      <w:r>
        <w:rPr>
          <w:rFonts w:ascii="Arial" w:eastAsia="Arial" w:hAnsi="Arial" w:cs="Arial"/>
          <w:sz w:val="16"/>
        </w:rPr>
        <w:t xml:space="preserve">Por resolución del Servicio Municipal de Aguas, en los siguientes casos: </w:t>
      </w:r>
    </w:p>
    <w:p w:rsidR="0049318A" w:rsidRDefault="002B40D1">
      <w:pPr>
        <w:numPr>
          <w:ilvl w:val="2"/>
          <w:numId w:val="21"/>
        </w:numPr>
        <w:spacing w:after="4" w:line="269" w:lineRule="auto"/>
        <w:ind w:right="48" w:hanging="519"/>
        <w:jc w:val="both"/>
      </w:pPr>
      <w:r>
        <w:rPr>
          <w:rFonts w:ascii="Arial" w:eastAsia="Arial" w:hAnsi="Arial" w:cs="Arial"/>
          <w:sz w:val="16"/>
        </w:rPr>
        <w:t xml:space="preserve">Por persistencia durante más de 6 meses tras la de suspensión de suministro. </w:t>
      </w:r>
    </w:p>
    <w:p w:rsidR="0049318A" w:rsidRDefault="002B40D1">
      <w:pPr>
        <w:numPr>
          <w:ilvl w:val="2"/>
          <w:numId w:val="21"/>
        </w:numPr>
        <w:spacing w:after="4" w:line="269" w:lineRule="auto"/>
        <w:ind w:right="48" w:hanging="519"/>
        <w:jc w:val="both"/>
      </w:pPr>
      <w:r>
        <w:rPr>
          <w:rFonts w:ascii="Arial" w:eastAsia="Arial" w:hAnsi="Arial" w:cs="Arial"/>
          <w:sz w:val="16"/>
        </w:rPr>
        <w:t xml:space="preserve">Por incumplimiento de los términos o condiciones fijadas en el contrato del suministro.  </w:t>
      </w:r>
    </w:p>
    <w:p w:rsidR="0049318A" w:rsidRDefault="002B40D1">
      <w:pPr>
        <w:numPr>
          <w:ilvl w:val="2"/>
          <w:numId w:val="21"/>
        </w:numPr>
        <w:spacing w:after="4" w:line="269" w:lineRule="auto"/>
        <w:ind w:right="48" w:hanging="519"/>
        <w:jc w:val="both"/>
      </w:pPr>
      <w:r>
        <w:rPr>
          <w:rFonts w:ascii="Arial" w:eastAsia="Arial" w:hAnsi="Arial" w:cs="Arial"/>
          <w:sz w:val="16"/>
        </w:rPr>
        <w:t>Por utilizació</w:t>
      </w:r>
      <w:r>
        <w:rPr>
          <w:rFonts w:ascii="Arial" w:eastAsia="Arial" w:hAnsi="Arial" w:cs="Arial"/>
          <w:sz w:val="16"/>
        </w:rPr>
        <w:t xml:space="preserve">n del suministro sin ser el titular contractual del mismo.  </w:t>
      </w:r>
    </w:p>
    <w:p w:rsidR="0049318A" w:rsidRDefault="002B40D1">
      <w:pPr>
        <w:numPr>
          <w:ilvl w:val="2"/>
          <w:numId w:val="21"/>
        </w:numPr>
        <w:spacing w:after="4" w:line="269" w:lineRule="auto"/>
        <w:ind w:right="48" w:hanging="519"/>
        <w:jc w:val="both"/>
      </w:pPr>
      <w:r>
        <w:rPr>
          <w:rFonts w:ascii="Arial" w:eastAsia="Arial" w:hAnsi="Arial" w:cs="Arial"/>
          <w:sz w:val="16"/>
        </w:rPr>
        <w:t xml:space="preserve">Por incumplimiento de las obligaciones relativas a la reserva de agua y su correcto funcionamiento. </w:t>
      </w:r>
    </w:p>
    <w:p w:rsidR="0049318A" w:rsidRDefault="002B40D1">
      <w:pPr>
        <w:spacing w:after="4" w:line="269" w:lineRule="auto"/>
        <w:ind w:left="1447" w:right="48" w:hanging="328"/>
        <w:jc w:val="both"/>
      </w:pPr>
      <w:r>
        <w:rPr>
          <w:rFonts w:ascii="Arial" w:eastAsia="Arial" w:hAnsi="Arial" w:cs="Arial"/>
          <w:sz w:val="16"/>
        </w:rPr>
        <w:t>2. La reanudación del suministro después de haberse extinguido el contrato por cualquiera de l</w:t>
      </w:r>
      <w:r>
        <w:rPr>
          <w:rFonts w:ascii="Arial" w:eastAsia="Arial" w:hAnsi="Arial" w:cs="Arial"/>
          <w:sz w:val="16"/>
        </w:rPr>
        <w:t xml:space="preserve">as causas señaladas anteriormente, sólo podrá efectuarse mediante nueva solicitud, suscripción de nuevo contrato y pago de los derechos correspondientes. </w:t>
      </w:r>
    </w:p>
    <w:p w:rsidR="0049318A" w:rsidRDefault="002B40D1">
      <w:pPr>
        <w:spacing w:after="14"/>
        <w:ind w:left="801"/>
      </w:pPr>
      <w:r>
        <w:rPr>
          <w:rFonts w:ascii="Arial" w:eastAsia="Arial" w:hAnsi="Arial" w:cs="Arial"/>
          <w:sz w:val="16"/>
        </w:rPr>
        <w:t xml:space="preserve"> </w:t>
      </w:r>
    </w:p>
    <w:p w:rsidR="0049318A" w:rsidRDefault="002B40D1">
      <w:pPr>
        <w:numPr>
          <w:ilvl w:val="0"/>
          <w:numId w:val="20"/>
        </w:numPr>
        <w:spacing w:after="17"/>
        <w:ind w:hanging="309"/>
      </w:pPr>
      <w:r>
        <w:rPr>
          <w:rFonts w:ascii="Arial" w:eastAsia="Arial" w:hAnsi="Arial" w:cs="Arial"/>
          <w:b/>
          <w:sz w:val="16"/>
        </w:rPr>
        <w:t xml:space="preserve">Infracciones y sanciones. </w:t>
      </w:r>
    </w:p>
    <w:p w:rsidR="0049318A" w:rsidRDefault="002B40D1">
      <w:pPr>
        <w:spacing w:after="4" w:line="269" w:lineRule="auto"/>
        <w:ind w:left="1317" w:right="48" w:hanging="328"/>
        <w:jc w:val="both"/>
      </w:pPr>
      <w:r>
        <w:rPr>
          <w:rFonts w:ascii="Arial" w:eastAsia="Arial" w:hAnsi="Arial" w:cs="Arial"/>
          <w:sz w:val="16"/>
        </w:rPr>
        <w:t>1. En todo lo referente a infracciones y sanciones, será de aplicación l</w:t>
      </w:r>
      <w:r>
        <w:rPr>
          <w:rFonts w:ascii="Arial" w:eastAsia="Arial" w:hAnsi="Arial" w:cs="Arial"/>
          <w:sz w:val="16"/>
        </w:rPr>
        <w:t xml:space="preserve">a Ley 58/2003, de 17 de diciembre, General Tributaria, en concreto los artículos 183 y siguientes, y las disposiciones que la desarrollen. </w:t>
      </w:r>
    </w:p>
    <w:p w:rsidR="0049318A" w:rsidRDefault="002B40D1">
      <w:pPr>
        <w:spacing w:after="14"/>
        <w:ind w:left="801"/>
      </w:pPr>
      <w:r>
        <w:rPr>
          <w:rFonts w:ascii="Arial" w:eastAsia="Arial" w:hAnsi="Arial" w:cs="Arial"/>
          <w:b/>
          <w:sz w:val="16"/>
        </w:rPr>
        <w:t xml:space="preserve"> </w:t>
      </w:r>
    </w:p>
    <w:p w:rsidR="0049318A" w:rsidRDefault="002B40D1">
      <w:pPr>
        <w:numPr>
          <w:ilvl w:val="0"/>
          <w:numId w:val="20"/>
        </w:numPr>
        <w:spacing w:after="17"/>
        <w:ind w:hanging="309"/>
      </w:pPr>
      <w:r>
        <w:rPr>
          <w:rFonts w:ascii="Arial" w:eastAsia="Arial" w:hAnsi="Arial" w:cs="Arial"/>
          <w:b/>
          <w:sz w:val="16"/>
        </w:rPr>
        <w:t xml:space="preserve">Concesión del servicio. </w:t>
      </w:r>
    </w:p>
    <w:p w:rsidR="0049318A" w:rsidRDefault="002B40D1">
      <w:pPr>
        <w:numPr>
          <w:ilvl w:val="4"/>
          <w:numId w:val="22"/>
        </w:numPr>
        <w:spacing w:after="4" w:line="269" w:lineRule="auto"/>
        <w:ind w:right="48" w:hanging="328"/>
        <w:jc w:val="both"/>
      </w:pPr>
      <w:r>
        <w:rPr>
          <w:rFonts w:ascii="Arial" w:eastAsia="Arial" w:hAnsi="Arial" w:cs="Arial"/>
          <w:sz w:val="16"/>
        </w:rPr>
        <w:t>La concesión del servicio se otorgará mediante acto administrativo y quedará sujeto a las</w:t>
      </w:r>
      <w:r>
        <w:rPr>
          <w:rFonts w:ascii="Arial" w:eastAsia="Arial" w:hAnsi="Arial" w:cs="Arial"/>
          <w:sz w:val="16"/>
        </w:rPr>
        <w:t xml:space="preserve"> disposiciones de la presente Ordenanza y las que se fijasen en el oportuno contrato. Será por tiempo indefinido en tanto las partes no manifiesten por escrito, su voluntad de rescindir el contrato y por parte del suministrador se cumplan las condiciones p</w:t>
      </w:r>
      <w:r>
        <w:rPr>
          <w:rFonts w:ascii="Arial" w:eastAsia="Arial" w:hAnsi="Arial" w:cs="Arial"/>
          <w:sz w:val="16"/>
        </w:rPr>
        <w:t xml:space="preserve">rescritas en esta Ordenanza y el contrato que queda dicho. </w:t>
      </w:r>
    </w:p>
    <w:p w:rsidR="0049318A" w:rsidRDefault="002B40D1">
      <w:pPr>
        <w:numPr>
          <w:ilvl w:val="4"/>
          <w:numId w:val="22"/>
        </w:numPr>
        <w:spacing w:after="4" w:line="269" w:lineRule="auto"/>
        <w:ind w:right="48" w:hanging="328"/>
        <w:jc w:val="both"/>
      </w:pPr>
      <w:r>
        <w:rPr>
          <w:rFonts w:ascii="Arial" w:eastAsia="Arial" w:hAnsi="Arial" w:cs="Arial"/>
          <w:sz w:val="16"/>
        </w:rPr>
        <w:t xml:space="preserve">Las concesiones se clasifican en: </w:t>
      </w:r>
    </w:p>
    <w:p w:rsidR="0049318A" w:rsidRDefault="002B40D1">
      <w:pPr>
        <w:numPr>
          <w:ilvl w:val="1"/>
          <w:numId w:val="23"/>
        </w:numPr>
        <w:spacing w:after="4" w:line="269" w:lineRule="auto"/>
        <w:ind w:right="48" w:hanging="394"/>
        <w:jc w:val="both"/>
      </w:pPr>
      <w:r>
        <w:rPr>
          <w:rFonts w:ascii="Arial" w:eastAsia="Arial" w:hAnsi="Arial" w:cs="Arial"/>
          <w:sz w:val="16"/>
        </w:rPr>
        <w:t xml:space="preserve">Para usos domésticos, es decir, para atender a las necesidades de la vida e higiene privada. </w:t>
      </w:r>
    </w:p>
    <w:p w:rsidR="0049318A" w:rsidRDefault="002B40D1">
      <w:pPr>
        <w:numPr>
          <w:ilvl w:val="1"/>
          <w:numId w:val="23"/>
        </w:numPr>
        <w:spacing w:after="4" w:line="269" w:lineRule="auto"/>
        <w:ind w:right="48" w:hanging="394"/>
        <w:jc w:val="both"/>
      </w:pPr>
      <w:r>
        <w:rPr>
          <w:rFonts w:ascii="Arial" w:eastAsia="Arial" w:hAnsi="Arial" w:cs="Arial"/>
          <w:sz w:val="16"/>
        </w:rPr>
        <w:t xml:space="preserve">Para usos industriales o comerciales, considerándose dentro de éstos, los hoteles, bares, tabernas, garajes, establos, fábricas, colegios, etc. </w:t>
      </w:r>
    </w:p>
    <w:p w:rsidR="0049318A" w:rsidRDefault="002B40D1">
      <w:pPr>
        <w:spacing w:after="9"/>
        <w:ind w:left="801"/>
      </w:pPr>
      <w:r>
        <w:rPr>
          <w:rFonts w:ascii="Arial" w:eastAsia="Arial" w:hAnsi="Arial" w:cs="Arial"/>
          <w:sz w:val="16"/>
        </w:rPr>
        <w:t xml:space="preserve"> </w:t>
      </w:r>
    </w:p>
    <w:p w:rsidR="0049318A" w:rsidRDefault="002B40D1">
      <w:pPr>
        <w:numPr>
          <w:ilvl w:val="1"/>
          <w:numId w:val="23"/>
        </w:numPr>
        <w:spacing w:after="9" w:line="271" w:lineRule="auto"/>
        <w:ind w:right="48" w:hanging="394"/>
        <w:jc w:val="both"/>
      </w:pPr>
      <w:r>
        <w:rPr>
          <w:rFonts w:ascii="Arial" w:eastAsia="Arial" w:hAnsi="Arial" w:cs="Arial"/>
          <w:sz w:val="18"/>
        </w:rPr>
        <w:t xml:space="preserve">Para usos oficiales. </w:t>
      </w:r>
    </w:p>
    <w:p w:rsidR="0049318A" w:rsidRDefault="002B40D1">
      <w:pPr>
        <w:spacing w:after="0"/>
        <w:ind w:left="801"/>
      </w:pPr>
      <w:r>
        <w:rPr>
          <w:rFonts w:ascii="Arial" w:eastAsia="Arial" w:hAnsi="Arial" w:cs="Arial"/>
          <w:sz w:val="16"/>
        </w:rPr>
        <w:t xml:space="preserve"> </w:t>
      </w:r>
      <w:r>
        <w:rPr>
          <w:rFonts w:ascii="Arial" w:eastAsia="Arial" w:hAnsi="Arial" w:cs="Arial"/>
          <w:sz w:val="18"/>
        </w:rPr>
        <w:t xml:space="preserve"> </w:t>
      </w:r>
    </w:p>
    <w:p w:rsidR="0049318A" w:rsidRDefault="002B40D1">
      <w:pPr>
        <w:spacing w:after="0"/>
        <w:ind w:left="801"/>
      </w:pPr>
      <w:r>
        <w:rPr>
          <w:rFonts w:ascii="Arial" w:eastAsia="Arial" w:hAnsi="Arial" w:cs="Arial"/>
          <w:sz w:val="16"/>
        </w:rPr>
        <w:t xml:space="preserve"> </w:t>
      </w:r>
    </w:p>
    <w:p w:rsidR="0049318A" w:rsidRDefault="002B40D1">
      <w:pPr>
        <w:spacing w:after="540" w:line="265" w:lineRule="auto"/>
        <w:ind w:left="10" w:right="154" w:hanging="10"/>
        <w:jc w:val="right"/>
      </w:pPr>
      <w:r>
        <w:rPr>
          <w:rFonts w:ascii="Times New Roman" w:eastAsia="Times New Roman" w:hAnsi="Times New Roman" w:cs="Times New Roman"/>
          <w:color w:val="181717"/>
          <w:sz w:val="16"/>
        </w:rPr>
        <w:t>29068</w:t>
      </w:r>
    </w:p>
    <w:p w:rsidR="0049318A" w:rsidRDefault="002B40D1">
      <w:pPr>
        <w:spacing w:after="16"/>
        <w:ind w:left="441"/>
      </w:pPr>
      <w:r>
        <w:rPr>
          <w:rFonts w:ascii="Arial" w:eastAsia="Arial" w:hAnsi="Arial" w:cs="Arial"/>
          <w:sz w:val="18"/>
        </w:rPr>
        <w:lastRenderedPageBreak/>
        <w:t xml:space="preserve"> </w:t>
      </w:r>
    </w:p>
    <w:p w:rsidR="0049318A" w:rsidRDefault="002B40D1">
      <w:pPr>
        <w:spacing w:after="4" w:line="249" w:lineRule="auto"/>
        <w:ind w:left="451" w:right="504" w:hanging="10"/>
        <w:jc w:val="both"/>
      </w:pPr>
      <w:r>
        <w:rPr>
          <w:rFonts w:ascii="Arial" w:eastAsia="Arial" w:hAnsi="Arial" w:cs="Arial"/>
          <w:b/>
          <w:sz w:val="18"/>
        </w:rPr>
        <w:t xml:space="preserve">Disposición final única. </w:t>
      </w:r>
    </w:p>
    <w:p w:rsidR="0049318A" w:rsidRDefault="002B40D1">
      <w:pPr>
        <w:spacing w:after="9" w:line="271" w:lineRule="auto"/>
        <w:ind w:left="451" w:right="52" w:hanging="10"/>
        <w:jc w:val="both"/>
      </w:pPr>
      <w:r>
        <w:rPr>
          <w:rFonts w:ascii="Arial" w:eastAsia="Arial" w:hAnsi="Arial" w:cs="Arial"/>
          <w:sz w:val="18"/>
        </w:rPr>
        <w:t>La presente Ordenanza no fiscal, aprobada por el</w:t>
      </w:r>
      <w:r>
        <w:rPr>
          <w:rFonts w:ascii="Arial" w:eastAsia="Arial" w:hAnsi="Arial" w:cs="Arial"/>
          <w:sz w:val="18"/>
        </w:rPr>
        <w:t xml:space="preserve"> Pleno de la Corporación y una vez que ha quedado definitivamente aprobada, entrará en vigor al día siguiente al de publicación en el </w:t>
      </w:r>
    </w:p>
    <w:p w:rsidR="0049318A" w:rsidRDefault="002B40D1">
      <w:pPr>
        <w:spacing w:after="9" w:line="271" w:lineRule="auto"/>
        <w:ind w:left="451" w:right="52" w:hanging="10"/>
        <w:jc w:val="both"/>
      </w:pPr>
      <w:r>
        <w:rPr>
          <w:rFonts w:ascii="Arial" w:eastAsia="Arial" w:hAnsi="Arial" w:cs="Arial"/>
          <w:sz w:val="18"/>
        </w:rPr>
        <w:t xml:space="preserve">Boletín Oficial de la Provincia y regirá hasta su modificación o derogación expresa.” </w:t>
      </w:r>
    </w:p>
    <w:p w:rsidR="0049318A" w:rsidRDefault="002B40D1">
      <w:pPr>
        <w:spacing w:after="50"/>
        <w:ind w:left="441"/>
      </w:pPr>
      <w:r>
        <w:rPr>
          <w:rFonts w:ascii="Arial" w:eastAsia="Arial" w:hAnsi="Arial" w:cs="Arial"/>
          <w:sz w:val="18"/>
        </w:rPr>
        <w:t xml:space="preserve"> </w:t>
      </w:r>
    </w:p>
    <w:p w:rsidR="0049318A" w:rsidRDefault="002B40D1">
      <w:pPr>
        <w:spacing w:after="0" w:line="240" w:lineRule="auto"/>
        <w:ind w:left="441" w:right="89" w:firstLine="1033"/>
      </w:pPr>
      <w:r>
        <w:rPr>
          <w:rFonts w:ascii="Arial" w:eastAsia="Arial" w:hAnsi="Arial" w:cs="Arial"/>
          <w:b/>
        </w:rPr>
        <w:t xml:space="preserve">TERCERO: Publicar el contenido íntegro de la presente Ordenanza en el Boletín Oficial de la Provincia que entrará en vigor al 1 de enero de 2026. </w:t>
      </w:r>
    </w:p>
    <w:p w:rsidR="0049318A" w:rsidRDefault="002B40D1">
      <w:pPr>
        <w:spacing w:after="19"/>
        <w:ind w:left="441"/>
      </w:pPr>
      <w:r>
        <w:rPr>
          <w:rFonts w:ascii="Arial" w:eastAsia="Arial" w:hAnsi="Arial" w:cs="Arial"/>
          <w:b/>
          <w:sz w:val="16"/>
        </w:rPr>
        <w:t xml:space="preserve"> </w:t>
      </w:r>
    </w:p>
    <w:p w:rsidR="0049318A" w:rsidRDefault="002B40D1">
      <w:pPr>
        <w:spacing w:after="89"/>
        <w:ind w:right="304"/>
        <w:jc w:val="center"/>
      </w:pPr>
      <w:r>
        <w:rPr>
          <w:rFonts w:ascii="Arial" w:eastAsia="Arial" w:hAnsi="Arial" w:cs="Arial"/>
          <w:b/>
          <w:sz w:val="20"/>
        </w:rPr>
        <w:t xml:space="preserve">RÉGIMEN DE RECURSOS </w:t>
      </w:r>
    </w:p>
    <w:p w:rsidR="0049318A" w:rsidRDefault="002B40D1">
      <w:pPr>
        <w:spacing w:after="4" w:line="249" w:lineRule="auto"/>
        <w:ind w:left="1484" w:right="685" w:hanging="10"/>
        <w:jc w:val="both"/>
      </w:pPr>
      <w:r>
        <w:rPr>
          <w:rFonts w:ascii="Arial" w:eastAsia="Arial" w:hAnsi="Arial" w:cs="Arial"/>
          <w:b/>
          <w:sz w:val="20"/>
        </w:rPr>
        <w:t xml:space="preserve">Contra el presente Acuerdo por el que se aprueba la presente </w:t>
      </w:r>
    </w:p>
    <w:p w:rsidR="0049318A" w:rsidRDefault="002B40D1">
      <w:pPr>
        <w:spacing w:after="103" w:line="249" w:lineRule="auto"/>
        <w:ind w:left="450" w:right="685" w:hanging="10"/>
        <w:jc w:val="both"/>
      </w:pPr>
      <w:r>
        <w:rPr>
          <w:rFonts w:ascii="Arial" w:eastAsia="Arial" w:hAnsi="Arial" w:cs="Arial"/>
          <w:b/>
          <w:sz w:val="20"/>
        </w:rPr>
        <w:t>ordenanza puede interpon</w:t>
      </w:r>
      <w:r>
        <w:rPr>
          <w:rFonts w:ascii="Arial" w:eastAsia="Arial" w:hAnsi="Arial" w:cs="Arial"/>
          <w:b/>
          <w:sz w:val="20"/>
        </w:rPr>
        <w:t xml:space="preserve">er recurso contencioso-administrativo ante la Sala de lo Contencioso-Administrativo del Tribunal Superior de Justicia de Canarias en el plazo de dos meses, a contar desde el día siguiente a la publicación del mismo en el Boletín Oficial de la Provincia de </w:t>
      </w:r>
      <w:r>
        <w:rPr>
          <w:rFonts w:ascii="Arial" w:eastAsia="Arial" w:hAnsi="Arial" w:cs="Arial"/>
          <w:b/>
          <w:sz w:val="20"/>
        </w:rPr>
        <w:t xml:space="preserve">conformidad con el artículo 46 de la Ley 29/1998, de 13 de julio, de la Jurisdicción Contencioso-Administrativa. </w:t>
      </w:r>
    </w:p>
    <w:p w:rsidR="0049318A" w:rsidRDefault="002B40D1">
      <w:pPr>
        <w:spacing w:after="103" w:line="249" w:lineRule="auto"/>
        <w:ind w:left="451" w:right="685" w:hanging="10"/>
        <w:jc w:val="both"/>
      </w:pPr>
      <w:r>
        <w:rPr>
          <w:rFonts w:ascii="Arial" w:eastAsia="Arial" w:hAnsi="Arial" w:cs="Arial"/>
          <w:b/>
          <w:sz w:val="20"/>
        </w:rPr>
        <w:t xml:space="preserve">  Todo ello sin perjuicio de que pueda interponer Vd. cualquier otro recurso que pudiera estimar más conveniente a su derecho  </w:t>
      </w:r>
    </w:p>
    <w:p w:rsidR="0049318A" w:rsidRDefault="002B40D1">
      <w:pPr>
        <w:spacing w:after="89"/>
        <w:ind w:left="441"/>
      </w:pPr>
      <w:r>
        <w:rPr>
          <w:rFonts w:ascii="Arial" w:eastAsia="Arial" w:hAnsi="Arial" w:cs="Arial"/>
          <w:b/>
          <w:sz w:val="20"/>
        </w:rPr>
        <w:t xml:space="preserve">  </w:t>
      </w:r>
    </w:p>
    <w:p w:rsidR="0049318A" w:rsidRDefault="002B40D1">
      <w:pPr>
        <w:spacing w:after="714" w:line="249" w:lineRule="auto"/>
        <w:ind w:left="451" w:right="685" w:hanging="10"/>
        <w:jc w:val="both"/>
      </w:pPr>
      <w:r>
        <w:rPr>
          <w:rFonts w:ascii="Arial" w:eastAsia="Arial" w:hAnsi="Arial" w:cs="Arial"/>
          <w:b/>
          <w:sz w:val="20"/>
        </w:rPr>
        <w:t>Todo lo cua</w:t>
      </w:r>
      <w:r>
        <w:rPr>
          <w:rFonts w:ascii="Arial" w:eastAsia="Arial" w:hAnsi="Arial" w:cs="Arial"/>
          <w:b/>
          <w:sz w:val="20"/>
        </w:rPr>
        <w:t xml:space="preserve">l se publica por el Secretario General en virtud de la función de fe pública del artículo 3.2 j) del Real Decreto 128/2018, de 16 de marzo, de régimen jurídico de los funcionarios de Administración local con habilitación de carácter nacional. </w:t>
      </w:r>
    </w:p>
    <w:p w:rsidR="0049318A" w:rsidRDefault="002B40D1">
      <w:pPr>
        <w:spacing w:after="290" w:line="216" w:lineRule="auto"/>
        <w:ind w:left="139" w:hanging="10"/>
      </w:pPr>
      <w:r>
        <w:rPr>
          <w:rFonts w:ascii="Times New Roman" w:eastAsia="Times New Roman" w:hAnsi="Times New Roman" w:cs="Times New Roman"/>
          <w:color w:val="181717"/>
          <w:sz w:val="20"/>
        </w:rPr>
        <w:t>Villa de Candelaria, a uno de diciembre de dos mil veinticinco.</w:t>
      </w:r>
    </w:p>
    <w:p w:rsidR="0049318A" w:rsidRDefault="002B40D1">
      <w:pPr>
        <w:spacing w:after="290" w:line="216" w:lineRule="auto"/>
        <w:ind w:left="-15" w:firstLine="129"/>
      </w:pPr>
      <w:r>
        <w:rPr>
          <w:rFonts w:ascii="Times New Roman" w:eastAsia="Times New Roman" w:hAnsi="Times New Roman" w:cs="Times New Roman"/>
          <w:color w:val="181717"/>
          <w:sz w:val="20"/>
        </w:rPr>
        <w:t>LA ALCALDESA, María Concepción Brito Núñez.- EL SECRETARIO, Octavio Manuel Fernández Hernández, documento firmado electrónicamente.</w:t>
      </w:r>
    </w:p>
    <w:sectPr w:rsidR="0049318A">
      <w:headerReference w:type="even" r:id="rId8"/>
      <w:headerReference w:type="default" r:id="rId9"/>
      <w:footerReference w:type="even" r:id="rId10"/>
      <w:footerReference w:type="default" r:id="rId11"/>
      <w:headerReference w:type="first" r:id="rId12"/>
      <w:pgSz w:w="11906" w:h="16838"/>
      <w:pgMar w:top="1179" w:right="1558" w:bottom="400" w:left="1192" w:header="1083"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0D1" w:rsidRDefault="002B40D1">
      <w:pPr>
        <w:spacing w:after="0" w:line="240" w:lineRule="auto"/>
      </w:pPr>
      <w:r>
        <w:separator/>
      </w:r>
    </w:p>
  </w:endnote>
  <w:endnote w:type="continuationSeparator" w:id="0">
    <w:p w:rsidR="002B40D1" w:rsidRDefault="002B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49318A">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49318A" w:rsidRDefault="002B40D1">
          <w:pPr>
            <w:spacing w:after="0"/>
            <w:jc w:val="center"/>
          </w:pPr>
          <w:r>
            <w:rPr>
              <w:rFonts w:ascii="Arial" w:eastAsia="Arial" w:hAnsi="Arial" w:cs="Arial"/>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Fecha: 15-01-2026 09:40:31</w:t>
          </w:r>
        </w:p>
      </w:tc>
      <w:tc>
        <w:tcPr>
          <w:tcW w:w="1600" w:type="dxa"/>
          <w:vMerge w:val="restart"/>
          <w:tcBorders>
            <w:top w:val="single" w:sz="4" w:space="0" w:color="000000"/>
            <w:left w:val="single" w:sz="4" w:space="0" w:color="000000"/>
            <w:bottom w:val="single" w:sz="4" w:space="0" w:color="000000"/>
            <w:right w:val="single" w:sz="4" w:space="0" w:color="000000"/>
          </w:tcBorders>
        </w:tcPr>
        <w:p w:rsidR="0049318A" w:rsidRDefault="002B40D1">
          <w:pPr>
            <w:spacing w:after="0"/>
            <w:ind w:left="290"/>
          </w:pPr>
          <w:r>
            <w:rPr>
              <w:noProof/>
            </w:rPr>
            <w:drawing>
              <wp:inline distT="0" distB="0" distL="0" distR="0">
                <wp:extent cx="571500" cy="571500"/>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1"/>
                        <a:stretch>
                          <a:fillRect/>
                        </a:stretch>
                      </pic:blipFill>
                      <pic:spPr>
                        <a:xfrm>
                          <a:off x="0" y="0"/>
                          <a:ext cx="571500" cy="571500"/>
                        </a:xfrm>
                        <a:prstGeom prst="rect">
                          <a:avLst/>
                        </a:prstGeom>
                      </pic:spPr>
                    </pic:pic>
                  </a:graphicData>
                </a:graphic>
              </wp:inline>
            </w:drawing>
          </w:r>
        </w:p>
      </w:tc>
    </w:tr>
    <w:tr w:rsidR="0049318A">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spacing w:after="51"/>
            <w:jc w:val="center"/>
          </w:pPr>
          <w:r>
            <w:rPr>
              <w:rFonts w:ascii="Arial" w:eastAsia="Arial" w:hAnsi="Arial" w:cs="Arial"/>
              <w:sz w:val="12"/>
            </w:rPr>
            <w:t>Código Seguro de Verificación (CSV): 373CADAA2E9BB6D12243988352F7A5CA</w:t>
          </w:r>
        </w:p>
        <w:p w:rsidR="0049318A" w:rsidRDefault="002B40D1">
          <w:pPr>
            <w:spacing w:after="0"/>
            <w:jc w:val="center"/>
          </w:pPr>
          <w:r>
            <w:rPr>
              <w:rFonts w:ascii="Arial" w:eastAsia="Arial" w:hAnsi="Arial" w:cs="Arial"/>
              <w:sz w:val="12"/>
            </w:rPr>
            <w:t>Comprobación CSV:  https://sedeelectronica.candelaria.es//publico/documento/373CADAA2E9BB6D12243988352F7A5CA .</w:t>
          </w:r>
        </w:p>
      </w:tc>
      <w:tc>
        <w:tcPr>
          <w:tcW w:w="0" w:type="auto"/>
          <w:vMerge/>
          <w:tcBorders>
            <w:top w:val="nil"/>
            <w:left w:val="single" w:sz="4" w:space="0" w:color="000000"/>
            <w:bottom w:val="nil"/>
            <w:right w:val="single" w:sz="4" w:space="0" w:color="000000"/>
          </w:tcBorders>
        </w:tcPr>
        <w:p w:rsidR="0049318A" w:rsidRDefault="0049318A"/>
      </w:tc>
    </w:tr>
    <w:tr w:rsidR="0049318A">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tabs>
              <w:tab w:val="center" w:pos="5177"/>
              <w:tab w:val="right" w:pos="9186"/>
            </w:tabs>
            <w:spacing w:after="0"/>
          </w:pPr>
          <w:r>
            <w:rPr>
              <w:rFonts w:ascii="Arial" w:eastAsia="Arial" w:hAnsi="Arial" w:cs="Arial"/>
              <w:sz w:val="12"/>
            </w:rPr>
            <w:t>Fecha de sellado electrónico: 15-01-2026 09:40:31</w:t>
          </w:r>
          <w:r>
            <w:rPr>
              <w:rFonts w:ascii="Arial" w:eastAsia="Arial" w:hAnsi="Arial" w:cs="Arial"/>
              <w:sz w:val="12"/>
            </w:rPr>
            <w:tab/>
          </w:r>
          <w:r>
            <w:rPr>
              <w:rFonts w:ascii="Arial" w:eastAsia="Arial" w:hAnsi="Arial" w:cs="Arial"/>
              <w:color w:val="404040"/>
              <w:sz w:val="12"/>
            </w:rPr>
            <w:t xml:space="preserve">- </w:t>
          </w:r>
          <w:r>
            <w:fldChar w:fldCharType="begin"/>
          </w:r>
          <w:r>
            <w:instrText xml:space="preserve"> PAGE   \* MERGEFORMAT </w:instrText>
          </w:r>
          <w:r>
            <w:fldChar w:fldCharType="separate"/>
          </w:r>
          <w:r w:rsidR="00B4080E" w:rsidRPr="00B4080E">
            <w:rPr>
              <w:rFonts w:ascii="Arial" w:eastAsia="Arial" w:hAnsi="Arial" w:cs="Arial"/>
              <w:noProof/>
              <w:color w:val="404040"/>
              <w:sz w:val="12"/>
            </w:rPr>
            <w:t>2</w:t>
          </w:r>
          <w:r>
            <w:rPr>
              <w:rFonts w:ascii="Arial" w:eastAsia="Arial" w:hAnsi="Arial" w:cs="Arial"/>
              <w:color w:val="404040"/>
              <w:sz w:val="12"/>
            </w:rPr>
            <w:fldChar w:fldCharType="end"/>
          </w:r>
          <w:r>
            <w:rPr>
              <w:rFonts w:ascii="Arial" w:eastAsia="Arial" w:hAnsi="Arial" w:cs="Arial"/>
              <w:color w:val="404040"/>
              <w:sz w:val="12"/>
            </w:rPr>
            <w:t>/</w:t>
          </w:r>
          <w:r>
            <w:fldChar w:fldCharType="begin"/>
          </w:r>
          <w:r>
            <w:instrText xml:space="preserve"> NUMPAGES   \* MERGEFORMAT </w:instrText>
          </w:r>
          <w:r>
            <w:fldChar w:fldCharType="separate"/>
          </w:r>
          <w:r w:rsidR="00B4080E" w:rsidRPr="00B4080E">
            <w:rPr>
              <w:rFonts w:ascii="Arial" w:eastAsia="Arial" w:hAnsi="Arial" w:cs="Arial"/>
              <w:noProof/>
              <w:color w:val="404040"/>
              <w:sz w:val="12"/>
            </w:rPr>
            <w:t>2</w:t>
          </w:r>
          <w:r>
            <w:rPr>
              <w:rFonts w:ascii="Arial" w:eastAsia="Arial" w:hAnsi="Arial" w:cs="Arial"/>
              <w:color w:val="404040"/>
              <w:sz w:val="12"/>
            </w:rPr>
            <w:fldChar w:fldCharType="end"/>
          </w:r>
          <w:r>
            <w:rPr>
              <w:rFonts w:ascii="Arial" w:eastAsia="Arial" w:hAnsi="Arial" w:cs="Arial"/>
              <w:color w:val="404040"/>
              <w:sz w:val="12"/>
            </w:rPr>
            <w:t xml:space="preserve"> -</w:t>
          </w:r>
          <w:r>
            <w:rPr>
              <w:rFonts w:ascii="Arial" w:eastAsia="Arial" w:hAnsi="Arial" w:cs="Arial"/>
              <w:color w:val="404040"/>
              <w:sz w:val="12"/>
            </w:rPr>
            <w:tab/>
          </w:r>
          <w:r>
            <w:rPr>
              <w:rFonts w:ascii="Arial" w:eastAsia="Arial" w:hAnsi="Arial" w:cs="Arial"/>
              <w:sz w:val="12"/>
            </w:rPr>
            <w:t>Fecha de emisión de esta copia: 15-01-2026 09:40:31</w:t>
          </w:r>
        </w:p>
      </w:tc>
      <w:tc>
        <w:tcPr>
          <w:tcW w:w="0" w:type="auto"/>
          <w:vMerge/>
          <w:tcBorders>
            <w:top w:val="nil"/>
            <w:left w:val="single" w:sz="4" w:space="0" w:color="000000"/>
            <w:bottom w:val="single" w:sz="4" w:space="0" w:color="000000"/>
            <w:right w:val="single" w:sz="4" w:space="0" w:color="000000"/>
          </w:tcBorders>
        </w:tcPr>
        <w:p w:rsidR="0049318A" w:rsidRDefault="0049318A"/>
      </w:tc>
    </w:tr>
  </w:tbl>
  <w:p w:rsidR="0049318A" w:rsidRDefault="0049318A">
    <w:pPr>
      <w:spacing w:after="0"/>
      <w:ind w:left="-1192" w:right="1034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00" w:tblpY="15438"/>
      <w:tblOverlap w:val="never"/>
      <w:tblW w:w="10906" w:type="dxa"/>
      <w:tblInd w:w="0" w:type="dxa"/>
      <w:tblCellMar>
        <w:top w:w="50" w:type="dxa"/>
        <w:left w:w="60" w:type="dxa"/>
        <w:bottom w:w="0" w:type="dxa"/>
        <w:right w:w="60" w:type="dxa"/>
      </w:tblCellMar>
      <w:tblLook w:val="04A0" w:firstRow="1" w:lastRow="0" w:firstColumn="1" w:lastColumn="0" w:noHBand="0" w:noVBand="1"/>
    </w:tblPr>
    <w:tblGrid>
      <w:gridCol w:w="1200"/>
      <w:gridCol w:w="6306"/>
      <w:gridCol w:w="1800"/>
      <w:gridCol w:w="1600"/>
    </w:tblGrid>
    <w:tr w:rsidR="0049318A">
      <w:trPr>
        <w:trHeight w:val="211"/>
      </w:trPr>
      <w:tc>
        <w:tcPr>
          <w:tcW w:w="1200" w:type="dxa"/>
          <w:tcBorders>
            <w:top w:val="single" w:sz="4" w:space="0" w:color="000000"/>
            <w:left w:val="single" w:sz="4" w:space="0" w:color="000000"/>
            <w:bottom w:val="single" w:sz="4" w:space="0" w:color="000000"/>
            <w:right w:val="single" w:sz="4" w:space="0" w:color="000000"/>
          </w:tcBorders>
          <w:shd w:val="clear" w:color="auto" w:fill="F0F0F0"/>
        </w:tcPr>
        <w:p w:rsidR="0049318A" w:rsidRDefault="002B40D1">
          <w:pPr>
            <w:spacing w:after="0"/>
            <w:jc w:val="center"/>
          </w:pPr>
          <w:r>
            <w:rPr>
              <w:rFonts w:ascii="Arial" w:eastAsia="Arial" w:hAnsi="Arial" w:cs="Arial"/>
              <w:b/>
              <w:sz w:val="12"/>
            </w:rPr>
            <w:t>Firmado por:</w:t>
          </w:r>
        </w:p>
      </w:tc>
      <w:tc>
        <w:tcPr>
          <w:tcW w:w="6306"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ILUSTRE AYUNTAMIENTO DE CANDELARIA</w:t>
          </w:r>
        </w:p>
      </w:tc>
      <w:tc>
        <w:tcPr>
          <w:tcW w:w="1800" w:type="dxa"/>
          <w:tcBorders>
            <w:top w:val="single" w:sz="4" w:space="0" w:color="000000"/>
            <w:left w:val="single" w:sz="4" w:space="0" w:color="000000"/>
            <w:bottom w:val="single" w:sz="4" w:space="0" w:color="000000"/>
            <w:right w:val="single" w:sz="4" w:space="0" w:color="000000"/>
          </w:tcBorders>
        </w:tcPr>
        <w:p w:rsidR="0049318A" w:rsidRDefault="002B40D1">
          <w:pPr>
            <w:spacing w:after="0"/>
            <w:ind w:left="5"/>
          </w:pPr>
          <w:r>
            <w:rPr>
              <w:rFonts w:ascii="Arial" w:eastAsia="Arial" w:hAnsi="Arial" w:cs="Arial"/>
              <w:sz w:val="12"/>
            </w:rPr>
            <w:t>Fecha: 15-01-2026 09:40:31</w:t>
          </w:r>
        </w:p>
      </w:tc>
      <w:tc>
        <w:tcPr>
          <w:tcW w:w="1600" w:type="dxa"/>
          <w:vMerge w:val="restart"/>
          <w:tcBorders>
            <w:top w:val="single" w:sz="4" w:space="0" w:color="000000"/>
            <w:left w:val="single" w:sz="4" w:space="0" w:color="000000"/>
            <w:bottom w:val="single" w:sz="4" w:space="0" w:color="000000"/>
            <w:right w:val="single" w:sz="4" w:space="0" w:color="000000"/>
          </w:tcBorders>
        </w:tcPr>
        <w:p w:rsidR="0049318A" w:rsidRDefault="002B40D1">
          <w:pPr>
            <w:spacing w:after="0"/>
            <w:ind w:left="290"/>
          </w:pPr>
          <w:r>
            <w:rPr>
              <w:noProof/>
            </w:rPr>
            <w:drawing>
              <wp:inline distT="0" distB="0" distL="0" distR="0">
                <wp:extent cx="571500" cy="571500"/>
                <wp:effectExtent l="0" t="0" r="0" b="0"/>
                <wp:docPr id="1"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1"/>
                        <a:stretch>
                          <a:fillRect/>
                        </a:stretch>
                      </pic:blipFill>
                      <pic:spPr>
                        <a:xfrm>
                          <a:off x="0" y="0"/>
                          <a:ext cx="571500" cy="571500"/>
                        </a:xfrm>
                        <a:prstGeom prst="rect">
                          <a:avLst/>
                        </a:prstGeom>
                      </pic:spPr>
                    </pic:pic>
                  </a:graphicData>
                </a:graphic>
              </wp:inline>
            </w:drawing>
          </w:r>
        </w:p>
      </w:tc>
    </w:tr>
    <w:tr w:rsidR="0049318A">
      <w:trPr>
        <w:trHeight w:val="520"/>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spacing w:after="51"/>
            <w:jc w:val="center"/>
          </w:pPr>
          <w:r>
            <w:rPr>
              <w:rFonts w:ascii="Arial" w:eastAsia="Arial" w:hAnsi="Arial" w:cs="Arial"/>
              <w:sz w:val="12"/>
            </w:rPr>
            <w:t>Código Seguro de Verificación (CSV): 373CADAA2E9BB6D12243988352F7A5CA</w:t>
          </w:r>
        </w:p>
        <w:p w:rsidR="0049318A" w:rsidRDefault="002B40D1">
          <w:pPr>
            <w:spacing w:after="0"/>
            <w:jc w:val="center"/>
          </w:pPr>
          <w:r>
            <w:rPr>
              <w:rFonts w:ascii="Arial" w:eastAsia="Arial" w:hAnsi="Arial" w:cs="Arial"/>
              <w:sz w:val="12"/>
            </w:rPr>
            <w:t>Comprobación CSV:  https://sedeelectronica.candelaria.es//publico/documento/373CADAA2E9BB6D12243988352F7A5CA .</w:t>
          </w:r>
        </w:p>
      </w:tc>
      <w:tc>
        <w:tcPr>
          <w:tcW w:w="0" w:type="auto"/>
          <w:vMerge/>
          <w:tcBorders>
            <w:top w:val="nil"/>
            <w:left w:val="single" w:sz="4" w:space="0" w:color="000000"/>
            <w:bottom w:val="nil"/>
            <w:right w:val="single" w:sz="4" w:space="0" w:color="000000"/>
          </w:tcBorders>
        </w:tcPr>
        <w:p w:rsidR="0049318A" w:rsidRDefault="0049318A"/>
      </w:tc>
    </w:tr>
    <w:tr w:rsidR="0049318A">
      <w:trPr>
        <w:trHeight w:val="269"/>
      </w:trPr>
      <w:tc>
        <w:tcPr>
          <w:tcW w:w="9306" w:type="dxa"/>
          <w:gridSpan w:val="3"/>
          <w:tcBorders>
            <w:top w:val="single" w:sz="4" w:space="0" w:color="000000"/>
            <w:left w:val="single" w:sz="4" w:space="0" w:color="000000"/>
            <w:bottom w:val="single" w:sz="4" w:space="0" w:color="000000"/>
            <w:right w:val="single" w:sz="4" w:space="0" w:color="000000"/>
          </w:tcBorders>
        </w:tcPr>
        <w:p w:rsidR="0049318A" w:rsidRDefault="002B40D1">
          <w:pPr>
            <w:tabs>
              <w:tab w:val="center" w:pos="5177"/>
              <w:tab w:val="right" w:pos="9186"/>
            </w:tabs>
            <w:spacing w:after="0"/>
          </w:pPr>
          <w:r>
            <w:rPr>
              <w:rFonts w:ascii="Arial" w:eastAsia="Arial" w:hAnsi="Arial" w:cs="Arial"/>
              <w:sz w:val="12"/>
            </w:rPr>
            <w:t>Fecha de sellado electrónico: 15-01-2026 09:40:31</w:t>
          </w:r>
          <w:r>
            <w:rPr>
              <w:rFonts w:ascii="Arial" w:eastAsia="Arial" w:hAnsi="Arial" w:cs="Arial"/>
              <w:sz w:val="12"/>
            </w:rPr>
            <w:tab/>
          </w:r>
          <w:r>
            <w:rPr>
              <w:rFonts w:ascii="Arial" w:eastAsia="Arial" w:hAnsi="Arial" w:cs="Arial"/>
              <w:color w:val="404040"/>
              <w:sz w:val="12"/>
            </w:rPr>
            <w:t xml:space="preserve">- </w:t>
          </w:r>
          <w:r>
            <w:fldChar w:fldCharType="begin"/>
          </w:r>
          <w:r>
            <w:instrText xml:space="preserve"> PAGE   \* MERGEFORMAT </w:instrText>
          </w:r>
          <w:r>
            <w:fldChar w:fldCharType="separate"/>
          </w:r>
          <w:r>
            <w:rPr>
              <w:rFonts w:ascii="Arial" w:eastAsia="Arial" w:hAnsi="Arial" w:cs="Arial"/>
              <w:color w:val="404040"/>
              <w:sz w:val="12"/>
            </w:rPr>
            <w:t>2</w:t>
          </w:r>
          <w:r>
            <w:rPr>
              <w:rFonts w:ascii="Arial" w:eastAsia="Arial" w:hAnsi="Arial" w:cs="Arial"/>
              <w:color w:val="404040"/>
              <w:sz w:val="12"/>
            </w:rPr>
            <w:fldChar w:fldCharType="end"/>
          </w:r>
          <w:r>
            <w:rPr>
              <w:rFonts w:ascii="Arial" w:eastAsia="Arial" w:hAnsi="Arial" w:cs="Arial"/>
              <w:color w:val="404040"/>
              <w:sz w:val="12"/>
            </w:rPr>
            <w:t>/</w:t>
          </w:r>
          <w:r>
            <w:fldChar w:fldCharType="begin"/>
          </w:r>
          <w:r>
            <w:instrText xml:space="preserve"> NUMPAGES   \* MERGEFORMAT </w:instrText>
          </w:r>
          <w:r>
            <w:fldChar w:fldCharType="separate"/>
          </w:r>
          <w:r>
            <w:rPr>
              <w:rFonts w:ascii="Arial" w:eastAsia="Arial" w:hAnsi="Arial" w:cs="Arial"/>
              <w:color w:val="404040"/>
              <w:sz w:val="12"/>
            </w:rPr>
            <w:t>18</w:t>
          </w:r>
          <w:r>
            <w:rPr>
              <w:rFonts w:ascii="Arial" w:eastAsia="Arial" w:hAnsi="Arial" w:cs="Arial"/>
              <w:color w:val="404040"/>
              <w:sz w:val="12"/>
            </w:rPr>
            <w:fldChar w:fldCharType="end"/>
          </w:r>
          <w:r>
            <w:rPr>
              <w:rFonts w:ascii="Arial" w:eastAsia="Arial" w:hAnsi="Arial" w:cs="Arial"/>
              <w:color w:val="404040"/>
              <w:sz w:val="12"/>
            </w:rPr>
            <w:t xml:space="preserve"> -</w:t>
          </w:r>
          <w:r>
            <w:rPr>
              <w:rFonts w:ascii="Arial" w:eastAsia="Arial" w:hAnsi="Arial" w:cs="Arial"/>
              <w:color w:val="404040"/>
              <w:sz w:val="12"/>
            </w:rPr>
            <w:tab/>
          </w:r>
          <w:r>
            <w:rPr>
              <w:rFonts w:ascii="Arial" w:eastAsia="Arial" w:hAnsi="Arial" w:cs="Arial"/>
              <w:sz w:val="12"/>
            </w:rPr>
            <w:t>Fecha de emisión de esta copia: 15-01-2026 09:40:31</w:t>
          </w:r>
        </w:p>
      </w:tc>
      <w:tc>
        <w:tcPr>
          <w:tcW w:w="0" w:type="auto"/>
          <w:vMerge/>
          <w:tcBorders>
            <w:top w:val="nil"/>
            <w:left w:val="single" w:sz="4" w:space="0" w:color="000000"/>
            <w:bottom w:val="single" w:sz="4" w:space="0" w:color="000000"/>
            <w:right w:val="single" w:sz="4" w:space="0" w:color="000000"/>
          </w:tcBorders>
        </w:tcPr>
        <w:p w:rsidR="0049318A" w:rsidRDefault="0049318A"/>
      </w:tc>
    </w:tr>
  </w:tbl>
  <w:p w:rsidR="0049318A" w:rsidRDefault="0049318A">
    <w:pPr>
      <w:spacing w:after="0"/>
      <w:ind w:left="-1192" w:right="1034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0D1" w:rsidRDefault="002B40D1">
      <w:pPr>
        <w:spacing w:after="0" w:line="240" w:lineRule="auto"/>
      </w:pPr>
      <w:r>
        <w:separator/>
      </w:r>
    </w:p>
  </w:footnote>
  <w:footnote w:type="continuationSeparator" w:id="0">
    <w:p w:rsidR="002B40D1" w:rsidRDefault="002B4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8A" w:rsidRDefault="002B40D1">
    <w:pPr>
      <w:spacing w:after="0"/>
      <w:ind w:left="385"/>
    </w:pPr>
    <w:r>
      <w:rPr>
        <w:noProof/>
      </w:rPr>
      <mc:AlternateContent>
        <mc:Choice Requires="wpg">
          <w:drawing>
            <wp:anchor distT="0" distB="0" distL="114300" distR="114300" simplePos="0" relativeHeight="251658240" behindDoc="0" locked="0" layoutInCell="1" allowOverlap="1">
              <wp:simplePos x="0" y="0"/>
              <wp:positionH relativeFrom="page">
                <wp:posOffset>791930</wp:posOffset>
              </wp:positionH>
              <wp:positionV relativeFrom="page">
                <wp:posOffset>687935</wp:posOffset>
              </wp:positionV>
              <wp:extent cx="5976084" cy="11584"/>
              <wp:effectExtent l="0" t="0" r="0" b="0"/>
              <wp:wrapSquare wrapText="bothSides"/>
              <wp:docPr id="55199" name="Group 55199"/>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200" name="Shape 55200"/>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199" style="width:470.558pt;height:0.9121pt;position:absolute;mso-position-horizontal-relative:page;mso-position-horizontal:absolute;margin-left:62.3567pt;mso-position-vertical-relative:page;margin-top:54.1681pt;" coordsize="59760,115">
              <v:shape id="Shape 55200" style="position:absolute;width:59760;height:0;left:0;top:0;" coordsize="5976084,0" path="m0,0l5976084,0">
                <v:stroke weight="0.9121pt" endcap="flat" joinstyle="miter" miterlimit="4" on="true" color="#181717"/>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791930</wp:posOffset>
              </wp:positionH>
              <wp:positionV relativeFrom="page">
                <wp:posOffset>889327</wp:posOffset>
              </wp:positionV>
              <wp:extent cx="5976084" cy="11584"/>
              <wp:effectExtent l="0" t="0" r="0" b="0"/>
              <wp:wrapSquare wrapText="bothSides"/>
              <wp:docPr id="55201" name="Group 55201"/>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202" name="Shape 55202"/>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201" style="width:470.558pt;height:0.9121pt;position:absolute;mso-position-horizontal-relative:page;mso-position-horizontal:absolute;margin-left:62.3567pt;mso-position-vertical-relative:page;margin-top:70.0258pt;" coordsize="59760,115">
              <v:shape id="Shape 55202"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Provincia de Santa Cruz de Tenerife. Número 149, Miércoles 10 de diciembre de 2025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8A" w:rsidRDefault="002B40D1">
    <w:pPr>
      <w:spacing w:after="0"/>
      <w:ind w:left="2229" w:right="-1"/>
    </w:pPr>
    <w:r>
      <w:rPr>
        <w:noProof/>
      </w:rPr>
      <mc:AlternateContent>
        <mc:Choice Requires="wpg">
          <w:drawing>
            <wp:anchor distT="0" distB="0" distL="114300" distR="114300" simplePos="0" relativeHeight="251660288" behindDoc="0" locked="0" layoutInCell="1" allowOverlap="1">
              <wp:simplePos x="0" y="0"/>
              <wp:positionH relativeFrom="page">
                <wp:posOffset>791930</wp:posOffset>
              </wp:positionH>
              <wp:positionV relativeFrom="page">
                <wp:posOffset>699336</wp:posOffset>
              </wp:positionV>
              <wp:extent cx="5976084" cy="11584"/>
              <wp:effectExtent l="0" t="0" r="0" b="0"/>
              <wp:wrapSquare wrapText="bothSides"/>
              <wp:docPr id="55086" name="Group 55086"/>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087" name="Shape 55087"/>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86" style="width:470.558pt;height:0.9121pt;position:absolute;mso-position-horizontal-relative:page;mso-position-horizontal:absolute;margin-left:62.3567pt;mso-position-vertical-relative:page;margin-top:55.0659pt;" coordsize="59760,115">
              <v:shape id="Shape 55087" style="position:absolute;width:59760;height:0;left:0;top:0;" coordsize="5976084,0" path="m0,0l5976084,0">
                <v:stroke weight="0.9121pt" endcap="flat" joinstyle="miter" miterlimit="4" on="true" color="#181717"/>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791930</wp:posOffset>
              </wp:positionH>
              <wp:positionV relativeFrom="page">
                <wp:posOffset>900728</wp:posOffset>
              </wp:positionV>
              <wp:extent cx="5976084" cy="11584"/>
              <wp:effectExtent l="0" t="0" r="0" b="0"/>
              <wp:wrapSquare wrapText="bothSides"/>
              <wp:docPr id="55088" name="Group 55088"/>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089" name="Shape 55089"/>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88" style="width:470.558pt;height:0.9121pt;position:absolute;mso-position-horizontal-relative:page;mso-position-horizontal:absolute;margin-left:62.3567pt;mso-position-vertical-relative:page;margin-top:70.9235pt;" coordsize="59760,115">
              <v:shape id="Shape 55089"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Provincia de Santa Cruz de Tenerife. Número 149, Miércoles 10 de diciembre de 2025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8A" w:rsidRDefault="002B40D1">
    <w:pPr>
      <w:spacing w:after="0"/>
      <w:ind w:left="2229" w:right="-1"/>
    </w:pPr>
    <w:r>
      <w:rPr>
        <w:noProof/>
      </w:rPr>
      <mc:AlternateContent>
        <mc:Choice Requires="wpg">
          <w:drawing>
            <wp:anchor distT="0" distB="0" distL="114300" distR="114300" simplePos="0" relativeHeight="251662336" behindDoc="0" locked="0" layoutInCell="1" allowOverlap="1">
              <wp:simplePos x="0" y="0"/>
              <wp:positionH relativeFrom="page">
                <wp:posOffset>791930</wp:posOffset>
              </wp:positionH>
              <wp:positionV relativeFrom="page">
                <wp:posOffset>699336</wp:posOffset>
              </wp:positionV>
              <wp:extent cx="5976084" cy="11584"/>
              <wp:effectExtent l="0" t="0" r="0" b="0"/>
              <wp:wrapSquare wrapText="bothSides"/>
              <wp:docPr id="55075" name="Group 55075"/>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076" name="Shape 55076"/>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75" style="width:470.558pt;height:0.9121pt;position:absolute;mso-position-horizontal-relative:page;mso-position-horizontal:absolute;margin-left:62.3567pt;mso-position-vertical-relative:page;margin-top:55.0659pt;" coordsize="59760,115">
              <v:shape id="Shape 55076" style="position:absolute;width:59760;height:0;left:0;top:0;" coordsize="5976084,0" path="m0,0l5976084,0">
                <v:stroke weight="0.9121pt" endcap="flat" joinstyle="miter" miterlimit="4" on="true" color="#181717"/>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791930</wp:posOffset>
              </wp:positionH>
              <wp:positionV relativeFrom="page">
                <wp:posOffset>900728</wp:posOffset>
              </wp:positionV>
              <wp:extent cx="5976084" cy="11584"/>
              <wp:effectExtent l="0" t="0" r="0" b="0"/>
              <wp:wrapSquare wrapText="bothSides"/>
              <wp:docPr id="55077" name="Group 55077"/>
              <wp:cNvGraphicFramePr/>
              <a:graphic xmlns:a="http://schemas.openxmlformats.org/drawingml/2006/main">
                <a:graphicData uri="http://schemas.microsoft.com/office/word/2010/wordprocessingGroup">
                  <wpg:wgp>
                    <wpg:cNvGrpSpPr/>
                    <wpg:grpSpPr>
                      <a:xfrm>
                        <a:off x="0" y="0"/>
                        <a:ext cx="5976084" cy="11584"/>
                        <a:chOff x="0" y="0"/>
                        <a:chExt cx="5976084" cy="11584"/>
                      </a:xfrm>
                    </wpg:grpSpPr>
                    <wps:wsp>
                      <wps:cNvPr id="55078" name="Shape 55078"/>
                      <wps:cNvSpPr/>
                      <wps:spPr>
                        <a:xfrm>
                          <a:off x="0" y="0"/>
                          <a:ext cx="5976084" cy="0"/>
                        </a:xfrm>
                        <a:custGeom>
                          <a:avLst/>
                          <a:gdLst/>
                          <a:ahLst/>
                          <a:cxnLst/>
                          <a:rect l="0" t="0" r="0" b="0"/>
                          <a:pathLst>
                            <a:path w="5976084">
                              <a:moveTo>
                                <a:pt x="0" y="0"/>
                              </a:moveTo>
                              <a:lnTo>
                                <a:pt x="5976084" y="0"/>
                              </a:lnTo>
                            </a:path>
                          </a:pathLst>
                        </a:custGeom>
                        <a:ln w="11584"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77" style="width:470.558pt;height:0.9121pt;position:absolute;mso-position-horizontal-relative:page;mso-position-horizontal:absolute;margin-left:62.3567pt;mso-position-vertical-relative:page;margin-top:70.9235pt;" coordsize="59760,115">
              <v:shape id="Shape 55078" style="position:absolute;width:59760;height:0;left:0;top:0;" coordsize="5976084,0" path="m0,0l5976084,0">
                <v:stroke weight="0.9121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6"/>
      </w:rPr>
      <w:t xml:space="preserve"> Boletín Oficial de la Provi</w:t>
    </w:r>
    <w:r>
      <w:rPr>
        <w:rFonts w:ascii="Times New Roman" w:eastAsia="Times New Roman" w:hAnsi="Times New Roman" w:cs="Times New Roman"/>
        <w:color w:val="181717"/>
        <w:sz w:val="16"/>
      </w:rPr>
      <w:t>ncia de Santa Cruz de Tenerife. Número 149, Miércoles 10 de diciembre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1E5"/>
    <w:multiLevelType w:val="multilevel"/>
    <w:tmpl w:val="7EF2A0B6"/>
    <w:lvl w:ilvl="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12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Restart w:val="0"/>
      <w:lvlText w:val="%1.%2.%3."/>
      <w:lvlJc w:val="left"/>
      <w:pPr>
        <w:ind w:left="23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9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6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3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0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7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5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A4C491B"/>
    <w:multiLevelType w:val="hybridMultilevel"/>
    <w:tmpl w:val="CFD2643A"/>
    <w:lvl w:ilvl="0" w:tplc="A0521A2A">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B41D60">
      <w:start w:val="1"/>
      <w:numFmt w:val="lowerLetter"/>
      <w:lvlText w:val="%2"/>
      <w:lvlJc w:val="left"/>
      <w:pPr>
        <w:ind w:left="6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BC4C714">
      <w:start w:val="1"/>
      <w:numFmt w:val="lowerRoman"/>
      <w:lvlText w:val="%3"/>
      <w:lvlJc w:val="left"/>
      <w:pPr>
        <w:ind w:left="8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1A65B22">
      <w:start w:val="1"/>
      <w:numFmt w:val="decimal"/>
      <w:lvlText w:val="%4"/>
      <w:lvlJc w:val="left"/>
      <w:pPr>
        <w:ind w:left="10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F664FE">
      <w:start w:val="1"/>
      <w:numFmt w:val="decimal"/>
      <w:lvlRestart w:val="0"/>
      <w:lvlText w:val="%5."/>
      <w:lvlJc w:val="left"/>
      <w:pPr>
        <w:ind w:left="13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FAEDCE">
      <w:start w:val="1"/>
      <w:numFmt w:val="lowerRoman"/>
      <w:lvlText w:val="%6"/>
      <w:lvlJc w:val="left"/>
      <w:pPr>
        <w:ind w:left="20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CCCA04">
      <w:start w:val="1"/>
      <w:numFmt w:val="decimal"/>
      <w:lvlText w:val="%7"/>
      <w:lvlJc w:val="left"/>
      <w:pPr>
        <w:ind w:left="27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D0C1B4">
      <w:start w:val="1"/>
      <w:numFmt w:val="lowerLetter"/>
      <w:lvlText w:val="%8"/>
      <w:lvlJc w:val="left"/>
      <w:pPr>
        <w:ind w:left="34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80AB54">
      <w:start w:val="1"/>
      <w:numFmt w:val="lowerRoman"/>
      <w:lvlText w:val="%9"/>
      <w:lvlJc w:val="left"/>
      <w:pPr>
        <w:ind w:left="4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A564509"/>
    <w:multiLevelType w:val="hybridMultilevel"/>
    <w:tmpl w:val="769A72A2"/>
    <w:lvl w:ilvl="0" w:tplc="0FAA6594">
      <w:start w:val="11"/>
      <w:numFmt w:val="decimal"/>
      <w:lvlText w:val="%1."/>
      <w:lvlJc w:val="left"/>
      <w:pPr>
        <w:ind w:left="11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542EF9FC">
      <w:start w:val="1"/>
      <w:numFmt w:val="lowerLetter"/>
      <w:lvlText w:val="%2"/>
      <w:lvlJc w:val="left"/>
      <w:pPr>
        <w:ind w:left="17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2A89BFC">
      <w:start w:val="1"/>
      <w:numFmt w:val="lowerRoman"/>
      <w:lvlText w:val="%3"/>
      <w:lvlJc w:val="left"/>
      <w:pPr>
        <w:ind w:left="244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9AD2DD4A">
      <w:start w:val="1"/>
      <w:numFmt w:val="decimal"/>
      <w:lvlText w:val="%4"/>
      <w:lvlJc w:val="left"/>
      <w:pPr>
        <w:ind w:left="316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F3E4F404">
      <w:start w:val="1"/>
      <w:numFmt w:val="lowerLetter"/>
      <w:lvlText w:val="%5"/>
      <w:lvlJc w:val="left"/>
      <w:pPr>
        <w:ind w:left="38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CEAC39C4">
      <w:start w:val="1"/>
      <w:numFmt w:val="lowerRoman"/>
      <w:lvlText w:val="%6"/>
      <w:lvlJc w:val="left"/>
      <w:pPr>
        <w:ind w:left="460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8480BEE6">
      <w:start w:val="1"/>
      <w:numFmt w:val="decimal"/>
      <w:lvlText w:val="%7"/>
      <w:lvlJc w:val="left"/>
      <w:pPr>
        <w:ind w:left="53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135CFBCA">
      <w:start w:val="1"/>
      <w:numFmt w:val="lowerLetter"/>
      <w:lvlText w:val="%8"/>
      <w:lvlJc w:val="left"/>
      <w:pPr>
        <w:ind w:left="604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0F801F0A">
      <w:start w:val="1"/>
      <w:numFmt w:val="lowerRoman"/>
      <w:lvlText w:val="%9"/>
      <w:lvlJc w:val="left"/>
      <w:pPr>
        <w:ind w:left="676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CAB33EC"/>
    <w:multiLevelType w:val="hybridMultilevel"/>
    <w:tmpl w:val="5E72C060"/>
    <w:lvl w:ilvl="0" w:tplc="C0AAF2EE">
      <w:start w:val="1"/>
      <w:numFmt w:val="decimal"/>
      <w:lvlText w:val="%1."/>
      <w:lvlJc w:val="left"/>
      <w:pPr>
        <w:ind w:left="65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7A09CEE">
      <w:start w:val="1"/>
      <w:numFmt w:val="lowerLetter"/>
      <w:lvlText w:val="%2"/>
      <w:lvlJc w:val="left"/>
      <w:pPr>
        <w:ind w:left="145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F66B5C2">
      <w:start w:val="1"/>
      <w:numFmt w:val="lowerRoman"/>
      <w:lvlText w:val="%3"/>
      <w:lvlJc w:val="left"/>
      <w:pPr>
        <w:ind w:left="217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D988E80">
      <w:start w:val="1"/>
      <w:numFmt w:val="decimal"/>
      <w:lvlText w:val="%4"/>
      <w:lvlJc w:val="left"/>
      <w:pPr>
        <w:ind w:left="289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1D4EBDA">
      <w:start w:val="1"/>
      <w:numFmt w:val="lowerLetter"/>
      <w:lvlText w:val="%5"/>
      <w:lvlJc w:val="left"/>
      <w:pPr>
        <w:ind w:left="361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CCAC5ABA">
      <w:start w:val="1"/>
      <w:numFmt w:val="lowerRoman"/>
      <w:lvlText w:val="%6"/>
      <w:lvlJc w:val="left"/>
      <w:pPr>
        <w:ind w:left="433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2312C854">
      <w:start w:val="1"/>
      <w:numFmt w:val="decimal"/>
      <w:lvlText w:val="%7"/>
      <w:lvlJc w:val="left"/>
      <w:pPr>
        <w:ind w:left="505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D1678D4">
      <w:start w:val="1"/>
      <w:numFmt w:val="lowerLetter"/>
      <w:lvlText w:val="%8"/>
      <w:lvlJc w:val="left"/>
      <w:pPr>
        <w:ind w:left="577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21EF018">
      <w:start w:val="1"/>
      <w:numFmt w:val="lowerRoman"/>
      <w:lvlText w:val="%9"/>
      <w:lvlJc w:val="left"/>
      <w:pPr>
        <w:ind w:left="649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F431DC5"/>
    <w:multiLevelType w:val="hybridMultilevel"/>
    <w:tmpl w:val="99281D96"/>
    <w:lvl w:ilvl="0" w:tplc="5B704B9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80A960">
      <w:start w:val="1"/>
      <w:numFmt w:val="lowerLetter"/>
      <w:lvlText w:val="%2"/>
      <w:lvlJc w:val="left"/>
      <w:pPr>
        <w:ind w:left="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047B10">
      <w:start w:val="1"/>
      <w:numFmt w:val="lowerRoman"/>
      <w:lvlText w:val="%3"/>
      <w:lvlJc w:val="left"/>
      <w:pPr>
        <w:ind w:left="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50F7A0">
      <w:start w:val="1"/>
      <w:numFmt w:val="decimal"/>
      <w:lvlText w:val="%4"/>
      <w:lvlJc w:val="left"/>
      <w:pPr>
        <w:ind w:left="7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443FF0">
      <w:start w:val="1"/>
      <w:numFmt w:val="lowerLetter"/>
      <w:lvlText w:val="%5"/>
      <w:lvlJc w:val="left"/>
      <w:pPr>
        <w:ind w:left="9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FA8FE5E">
      <w:start w:val="1"/>
      <w:numFmt w:val="decimal"/>
      <w:lvlRestart w:val="0"/>
      <w:lvlText w:val="%6."/>
      <w:lvlJc w:val="left"/>
      <w:pPr>
        <w:ind w:left="10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1689CA">
      <w:start w:val="1"/>
      <w:numFmt w:val="decimal"/>
      <w:lvlText w:val="%7"/>
      <w:lvlJc w:val="left"/>
      <w:pPr>
        <w:ind w:left="1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5CF73E">
      <w:start w:val="1"/>
      <w:numFmt w:val="lowerLetter"/>
      <w:lvlText w:val="%8"/>
      <w:lvlJc w:val="left"/>
      <w:pPr>
        <w:ind w:left="2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AE36">
      <w:start w:val="1"/>
      <w:numFmt w:val="lowerRoman"/>
      <w:lvlText w:val="%9"/>
      <w:lvlJc w:val="left"/>
      <w:pPr>
        <w:ind w:left="3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53B1B3D"/>
    <w:multiLevelType w:val="hybridMultilevel"/>
    <w:tmpl w:val="3E5A4BE4"/>
    <w:lvl w:ilvl="0" w:tplc="B7C20FDA">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99A82A8">
      <w:start w:val="1"/>
      <w:numFmt w:val="bullet"/>
      <w:lvlText w:val="o"/>
      <w:lvlJc w:val="left"/>
      <w:pPr>
        <w:ind w:left="5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B049F8">
      <w:start w:val="1"/>
      <w:numFmt w:val="bullet"/>
      <w:lvlText w:val="▪"/>
      <w:lvlJc w:val="left"/>
      <w:pPr>
        <w:ind w:left="6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90E592">
      <w:start w:val="1"/>
      <w:numFmt w:val="bullet"/>
      <w:lvlText w:val="•"/>
      <w:lvlJc w:val="left"/>
      <w:pPr>
        <w:ind w:left="7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2418EC">
      <w:start w:val="1"/>
      <w:numFmt w:val="bullet"/>
      <w:lvlText w:val="o"/>
      <w:lvlJc w:val="left"/>
      <w:pPr>
        <w:ind w:left="9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0A3A6E">
      <w:start w:val="1"/>
      <w:numFmt w:val="bullet"/>
      <w:lvlRestart w:val="0"/>
      <w:lvlText w:val="-"/>
      <w:lvlJc w:val="left"/>
      <w:pPr>
        <w:ind w:left="1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6C7B7A">
      <w:start w:val="1"/>
      <w:numFmt w:val="bullet"/>
      <w:lvlText w:val="•"/>
      <w:lvlJc w:val="left"/>
      <w:pPr>
        <w:ind w:left="17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9294C6">
      <w:start w:val="1"/>
      <w:numFmt w:val="bullet"/>
      <w:lvlText w:val="o"/>
      <w:lvlJc w:val="left"/>
      <w:pPr>
        <w:ind w:left="2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7C414C">
      <w:start w:val="1"/>
      <w:numFmt w:val="bullet"/>
      <w:lvlText w:val="▪"/>
      <w:lvlJc w:val="left"/>
      <w:pPr>
        <w:ind w:left="3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8FA6411"/>
    <w:multiLevelType w:val="hybridMultilevel"/>
    <w:tmpl w:val="73421362"/>
    <w:lvl w:ilvl="0" w:tplc="DC80D2E8">
      <w:start w:val="1"/>
      <w:numFmt w:val="decimal"/>
      <w:lvlText w:val="%1."/>
      <w:lvlJc w:val="left"/>
      <w:pPr>
        <w:ind w:left="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B8A708">
      <w:start w:val="1"/>
      <w:numFmt w:val="lowerLetter"/>
      <w:lvlText w:val="%2"/>
      <w:lvlJc w:val="left"/>
      <w:pPr>
        <w:ind w:left="13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E8FFDE">
      <w:start w:val="1"/>
      <w:numFmt w:val="lowerRoman"/>
      <w:lvlText w:val="%3"/>
      <w:lvlJc w:val="left"/>
      <w:pPr>
        <w:ind w:left="21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4C9FFC">
      <w:start w:val="1"/>
      <w:numFmt w:val="decimal"/>
      <w:lvlText w:val="%4"/>
      <w:lvlJc w:val="left"/>
      <w:pPr>
        <w:ind w:left="2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CA1E52">
      <w:start w:val="1"/>
      <w:numFmt w:val="lowerLetter"/>
      <w:lvlText w:val="%5"/>
      <w:lvlJc w:val="left"/>
      <w:pPr>
        <w:ind w:left="3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76D8BE">
      <w:start w:val="1"/>
      <w:numFmt w:val="lowerRoman"/>
      <w:lvlText w:val="%6"/>
      <w:lvlJc w:val="left"/>
      <w:pPr>
        <w:ind w:left="4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5E7088">
      <w:start w:val="1"/>
      <w:numFmt w:val="decimal"/>
      <w:lvlText w:val="%7"/>
      <w:lvlJc w:val="left"/>
      <w:pPr>
        <w:ind w:left="4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9602B0">
      <w:start w:val="1"/>
      <w:numFmt w:val="lowerLetter"/>
      <w:lvlText w:val="%8"/>
      <w:lvlJc w:val="left"/>
      <w:pPr>
        <w:ind w:left="5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508866">
      <w:start w:val="1"/>
      <w:numFmt w:val="lowerRoman"/>
      <w:lvlText w:val="%9"/>
      <w:lvlJc w:val="left"/>
      <w:pPr>
        <w:ind w:left="6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BA7CDC"/>
    <w:multiLevelType w:val="hybridMultilevel"/>
    <w:tmpl w:val="8A8236B4"/>
    <w:lvl w:ilvl="0" w:tplc="EA2414B2">
      <w:start w:val="7"/>
      <w:numFmt w:val="decimal"/>
      <w:lvlText w:val="%1."/>
      <w:lvlJc w:val="left"/>
      <w:pPr>
        <w:ind w:left="25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2D62C58">
      <w:start w:val="1"/>
      <w:numFmt w:val="lowerLetter"/>
      <w:lvlText w:val="%2"/>
      <w:lvlJc w:val="left"/>
      <w:pPr>
        <w:ind w:left="134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FA8F7CC">
      <w:start w:val="1"/>
      <w:numFmt w:val="lowerRoman"/>
      <w:lvlText w:val="%3"/>
      <w:lvlJc w:val="left"/>
      <w:pPr>
        <w:ind w:left="20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36C5FC0">
      <w:start w:val="1"/>
      <w:numFmt w:val="decimal"/>
      <w:lvlText w:val="%4"/>
      <w:lvlJc w:val="left"/>
      <w:pPr>
        <w:ind w:left="278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DC6BA14">
      <w:start w:val="1"/>
      <w:numFmt w:val="lowerLetter"/>
      <w:lvlText w:val="%5"/>
      <w:lvlJc w:val="left"/>
      <w:pPr>
        <w:ind w:left="350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1BAE4A0">
      <w:start w:val="1"/>
      <w:numFmt w:val="lowerRoman"/>
      <w:lvlText w:val="%6"/>
      <w:lvlJc w:val="left"/>
      <w:pPr>
        <w:ind w:left="422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042D936">
      <w:start w:val="1"/>
      <w:numFmt w:val="decimal"/>
      <w:lvlText w:val="%7"/>
      <w:lvlJc w:val="left"/>
      <w:pPr>
        <w:ind w:left="494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F4E8E54">
      <w:start w:val="1"/>
      <w:numFmt w:val="lowerLetter"/>
      <w:lvlText w:val="%8"/>
      <w:lvlJc w:val="left"/>
      <w:pPr>
        <w:ind w:left="56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7669596">
      <w:start w:val="1"/>
      <w:numFmt w:val="lowerRoman"/>
      <w:lvlText w:val="%9"/>
      <w:lvlJc w:val="left"/>
      <w:pPr>
        <w:ind w:left="638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81726BA"/>
    <w:multiLevelType w:val="hybridMultilevel"/>
    <w:tmpl w:val="A9AE2160"/>
    <w:lvl w:ilvl="0" w:tplc="A816D688">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686018">
      <w:start w:val="1"/>
      <w:numFmt w:val="lowerLetter"/>
      <w:lvlText w:val="%2"/>
      <w:lvlJc w:val="left"/>
      <w:pPr>
        <w:ind w:left="6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FCBDF0">
      <w:start w:val="1"/>
      <w:numFmt w:val="lowerRoman"/>
      <w:lvlText w:val="%3"/>
      <w:lvlJc w:val="left"/>
      <w:pPr>
        <w:ind w:left="8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1AA9DB4">
      <w:start w:val="1"/>
      <w:numFmt w:val="decimal"/>
      <w:lvlText w:val="%4"/>
      <w:lvlJc w:val="left"/>
      <w:pPr>
        <w:ind w:left="1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26EBD80">
      <w:start w:val="1"/>
      <w:numFmt w:val="decimal"/>
      <w:lvlRestart w:val="0"/>
      <w:lvlText w:val="%5."/>
      <w:lvlJc w:val="left"/>
      <w:pPr>
        <w:ind w:left="12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0DCBB20">
      <w:start w:val="1"/>
      <w:numFmt w:val="lowerRoman"/>
      <w:lvlText w:val="%6"/>
      <w:lvlJc w:val="left"/>
      <w:pPr>
        <w:ind w:left="20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A2C03CE">
      <w:start w:val="1"/>
      <w:numFmt w:val="decimal"/>
      <w:lvlText w:val="%7"/>
      <w:lvlJc w:val="left"/>
      <w:pPr>
        <w:ind w:left="27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9A363E">
      <w:start w:val="1"/>
      <w:numFmt w:val="lowerLetter"/>
      <w:lvlText w:val="%8"/>
      <w:lvlJc w:val="left"/>
      <w:pPr>
        <w:ind w:left="34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2B400E0">
      <w:start w:val="1"/>
      <w:numFmt w:val="lowerRoman"/>
      <w:lvlText w:val="%9"/>
      <w:lvlJc w:val="left"/>
      <w:pPr>
        <w:ind w:left="42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C631580"/>
    <w:multiLevelType w:val="hybridMultilevel"/>
    <w:tmpl w:val="26F272B0"/>
    <w:lvl w:ilvl="0" w:tplc="39A6FF9A">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2A269B2">
      <w:start w:val="1"/>
      <w:numFmt w:val="bullet"/>
      <w:lvlText w:val="o"/>
      <w:lvlJc w:val="left"/>
      <w:pPr>
        <w:ind w:left="6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30C25A">
      <w:start w:val="1"/>
      <w:numFmt w:val="bullet"/>
      <w:lvlText w:val="▪"/>
      <w:lvlJc w:val="left"/>
      <w:pPr>
        <w:ind w:left="8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2BC7C8C">
      <w:start w:val="1"/>
      <w:numFmt w:val="bullet"/>
      <w:lvlText w:val="•"/>
      <w:lvlJc w:val="left"/>
      <w:pPr>
        <w:ind w:left="1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7E18A2">
      <w:start w:val="1"/>
      <w:numFmt w:val="bullet"/>
      <w:lvlText w:val="o"/>
      <w:lvlJc w:val="left"/>
      <w:pPr>
        <w:ind w:left="1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744CED2">
      <w:start w:val="1"/>
      <w:numFmt w:val="bullet"/>
      <w:lvlText w:val="▪"/>
      <w:lvlJc w:val="left"/>
      <w:pPr>
        <w:ind w:left="16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8C8F5A8">
      <w:start w:val="1"/>
      <w:numFmt w:val="bullet"/>
      <w:lvlText w:val="•"/>
      <w:lvlJc w:val="left"/>
      <w:pPr>
        <w:ind w:left="1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2E5C76">
      <w:start w:val="1"/>
      <w:numFmt w:val="bullet"/>
      <w:lvlRestart w:val="0"/>
      <w:lvlText w:val="-"/>
      <w:lvlJc w:val="left"/>
      <w:pPr>
        <w:ind w:left="2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34B6A0">
      <w:start w:val="1"/>
      <w:numFmt w:val="bullet"/>
      <w:lvlText w:val="▪"/>
      <w:lvlJc w:val="left"/>
      <w:pPr>
        <w:ind w:left="28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FA042A0"/>
    <w:multiLevelType w:val="multilevel"/>
    <w:tmpl w:val="720E1A46"/>
    <w:lvl w:ilvl="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1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0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72839A3"/>
    <w:multiLevelType w:val="multilevel"/>
    <w:tmpl w:val="DE5C0B36"/>
    <w:lvl w:ilvl="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4"/>
      <w:numFmt w:val="decimal"/>
      <w:lvlText w:val="%1.%2.%3"/>
      <w:lvlJc w:val="left"/>
      <w:pPr>
        <w:ind w:left="1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8776BF3"/>
    <w:multiLevelType w:val="hybridMultilevel"/>
    <w:tmpl w:val="2760DA84"/>
    <w:lvl w:ilvl="0" w:tplc="876CA246">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9E2164">
      <w:start w:val="1"/>
      <w:numFmt w:val="lowerLetter"/>
      <w:lvlText w:val="%2"/>
      <w:lvlJc w:val="left"/>
      <w:pPr>
        <w:ind w:left="4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5C7F4A">
      <w:start w:val="1"/>
      <w:numFmt w:val="lowerRoman"/>
      <w:lvlText w:val="%3"/>
      <w:lvlJc w:val="left"/>
      <w:pPr>
        <w:ind w:left="5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0826128">
      <w:start w:val="1"/>
      <w:numFmt w:val="decimal"/>
      <w:lvlRestart w:val="0"/>
      <w:lvlText w:val="%4."/>
      <w:lvlJc w:val="left"/>
      <w:pPr>
        <w:ind w:left="6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2BCB150">
      <w:start w:val="1"/>
      <w:numFmt w:val="lowerLetter"/>
      <w:lvlText w:val="%5"/>
      <w:lvlJc w:val="left"/>
      <w:pPr>
        <w:ind w:left="14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4287F2">
      <w:start w:val="1"/>
      <w:numFmt w:val="lowerRoman"/>
      <w:lvlText w:val="%6"/>
      <w:lvlJc w:val="left"/>
      <w:pPr>
        <w:ind w:left="21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B6F2BA">
      <w:start w:val="1"/>
      <w:numFmt w:val="decimal"/>
      <w:lvlText w:val="%7"/>
      <w:lvlJc w:val="left"/>
      <w:pPr>
        <w:ind w:left="28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76D354">
      <w:start w:val="1"/>
      <w:numFmt w:val="lowerLetter"/>
      <w:lvlText w:val="%8"/>
      <w:lvlJc w:val="left"/>
      <w:pPr>
        <w:ind w:left="35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BAACDA">
      <w:start w:val="1"/>
      <w:numFmt w:val="lowerRoman"/>
      <w:lvlText w:val="%9"/>
      <w:lvlJc w:val="left"/>
      <w:pPr>
        <w:ind w:left="4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8BD6A8E"/>
    <w:multiLevelType w:val="hybridMultilevel"/>
    <w:tmpl w:val="23C6D1BA"/>
    <w:lvl w:ilvl="0" w:tplc="8B6C5688">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1E4FB0">
      <w:start w:val="1"/>
      <w:numFmt w:val="lowerLetter"/>
      <w:lvlText w:val="%2"/>
      <w:lvlJc w:val="left"/>
      <w:pPr>
        <w:ind w:left="6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B8FEEA">
      <w:start w:val="1"/>
      <w:numFmt w:val="lowerRoman"/>
      <w:lvlText w:val="%3"/>
      <w:lvlJc w:val="left"/>
      <w:pPr>
        <w:ind w:left="8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36A6D4">
      <w:start w:val="1"/>
      <w:numFmt w:val="decimal"/>
      <w:lvlText w:val="%4"/>
      <w:lvlJc w:val="left"/>
      <w:pPr>
        <w:ind w:left="10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C8E4EA">
      <w:start w:val="1"/>
      <w:numFmt w:val="decimal"/>
      <w:lvlRestart w:val="0"/>
      <w:lvlText w:val="%5."/>
      <w:lvlJc w:val="left"/>
      <w:pPr>
        <w:ind w:left="13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4C86E6">
      <w:start w:val="1"/>
      <w:numFmt w:val="lowerRoman"/>
      <w:lvlText w:val="%6"/>
      <w:lvlJc w:val="left"/>
      <w:pPr>
        <w:ind w:left="20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FC06FB6">
      <w:start w:val="1"/>
      <w:numFmt w:val="decimal"/>
      <w:lvlText w:val="%7"/>
      <w:lvlJc w:val="left"/>
      <w:pPr>
        <w:ind w:left="27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0ACD28">
      <w:start w:val="1"/>
      <w:numFmt w:val="lowerLetter"/>
      <w:lvlText w:val="%8"/>
      <w:lvlJc w:val="left"/>
      <w:pPr>
        <w:ind w:left="34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08A50C">
      <w:start w:val="1"/>
      <w:numFmt w:val="lowerRoman"/>
      <w:lvlText w:val="%9"/>
      <w:lvlJc w:val="left"/>
      <w:pPr>
        <w:ind w:left="4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3927CFE"/>
    <w:multiLevelType w:val="multilevel"/>
    <w:tmpl w:val="B992B982"/>
    <w:lvl w:ilvl="0">
      <w:start w:val="2"/>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1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7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4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1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8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6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3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0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4BE7826"/>
    <w:multiLevelType w:val="multilevel"/>
    <w:tmpl w:val="3F0C20D6"/>
    <w:lvl w:ilvl="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3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5B32D42"/>
    <w:multiLevelType w:val="multilevel"/>
    <w:tmpl w:val="084A7AE4"/>
    <w:lvl w:ilvl="0">
      <w:start w:val="1"/>
      <w:numFmt w:val="decimal"/>
      <w:lvlText w:val="%1."/>
      <w:lvlJc w:val="left"/>
      <w:pPr>
        <w:ind w:left="6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7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4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1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8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5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3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0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A1D7A00"/>
    <w:multiLevelType w:val="multilevel"/>
    <w:tmpl w:val="6EE016AE"/>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1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2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6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AD354C1"/>
    <w:multiLevelType w:val="hybridMultilevel"/>
    <w:tmpl w:val="7B586F80"/>
    <w:lvl w:ilvl="0" w:tplc="0AC68B66">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15A9B90">
      <w:start w:val="1"/>
      <w:numFmt w:val="lowerLetter"/>
      <w:lvlText w:val="%2"/>
      <w:lvlJc w:val="left"/>
      <w:pPr>
        <w:ind w:left="6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C6EEC2">
      <w:start w:val="1"/>
      <w:numFmt w:val="lowerRoman"/>
      <w:lvlText w:val="%3"/>
      <w:lvlJc w:val="left"/>
      <w:pPr>
        <w:ind w:left="9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3A836E">
      <w:start w:val="1"/>
      <w:numFmt w:val="decimal"/>
      <w:lvlText w:val="%4"/>
      <w:lvlJc w:val="left"/>
      <w:pPr>
        <w:ind w:left="12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3AD2C0">
      <w:start w:val="1"/>
      <w:numFmt w:val="decimal"/>
      <w:lvlRestart w:val="0"/>
      <w:lvlText w:val="%5."/>
      <w:lvlJc w:val="left"/>
      <w:pPr>
        <w:ind w:left="14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1E62B78">
      <w:start w:val="1"/>
      <w:numFmt w:val="lowerRoman"/>
      <w:lvlText w:val="%6"/>
      <w:lvlJc w:val="left"/>
      <w:pPr>
        <w:ind w:left="22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A102EC8">
      <w:start w:val="1"/>
      <w:numFmt w:val="decimal"/>
      <w:lvlText w:val="%7"/>
      <w:lvlJc w:val="left"/>
      <w:pPr>
        <w:ind w:left="29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A61600">
      <w:start w:val="1"/>
      <w:numFmt w:val="lowerLetter"/>
      <w:lvlText w:val="%8"/>
      <w:lvlJc w:val="left"/>
      <w:pPr>
        <w:ind w:left="36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605ED6">
      <w:start w:val="1"/>
      <w:numFmt w:val="lowerRoman"/>
      <w:lvlText w:val="%9"/>
      <w:lvlJc w:val="left"/>
      <w:pPr>
        <w:ind w:left="43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2371A9F"/>
    <w:multiLevelType w:val="multilevel"/>
    <w:tmpl w:val="E804A09C"/>
    <w:lvl w:ilvl="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1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6C42938"/>
    <w:multiLevelType w:val="hybridMultilevel"/>
    <w:tmpl w:val="2A649A3A"/>
    <w:lvl w:ilvl="0" w:tplc="3B383304">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1A05030">
      <w:start w:val="1"/>
      <w:numFmt w:val="lowerLetter"/>
      <w:lvlText w:val="%2"/>
      <w:lvlJc w:val="left"/>
      <w:pPr>
        <w:ind w:left="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336DAFC">
      <w:start w:val="1"/>
      <w:numFmt w:val="lowerRoman"/>
      <w:lvlText w:val="%3"/>
      <w:lvlJc w:val="left"/>
      <w:pPr>
        <w:ind w:left="9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7161B1C">
      <w:start w:val="1"/>
      <w:numFmt w:val="decimal"/>
      <w:lvlText w:val="%4"/>
      <w:lvlJc w:val="left"/>
      <w:pPr>
        <w:ind w:left="11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1084EA">
      <w:start w:val="1"/>
      <w:numFmt w:val="decimal"/>
      <w:lvlRestart w:val="0"/>
      <w:lvlText w:val="%5."/>
      <w:lvlJc w:val="left"/>
      <w:pPr>
        <w:ind w:left="14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2BE6CAC">
      <w:start w:val="1"/>
      <w:numFmt w:val="lowerRoman"/>
      <w:lvlText w:val="%6"/>
      <w:lvlJc w:val="left"/>
      <w:pPr>
        <w:ind w:left="21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5A02024">
      <w:start w:val="1"/>
      <w:numFmt w:val="decimal"/>
      <w:lvlText w:val="%7"/>
      <w:lvlJc w:val="left"/>
      <w:pPr>
        <w:ind w:left="29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B6F480">
      <w:start w:val="1"/>
      <w:numFmt w:val="lowerLetter"/>
      <w:lvlText w:val="%8"/>
      <w:lvlJc w:val="left"/>
      <w:pPr>
        <w:ind w:left="36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13088FE">
      <w:start w:val="1"/>
      <w:numFmt w:val="lowerRoman"/>
      <w:lvlText w:val="%9"/>
      <w:lvlJc w:val="left"/>
      <w:pPr>
        <w:ind w:left="43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C007D08"/>
    <w:multiLevelType w:val="multilevel"/>
    <w:tmpl w:val="DB4EC5F8"/>
    <w:lvl w:ilvl="0">
      <w:start w:val="2"/>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1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DE700E2"/>
    <w:multiLevelType w:val="multilevel"/>
    <w:tmpl w:val="0EE6F4D0"/>
    <w:lvl w:ilvl="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2"/>
      <w:numFmt w:val="decimal"/>
      <w:lvlRestart w:val="0"/>
      <w:lvlText w:val="%1.%2.%3."/>
      <w:lvlJc w:val="left"/>
      <w:pPr>
        <w:ind w:left="18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2242D04"/>
    <w:multiLevelType w:val="multilevel"/>
    <w:tmpl w:val="5CE4F9A6"/>
    <w:lvl w:ilvl="0">
      <w:start w:val="2"/>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decimal"/>
      <w:lvlRestart w:val="0"/>
      <w:lvlText w:val="%1.%2."/>
      <w:lvlJc w:val="left"/>
      <w:pPr>
        <w:ind w:left="1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0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8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5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2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9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715350E"/>
    <w:multiLevelType w:val="multilevel"/>
    <w:tmpl w:val="0E5AF94C"/>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2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6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F926325"/>
    <w:multiLevelType w:val="multilevel"/>
    <w:tmpl w:val="AEAA1D20"/>
    <w:lvl w:ilvl="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3"/>
      <w:numFmt w:val="decimal"/>
      <w:lvlText w:val="%1.%2.%3"/>
      <w:lvlJc w:val="left"/>
      <w:pPr>
        <w:ind w:left="1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2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8"/>
  </w:num>
  <w:num w:numId="3">
    <w:abstractNumId w:val="23"/>
  </w:num>
  <w:num w:numId="4">
    <w:abstractNumId w:val="1"/>
  </w:num>
  <w:num w:numId="5">
    <w:abstractNumId w:val="10"/>
  </w:num>
  <w:num w:numId="6">
    <w:abstractNumId w:val="13"/>
  </w:num>
  <w:num w:numId="7">
    <w:abstractNumId w:val="6"/>
  </w:num>
  <w:num w:numId="8">
    <w:abstractNumId w:val="7"/>
  </w:num>
  <w:num w:numId="9">
    <w:abstractNumId w:val="5"/>
  </w:num>
  <w:num w:numId="10">
    <w:abstractNumId w:val="15"/>
  </w:num>
  <w:num w:numId="11">
    <w:abstractNumId w:val="25"/>
  </w:num>
  <w:num w:numId="12">
    <w:abstractNumId w:val="22"/>
  </w:num>
  <w:num w:numId="13">
    <w:abstractNumId w:val="11"/>
  </w:num>
  <w:num w:numId="14">
    <w:abstractNumId w:val="17"/>
  </w:num>
  <w:num w:numId="15">
    <w:abstractNumId w:val="9"/>
  </w:num>
  <w:num w:numId="16">
    <w:abstractNumId w:val="14"/>
  </w:num>
  <w:num w:numId="17">
    <w:abstractNumId w:val="4"/>
  </w:num>
  <w:num w:numId="18">
    <w:abstractNumId w:val="24"/>
  </w:num>
  <w:num w:numId="19">
    <w:abstractNumId w:val="16"/>
  </w:num>
  <w:num w:numId="20">
    <w:abstractNumId w:val="2"/>
  </w:num>
  <w:num w:numId="21">
    <w:abstractNumId w:val="0"/>
  </w:num>
  <w:num w:numId="22">
    <w:abstractNumId w:val="20"/>
  </w:num>
  <w:num w:numId="23">
    <w:abstractNumId w:val="21"/>
  </w:num>
  <w:num w:numId="24">
    <w:abstractNumId w:val="12"/>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8A"/>
    <w:rsid w:val="002B40D1"/>
    <w:rsid w:val="0049318A"/>
    <w:rsid w:val="00B408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FFC8720E-33AE-4292-B01A-3D8952BB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99"/>
      <w:ind w:right="163"/>
      <w:jc w:val="center"/>
      <w:outlineLvl w:val="0"/>
    </w:pPr>
    <w:rPr>
      <w:rFonts w:ascii="Times New Roman" w:eastAsia="Times New Roman" w:hAnsi="Times New Roman" w:cs="Times New Roman"/>
      <w:b/>
      <w:color w:val="000000"/>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7286</Words>
  <Characters>40075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COPIA - GIYS - Ilustre Ayuntamiento de Candelaria</dc:subject>
  <dc:creator>teresa.freijido</dc:creator>
  <cp:keywords/>
  <cp:lastModifiedBy>teresa.freijido</cp:lastModifiedBy>
  <cp:revision>2</cp:revision>
  <dcterms:created xsi:type="dcterms:W3CDTF">2026-01-15T09:41:00Z</dcterms:created>
  <dcterms:modified xsi:type="dcterms:W3CDTF">2026-01-15T09:41:00Z</dcterms:modified>
</cp:coreProperties>
</file>