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55367E">
            <w:pPr>
              <w:spacing w:after="84" w:line="244" w:lineRule="auto"/>
              <w:ind w:left="0" w:right="0" w:firstLine="0"/>
              <w:jc w:val="left"/>
              <w:rPr>
                <w:rFonts w:ascii="Arial" w:hAnsi="Arial" w:cs="Arial"/>
                <w:sz w:val="20"/>
                <w:szCs w:val="20"/>
              </w:rPr>
            </w:pPr>
            <w:r>
              <w:rPr>
                <w:rFonts w:ascii="Arial" w:hAnsi="Arial" w:cs="Arial"/>
                <w:sz w:val="20"/>
                <w:szCs w:val="20"/>
              </w:rPr>
              <w:t>PLN/2024/10</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r w:rsidR="00775B05">
        <w:rPr>
          <w:rFonts w:ascii="Arial" w:hAnsi="Arial" w:cs="Arial"/>
          <w:b/>
          <w:sz w:val="20"/>
          <w:szCs w:val="20"/>
        </w:rPr>
        <w:t xml:space="preserve"> </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712227">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3C57D7">
            <w:pPr>
              <w:spacing w:after="84" w:line="244" w:lineRule="auto"/>
              <w:ind w:left="0" w:right="0" w:firstLine="0"/>
              <w:rPr>
                <w:rFonts w:ascii="Arial" w:hAnsi="Arial" w:cs="Arial"/>
                <w:sz w:val="20"/>
                <w:szCs w:val="20"/>
              </w:rPr>
            </w:pPr>
            <w:r>
              <w:rPr>
                <w:rFonts w:ascii="Arial" w:hAnsi="Arial" w:cs="Arial"/>
                <w:sz w:val="20"/>
                <w:szCs w:val="20"/>
              </w:rPr>
              <w:t>1ª convocatoria: 26 de septiembre</w:t>
            </w:r>
            <w:r w:rsidR="00EF6EEB">
              <w:rPr>
                <w:rFonts w:ascii="Arial" w:hAnsi="Arial" w:cs="Arial"/>
                <w:sz w:val="20"/>
                <w:szCs w:val="20"/>
              </w:rPr>
              <w:t xml:space="preserve"> de 2024 a las 9:00</w:t>
            </w:r>
          </w:p>
          <w:p w:rsidR="003C29D2" w:rsidRDefault="003C57D7">
            <w:pPr>
              <w:spacing w:after="84" w:line="244" w:lineRule="auto"/>
              <w:ind w:left="0" w:right="0" w:firstLine="0"/>
              <w:rPr>
                <w:rFonts w:ascii="Arial" w:hAnsi="Arial" w:cs="Arial"/>
                <w:sz w:val="20"/>
                <w:szCs w:val="20"/>
              </w:rPr>
            </w:pPr>
            <w:r>
              <w:rPr>
                <w:rFonts w:ascii="Arial" w:hAnsi="Arial" w:cs="Arial"/>
                <w:sz w:val="20"/>
                <w:szCs w:val="20"/>
              </w:rPr>
              <w:t>2ª convocatoria: 30 de septiembre</w:t>
            </w:r>
            <w:r w:rsidR="00EF6EEB">
              <w:rPr>
                <w:rFonts w:ascii="Arial" w:hAnsi="Arial" w:cs="Arial"/>
                <w:sz w:val="20"/>
                <w:szCs w:val="20"/>
              </w:rPr>
              <w:t xml:space="preserve"> de 2024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rsidP="001D1875">
            <w:pPr>
              <w:spacing w:after="84" w:line="244" w:lineRule="auto"/>
              <w:ind w:left="0" w:right="0" w:firstLine="0"/>
              <w:rPr>
                <w:rFonts w:ascii="Arial" w:hAnsi="Arial" w:cs="Arial"/>
                <w:sz w:val="20"/>
                <w:szCs w:val="20"/>
              </w:rPr>
            </w:pPr>
            <w:r>
              <w:rPr>
                <w:rFonts w:ascii="Arial" w:hAnsi="Arial" w:cs="Arial"/>
                <w:sz w:val="20"/>
                <w:szCs w:val="20"/>
              </w:rPr>
              <w:t xml:space="preserve">Admite participación a distancia, pudiendo conectar mediante: </w:t>
            </w:r>
            <w:r w:rsidR="001D1875">
              <w:rPr>
                <w:rFonts w:ascii="Arial" w:hAnsi="Arial" w:cs="Arial"/>
                <w:sz w:val="20"/>
                <w:szCs w:val="20"/>
              </w:rPr>
              <w:t xml:space="preserve"> «A través de la Sede Electrónica de la entidad en la dirección </w:t>
            </w:r>
            <w:hyperlink r:id="rId6" w:history="1">
              <w:r w:rsidR="009437E9">
                <w:rPr>
                  <w:rStyle w:val="Hipervnculo"/>
                  <w:rFonts w:ascii="Arial" w:hAnsi="Arial" w:cs="Arial"/>
                  <w:sz w:val="20"/>
                  <w:szCs w:val="20"/>
                </w:rPr>
                <w:t>https://candelaria.sedelectronica.es</w:t>
              </w:r>
            </w:hyperlink>
            <w:r w:rsidR="001D1875" w:rsidRPr="00D144E3">
              <w:rPr>
                <w:rFonts w:ascii="Arial" w:hAnsi="Arial" w:cs="Arial"/>
                <w:sz w:val="20"/>
                <w:szCs w:val="20"/>
              </w:rPr>
              <w:t>»</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1226D9" w:rsidRDefault="001226D9">
      <w:pPr>
        <w:spacing w:after="84" w:line="244" w:lineRule="auto"/>
        <w:ind w:left="215" w:right="0" w:firstLine="0"/>
        <w:jc w:val="center"/>
        <w:rPr>
          <w:rFonts w:ascii="Arial" w:hAnsi="Arial" w:cs="Arial"/>
          <w:b/>
          <w:sz w:val="20"/>
          <w:szCs w:val="20"/>
        </w:rPr>
      </w:pPr>
    </w:p>
    <w:p w:rsidR="003C29D2" w:rsidRDefault="00EF6EEB">
      <w:pPr>
        <w:shd w:val="clear" w:color="auto" w:fill="FFFFFF"/>
        <w:suppressAutoHyphens w:val="0"/>
        <w:spacing w:after="225" w:line="240" w:lineRule="auto"/>
        <w:ind w:left="0" w:right="0" w:firstLine="0"/>
        <w:textAlignment w:val="auto"/>
      </w:pPr>
      <w:r>
        <w:rPr>
          <w:rFonts w:ascii="Arial" w:eastAsia="Times New Roman" w:hAnsi="Arial" w:cs="Arial"/>
          <w:b/>
          <w:bCs/>
          <w:sz w:val="20"/>
          <w:szCs w:val="20"/>
        </w:rPr>
        <w:t>A) PARTE RESOLUTIVA</w:t>
      </w:r>
    </w:p>
    <w:p w:rsidR="003D39A8" w:rsidRDefault="00EF6EEB" w:rsidP="00DF67C8">
      <w:pPr>
        <w:spacing w:after="84" w:line="244" w:lineRule="auto"/>
        <w:ind w:left="0" w:right="0" w:firstLine="0"/>
        <w:rPr>
          <w:rFonts w:ascii="Arial" w:hAnsi="Arial" w:cs="Arial"/>
          <w:sz w:val="20"/>
          <w:szCs w:val="20"/>
        </w:rPr>
      </w:pPr>
      <w:r w:rsidRPr="00150346">
        <w:rPr>
          <w:rFonts w:ascii="Arial" w:hAnsi="Arial" w:cs="Arial"/>
          <w:sz w:val="20"/>
          <w:szCs w:val="20"/>
        </w:rPr>
        <w:t xml:space="preserve">1. </w:t>
      </w:r>
      <w:r w:rsidR="003D39A8" w:rsidRPr="007E5879">
        <w:rPr>
          <w:rFonts w:ascii="Arial" w:hAnsi="Arial" w:cs="Arial"/>
          <w:sz w:val="20"/>
          <w:szCs w:val="20"/>
        </w:rPr>
        <w:t>Aprobación de las actas de los plenos ordinarios de junio y julio de 2024</w:t>
      </w:r>
    </w:p>
    <w:p w:rsidR="003D39A8" w:rsidRPr="007E5879" w:rsidRDefault="00EF6EEB" w:rsidP="00DF67C8">
      <w:pPr>
        <w:spacing w:after="84" w:line="244" w:lineRule="auto"/>
        <w:ind w:left="0" w:right="0" w:firstLine="0"/>
        <w:rPr>
          <w:rFonts w:ascii="Arial" w:hAnsi="Arial" w:cs="Arial"/>
          <w:sz w:val="20"/>
          <w:szCs w:val="20"/>
        </w:rPr>
      </w:pPr>
      <w:r w:rsidRPr="00150346">
        <w:rPr>
          <w:rFonts w:ascii="Arial" w:hAnsi="Arial" w:cs="Arial"/>
          <w:sz w:val="20"/>
          <w:szCs w:val="20"/>
        </w:rPr>
        <w:t xml:space="preserve">2. </w:t>
      </w:r>
      <w:r w:rsidR="003D39A8" w:rsidRPr="007E5879">
        <w:rPr>
          <w:rFonts w:ascii="Arial" w:hAnsi="Arial" w:cs="Arial"/>
          <w:sz w:val="20"/>
          <w:szCs w:val="20"/>
        </w:rPr>
        <w:t>Expediente 9376/2024. Propuesta del Concejal delegado de Hacienda de fecha 26 de agosto de 2024 al Pleno de toma de conocimiento del informe definitivo de fiscalización de la Cuenta General del ejercicio 2022 realizado por la Audiencia de Cuentas de Canarias</w:t>
      </w:r>
    </w:p>
    <w:p w:rsidR="003D39A8" w:rsidRPr="007E5879" w:rsidRDefault="00DF67C8" w:rsidP="00DF67C8">
      <w:pPr>
        <w:spacing w:after="84" w:line="244" w:lineRule="auto"/>
        <w:ind w:left="0" w:right="0" w:firstLine="0"/>
        <w:rPr>
          <w:rFonts w:ascii="Arial" w:hAnsi="Arial" w:cs="Arial"/>
          <w:sz w:val="20"/>
          <w:szCs w:val="20"/>
        </w:rPr>
      </w:pPr>
      <w:r w:rsidRPr="006E050A">
        <w:rPr>
          <w:rFonts w:ascii="Arial" w:hAnsi="Arial" w:cs="Arial"/>
          <w:sz w:val="20"/>
          <w:szCs w:val="20"/>
        </w:rPr>
        <w:t xml:space="preserve">3. </w:t>
      </w:r>
      <w:r w:rsidR="003D39A8" w:rsidRPr="007E5879">
        <w:rPr>
          <w:rFonts w:ascii="Arial" w:hAnsi="Arial" w:cs="Arial"/>
          <w:sz w:val="20"/>
          <w:szCs w:val="20"/>
        </w:rPr>
        <w:t>Expediente 2761/2024. Propuesta del Concejal delegado de Hacienda de fecha 16 de septiembre de 2024 al Pleno de modificación de la aprobación inicial de la Ordenanza reguladora de la prestación patrimonial de carácter público no tributario del ciclo integral del agua y sometimiento a información pública del expediente</w:t>
      </w:r>
    </w:p>
    <w:p w:rsidR="003D39A8" w:rsidRDefault="00DF67C8" w:rsidP="00DF67C8">
      <w:pPr>
        <w:spacing w:after="84" w:line="244" w:lineRule="auto"/>
        <w:ind w:left="0" w:right="0" w:firstLine="0"/>
        <w:rPr>
          <w:rFonts w:ascii="Arial" w:hAnsi="Arial" w:cs="Arial"/>
          <w:sz w:val="20"/>
          <w:szCs w:val="20"/>
        </w:rPr>
      </w:pPr>
      <w:r w:rsidRPr="006E050A">
        <w:rPr>
          <w:rFonts w:ascii="Arial" w:hAnsi="Arial" w:cs="Arial"/>
          <w:sz w:val="20"/>
          <w:szCs w:val="20"/>
        </w:rPr>
        <w:t xml:space="preserve">4. </w:t>
      </w:r>
      <w:r w:rsidR="003D39A8" w:rsidRPr="007E5879">
        <w:rPr>
          <w:rFonts w:ascii="Arial" w:hAnsi="Arial" w:cs="Arial"/>
          <w:sz w:val="20"/>
          <w:szCs w:val="20"/>
        </w:rPr>
        <w:t>Expediente 10125/2024. Propuesta de la Alcaldesa-Presidenta de fecha 19 de septiembre de 2024 al Pleno sobre modificación presupuestaria por suplemento de crédito por importe de 450.000 euros</w:t>
      </w:r>
      <w:r w:rsidR="003D39A8" w:rsidRPr="006E050A">
        <w:rPr>
          <w:rFonts w:ascii="Arial" w:hAnsi="Arial" w:cs="Arial"/>
          <w:sz w:val="20"/>
          <w:szCs w:val="20"/>
        </w:rPr>
        <w:t xml:space="preserve"> </w:t>
      </w:r>
    </w:p>
    <w:p w:rsidR="003D39A8" w:rsidRPr="007E5879" w:rsidRDefault="00DF67C8" w:rsidP="00DF67C8">
      <w:pPr>
        <w:spacing w:after="84" w:line="244" w:lineRule="auto"/>
        <w:ind w:left="0" w:right="0" w:firstLine="0"/>
        <w:rPr>
          <w:rFonts w:ascii="Arial" w:hAnsi="Arial" w:cs="Arial"/>
          <w:sz w:val="20"/>
          <w:szCs w:val="20"/>
        </w:rPr>
      </w:pPr>
      <w:r w:rsidRPr="006E050A">
        <w:rPr>
          <w:rFonts w:ascii="Arial" w:hAnsi="Arial" w:cs="Arial"/>
          <w:sz w:val="20"/>
          <w:szCs w:val="20"/>
        </w:rPr>
        <w:t xml:space="preserve">5. </w:t>
      </w:r>
      <w:r w:rsidR="003D39A8" w:rsidRPr="007E5879">
        <w:rPr>
          <w:rFonts w:ascii="Arial" w:hAnsi="Arial" w:cs="Arial"/>
          <w:sz w:val="20"/>
          <w:szCs w:val="20"/>
        </w:rPr>
        <w:t>Expediente 7119/2024. Propuesta del Concejal delegado de Hacienda de fecha 26 de agosto de 2024 al pleno de aprobación de la Cuenta General del año 2023</w:t>
      </w:r>
    </w:p>
    <w:p w:rsidR="003D39A8" w:rsidRDefault="00DF67C8" w:rsidP="00DF67C8">
      <w:pPr>
        <w:spacing w:after="84" w:line="244" w:lineRule="auto"/>
        <w:ind w:left="0" w:right="0" w:firstLine="0"/>
        <w:rPr>
          <w:rFonts w:ascii="Arial" w:hAnsi="Arial" w:cs="Arial"/>
          <w:sz w:val="20"/>
          <w:szCs w:val="20"/>
        </w:rPr>
      </w:pPr>
      <w:r w:rsidRPr="006E050A">
        <w:rPr>
          <w:rFonts w:ascii="Arial" w:hAnsi="Arial" w:cs="Arial"/>
          <w:sz w:val="20"/>
          <w:szCs w:val="20"/>
        </w:rPr>
        <w:t xml:space="preserve">6. </w:t>
      </w:r>
      <w:r w:rsidR="003D39A8" w:rsidRPr="007E5879">
        <w:rPr>
          <w:rFonts w:ascii="Arial" w:hAnsi="Arial" w:cs="Arial"/>
          <w:sz w:val="20"/>
          <w:szCs w:val="20"/>
        </w:rPr>
        <w:t>Expediente 7866/2024. Propuesta de la Alcaldesa-Presidenta de fecha 20 de septiembre al Pleno de nombramiento de juez/a de paz titular del municipio de Candelaria</w:t>
      </w:r>
      <w:r w:rsidR="003D39A8" w:rsidRPr="006E050A">
        <w:rPr>
          <w:rFonts w:ascii="Arial" w:hAnsi="Arial" w:cs="Arial"/>
          <w:sz w:val="20"/>
          <w:szCs w:val="20"/>
        </w:rPr>
        <w:t xml:space="preserve"> </w:t>
      </w:r>
    </w:p>
    <w:p w:rsidR="003D39A8" w:rsidRPr="007E5879" w:rsidRDefault="00DF67C8" w:rsidP="00DF67C8">
      <w:pPr>
        <w:spacing w:after="84" w:line="244" w:lineRule="auto"/>
        <w:ind w:left="0" w:right="0" w:firstLine="0"/>
        <w:rPr>
          <w:rFonts w:ascii="Arial" w:hAnsi="Arial" w:cs="Arial"/>
          <w:sz w:val="20"/>
          <w:szCs w:val="20"/>
        </w:rPr>
      </w:pPr>
      <w:r w:rsidRPr="006E050A">
        <w:rPr>
          <w:rFonts w:ascii="Arial" w:hAnsi="Arial" w:cs="Arial"/>
          <w:sz w:val="20"/>
          <w:szCs w:val="20"/>
        </w:rPr>
        <w:t xml:space="preserve">7. </w:t>
      </w:r>
      <w:r w:rsidR="003D39A8" w:rsidRPr="007E5879">
        <w:rPr>
          <w:rFonts w:ascii="Arial" w:hAnsi="Arial" w:cs="Arial"/>
          <w:sz w:val="20"/>
          <w:szCs w:val="20"/>
        </w:rPr>
        <w:t xml:space="preserve">Expediente 1306/2019. Propuesta de la Alcaldesa-Presidenta de fecha 18 de septiembre de 2024 al Pleno sobre la transmisión de la copropiedad de la parcela del emisario submarino del Polígono Industrial del Valle de </w:t>
      </w:r>
      <w:proofErr w:type="spellStart"/>
      <w:r w:rsidR="003D39A8" w:rsidRPr="007E5879">
        <w:rPr>
          <w:rFonts w:ascii="Arial" w:hAnsi="Arial" w:cs="Arial"/>
          <w:sz w:val="20"/>
          <w:szCs w:val="20"/>
        </w:rPr>
        <w:t>Güimar</w:t>
      </w:r>
      <w:proofErr w:type="spellEnd"/>
      <w:r w:rsidR="003D39A8" w:rsidRPr="007E5879">
        <w:rPr>
          <w:rFonts w:ascii="Arial" w:hAnsi="Arial" w:cs="Arial"/>
          <w:sz w:val="20"/>
          <w:szCs w:val="20"/>
        </w:rPr>
        <w:t xml:space="preserve"> mediante mutación </w:t>
      </w:r>
      <w:proofErr w:type="spellStart"/>
      <w:r w:rsidR="003D39A8" w:rsidRPr="007E5879">
        <w:rPr>
          <w:rFonts w:ascii="Arial" w:hAnsi="Arial" w:cs="Arial"/>
          <w:sz w:val="20"/>
          <w:szCs w:val="20"/>
        </w:rPr>
        <w:t>demanial</w:t>
      </w:r>
      <w:proofErr w:type="spellEnd"/>
      <w:r w:rsidR="003D39A8" w:rsidRPr="007E5879">
        <w:rPr>
          <w:rFonts w:ascii="Arial" w:hAnsi="Arial" w:cs="Arial"/>
          <w:sz w:val="20"/>
          <w:szCs w:val="20"/>
        </w:rPr>
        <w:t xml:space="preserve"> subjetiva al CIATF</w:t>
      </w:r>
    </w:p>
    <w:p w:rsidR="003D39A8" w:rsidRPr="007E5879" w:rsidRDefault="00DF67C8" w:rsidP="00DF67C8">
      <w:pPr>
        <w:spacing w:after="84" w:line="244" w:lineRule="auto"/>
        <w:ind w:left="0" w:right="0" w:firstLine="0"/>
        <w:rPr>
          <w:rFonts w:ascii="Arial" w:hAnsi="Arial" w:cs="Arial"/>
          <w:sz w:val="20"/>
          <w:szCs w:val="20"/>
        </w:rPr>
      </w:pPr>
      <w:r w:rsidRPr="006E050A">
        <w:rPr>
          <w:rFonts w:ascii="Arial" w:hAnsi="Arial" w:cs="Arial"/>
          <w:sz w:val="20"/>
          <w:szCs w:val="20"/>
        </w:rPr>
        <w:t xml:space="preserve">8. </w:t>
      </w:r>
      <w:r w:rsidR="003D39A8" w:rsidRPr="007E5879">
        <w:rPr>
          <w:rFonts w:ascii="Arial" w:hAnsi="Arial" w:cs="Arial"/>
          <w:sz w:val="20"/>
          <w:szCs w:val="20"/>
        </w:rPr>
        <w:t>Expediente 7831/2019. Propuesta de la Alcaldesa-Presidenta de fecha 20 de septiembre de 2024 al Pleno de aprobación de la Junta de compensación de la unidad de actuación UA-C02 Chipas y su remisión al Registro de Entidades Urbanísticas colaboradoras del Gobierno de Canarias</w:t>
      </w:r>
    </w:p>
    <w:p w:rsidR="003D39A8" w:rsidRPr="007E5879" w:rsidRDefault="00DF67C8" w:rsidP="00DF67C8">
      <w:pPr>
        <w:spacing w:after="84" w:line="244" w:lineRule="auto"/>
        <w:ind w:left="0" w:right="0" w:firstLine="0"/>
        <w:rPr>
          <w:rFonts w:ascii="Arial" w:hAnsi="Arial" w:cs="Arial"/>
          <w:sz w:val="20"/>
          <w:szCs w:val="20"/>
        </w:rPr>
      </w:pPr>
      <w:r w:rsidRPr="006E050A">
        <w:rPr>
          <w:rFonts w:ascii="Arial" w:hAnsi="Arial" w:cs="Arial"/>
          <w:sz w:val="20"/>
          <w:szCs w:val="20"/>
        </w:rPr>
        <w:t xml:space="preserve">9. </w:t>
      </w:r>
      <w:r w:rsidR="003D39A8" w:rsidRPr="007E5879">
        <w:rPr>
          <w:rFonts w:ascii="Arial" w:hAnsi="Arial" w:cs="Arial"/>
          <w:sz w:val="20"/>
          <w:szCs w:val="20"/>
        </w:rPr>
        <w:t>Expediente 9852/2020. Propuesta de la Alcaldesa-Presidenta al Pleno de fecha 19 de septiembre de 2024 de primera modificación del convenio entre el CIATF y los Ayuntami</w:t>
      </w:r>
      <w:r w:rsidR="00622C19">
        <w:rPr>
          <w:rFonts w:ascii="Arial" w:hAnsi="Arial" w:cs="Arial"/>
          <w:sz w:val="20"/>
          <w:szCs w:val="20"/>
        </w:rPr>
        <w:t xml:space="preserve">entos de </w:t>
      </w:r>
      <w:proofErr w:type="spellStart"/>
      <w:r w:rsidR="00622C19">
        <w:rPr>
          <w:rFonts w:ascii="Arial" w:hAnsi="Arial" w:cs="Arial"/>
          <w:sz w:val="20"/>
          <w:szCs w:val="20"/>
        </w:rPr>
        <w:t>Arafo</w:t>
      </w:r>
      <w:proofErr w:type="spellEnd"/>
      <w:r w:rsidR="00622C19">
        <w:rPr>
          <w:rFonts w:ascii="Arial" w:hAnsi="Arial" w:cs="Arial"/>
          <w:sz w:val="20"/>
          <w:szCs w:val="20"/>
        </w:rPr>
        <w:t xml:space="preserve">, Candelaria y </w:t>
      </w:r>
      <w:proofErr w:type="spellStart"/>
      <w:r w:rsidR="00622C19">
        <w:rPr>
          <w:rFonts w:ascii="Arial" w:hAnsi="Arial" w:cs="Arial"/>
          <w:sz w:val="20"/>
          <w:szCs w:val="20"/>
        </w:rPr>
        <w:t>Güi</w:t>
      </w:r>
      <w:r w:rsidR="003D39A8" w:rsidRPr="007E5879">
        <w:rPr>
          <w:rFonts w:ascii="Arial" w:hAnsi="Arial" w:cs="Arial"/>
          <w:sz w:val="20"/>
          <w:szCs w:val="20"/>
        </w:rPr>
        <w:t>mar</w:t>
      </w:r>
      <w:proofErr w:type="spellEnd"/>
      <w:r w:rsidR="003D39A8" w:rsidRPr="007E5879">
        <w:rPr>
          <w:rFonts w:ascii="Arial" w:hAnsi="Arial" w:cs="Arial"/>
          <w:sz w:val="20"/>
          <w:szCs w:val="20"/>
        </w:rPr>
        <w:t xml:space="preserve"> de gestión de infraestructuras de depuración y vertido del Polígono Industr</w:t>
      </w:r>
      <w:r w:rsidR="00622C19">
        <w:rPr>
          <w:rFonts w:ascii="Arial" w:hAnsi="Arial" w:cs="Arial"/>
          <w:sz w:val="20"/>
          <w:szCs w:val="20"/>
        </w:rPr>
        <w:t>i</w:t>
      </w:r>
      <w:r w:rsidR="003D39A8" w:rsidRPr="007E5879">
        <w:rPr>
          <w:rFonts w:ascii="Arial" w:hAnsi="Arial" w:cs="Arial"/>
          <w:sz w:val="20"/>
          <w:szCs w:val="20"/>
        </w:rPr>
        <w:t xml:space="preserve">al del Valle de </w:t>
      </w:r>
      <w:proofErr w:type="spellStart"/>
      <w:r w:rsidR="003D39A8" w:rsidRPr="007E5879">
        <w:rPr>
          <w:rFonts w:ascii="Arial" w:hAnsi="Arial" w:cs="Arial"/>
          <w:sz w:val="20"/>
          <w:szCs w:val="20"/>
        </w:rPr>
        <w:t>Güimar</w:t>
      </w:r>
      <w:proofErr w:type="spellEnd"/>
    </w:p>
    <w:p w:rsidR="003D39A8" w:rsidRPr="007E5879" w:rsidRDefault="00DF67C8" w:rsidP="00DF67C8">
      <w:pPr>
        <w:spacing w:after="84" w:line="244" w:lineRule="auto"/>
        <w:ind w:left="0" w:right="0" w:firstLine="0"/>
        <w:rPr>
          <w:rFonts w:ascii="Arial" w:hAnsi="Arial" w:cs="Arial"/>
          <w:sz w:val="20"/>
          <w:szCs w:val="20"/>
        </w:rPr>
      </w:pPr>
      <w:r w:rsidRPr="006E050A">
        <w:rPr>
          <w:rFonts w:ascii="Arial" w:hAnsi="Arial" w:cs="Arial"/>
          <w:sz w:val="20"/>
          <w:szCs w:val="20"/>
        </w:rPr>
        <w:t xml:space="preserve">10. </w:t>
      </w:r>
      <w:r w:rsidR="003D39A8" w:rsidRPr="007E5879">
        <w:rPr>
          <w:rFonts w:ascii="Arial" w:hAnsi="Arial" w:cs="Arial"/>
          <w:sz w:val="20"/>
          <w:szCs w:val="20"/>
        </w:rPr>
        <w:t xml:space="preserve">Expediente 10053/2024. Moción del Grupo Partido Popular para la instalación de zonas de sombra en el Paseo </w:t>
      </w:r>
      <w:proofErr w:type="spellStart"/>
      <w:r w:rsidR="003D39A8" w:rsidRPr="007E5879">
        <w:rPr>
          <w:rFonts w:ascii="Arial" w:hAnsi="Arial" w:cs="Arial"/>
          <w:sz w:val="20"/>
          <w:szCs w:val="20"/>
        </w:rPr>
        <w:t>Graciliano</w:t>
      </w:r>
      <w:proofErr w:type="spellEnd"/>
      <w:r w:rsidR="003D39A8" w:rsidRPr="007E5879">
        <w:rPr>
          <w:rFonts w:ascii="Arial" w:hAnsi="Arial" w:cs="Arial"/>
          <w:sz w:val="20"/>
          <w:szCs w:val="20"/>
        </w:rPr>
        <w:t xml:space="preserve"> Díaz Rodríguez.</w:t>
      </w:r>
    </w:p>
    <w:p w:rsidR="00DF67C8" w:rsidRPr="007E5879" w:rsidRDefault="009B2DB8" w:rsidP="00DF67C8">
      <w:pPr>
        <w:spacing w:after="84" w:line="244" w:lineRule="auto"/>
        <w:ind w:left="0" w:right="0" w:firstLine="0"/>
        <w:rPr>
          <w:rFonts w:ascii="Arial" w:hAnsi="Arial" w:cs="Arial"/>
          <w:sz w:val="20"/>
          <w:szCs w:val="20"/>
        </w:rPr>
      </w:pPr>
      <w:r w:rsidRPr="007E5879">
        <w:rPr>
          <w:rFonts w:ascii="Arial" w:hAnsi="Arial" w:cs="Arial"/>
          <w:sz w:val="20"/>
          <w:szCs w:val="20"/>
        </w:rPr>
        <w:lastRenderedPageBreak/>
        <w:t>11.</w:t>
      </w:r>
      <w:r w:rsidR="003D39A8" w:rsidRPr="007E5879">
        <w:rPr>
          <w:rFonts w:ascii="Arial" w:hAnsi="Arial" w:cs="Arial"/>
          <w:sz w:val="20"/>
          <w:szCs w:val="20"/>
        </w:rPr>
        <w:t xml:space="preserve"> Expediente 10055/2024. Moción del Grupo Mixto (CC) para solicitar la Declaración de Protección temporal y urgente para los ciudadanos venezolanos desplazados mientras se encuentren en España.</w:t>
      </w:r>
    </w:p>
    <w:p w:rsidR="009B2DB8" w:rsidRPr="007E5879" w:rsidRDefault="009B2DB8" w:rsidP="00DF67C8">
      <w:pPr>
        <w:spacing w:after="84" w:line="244" w:lineRule="auto"/>
        <w:ind w:left="0" w:right="0" w:firstLine="0"/>
        <w:rPr>
          <w:rFonts w:ascii="Arial" w:hAnsi="Arial" w:cs="Arial"/>
          <w:sz w:val="20"/>
          <w:szCs w:val="20"/>
        </w:rPr>
      </w:pPr>
      <w:r w:rsidRPr="007E5879">
        <w:rPr>
          <w:rFonts w:ascii="Arial" w:hAnsi="Arial" w:cs="Arial"/>
          <w:sz w:val="20"/>
          <w:szCs w:val="20"/>
        </w:rPr>
        <w:t>12.</w:t>
      </w:r>
      <w:r w:rsidR="003D39A8" w:rsidRPr="007E5879">
        <w:rPr>
          <w:rFonts w:ascii="Arial" w:hAnsi="Arial" w:cs="Arial"/>
          <w:sz w:val="20"/>
          <w:szCs w:val="20"/>
        </w:rPr>
        <w:t xml:space="preserve"> Expediente 10021/2024. Moción del Grupo Mixto (USP) con registro de entrada nº (2024-E-RE-6746) de 16 de septiembre de 2024 sobre ayudas para material escolar.</w:t>
      </w:r>
    </w:p>
    <w:p w:rsidR="009B2DB8" w:rsidRPr="007E5879" w:rsidRDefault="009B2DB8" w:rsidP="00DF67C8">
      <w:pPr>
        <w:spacing w:after="84" w:line="244" w:lineRule="auto"/>
        <w:ind w:left="0" w:right="0" w:firstLine="0"/>
        <w:rPr>
          <w:rFonts w:ascii="Arial" w:hAnsi="Arial" w:cs="Arial"/>
          <w:sz w:val="20"/>
          <w:szCs w:val="20"/>
        </w:rPr>
      </w:pPr>
      <w:r w:rsidRPr="007E5879">
        <w:rPr>
          <w:rFonts w:ascii="Arial" w:hAnsi="Arial" w:cs="Arial"/>
          <w:sz w:val="20"/>
          <w:szCs w:val="20"/>
        </w:rPr>
        <w:t>13.</w:t>
      </w:r>
      <w:r w:rsidR="003D39A8" w:rsidRPr="007E5879">
        <w:rPr>
          <w:rFonts w:ascii="Arial" w:hAnsi="Arial" w:cs="Arial"/>
          <w:sz w:val="20"/>
          <w:szCs w:val="20"/>
        </w:rPr>
        <w:t xml:space="preserve"> Expediente 10023/2024. Toma de conocimiento de la renuncia a la condición de concejal de Don David </w:t>
      </w:r>
      <w:proofErr w:type="spellStart"/>
      <w:r w:rsidR="003D39A8" w:rsidRPr="007E5879">
        <w:rPr>
          <w:rFonts w:ascii="Arial" w:hAnsi="Arial" w:cs="Arial"/>
          <w:sz w:val="20"/>
          <w:szCs w:val="20"/>
        </w:rPr>
        <w:t>Crego</w:t>
      </w:r>
      <w:proofErr w:type="spellEnd"/>
      <w:r w:rsidR="003D39A8" w:rsidRPr="007E5879">
        <w:rPr>
          <w:rFonts w:ascii="Arial" w:hAnsi="Arial" w:cs="Arial"/>
          <w:sz w:val="20"/>
          <w:szCs w:val="20"/>
        </w:rPr>
        <w:t xml:space="preserve"> Chaves por registro de entrada de 17 de septiembre de 2024.</w:t>
      </w:r>
    </w:p>
    <w:p w:rsidR="009B2DB8" w:rsidRPr="007E5879" w:rsidRDefault="009B2DB8" w:rsidP="00DF67C8">
      <w:pPr>
        <w:spacing w:after="84" w:line="244" w:lineRule="auto"/>
        <w:ind w:left="0" w:right="0" w:firstLine="0"/>
        <w:rPr>
          <w:rFonts w:ascii="Arial" w:hAnsi="Arial" w:cs="Arial"/>
          <w:sz w:val="20"/>
          <w:szCs w:val="20"/>
        </w:rPr>
      </w:pPr>
      <w:r w:rsidRPr="007E5879">
        <w:rPr>
          <w:rFonts w:ascii="Arial" w:hAnsi="Arial" w:cs="Arial"/>
          <w:sz w:val="20"/>
          <w:szCs w:val="20"/>
        </w:rPr>
        <w:t>14.</w:t>
      </w:r>
      <w:r w:rsidR="003D39A8" w:rsidRPr="007E5879">
        <w:rPr>
          <w:rFonts w:ascii="Arial" w:hAnsi="Arial" w:cs="Arial"/>
          <w:sz w:val="20"/>
          <w:szCs w:val="20"/>
        </w:rPr>
        <w:t xml:space="preserve"> Urgencias</w:t>
      </w:r>
    </w:p>
    <w:p w:rsidR="00DF67C8" w:rsidRPr="00A71A2F" w:rsidRDefault="00DF67C8" w:rsidP="00DF67C8">
      <w:pPr>
        <w:spacing w:after="84" w:line="244" w:lineRule="auto"/>
        <w:ind w:left="0" w:right="0" w:firstLine="0"/>
        <w:rPr>
          <w:rFonts w:ascii="Arial" w:eastAsia="Times New Roman" w:hAnsi="Arial" w:cs="Arial"/>
          <w:color w:val="2F3E4D"/>
          <w:sz w:val="20"/>
          <w:szCs w:val="20"/>
        </w:rPr>
      </w:pPr>
      <w:bookmarkStart w:id="0" w:name="_GoBack"/>
      <w:bookmarkEnd w:id="0"/>
    </w:p>
    <w:p w:rsidR="003C29D2" w:rsidRPr="00A71A2F" w:rsidRDefault="00EF6EEB">
      <w:pPr>
        <w:spacing w:after="84" w:line="244" w:lineRule="auto"/>
        <w:ind w:left="0" w:right="0" w:firstLine="0"/>
        <w:rPr>
          <w:rFonts w:ascii="Arial" w:hAnsi="Arial" w:cs="Arial"/>
          <w:b/>
          <w:sz w:val="20"/>
          <w:szCs w:val="20"/>
        </w:rPr>
      </w:pPr>
      <w:r w:rsidRPr="00A71A2F">
        <w:rPr>
          <w:rFonts w:ascii="Arial" w:hAnsi="Arial" w:cs="Arial"/>
          <w:b/>
          <w:sz w:val="20"/>
          <w:szCs w:val="20"/>
        </w:rPr>
        <w:t>B) ACTIVIDAD DE CONTROL</w:t>
      </w:r>
    </w:p>
    <w:p w:rsidR="00580D8B" w:rsidRDefault="009B2DB8">
      <w:pPr>
        <w:spacing w:after="84" w:line="244" w:lineRule="auto"/>
        <w:ind w:left="0" w:right="0" w:firstLine="0"/>
        <w:rPr>
          <w:rFonts w:ascii="Arial" w:hAnsi="Arial" w:cs="Arial"/>
          <w:sz w:val="20"/>
          <w:szCs w:val="20"/>
        </w:rPr>
      </w:pPr>
      <w:r>
        <w:rPr>
          <w:rFonts w:ascii="Arial" w:hAnsi="Arial" w:cs="Arial"/>
          <w:sz w:val="20"/>
          <w:szCs w:val="20"/>
        </w:rPr>
        <w:t>15</w:t>
      </w:r>
      <w:r w:rsidR="00DF67C8" w:rsidRPr="006E050A">
        <w:rPr>
          <w:rFonts w:ascii="Arial" w:hAnsi="Arial" w:cs="Arial"/>
          <w:sz w:val="20"/>
          <w:szCs w:val="20"/>
        </w:rPr>
        <w:t>.</w:t>
      </w:r>
      <w:r w:rsidR="00625A3A" w:rsidRPr="006E050A">
        <w:rPr>
          <w:rFonts w:ascii="Arial" w:hAnsi="Arial" w:cs="Arial"/>
          <w:sz w:val="20"/>
          <w:szCs w:val="20"/>
        </w:rPr>
        <w:t xml:space="preserve"> </w:t>
      </w:r>
      <w:r w:rsidR="00580D8B" w:rsidRPr="007E5879">
        <w:rPr>
          <w:rFonts w:ascii="Arial" w:hAnsi="Arial" w:cs="Arial"/>
          <w:sz w:val="20"/>
          <w:szCs w:val="20"/>
        </w:rPr>
        <w:t>Dación de cuenta de los Decretos de Alcaldía y Concejales delegados</w:t>
      </w:r>
      <w:r w:rsidR="00580D8B">
        <w:rPr>
          <w:rFonts w:ascii="Arial" w:hAnsi="Arial" w:cs="Arial"/>
          <w:sz w:val="20"/>
          <w:szCs w:val="20"/>
        </w:rPr>
        <w:t xml:space="preserve"> </w:t>
      </w:r>
    </w:p>
    <w:p w:rsidR="00CF63D5" w:rsidRPr="007E5879" w:rsidRDefault="009B2DB8">
      <w:pPr>
        <w:spacing w:after="84" w:line="244" w:lineRule="auto"/>
        <w:ind w:left="0" w:right="0" w:firstLine="0"/>
        <w:rPr>
          <w:rFonts w:ascii="Arial" w:hAnsi="Arial" w:cs="Arial"/>
          <w:sz w:val="20"/>
          <w:szCs w:val="20"/>
        </w:rPr>
      </w:pPr>
      <w:r>
        <w:rPr>
          <w:rFonts w:ascii="Arial" w:hAnsi="Arial" w:cs="Arial"/>
          <w:sz w:val="20"/>
          <w:szCs w:val="20"/>
        </w:rPr>
        <w:t>16</w:t>
      </w:r>
      <w:r w:rsidR="00DF67C8" w:rsidRPr="006E050A">
        <w:rPr>
          <w:rFonts w:ascii="Arial" w:hAnsi="Arial" w:cs="Arial"/>
          <w:sz w:val="20"/>
          <w:szCs w:val="20"/>
        </w:rPr>
        <w:t>.</w:t>
      </w:r>
      <w:r w:rsidR="00CF63D5" w:rsidRPr="006E050A">
        <w:rPr>
          <w:rFonts w:ascii="Arial" w:hAnsi="Arial" w:cs="Arial"/>
          <w:sz w:val="20"/>
          <w:szCs w:val="20"/>
        </w:rPr>
        <w:t xml:space="preserve"> </w:t>
      </w:r>
      <w:r w:rsidR="007E5879">
        <w:rPr>
          <w:rFonts w:ascii="Arial" w:hAnsi="Arial" w:cs="Arial"/>
          <w:sz w:val="20"/>
          <w:szCs w:val="20"/>
        </w:rPr>
        <w:t>Informe de Intervenció</w:t>
      </w:r>
      <w:r w:rsidR="00580D8B" w:rsidRPr="007E5879">
        <w:rPr>
          <w:rFonts w:ascii="Arial" w:hAnsi="Arial" w:cs="Arial"/>
          <w:sz w:val="20"/>
          <w:szCs w:val="20"/>
        </w:rPr>
        <w:t>n de las resoluciones contrarias a los reparos efectuados conforme a la ley 27/2013, de racionalización y sostenibilidad de la Administración local</w:t>
      </w:r>
    </w:p>
    <w:p w:rsidR="00580D8B" w:rsidRDefault="00580D8B">
      <w:pPr>
        <w:spacing w:after="84" w:line="244" w:lineRule="auto"/>
        <w:ind w:left="0" w:right="0" w:firstLine="0"/>
        <w:rPr>
          <w:rFonts w:ascii="Arial" w:hAnsi="Arial" w:cs="Arial"/>
          <w:b/>
          <w:sz w:val="20"/>
          <w:szCs w:val="20"/>
        </w:rPr>
      </w:pPr>
    </w:p>
    <w:p w:rsidR="003C29D2" w:rsidRPr="00A71A2F" w:rsidRDefault="00EF6EEB">
      <w:pPr>
        <w:spacing w:after="84" w:line="244" w:lineRule="auto"/>
        <w:ind w:left="0" w:right="0" w:firstLine="0"/>
        <w:rPr>
          <w:rFonts w:ascii="Arial" w:hAnsi="Arial" w:cs="Arial"/>
          <w:b/>
          <w:sz w:val="20"/>
          <w:szCs w:val="20"/>
        </w:rPr>
      </w:pPr>
      <w:r w:rsidRPr="00A71A2F">
        <w:rPr>
          <w:rFonts w:ascii="Arial" w:hAnsi="Arial" w:cs="Arial"/>
          <w:b/>
          <w:sz w:val="20"/>
          <w:szCs w:val="20"/>
        </w:rPr>
        <w:t>C) RUEGOS Y PREGUNTAS</w:t>
      </w:r>
    </w:p>
    <w:p w:rsidR="005D3A8B" w:rsidRDefault="00580D8B" w:rsidP="006E050A">
      <w:pPr>
        <w:spacing w:after="84" w:line="244" w:lineRule="auto"/>
        <w:ind w:left="0" w:right="0" w:firstLine="0"/>
        <w:rPr>
          <w:rFonts w:ascii="Arial" w:hAnsi="Arial" w:cs="Arial"/>
          <w:sz w:val="20"/>
          <w:szCs w:val="20"/>
        </w:rPr>
      </w:pPr>
      <w:r>
        <w:rPr>
          <w:rFonts w:ascii="Arial" w:hAnsi="Arial" w:cs="Arial"/>
          <w:sz w:val="20"/>
          <w:szCs w:val="20"/>
        </w:rPr>
        <w:t>17. Ruegos y preguntas</w:t>
      </w:r>
    </w:p>
    <w:p w:rsidR="003C29D2" w:rsidRPr="00A71A2F" w:rsidRDefault="003C29D2" w:rsidP="007E5879">
      <w:pPr>
        <w:spacing w:after="84" w:line="244" w:lineRule="auto"/>
        <w:ind w:left="0" w:right="0" w:firstLine="0"/>
        <w:rPr>
          <w:sz w:val="20"/>
          <w:szCs w:val="20"/>
        </w:rPr>
      </w:pPr>
    </w:p>
    <w:sectPr w:rsidR="003C29D2" w:rsidRPr="00A71A2F">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864107">
    <w:pPr>
      <w:spacing w:after="0" w:line="244" w:lineRule="auto"/>
      <w:ind w:left="-1420" w:right="10278" w:firstLine="0"/>
      <w:jc w:val="left"/>
    </w:pPr>
  </w:p>
  <w:p w:rsidR="00D13DF7" w:rsidRDefault="00864107">
    <w:pPr>
      <w:spacing w:after="0" w:line="244" w:lineRule="auto"/>
      <w:ind w:left="-1420" w:right="10278" w:firstLine="0"/>
      <w:jc w:val="left"/>
    </w:pPr>
  </w:p>
  <w:p w:rsidR="00D13DF7" w:rsidRDefault="00864107">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226D9"/>
    <w:rsid w:val="00150346"/>
    <w:rsid w:val="0017249C"/>
    <w:rsid w:val="001D1875"/>
    <w:rsid w:val="00205D20"/>
    <w:rsid w:val="002550D7"/>
    <w:rsid w:val="003C29D2"/>
    <w:rsid w:val="003C57D7"/>
    <w:rsid w:val="003D39A8"/>
    <w:rsid w:val="00497F72"/>
    <w:rsid w:val="0055367E"/>
    <w:rsid w:val="00580D8B"/>
    <w:rsid w:val="005D3A8B"/>
    <w:rsid w:val="00622C19"/>
    <w:rsid w:val="00625A3A"/>
    <w:rsid w:val="006E050A"/>
    <w:rsid w:val="00712227"/>
    <w:rsid w:val="00775B05"/>
    <w:rsid w:val="007E5879"/>
    <w:rsid w:val="0082336A"/>
    <w:rsid w:val="00864107"/>
    <w:rsid w:val="009437E9"/>
    <w:rsid w:val="009B2DB8"/>
    <w:rsid w:val="00A71A2F"/>
    <w:rsid w:val="00B109F0"/>
    <w:rsid w:val="00C3636E"/>
    <w:rsid w:val="00CB1451"/>
    <w:rsid w:val="00CF63D5"/>
    <w:rsid w:val="00D144E3"/>
    <w:rsid w:val="00D17A93"/>
    <w:rsid w:val="00D56F87"/>
    <w:rsid w:val="00D94DC1"/>
    <w:rsid w:val="00DF67C8"/>
    <w:rsid w:val="00E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1D6B"/>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delaria.sedelectronic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9</cp:revision>
  <dcterms:created xsi:type="dcterms:W3CDTF">2025-01-27T10:42:00Z</dcterms:created>
  <dcterms:modified xsi:type="dcterms:W3CDTF">2025-01-27T10:55:00Z</dcterms:modified>
</cp:coreProperties>
</file>