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893" w:rsidRDefault="009F063A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696893" w:rsidRDefault="00696893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696893">
        <w:tblPrEx>
          <w:tblCellMar>
            <w:top w:w="0" w:type="dxa"/>
            <w:bottom w:w="0" w:type="dxa"/>
          </w:tblCellMar>
        </w:tblPrEx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696893">
        <w:tblPrEx>
          <w:tblCellMar>
            <w:top w:w="0" w:type="dxa"/>
            <w:bottom w:w="0" w:type="dxa"/>
          </w:tblCellMar>
        </w:tblPrEx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PLN/2024/2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696893" w:rsidRDefault="009F063A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96893" w:rsidRDefault="009F063A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696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696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893" w:rsidRDefault="009F063A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25 de enero de 2024 a las 9:00</w:t>
            </w:r>
          </w:p>
          <w:p w:rsidR="00696893" w:rsidRDefault="009F063A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29 de enero de 2024 a las 9:00</w:t>
            </w:r>
          </w:p>
        </w:tc>
      </w:tr>
      <w:tr w:rsidR="00696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  <w:tr w:rsidR="00696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Participación a distancia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6893" w:rsidRDefault="009F063A">
            <w:pPr>
              <w:spacing w:after="84" w:line="240" w:lineRule="auto"/>
              <w:ind w:left="0" w:right="0" w:firstLine="0"/>
            </w:pPr>
            <w:r>
              <w:rPr>
                <w:rFonts w:ascii="Arial" w:hAnsi="Arial" w:cs="Arial"/>
                <w:sz w:val="20"/>
                <w:szCs w:val="20"/>
              </w:rPr>
              <w:t xml:space="preserve">Admite participación a distancia, pudiendo conectar mediante:  «A través de la Sede Electrónica de la entidad en la dirección </w:t>
            </w:r>
            <w:hyperlink r:id="rId6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https://candelaria.sedelectronica.es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</w:tbl>
    <w:p w:rsidR="00696893" w:rsidRDefault="00696893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696893" w:rsidRDefault="009F063A">
      <w:pPr>
        <w:spacing w:after="84" w:line="240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696893" w:rsidRDefault="009F063A">
      <w:pPr>
        <w:shd w:val="clear" w:color="auto" w:fill="FFFFFF"/>
        <w:suppressAutoHyphens w:val="0"/>
        <w:spacing w:after="225" w:line="240" w:lineRule="auto"/>
        <w:ind w:left="0" w:right="0" w:firstLine="0"/>
        <w:textAlignment w:val="auto"/>
      </w:pPr>
      <w:r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eastAsia="Times New Roman" w:hAnsi="Arial" w:cs="Arial"/>
          <w:color w:val="2F3E4D"/>
          <w:sz w:val="20"/>
          <w:szCs w:val="20"/>
        </w:rPr>
        <w:t>Expediente 341/2024. Propuesta del Concejal delegado de Hacienda de 16 de enero de 2024 en el que se da cuenta del</w:t>
      </w:r>
      <w:r>
        <w:rPr>
          <w:rFonts w:ascii="Arial" w:eastAsia="Times New Roman" w:hAnsi="Arial" w:cs="Arial"/>
          <w:color w:val="2F3E4D"/>
          <w:sz w:val="20"/>
          <w:szCs w:val="20"/>
        </w:rPr>
        <w:t xml:space="preserve"> informe del Interventor municipal, de cumplimiento de plazos de la Ley 15/2010 correspondiente al cuarto trimestre 2023 del Ayuntamiento de Candelaria.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eastAsia="Times New Roman" w:hAnsi="Arial" w:cs="Arial"/>
          <w:color w:val="2F3E4D"/>
          <w:sz w:val="20"/>
          <w:szCs w:val="20"/>
        </w:rPr>
        <w:t>Expediente 342/2024. Propuesta del Concejal delegado de Hacienda de 16 de enero de 2024 por la que s</w:t>
      </w:r>
      <w:r>
        <w:rPr>
          <w:rFonts w:ascii="Arial" w:eastAsia="Times New Roman" w:hAnsi="Arial" w:cs="Arial"/>
          <w:color w:val="2F3E4D"/>
          <w:sz w:val="20"/>
          <w:szCs w:val="20"/>
        </w:rPr>
        <w:t>e da cuenta del informe del Interventor del periodo Medio de Pago del Cuarto Trimestre de 2023 conforme el Real Decreto 1040/2017, de 22 de diciembre del Ayuntamiento de Candelaria.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eastAsia="Times New Roman" w:hAnsi="Arial" w:cs="Arial"/>
          <w:color w:val="2F3E4D"/>
          <w:sz w:val="20"/>
          <w:szCs w:val="20"/>
        </w:rPr>
        <w:t xml:space="preserve"> Expediente 14/2024. Propuesta del Concejal delegado de Hacienda de 16 d</w:t>
      </w:r>
      <w:r>
        <w:rPr>
          <w:rFonts w:ascii="Arial" w:eastAsia="Times New Roman" w:hAnsi="Arial" w:cs="Arial"/>
          <w:color w:val="2F3E4D"/>
          <w:sz w:val="20"/>
          <w:szCs w:val="20"/>
        </w:rPr>
        <w:t>e enero de 2024 sobre la dación de cuenta del resultado definitivo de la fiscalización de la Cuenta General 2021 del Ayuntamiento de Candelaria por la Audiencia de Cuenta de Canarias.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color w:val="2F3E4D"/>
          <w:sz w:val="20"/>
          <w:szCs w:val="20"/>
        </w:rPr>
        <w:t xml:space="preserve"> Expediente 426/2024. Moción del Grupo Mixto (CC) para la mejora de la</w:t>
      </w:r>
      <w:r>
        <w:rPr>
          <w:rFonts w:ascii="Arial" w:eastAsia="Times New Roman" w:hAnsi="Arial" w:cs="Arial"/>
          <w:color w:val="2F3E4D"/>
          <w:sz w:val="20"/>
          <w:szCs w:val="20"/>
        </w:rPr>
        <w:t xml:space="preserve"> salubridad y la calidad del agua en el municipio de Candelaria.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eastAsia="Times New Roman" w:hAnsi="Arial" w:cs="Arial"/>
          <w:color w:val="2F3E4D"/>
          <w:sz w:val="20"/>
          <w:szCs w:val="20"/>
        </w:rPr>
        <w:t xml:space="preserve"> Urgencias.</w:t>
      </w:r>
    </w:p>
    <w:p w:rsidR="00696893" w:rsidRDefault="00696893">
      <w:pPr>
        <w:spacing w:after="84" w:line="240" w:lineRule="auto"/>
        <w:ind w:left="215" w:right="0" w:firstLine="0"/>
        <w:rPr>
          <w:rFonts w:ascii="Arial" w:eastAsia="Times New Roman" w:hAnsi="Arial" w:cs="Arial"/>
          <w:color w:val="2F3E4D"/>
          <w:sz w:val="20"/>
          <w:szCs w:val="20"/>
        </w:rPr>
      </w:pPr>
    </w:p>
    <w:p w:rsidR="00696893" w:rsidRDefault="009F063A">
      <w:pPr>
        <w:spacing w:after="84" w:line="24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 ACTIVIDAD DE CONTROL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eastAsia="Times New Roman" w:hAnsi="Arial" w:cs="Arial"/>
          <w:color w:val="2F3E4D"/>
          <w:sz w:val="20"/>
          <w:szCs w:val="20"/>
        </w:rPr>
        <w:t>Dación de cuenta de los Decretos de la Alcaldía-Presidencia y de los Concejales delegados.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eastAsia="Times New Roman" w:hAnsi="Arial" w:cs="Arial"/>
          <w:color w:val="2F3E4D"/>
          <w:sz w:val="20"/>
          <w:szCs w:val="20"/>
        </w:rPr>
        <w:t xml:space="preserve">Informe de Intervención de las resoluciones contrarias </w:t>
      </w:r>
      <w:r>
        <w:rPr>
          <w:rFonts w:ascii="Arial" w:eastAsia="Times New Roman" w:hAnsi="Arial" w:cs="Arial"/>
          <w:color w:val="2F3E4D"/>
          <w:sz w:val="20"/>
          <w:szCs w:val="20"/>
        </w:rPr>
        <w:t>a los reparos efectuados según la ley 27/2013, de racionalización y sostenibilidad de la Administración local.</w:t>
      </w:r>
    </w:p>
    <w:p w:rsidR="00696893" w:rsidRDefault="00696893">
      <w:pPr>
        <w:spacing w:after="84" w:line="240" w:lineRule="auto"/>
        <w:ind w:left="215" w:right="0" w:firstLine="0"/>
        <w:rPr>
          <w:rFonts w:ascii="Arial" w:hAnsi="Arial" w:cs="Arial"/>
          <w:sz w:val="20"/>
          <w:szCs w:val="20"/>
        </w:rPr>
      </w:pPr>
    </w:p>
    <w:p w:rsidR="00696893" w:rsidRDefault="009F063A">
      <w:pPr>
        <w:spacing w:after="84" w:line="240" w:lineRule="auto"/>
        <w:ind w:left="0" w:right="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C) RUEGOS Y PREGUNTAS</w:t>
      </w:r>
    </w:p>
    <w:p w:rsidR="00696893" w:rsidRDefault="009F063A">
      <w:pPr>
        <w:spacing w:after="84" w:line="240" w:lineRule="auto"/>
        <w:ind w:left="215" w:right="0" w:firstLine="0"/>
      </w:pPr>
      <w:r>
        <w:rPr>
          <w:rFonts w:ascii="Arial" w:hAnsi="Arial" w:cs="Arial"/>
          <w:sz w:val="20"/>
          <w:szCs w:val="20"/>
        </w:rPr>
        <w:t>8. Ruegos y preguntas.</w:t>
      </w:r>
    </w:p>
    <w:p w:rsidR="00696893" w:rsidRDefault="00696893">
      <w:pPr>
        <w:spacing w:after="84" w:line="240" w:lineRule="auto"/>
        <w:ind w:left="0" w:right="0" w:firstLine="0"/>
        <w:rPr>
          <w:rFonts w:ascii="Arial" w:hAnsi="Arial" w:cs="Arial"/>
          <w:sz w:val="20"/>
          <w:szCs w:val="20"/>
        </w:rPr>
      </w:pPr>
    </w:p>
    <w:sectPr w:rsidR="0069689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F063A">
      <w:pPr>
        <w:spacing w:after="0" w:line="240" w:lineRule="auto"/>
      </w:pPr>
      <w:r>
        <w:separator/>
      </w:r>
    </w:p>
  </w:endnote>
  <w:endnote w:type="continuationSeparator" w:id="0">
    <w:p w:rsidR="00000000" w:rsidRDefault="009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B5" w:rsidRDefault="009F063A">
    <w:pPr>
      <w:spacing w:after="0" w:line="240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9879131</wp:posOffset>
              </wp:positionV>
              <wp:extent cx="6132323" cy="444544"/>
              <wp:effectExtent l="0" t="0" r="1777" b="12656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544"/>
                        <a:chOff x="0" y="0"/>
                        <a:chExt cx="6132323" cy="444544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553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67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EC3AB5" w:rsidRDefault="009F063A">
                            <w:pPr>
                              <w:spacing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CikYKc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5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EC3AB5" w:rsidRDefault="009F063A">
                      <w:pPr>
                        <w:spacing w:after="160" w:line="240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B5" w:rsidRDefault="009F063A">
    <w:pPr>
      <w:spacing w:after="0" w:line="240" w:lineRule="auto"/>
      <w:ind w:left="-1420" w:right="10278" w:firstLine="0"/>
      <w:jc w:val="left"/>
    </w:pPr>
  </w:p>
  <w:p w:rsidR="00EC3AB5" w:rsidRDefault="009F063A">
    <w:pPr>
      <w:spacing w:after="0" w:line="240" w:lineRule="auto"/>
      <w:ind w:left="-1420" w:right="10278" w:firstLine="0"/>
      <w:jc w:val="left"/>
    </w:pPr>
  </w:p>
  <w:p w:rsidR="00EC3AB5" w:rsidRDefault="009F063A">
    <w:pPr>
      <w:spacing w:after="0" w:line="240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F063A">
      <w:pPr>
        <w:spacing w:after="0" w:line="240" w:lineRule="auto"/>
      </w:pPr>
      <w:r>
        <w:separator/>
      </w:r>
    </w:p>
  </w:footnote>
  <w:footnote w:type="continuationSeparator" w:id="0">
    <w:p w:rsidR="00000000" w:rsidRDefault="009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B5" w:rsidRDefault="009F063A">
    <w:pPr>
      <w:spacing w:after="610" w:line="240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EC3AB5" w:rsidRDefault="009F063A">
    <w:pPr>
      <w:spacing w:after="0" w:line="240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AB5" w:rsidRDefault="009F063A">
    <w:pPr>
      <w:spacing w:after="0" w:line="240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96893"/>
    <w:rsid w:val="00696893"/>
    <w:rsid w:val="009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F6A55-4284-4714-8883-6EF358A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  <w:style w:type="character" w:styleId="Hipervnculo">
    <w:name w:val="Hyperlink"/>
    <w:basedOn w:val="Fuentedeprrafopredeter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ndelaria.sedelectronica.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begoña.sarmiento</cp:lastModifiedBy>
  <cp:revision>2</cp:revision>
  <dcterms:created xsi:type="dcterms:W3CDTF">2024-05-23T13:15:00Z</dcterms:created>
  <dcterms:modified xsi:type="dcterms:W3CDTF">2024-05-23T13:15:00Z</dcterms:modified>
</cp:coreProperties>
</file>