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34A" w:rsidRDefault="00637DCA">
      <w:pPr>
        <w:tabs>
          <w:tab w:val="right" w:pos="8738"/>
        </w:tabs>
        <w:spacing w:after="0"/>
        <w:ind w:left="-2" w:firstLine="0"/>
        <w:jc w:val="left"/>
      </w:pPr>
      <w:bookmarkStart w:id="0" w:name="_GoBack"/>
      <w:bookmarkEnd w:id="0"/>
      <w:r>
        <w:t>Boletín Oficial de la Provincia de Santa Cruz de Tenerife núm. 161, jueves 18 de diciembre de 2003</w:t>
      </w:r>
      <w:r>
        <w:tab/>
        <w:t>17245</w:t>
      </w:r>
    </w:p>
    <w:p w:rsidR="00C9434A" w:rsidRDefault="00637DCA">
      <w:pPr>
        <w:spacing w:after="0" w:line="259" w:lineRule="auto"/>
        <w:ind w:left="-18" w:right="-34" w:firstLine="0"/>
        <w:jc w:val="left"/>
      </w:pPr>
      <w:r>
        <w:rPr>
          <w:rFonts w:ascii="Calibri" w:eastAsia="Calibri" w:hAnsi="Calibri" w:cs="Calibri"/>
          <w:noProof/>
          <w:sz w:val="22"/>
        </w:rPr>
        <mc:AlternateContent>
          <mc:Choice Requires="wpg">
            <w:drawing>
              <wp:inline distT="0" distB="0" distL="0" distR="0">
                <wp:extent cx="5581354" cy="11583"/>
                <wp:effectExtent l="0" t="0" r="0" b="0"/>
                <wp:docPr id="3568" name="Group 3568"/>
                <wp:cNvGraphicFramePr/>
                <a:graphic xmlns:a="http://schemas.openxmlformats.org/drawingml/2006/main">
                  <a:graphicData uri="http://schemas.microsoft.com/office/word/2010/wordprocessingGroup">
                    <wpg:wgp>
                      <wpg:cNvGrpSpPr/>
                      <wpg:grpSpPr>
                        <a:xfrm>
                          <a:off x="0" y="0"/>
                          <a:ext cx="5581354" cy="11583"/>
                          <a:chOff x="0" y="0"/>
                          <a:chExt cx="5581354" cy="11583"/>
                        </a:xfrm>
                      </wpg:grpSpPr>
                      <wps:wsp>
                        <wps:cNvPr id="137" name="Shape 137"/>
                        <wps:cNvSpPr/>
                        <wps:spPr>
                          <a:xfrm>
                            <a:off x="0" y="0"/>
                            <a:ext cx="5581354" cy="0"/>
                          </a:xfrm>
                          <a:custGeom>
                            <a:avLst/>
                            <a:gdLst/>
                            <a:ahLst/>
                            <a:cxnLst/>
                            <a:rect l="0" t="0" r="0" b="0"/>
                            <a:pathLst>
                              <a:path w="5581354">
                                <a:moveTo>
                                  <a:pt x="0" y="0"/>
                                </a:moveTo>
                                <a:lnTo>
                                  <a:pt x="5581354" y="0"/>
                                </a:lnTo>
                              </a:path>
                            </a:pathLst>
                          </a:custGeom>
                          <a:ln w="11583"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568" style="width:439.477pt;height:0.912023pt;mso-position-horizontal-relative:char;mso-position-vertical-relative:line" coordsize="55813,115">
                <v:shape id="Shape 137" style="position:absolute;width:55813;height:0;left:0;top:0;" coordsize="5581354,0" path="m0,0l5581354,0">
                  <v:stroke weight="0.912023pt" endcap="flat" joinstyle="miter" miterlimit="10" on="true" color="#000000"/>
                  <v:fill on="false" color="#000000" opacity="0"/>
                </v:shape>
              </v:group>
            </w:pict>
          </mc:Fallback>
        </mc:AlternateContent>
      </w:r>
    </w:p>
    <w:p w:rsidR="00C9434A" w:rsidRDefault="00C9434A">
      <w:pPr>
        <w:sectPr w:rsidR="00C9434A">
          <w:pgSz w:w="11900" w:h="16840"/>
          <w:pgMar w:top="1247" w:right="1600" w:bottom="2458" w:left="1562" w:header="720" w:footer="720" w:gutter="0"/>
          <w:cols w:space="720"/>
        </w:sectPr>
      </w:pPr>
    </w:p>
    <w:p w:rsidR="00C9434A" w:rsidRDefault="00637DCA">
      <w:pPr>
        <w:numPr>
          <w:ilvl w:val="0"/>
          <w:numId w:val="1"/>
        </w:numPr>
        <w:spacing w:after="152"/>
        <w:ind w:right="1" w:firstLine="155"/>
      </w:pPr>
      <w:r>
        <w:lastRenderedPageBreak/>
        <w:t>Localidad: La Laguna, Santa Cruz de Tenerife,38201.</w:t>
      </w:r>
    </w:p>
    <w:p w:rsidR="00C9434A" w:rsidRDefault="00637DCA">
      <w:pPr>
        <w:numPr>
          <w:ilvl w:val="0"/>
          <w:numId w:val="1"/>
        </w:numPr>
        <w:spacing w:after="147"/>
        <w:ind w:right="1" w:firstLine="155"/>
      </w:pPr>
      <w:r>
        <w:t>Fecha: 19 de enero de 2004.</w:t>
      </w:r>
    </w:p>
    <w:p w:rsidR="00C9434A" w:rsidRDefault="00637DCA">
      <w:pPr>
        <w:numPr>
          <w:ilvl w:val="0"/>
          <w:numId w:val="1"/>
        </w:numPr>
        <w:ind w:right="1" w:firstLine="155"/>
      </w:pPr>
      <w:r>
        <w:t>Hora: nueve horas.</w:t>
      </w:r>
    </w:p>
    <w:p w:rsidR="00C9434A" w:rsidRDefault="00637DCA">
      <w:pPr>
        <w:ind w:left="165" w:right="1"/>
      </w:pPr>
      <w:r>
        <w:t>10. Gastos de anuncios:</w:t>
      </w:r>
    </w:p>
    <w:p w:rsidR="00C9434A" w:rsidRDefault="00637DCA">
      <w:pPr>
        <w:spacing w:after="0"/>
        <w:ind w:left="165" w:right="1"/>
      </w:pPr>
      <w:r>
        <w:t>a) A cargo del adjudicatario, hasta un máximo de</w:t>
      </w:r>
    </w:p>
    <w:p w:rsidR="00C9434A" w:rsidRDefault="00637DCA">
      <w:pPr>
        <w:ind w:left="8" w:right="1"/>
      </w:pPr>
      <w:r>
        <w:t>1.250 euros.</w:t>
      </w:r>
    </w:p>
    <w:p w:rsidR="00C9434A" w:rsidRDefault="00637DCA">
      <w:pPr>
        <w:ind w:left="-2" w:right="1" w:firstLine="155"/>
      </w:pPr>
      <w:r>
        <w:t>San Cristóbal de La Laguna, a 10 de diciembre de 2003.</w:t>
      </w:r>
    </w:p>
    <w:p w:rsidR="00C9434A" w:rsidRDefault="00637DCA">
      <w:pPr>
        <w:spacing w:after="554"/>
        <w:ind w:left="-2" w:right="1" w:firstLine="155"/>
      </w:pPr>
      <w:r>
        <w:t xml:space="preserve">La Alcaldesa-Presidenta, Ana María </w:t>
      </w:r>
      <w:proofErr w:type="spellStart"/>
      <w:r>
        <w:t>Oramas</w:t>
      </w:r>
      <w:proofErr w:type="spellEnd"/>
      <w:r>
        <w:t xml:space="preserve"> González-Moro.</w:t>
      </w:r>
    </w:p>
    <w:p w:rsidR="00C9434A" w:rsidRDefault="00637DCA">
      <w:pPr>
        <w:spacing w:after="150" w:line="259" w:lineRule="auto"/>
        <w:ind w:right="4"/>
        <w:jc w:val="center"/>
      </w:pPr>
      <w:r>
        <w:rPr>
          <w:b/>
        </w:rPr>
        <w:t>VALLEHERMOSO</w:t>
      </w:r>
    </w:p>
    <w:p w:rsidR="00C9434A" w:rsidRDefault="00637DCA">
      <w:pPr>
        <w:spacing w:after="0" w:line="259" w:lineRule="auto"/>
        <w:ind w:right="4"/>
        <w:jc w:val="center"/>
      </w:pPr>
      <w:r>
        <w:rPr>
          <w:b/>
        </w:rPr>
        <w:t>A N U N C I O</w:t>
      </w:r>
    </w:p>
    <w:p w:rsidR="00C9434A" w:rsidRDefault="00637DCA">
      <w:pPr>
        <w:pStyle w:val="Ttulo1"/>
        <w:tabs>
          <w:tab w:val="right" w:pos="4141"/>
        </w:tabs>
        <w:ind w:left="-15" w:right="0" w:firstLine="0"/>
      </w:pPr>
      <w:r>
        <w:t>16505</w:t>
      </w:r>
      <w:r>
        <w:tab/>
        <w:t>10515</w:t>
      </w:r>
    </w:p>
    <w:p w:rsidR="00C9434A" w:rsidRDefault="00637DCA">
      <w:pPr>
        <w:spacing w:after="0"/>
        <w:ind w:left="-2" w:right="1" w:firstLine="155"/>
      </w:pPr>
      <w:r>
        <w:t>Aprobado inicialmente por el Pleno del Ayuntamiento, en sesión de fecha 26 de septiembre de 2003, el PLAN GENERAL DE ORDENACIÓN DE ES-</w:t>
      </w:r>
    </w:p>
    <w:p w:rsidR="00C9434A" w:rsidRDefault="00637DCA">
      <w:pPr>
        <w:ind w:left="8" w:right="1"/>
      </w:pPr>
      <w:r>
        <w:t>TE MUNICIPIO, redactado por la empresa “Ingeniería Técnica Canaria, S.A.” y dirigido por el ingeniero de caminos, canales</w:t>
      </w:r>
      <w:r>
        <w:t xml:space="preserve"> y puertos don Francisco J. González </w:t>
      </w:r>
      <w:proofErr w:type="spellStart"/>
      <w:r>
        <w:t>Jaraba</w:t>
      </w:r>
      <w:proofErr w:type="spellEnd"/>
      <w:r>
        <w:t xml:space="preserve"> y el arquitecto don José Miguel Díaz Martínez con el fin de dar cumplimiento a lo dispuesto en el art. 128 del R.D. 2.159/78, de 23 de junio, por el que se aprueba el Reglamento de Planeamiento para el desarrollo</w:t>
      </w:r>
      <w:r>
        <w:t xml:space="preserve"> y aplicación de la Ley sobre Régimen del Suelo y Ordenación Urbana, se sometió el expediente a información pública por el plazo de un mes, B.O.P. nº 127, del 10 de octubre de 2003 y diario El Mundo, La Gaceta de Canarias del 30 de septiembre de 2003, plaz</w:t>
      </w:r>
      <w:r>
        <w:t>o de concluyó el día 21 del pasado mes de noviembre.</w:t>
      </w:r>
    </w:p>
    <w:p w:rsidR="00C9434A" w:rsidRDefault="00637DCA">
      <w:pPr>
        <w:ind w:left="-2" w:right="1" w:firstLine="155"/>
      </w:pPr>
      <w:r>
        <w:t>Por el Pleno de este Ayuntamiento, en sesión celebrada el día 28 de noviembre de 2003, se acordó la prórroga del plazo inicial de información pública hasta el día QUINCE de enero de 2004, inclusive, dand</w:t>
      </w:r>
      <w:r>
        <w:t>o por válida las alegaciones presentadas una vez finalizado el plazo previsto inicialmente.</w:t>
      </w:r>
    </w:p>
    <w:p w:rsidR="00C9434A" w:rsidRDefault="00637DCA">
      <w:pPr>
        <w:ind w:left="165" w:right="1"/>
      </w:pPr>
      <w:r>
        <w:lastRenderedPageBreak/>
        <w:t>Lo que se hace público para general conocimiento.</w:t>
      </w:r>
    </w:p>
    <w:p w:rsidR="00C9434A" w:rsidRDefault="00637DCA">
      <w:pPr>
        <w:ind w:left="165" w:right="1"/>
      </w:pPr>
      <w:proofErr w:type="spellStart"/>
      <w:r>
        <w:t>Vallehermoso</w:t>
      </w:r>
      <w:proofErr w:type="spellEnd"/>
      <w:r>
        <w:t>, a 1 de diciembre de 2003.</w:t>
      </w:r>
    </w:p>
    <w:tbl>
      <w:tblPr>
        <w:tblStyle w:val="TableGrid"/>
        <w:tblpPr w:vertAnchor="page" w:horzAnchor="page" w:tblpX="500" w:tblpY="15440"/>
        <w:tblOverlap w:val="never"/>
        <w:tblW w:w="10900" w:type="dxa"/>
        <w:tblInd w:w="0" w:type="dxa"/>
        <w:tblCellMar>
          <w:top w:w="50" w:type="dxa"/>
          <w:left w:w="60" w:type="dxa"/>
          <w:bottom w:w="0" w:type="dxa"/>
          <w:right w:w="60" w:type="dxa"/>
        </w:tblCellMar>
        <w:tblLook w:val="04A0" w:firstRow="1" w:lastRow="0" w:firstColumn="1" w:lastColumn="0" w:noHBand="0" w:noVBand="1"/>
      </w:tblPr>
      <w:tblGrid>
        <w:gridCol w:w="1200"/>
        <w:gridCol w:w="6300"/>
        <w:gridCol w:w="1800"/>
        <w:gridCol w:w="1600"/>
      </w:tblGrid>
      <w:tr w:rsidR="00C9434A">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C9434A" w:rsidRDefault="00637DCA">
            <w:pPr>
              <w:spacing w:after="0" w:line="259" w:lineRule="auto"/>
              <w:ind w:left="0" w:firstLine="0"/>
              <w:jc w:val="center"/>
            </w:pPr>
            <w:r>
              <w:rPr>
                <w:rFonts w:ascii="Arial" w:eastAsia="Arial" w:hAnsi="Arial" w:cs="Arial"/>
                <w:b/>
                <w:sz w:val="12"/>
              </w:rPr>
              <w:t>Firmado por:</w:t>
            </w:r>
          </w:p>
        </w:tc>
        <w:tc>
          <w:tcPr>
            <w:tcW w:w="6300" w:type="dxa"/>
            <w:tcBorders>
              <w:top w:val="single" w:sz="4" w:space="0" w:color="000000"/>
              <w:left w:val="single" w:sz="4" w:space="0" w:color="000000"/>
              <w:bottom w:val="single" w:sz="4" w:space="0" w:color="000000"/>
              <w:right w:val="single" w:sz="4" w:space="0" w:color="000000"/>
            </w:tcBorders>
          </w:tcPr>
          <w:p w:rsidR="00C9434A" w:rsidRDefault="00637DCA">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C9434A" w:rsidRDefault="00637DCA">
            <w:pPr>
              <w:spacing w:after="0" w:line="259" w:lineRule="auto"/>
              <w:ind w:left="5" w:firstLine="0"/>
              <w:jc w:val="left"/>
            </w:pPr>
            <w:r>
              <w:rPr>
                <w:rFonts w:ascii="Arial" w:eastAsia="Arial" w:hAnsi="Arial" w:cs="Arial"/>
                <w:sz w:val="12"/>
              </w:rPr>
              <w:t>Fecha: 16-10-2021 15:21:27</w:t>
            </w:r>
          </w:p>
        </w:tc>
        <w:tc>
          <w:tcPr>
            <w:tcW w:w="1600" w:type="dxa"/>
            <w:vMerge w:val="restart"/>
            <w:tcBorders>
              <w:top w:val="single" w:sz="4" w:space="0" w:color="000000"/>
              <w:left w:val="single" w:sz="4" w:space="0" w:color="000000"/>
              <w:bottom w:val="single" w:sz="4" w:space="0" w:color="000000"/>
              <w:right w:val="single" w:sz="4" w:space="0" w:color="000000"/>
            </w:tcBorders>
          </w:tcPr>
          <w:p w:rsidR="00C9434A" w:rsidRDefault="00637DCA">
            <w:pPr>
              <w:spacing w:after="0" w:line="259" w:lineRule="auto"/>
              <w:ind w:left="290" w:firstLine="0"/>
              <w:jc w:val="left"/>
            </w:pPr>
            <w:r>
              <w:rPr>
                <w:noProof/>
              </w:rPr>
              <w:drawing>
                <wp:inline distT="0" distB="0" distL="0" distR="0">
                  <wp:extent cx="571500" cy="571500"/>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5"/>
                          <a:stretch>
                            <a:fillRect/>
                          </a:stretch>
                        </pic:blipFill>
                        <pic:spPr>
                          <a:xfrm>
                            <a:off x="0" y="0"/>
                            <a:ext cx="571500" cy="571500"/>
                          </a:xfrm>
                          <a:prstGeom prst="rect">
                            <a:avLst/>
                          </a:prstGeom>
                        </pic:spPr>
                      </pic:pic>
                    </a:graphicData>
                  </a:graphic>
                </wp:inline>
              </w:drawing>
            </w:r>
          </w:p>
        </w:tc>
      </w:tr>
      <w:tr w:rsidR="00C9434A">
        <w:trPr>
          <w:trHeight w:val="520"/>
        </w:trPr>
        <w:tc>
          <w:tcPr>
            <w:tcW w:w="9300" w:type="dxa"/>
            <w:gridSpan w:val="3"/>
            <w:tcBorders>
              <w:top w:val="single" w:sz="4" w:space="0" w:color="000000"/>
              <w:left w:val="single" w:sz="4" w:space="0" w:color="000000"/>
              <w:bottom w:val="single" w:sz="4" w:space="0" w:color="000000"/>
              <w:right w:val="single" w:sz="4" w:space="0" w:color="000000"/>
            </w:tcBorders>
          </w:tcPr>
          <w:p w:rsidR="00C9434A" w:rsidRDefault="00637DCA">
            <w:pPr>
              <w:spacing w:after="51" w:line="259" w:lineRule="auto"/>
              <w:ind w:left="0" w:firstLine="0"/>
              <w:jc w:val="center"/>
            </w:pPr>
            <w:r>
              <w:rPr>
                <w:rFonts w:ascii="Arial" w:eastAsia="Arial" w:hAnsi="Arial" w:cs="Arial"/>
                <w:sz w:val="12"/>
              </w:rPr>
              <w:t>Código Seguro de Verificación (CSV): 1E86CA1C2ECE7E3A75E621EE97463DD1</w:t>
            </w:r>
          </w:p>
          <w:p w:rsidR="00C9434A" w:rsidRDefault="00637DCA">
            <w:pPr>
              <w:spacing w:after="0" w:line="259" w:lineRule="auto"/>
              <w:ind w:left="0" w:firstLine="0"/>
              <w:jc w:val="center"/>
            </w:pPr>
            <w:r>
              <w:rPr>
                <w:rFonts w:ascii="Arial" w:eastAsia="Arial" w:hAnsi="Arial" w:cs="Arial"/>
                <w:sz w:val="12"/>
              </w:rPr>
              <w:t>Comprobación CSV:  https://sedeelectronica.candelaria.es//publico/documento/1E86CA1C2ECE7E3A75E621EE97463DD1 .</w:t>
            </w:r>
          </w:p>
        </w:tc>
        <w:tc>
          <w:tcPr>
            <w:tcW w:w="0" w:type="auto"/>
            <w:vMerge/>
            <w:tcBorders>
              <w:top w:val="nil"/>
              <w:left w:val="single" w:sz="4" w:space="0" w:color="000000"/>
              <w:bottom w:val="nil"/>
              <w:right w:val="single" w:sz="4" w:space="0" w:color="000000"/>
            </w:tcBorders>
          </w:tcPr>
          <w:p w:rsidR="00C9434A" w:rsidRDefault="00C9434A">
            <w:pPr>
              <w:spacing w:after="160" w:line="259" w:lineRule="auto"/>
              <w:ind w:left="0" w:firstLine="0"/>
              <w:jc w:val="left"/>
            </w:pPr>
          </w:p>
        </w:tc>
      </w:tr>
      <w:tr w:rsidR="00C9434A">
        <w:trPr>
          <w:trHeight w:val="269"/>
        </w:trPr>
        <w:tc>
          <w:tcPr>
            <w:tcW w:w="9300" w:type="dxa"/>
            <w:gridSpan w:val="3"/>
            <w:tcBorders>
              <w:top w:val="single" w:sz="4" w:space="0" w:color="000000"/>
              <w:left w:val="single" w:sz="4" w:space="0" w:color="000000"/>
              <w:bottom w:val="single" w:sz="4" w:space="0" w:color="000000"/>
              <w:right w:val="single" w:sz="4" w:space="0" w:color="000000"/>
            </w:tcBorders>
          </w:tcPr>
          <w:p w:rsidR="00C9434A" w:rsidRDefault="00637DCA">
            <w:pPr>
              <w:tabs>
                <w:tab w:val="center" w:pos="5173"/>
                <w:tab w:val="right" w:pos="9180"/>
              </w:tabs>
              <w:spacing w:after="0" w:line="259" w:lineRule="auto"/>
              <w:ind w:left="0" w:firstLine="0"/>
              <w:jc w:val="left"/>
            </w:pPr>
            <w:r>
              <w:rPr>
                <w:rFonts w:ascii="Arial" w:eastAsia="Arial" w:hAnsi="Arial" w:cs="Arial"/>
                <w:sz w:val="12"/>
              </w:rPr>
              <w:t xml:space="preserve">Fecha de sellado electrónico: 16-10-2021 15:21:27                </w:t>
            </w:r>
            <w:r>
              <w:rPr>
                <w:rFonts w:ascii="Arial" w:eastAsia="Arial" w:hAnsi="Arial" w:cs="Arial"/>
                <w:sz w:val="12"/>
              </w:rPr>
              <w:tab/>
            </w:r>
            <w:r>
              <w:rPr>
                <w:rFonts w:ascii="Arial" w:eastAsia="Arial" w:hAnsi="Arial" w:cs="Arial"/>
                <w:color w:val="404040"/>
                <w:sz w:val="12"/>
              </w:rPr>
              <w:t>- 1/2 -</w:t>
            </w:r>
            <w:r>
              <w:rPr>
                <w:rFonts w:ascii="Arial" w:eastAsia="Arial" w:hAnsi="Arial" w:cs="Arial"/>
                <w:color w:val="404040"/>
                <w:sz w:val="12"/>
              </w:rPr>
              <w:tab/>
            </w:r>
            <w:r>
              <w:rPr>
                <w:rFonts w:ascii="Arial" w:eastAsia="Arial" w:hAnsi="Arial" w:cs="Arial"/>
                <w:sz w:val="12"/>
              </w:rPr>
              <w:t>Fecha de emisión de esta copia: 24-01-2024 08:32:05</w:t>
            </w:r>
          </w:p>
        </w:tc>
        <w:tc>
          <w:tcPr>
            <w:tcW w:w="0" w:type="auto"/>
            <w:vMerge/>
            <w:tcBorders>
              <w:top w:val="nil"/>
              <w:left w:val="single" w:sz="4" w:space="0" w:color="000000"/>
              <w:bottom w:val="single" w:sz="4" w:space="0" w:color="000000"/>
              <w:right w:val="single" w:sz="4" w:space="0" w:color="000000"/>
            </w:tcBorders>
          </w:tcPr>
          <w:p w:rsidR="00C9434A" w:rsidRDefault="00C9434A">
            <w:pPr>
              <w:spacing w:after="160" w:line="259" w:lineRule="auto"/>
              <w:ind w:left="0" w:firstLine="0"/>
              <w:jc w:val="left"/>
            </w:pPr>
          </w:p>
        </w:tc>
      </w:tr>
    </w:tbl>
    <w:p w:rsidR="00C9434A" w:rsidRDefault="00637DCA">
      <w:pPr>
        <w:ind w:left="165" w:right="1"/>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980827</wp:posOffset>
                </wp:positionH>
                <wp:positionV relativeFrom="page">
                  <wp:posOffset>688552</wp:posOffset>
                </wp:positionV>
                <wp:extent cx="5581354" cy="11583"/>
                <wp:effectExtent l="0" t="0" r="0" b="0"/>
                <wp:wrapTopAndBottom/>
                <wp:docPr id="3567" name="Group 3567"/>
                <wp:cNvGraphicFramePr/>
                <a:graphic xmlns:a="http://schemas.openxmlformats.org/drawingml/2006/main">
                  <a:graphicData uri="http://schemas.microsoft.com/office/word/2010/wordprocessingGroup">
                    <wpg:wgp>
                      <wpg:cNvGrpSpPr/>
                      <wpg:grpSpPr>
                        <a:xfrm>
                          <a:off x="0" y="0"/>
                          <a:ext cx="5581354" cy="11583"/>
                          <a:chOff x="0" y="0"/>
                          <a:chExt cx="5581354" cy="11583"/>
                        </a:xfrm>
                      </wpg:grpSpPr>
                      <wps:wsp>
                        <wps:cNvPr id="136" name="Shape 136"/>
                        <wps:cNvSpPr/>
                        <wps:spPr>
                          <a:xfrm>
                            <a:off x="0" y="0"/>
                            <a:ext cx="5581354" cy="0"/>
                          </a:xfrm>
                          <a:custGeom>
                            <a:avLst/>
                            <a:gdLst/>
                            <a:ahLst/>
                            <a:cxnLst/>
                            <a:rect l="0" t="0" r="0" b="0"/>
                            <a:pathLst>
                              <a:path w="5581354">
                                <a:moveTo>
                                  <a:pt x="0" y="0"/>
                                </a:moveTo>
                                <a:lnTo>
                                  <a:pt x="5581354" y="0"/>
                                </a:lnTo>
                              </a:path>
                            </a:pathLst>
                          </a:custGeom>
                          <a:ln w="11583"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67" style="width:439.477pt;height:0.912023pt;position:absolute;mso-position-horizontal-relative:page;mso-position-horizontal:absolute;margin-left:77.2305pt;mso-position-vertical-relative:page;margin-top:54.2167pt;" coordsize="55813,115">
                <v:shape id="Shape 136" style="position:absolute;width:55813;height:0;left:0;top:0;" coordsize="5581354,0" path="m0,0l5581354,0">
                  <v:stroke weight="0.912023pt" endcap="flat" joinstyle="miter" miterlimit="10" on="true" color="#000000"/>
                  <v:fill on="false" color="#000000" opacity="0"/>
                </v:shape>
                <w10:wrap type="topAndBottom"/>
              </v:group>
            </w:pict>
          </mc:Fallback>
        </mc:AlternateContent>
      </w:r>
      <w:r>
        <w:t xml:space="preserve">El Alcalde, Jaime L. </w:t>
      </w:r>
      <w:proofErr w:type="spellStart"/>
      <w:r>
        <w:t>Noda</w:t>
      </w:r>
      <w:proofErr w:type="spellEnd"/>
      <w:r>
        <w:t xml:space="preserve"> Morales.</w:t>
      </w:r>
    </w:p>
    <w:p w:rsidR="00C9434A" w:rsidRDefault="00637DCA">
      <w:pPr>
        <w:spacing w:after="150" w:line="259" w:lineRule="auto"/>
        <w:ind w:right="16"/>
        <w:jc w:val="center"/>
      </w:pPr>
      <w:r>
        <w:rPr>
          <w:b/>
        </w:rPr>
        <w:t>VILLA DE CANDELARIA</w:t>
      </w:r>
    </w:p>
    <w:p w:rsidR="00C9434A" w:rsidRDefault="00637DCA">
      <w:pPr>
        <w:spacing w:after="0" w:line="259" w:lineRule="auto"/>
        <w:ind w:right="16"/>
        <w:jc w:val="center"/>
      </w:pPr>
      <w:r>
        <w:rPr>
          <w:b/>
        </w:rPr>
        <w:t>A N U N C I O</w:t>
      </w:r>
    </w:p>
    <w:p w:rsidR="00C9434A" w:rsidRDefault="00637DCA">
      <w:pPr>
        <w:pStyle w:val="Ttulo1"/>
        <w:tabs>
          <w:tab w:val="right" w:pos="4141"/>
        </w:tabs>
        <w:ind w:left="-15" w:right="0" w:firstLine="0"/>
      </w:pPr>
      <w:r>
        <w:t>16506</w:t>
      </w:r>
      <w:r>
        <w:tab/>
        <w:t>10804</w:t>
      </w:r>
    </w:p>
    <w:p w:rsidR="00C9434A" w:rsidRDefault="00637DCA">
      <w:pPr>
        <w:ind w:left="-2" w:right="1" w:firstLine="155"/>
      </w:pPr>
      <w:r>
        <w:t>Habiéndose aprobado inicialmente por el Ayuntamiento Pleno, en sesión extraordinaria celebrada el 22 de octubre de 2003, la modificación de la Ordenanza reguladora del Canon por Aprovechamiento Urbanístico en Suelo Rústico, se publica en el Boletín Oficial</w:t>
      </w:r>
      <w:r>
        <w:t xml:space="preserve"> de la Provincia el día 31 de octubre de 2003. De conformidad con lo establecido en el artículo 17.3 y 4 de la Ley 39/1988, reguladora de las Haciendas Locales, transcurrido el plazo legalmente establecido, y no habiendo sido presentadas alegaciones dicho </w:t>
      </w:r>
      <w:r>
        <w:t xml:space="preserve">acuerdo queda elevado a definitivo, procediéndose a la publicación del texto </w:t>
      </w:r>
      <w:proofErr w:type="spellStart"/>
      <w:r>
        <w:t>integro</w:t>
      </w:r>
      <w:proofErr w:type="spellEnd"/>
      <w:r>
        <w:t xml:space="preserve"> de la citada ordenanza:</w:t>
      </w:r>
    </w:p>
    <w:p w:rsidR="00C9434A" w:rsidRDefault="00637DCA">
      <w:pPr>
        <w:ind w:left="-2" w:right="1" w:firstLine="155"/>
      </w:pPr>
      <w:r>
        <w:t>ORDENANZA REGULADORA DEL CANON POR APROVECHAMIENTO URBANÍSTICO EN SUELO RÚSTICO.</w:t>
      </w:r>
    </w:p>
    <w:p w:rsidR="00C9434A" w:rsidRDefault="00637DCA">
      <w:pPr>
        <w:ind w:left="165" w:right="1"/>
      </w:pPr>
      <w:r>
        <w:t>Fundamento y régimen.</w:t>
      </w:r>
    </w:p>
    <w:p w:rsidR="00C9434A" w:rsidRDefault="00637DCA">
      <w:pPr>
        <w:ind w:left="-2" w:right="1" w:firstLine="155"/>
      </w:pPr>
      <w:r>
        <w:t>Artículo 1º.- En uso de las facultades conce</w:t>
      </w:r>
      <w:r>
        <w:t>didas por el artículo 142 de la Constitución y de conformidad con lo dispuesto en el artículo 62.3 del Decreto Legislativo 1/2000, de 8 de mayo, por el que se aprueba el Texto Refundido de las Leyes de Ordenación del Territorio de Canarias, este Ayuntamien</w:t>
      </w:r>
      <w:r>
        <w:t>to establece el canon por aprovechamiento urbanístico en suelo rústico, que se regirá por la presente Ordenanza Fiscal.</w:t>
      </w:r>
    </w:p>
    <w:p w:rsidR="00C9434A" w:rsidRDefault="00637DCA">
      <w:pPr>
        <w:spacing w:after="147"/>
        <w:ind w:left="165" w:right="1"/>
      </w:pPr>
      <w:r>
        <w:t>Hecho imponible.</w:t>
      </w:r>
    </w:p>
    <w:p w:rsidR="00C9434A" w:rsidRDefault="00637DCA">
      <w:pPr>
        <w:ind w:left="-2" w:right="1" w:firstLine="155"/>
      </w:pPr>
      <w:r>
        <w:t>Artículo 2º.- Constituye el hecho imponible de este canon, el aprovechamiento edificatorio en suelo rústico de naturaleza industrial, residencial, turístico o de equipamiento.</w:t>
      </w:r>
    </w:p>
    <w:p w:rsidR="00C9434A" w:rsidRDefault="00637DCA">
      <w:pPr>
        <w:spacing w:after="147"/>
        <w:ind w:left="165" w:right="1"/>
      </w:pPr>
      <w:r>
        <w:lastRenderedPageBreak/>
        <w:t>Sujeto pasivo.</w:t>
      </w:r>
    </w:p>
    <w:p w:rsidR="00C9434A" w:rsidRDefault="00637DCA">
      <w:pPr>
        <w:ind w:left="-2" w:right="1" w:firstLine="155"/>
      </w:pPr>
      <w:r>
        <w:t xml:space="preserve">Artículo 3º.- Están obligados al pago del canon el promotor, que </w:t>
      </w:r>
      <w:r>
        <w:t>es el titular del derecho a materializar el aprovechamiento, tanto si es el propietario el que edifica para sí, como si ha obtenido del propietario el derecho que le faculta a construir.</w:t>
      </w:r>
    </w:p>
    <w:p w:rsidR="00C9434A" w:rsidRDefault="00637DCA">
      <w:pPr>
        <w:ind w:left="165" w:right="1"/>
      </w:pPr>
      <w:r>
        <w:t>Responsables.</w:t>
      </w:r>
    </w:p>
    <w:p w:rsidR="00C9434A" w:rsidRDefault="00637DCA">
      <w:pPr>
        <w:spacing w:after="147"/>
        <w:ind w:left="165" w:right="1"/>
      </w:pPr>
      <w:r>
        <w:t>Artículo 4º.</w:t>
      </w:r>
    </w:p>
    <w:p w:rsidR="00C9434A" w:rsidRDefault="00637DCA">
      <w:pPr>
        <w:ind w:left="-2" w:right="1" w:firstLine="155"/>
      </w:pPr>
      <w:r>
        <w:t>1.- Responderán solidariamente de las obli</w:t>
      </w:r>
      <w:r>
        <w:t>gaciones tributarias del sujeto pasivo las personas físicas</w:t>
      </w:r>
    </w:p>
    <w:tbl>
      <w:tblPr>
        <w:tblStyle w:val="TableGrid"/>
        <w:tblpPr w:vertAnchor="text" w:horzAnchor="margin"/>
        <w:tblOverlap w:val="never"/>
        <w:tblW w:w="8793" w:type="dxa"/>
        <w:tblInd w:w="0" w:type="dxa"/>
        <w:tblCellMar>
          <w:top w:w="0" w:type="dxa"/>
          <w:left w:w="1" w:type="dxa"/>
          <w:bottom w:w="0" w:type="dxa"/>
          <w:right w:w="2" w:type="dxa"/>
        </w:tblCellMar>
        <w:tblLook w:val="04A0" w:firstRow="1" w:lastRow="0" w:firstColumn="1" w:lastColumn="0" w:noHBand="0" w:noVBand="1"/>
      </w:tblPr>
      <w:tblGrid>
        <w:gridCol w:w="8793"/>
      </w:tblGrid>
      <w:tr w:rsidR="00C9434A">
        <w:trPr>
          <w:trHeight w:val="229"/>
        </w:trPr>
        <w:tc>
          <w:tcPr>
            <w:tcW w:w="8738" w:type="dxa"/>
            <w:tcBorders>
              <w:top w:val="nil"/>
              <w:left w:val="nil"/>
              <w:bottom w:val="nil"/>
              <w:right w:val="nil"/>
            </w:tcBorders>
          </w:tcPr>
          <w:p w:rsidR="00C9434A" w:rsidRDefault="00637DCA">
            <w:pPr>
              <w:spacing w:after="163" w:line="259" w:lineRule="auto"/>
              <w:ind w:left="0" w:firstLine="0"/>
              <w:jc w:val="left"/>
            </w:pPr>
            <w:r>
              <w:rPr>
                <w:rFonts w:ascii="Calibri" w:eastAsia="Calibri" w:hAnsi="Calibri" w:cs="Calibri"/>
                <w:noProof/>
                <w:sz w:val="22"/>
              </w:rPr>
              <mc:AlternateContent>
                <mc:Choice Requires="wpg">
                  <w:drawing>
                    <wp:inline distT="0" distB="0" distL="0" distR="0">
                      <wp:extent cx="5581355" cy="11583"/>
                      <wp:effectExtent l="0" t="0" r="0" b="0"/>
                      <wp:docPr id="3252" name="Group 3252"/>
                      <wp:cNvGraphicFramePr/>
                      <a:graphic xmlns:a="http://schemas.openxmlformats.org/drawingml/2006/main">
                        <a:graphicData uri="http://schemas.microsoft.com/office/word/2010/wordprocessingGroup">
                          <wpg:wgp>
                            <wpg:cNvGrpSpPr/>
                            <wpg:grpSpPr>
                              <a:xfrm>
                                <a:off x="0" y="0"/>
                                <a:ext cx="5581355" cy="11583"/>
                                <a:chOff x="0" y="0"/>
                                <a:chExt cx="5581355" cy="11583"/>
                              </a:xfrm>
                            </wpg:grpSpPr>
                            <wps:wsp>
                              <wps:cNvPr id="284" name="Shape 284"/>
                              <wps:cNvSpPr/>
                              <wps:spPr>
                                <a:xfrm>
                                  <a:off x="0" y="0"/>
                                  <a:ext cx="5581355" cy="0"/>
                                </a:xfrm>
                                <a:custGeom>
                                  <a:avLst/>
                                  <a:gdLst/>
                                  <a:ahLst/>
                                  <a:cxnLst/>
                                  <a:rect l="0" t="0" r="0" b="0"/>
                                  <a:pathLst>
                                    <a:path w="5581355">
                                      <a:moveTo>
                                        <a:pt x="0" y="0"/>
                                      </a:moveTo>
                                      <a:lnTo>
                                        <a:pt x="5581355" y="0"/>
                                      </a:lnTo>
                                    </a:path>
                                  </a:pathLst>
                                </a:custGeom>
                                <a:ln w="11583"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252" style="width:439.477pt;height:0.912023pt;mso-position-horizontal-relative:char;mso-position-vertical-relative:line" coordsize="55813,115">
                      <v:shape id="Shape 284" style="position:absolute;width:55813;height:0;left:0;top:0;" coordsize="5581355,0" path="m0,0l5581355,0">
                        <v:stroke weight="0.912023pt" endcap="flat" joinstyle="miter" miterlimit="10" on="true" color="#000000"/>
                        <v:fill on="false" color="#000000" opacity="0"/>
                      </v:shape>
                    </v:group>
                  </w:pict>
                </mc:Fallback>
              </mc:AlternateContent>
            </w:r>
          </w:p>
          <w:p w:rsidR="00C9434A" w:rsidRDefault="00637DCA">
            <w:pPr>
              <w:tabs>
                <w:tab w:val="right" w:pos="8790"/>
              </w:tabs>
              <w:spacing w:after="0" w:line="259" w:lineRule="auto"/>
              <w:ind w:left="0" w:firstLine="0"/>
              <w:jc w:val="left"/>
            </w:pPr>
            <w:r>
              <w:t>17246</w:t>
            </w:r>
            <w:r>
              <w:tab/>
              <w:t>Boletín Oficial de la Provincia de Santa Cruz de Tenerife núm. 161, jueves 18 de diciembre de 2003</w:t>
            </w:r>
          </w:p>
          <w:p w:rsidR="00C9434A" w:rsidRDefault="00637DCA">
            <w:pPr>
              <w:spacing w:after="0" w:line="259" w:lineRule="auto"/>
              <w:ind w:left="0" w:firstLine="0"/>
              <w:jc w:val="left"/>
            </w:pPr>
            <w:r>
              <w:rPr>
                <w:rFonts w:ascii="Calibri" w:eastAsia="Calibri" w:hAnsi="Calibri" w:cs="Calibri"/>
                <w:noProof/>
                <w:sz w:val="22"/>
              </w:rPr>
              <mc:AlternateContent>
                <mc:Choice Requires="wpg">
                  <w:drawing>
                    <wp:inline distT="0" distB="0" distL="0" distR="0">
                      <wp:extent cx="5581355" cy="11583"/>
                      <wp:effectExtent l="0" t="0" r="0" b="0"/>
                      <wp:docPr id="3253" name="Group 3253"/>
                      <wp:cNvGraphicFramePr/>
                      <a:graphic xmlns:a="http://schemas.openxmlformats.org/drawingml/2006/main">
                        <a:graphicData uri="http://schemas.microsoft.com/office/word/2010/wordprocessingGroup">
                          <wpg:wgp>
                            <wpg:cNvGrpSpPr/>
                            <wpg:grpSpPr>
                              <a:xfrm>
                                <a:off x="0" y="0"/>
                                <a:ext cx="5581355" cy="11583"/>
                                <a:chOff x="0" y="0"/>
                                <a:chExt cx="5581355" cy="11583"/>
                              </a:xfrm>
                            </wpg:grpSpPr>
                            <wps:wsp>
                              <wps:cNvPr id="285" name="Shape 285"/>
                              <wps:cNvSpPr/>
                              <wps:spPr>
                                <a:xfrm>
                                  <a:off x="0" y="0"/>
                                  <a:ext cx="5581355" cy="0"/>
                                </a:xfrm>
                                <a:custGeom>
                                  <a:avLst/>
                                  <a:gdLst/>
                                  <a:ahLst/>
                                  <a:cxnLst/>
                                  <a:rect l="0" t="0" r="0" b="0"/>
                                  <a:pathLst>
                                    <a:path w="5581355">
                                      <a:moveTo>
                                        <a:pt x="0" y="0"/>
                                      </a:moveTo>
                                      <a:lnTo>
                                        <a:pt x="5581355" y="0"/>
                                      </a:lnTo>
                                    </a:path>
                                  </a:pathLst>
                                </a:custGeom>
                                <a:ln w="11583"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253" style="width:439.477pt;height:0.912023pt;mso-position-horizontal-relative:char;mso-position-vertical-relative:line" coordsize="55813,115">
                      <v:shape id="Shape 285" style="position:absolute;width:55813;height:0;left:0;top:0;" coordsize="5581355,0" path="m0,0l5581355,0">
                        <v:stroke weight="0.912023pt" endcap="flat" joinstyle="miter" miterlimit="10" on="true" color="#000000"/>
                        <v:fill on="false" color="#000000" opacity="0"/>
                      </v:shape>
                    </v:group>
                  </w:pict>
                </mc:Fallback>
              </mc:AlternateContent>
            </w:r>
          </w:p>
        </w:tc>
      </w:tr>
    </w:tbl>
    <w:p w:rsidR="00C9434A" w:rsidRDefault="00637DCA">
      <w:pPr>
        <w:ind w:left="8" w:right="1"/>
      </w:pPr>
      <w:r>
        <w:t>y jurídicas que sean causantes o colaboren en la realización de una infracción tributaria.</w:t>
      </w:r>
    </w:p>
    <w:p w:rsidR="00C9434A" w:rsidRDefault="00637DCA">
      <w:pPr>
        <w:ind w:left="-2" w:right="1" w:firstLine="155"/>
      </w:pPr>
      <w:r>
        <w:t>2.- Serán responsables subsidiarios los administradores de las sociedades y los síndicos, interventores o liquidadores de quiebras, concursos, sociedades y entidades</w:t>
      </w:r>
      <w:r>
        <w:t xml:space="preserve"> en general, en los supuestos y con el alcance que señala el artículo 40 de la Ley General Tributaria.</w:t>
      </w:r>
    </w:p>
    <w:p w:rsidR="00C9434A" w:rsidRDefault="00637DCA">
      <w:pPr>
        <w:ind w:left="178" w:right="1"/>
      </w:pPr>
      <w:r>
        <w:t>Cuota tributaria.</w:t>
      </w:r>
    </w:p>
    <w:p w:rsidR="00C9434A" w:rsidRDefault="00637DCA">
      <w:pPr>
        <w:ind w:left="-2" w:right="1" w:firstLine="155"/>
      </w:pPr>
      <w:r>
        <w:t>Artículo 5º.- La cuota tributaria se determinará por aplicación de un porcentaje del 5 por 100 sobre el coste de ejecución material, es</w:t>
      </w:r>
      <w:r>
        <w:t>to es, el presupuesto presentado por los interesados para su visado en el colegio profesional correspondiente.</w:t>
      </w:r>
    </w:p>
    <w:p w:rsidR="00C9434A" w:rsidRDefault="00637DCA">
      <w:pPr>
        <w:ind w:left="179" w:right="1"/>
      </w:pPr>
      <w:r>
        <w:t>Exenciones y bonificaciones.</w:t>
      </w:r>
    </w:p>
    <w:p w:rsidR="00C9434A" w:rsidRDefault="00637DCA">
      <w:pPr>
        <w:ind w:left="-2" w:right="1" w:firstLine="155"/>
      </w:pPr>
      <w:r>
        <w:t>Artículo 6º.- No se concederá exención o bonificación alguna en el pago del canon.</w:t>
      </w:r>
    </w:p>
    <w:p w:rsidR="00C9434A" w:rsidRDefault="00637DCA">
      <w:pPr>
        <w:spacing w:after="147"/>
        <w:ind w:left="178" w:right="1"/>
      </w:pPr>
      <w:r>
        <w:t>Devengo.</w:t>
      </w:r>
    </w:p>
    <w:p w:rsidR="00C9434A" w:rsidRDefault="00637DCA">
      <w:pPr>
        <w:ind w:left="-2" w:right="1" w:firstLine="155"/>
      </w:pPr>
      <w:r>
        <w:t>Artículo 7º.- Se devenga</w:t>
      </w:r>
      <w:r>
        <w:t xml:space="preserve"> el canon y nace la obligación de contribuir, en el otorgamiento de la licencia urbanística de edificación, una vez obtenida la previa calificación territorial.</w:t>
      </w:r>
    </w:p>
    <w:p w:rsidR="00C9434A" w:rsidRDefault="00637DCA">
      <w:pPr>
        <w:ind w:left="178" w:right="1"/>
      </w:pPr>
      <w:r>
        <w:t>Destino.</w:t>
      </w:r>
    </w:p>
    <w:p w:rsidR="00C9434A" w:rsidRDefault="00637DCA">
      <w:pPr>
        <w:ind w:left="-2" w:right="1" w:firstLine="155"/>
      </w:pPr>
      <w:r>
        <w:t>Artículo 8º.- Las cantidades ingresadas en concepto de canon de aprovechamiento urbaní</w:t>
      </w:r>
      <w:r>
        <w:t xml:space="preserve">stico, </w:t>
      </w:r>
      <w:r>
        <w:lastRenderedPageBreak/>
        <w:t xml:space="preserve">no será de libre </w:t>
      </w:r>
      <w:proofErr w:type="gramStart"/>
      <w:r>
        <w:t>disposición</w:t>
      </w:r>
      <w:proofErr w:type="gramEnd"/>
      <w:r>
        <w:t xml:space="preserve"> sino que se trata de recursos afectos, por lo que estarán destinados a:</w:t>
      </w:r>
    </w:p>
    <w:p w:rsidR="00C9434A" w:rsidRDefault="00637DCA">
      <w:pPr>
        <w:numPr>
          <w:ilvl w:val="0"/>
          <w:numId w:val="2"/>
        </w:numPr>
        <w:spacing w:after="0"/>
        <w:ind w:left="389" w:right="1" w:hanging="221"/>
      </w:pPr>
      <w:r>
        <w:t>Viviendas sujetas a algún régimen de protección</w:t>
      </w:r>
    </w:p>
    <w:p w:rsidR="00C9434A" w:rsidRDefault="00637DCA">
      <w:pPr>
        <w:ind w:left="8" w:right="1"/>
      </w:pPr>
      <w:r>
        <w:t>pública.</w:t>
      </w:r>
    </w:p>
    <w:p w:rsidR="00C9434A" w:rsidRDefault="00637DCA">
      <w:pPr>
        <w:numPr>
          <w:ilvl w:val="0"/>
          <w:numId w:val="2"/>
        </w:numPr>
        <w:ind w:left="389" w:right="1" w:hanging="221"/>
      </w:pPr>
      <w:r>
        <w:t>Conservación o mejora del medio ambiente.</w:t>
      </w:r>
    </w:p>
    <w:p w:rsidR="00C9434A" w:rsidRDefault="00637DCA">
      <w:pPr>
        <w:numPr>
          <w:ilvl w:val="0"/>
          <w:numId w:val="2"/>
        </w:numPr>
        <w:spacing w:after="0"/>
        <w:ind w:left="389" w:right="1" w:hanging="221"/>
      </w:pPr>
      <w:r>
        <w:t>Actuaciones públicas dotacionales, sistemas ge-</w:t>
      </w:r>
    </w:p>
    <w:p w:rsidR="00C9434A" w:rsidRDefault="00637DCA">
      <w:pPr>
        <w:ind w:left="8" w:right="1"/>
      </w:pPr>
      <w:proofErr w:type="spellStart"/>
      <w:r>
        <w:t>nerales</w:t>
      </w:r>
      <w:proofErr w:type="spellEnd"/>
      <w:r>
        <w:t xml:space="preserve"> u otras actividades de interés social.</w:t>
      </w:r>
    </w:p>
    <w:p w:rsidR="00C9434A" w:rsidRDefault="00637DCA">
      <w:pPr>
        <w:numPr>
          <w:ilvl w:val="0"/>
          <w:numId w:val="2"/>
        </w:numPr>
        <w:spacing w:after="0"/>
        <w:ind w:left="389" w:right="1" w:hanging="221"/>
      </w:pPr>
      <w:r>
        <w:t xml:space="preserve">Conservación y ampliación del patrimonio </w:t>
      </w:r>
      <w:proofErr w:type="spellStart"/>
      <w:r>
        <w:t>pú</w:t>
      </w:r>
      <w:proofErr w:type="spellEnd"/>
      <w:r>
        <w:t>-</w:t>
      </w:r>
    </w:p>
    <w:p w:rsidR="00C9434A" w:rsidRDefault="00637DCA">
      <w:pPr>
        <w:ind w:left="8" w:right="1"/>
      </w:pPr>
      <w:proofErr w:type="spellStart"/>
      <w:r>
        <w:t>blico</w:t>
      </w:r>
      <w:proofErr w:type="spellEnd"/>
      <w:r>
        <w:t>.</w:t>
      </w:r>
    </w:p>
    <w:tbl>
      <w:tblPr>
        <w:tblStyle w:val="TableGrid"/>
        <w:tblpPr w:vertAnchor="page" w:horzAnchor="page" w:tblpX="500" w:tblpY="15440"/>
        <w:tblOverlap w:val="never"/>
        <w:tblW w:w="10900" w:type="dxa"/>
        <w:tblInd w:w="0" w:type="dxa"/>
        <w:tblCellMar>
          <w:top w:w="50" w:type="dxa"/>
          <w:left w:w="60" w:type="dxa"/>
          <w:bottom w:w="0" w:type="dxa"/>
          <w:right w:w="60" w:type="dxa"/>
        </w:tblCellMar>
        <w:tblLook w:val="04A0" w:firstRow="1" w:lastRow="0" w:firstColumn="1" w:lastColumn="0" w:noHBand="0" w:noVBand="1"/>
      </w:tblPr>
      <w:tblGrid>
        <w:gridCol w:w="1200"/>
        <w:gridCol w:w="6300"/>
        <w:gridCol w:w="1800"/>
        <w:gridCol w:w="1600"/>
      </w:tblGrid>
      <w:tr w:rsidR="00C9434A">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C9434A" w:rsidRDefault="00637DCA">
            <w:pPr>
              <w:spacing w:after="0" w:line="259" w:lineRule="auto"/>
              <w:ind w:left="0" w:firstLine="0"/>
              <w:jc w:val="center"/>
            </w:pPr>
            <w:r>
              <w:rPr>
                <w:rFonts w:ascii="Arial" w:eastAsia="Arial" w:hAnsi="Arial" w:cs="Arial"/>
                <w:b/>
                <w:sz w:val="12"/>
              </w:rPr>
              <w:t>Firmado por:</w:t>
            </w:r>
          </w:p>
        </w:tc>
        <w:tc>
          <w:tcPr>
            <w:tcW w:w="6300" w:type="dxa"/>
            <w:tcBorders>
              <w:top w:val="single" w:sz="4" w:space="0" w:color="000000"/>
              <w:left w:val="single" w:sz="4" w:space="0" w:color="000000"/>
              <w:bottom w:val="single" w:sz="4" w:space="0" w:color="000000"/>
              <w:right w:val="single" w:sz="4" w:space="0" w:color="000000"/>
            </w:tcBorders>
          </w:tcPr>
          <w:p w:rsidR="00C9434A" w:rsidRDefault="00637DCA">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C9434A" w:rsidRDefault="00637DCA">
            <w:pPr>
              <w:spacing w:after="0" w:line="259" w:lineRule="auto"/>
              <w:ind w:left="5" w:firstLine="0"/>
              <w:jc w:val="left"/>
            </w:pPr>
            <w:r>
              <w:rPr>
                <w:rFonts w:ascii="Arial" w:eastAsia="Arial" w:hAnsi="Arial" w:cs="Arial"/>
                <w:sz w:val="12"/>
              </w:rPr>
              <w:t>Fecha: 16-10-2021 15:21:27</w:t>
            </w:r>
          </w:p>
        </w:tc>
        <w:tc>
          <w:tcPr>
            <w:tcW w:w="1600" w:type="dxa"/>
            <w:vMerge w:val="restart"/>
            <w:tcBorders>
              <w:top w:val="single" w:sz="4" w:space="0" w:color="000000"/>
              <w:left w:val="single" w:sz="4" w:space="0" w:color="000000"/>
              <w:bottom w:val="single" w:sz="4" w:space="0" w:color="000000"/>
              <w:right w:val="single" w:sz="4" w:space="0" w:color="000000"/>
            </w:tcBorders>
          </w:tcPr>
          <w:p w:rsidR="00C9434A" w:rsidRDefault="00637DCA">
            <w:pPr>
              <w:spacing w:after="0" w:line="259" w:lineRule="auto"/>
              <w:ind w:left="290" w:firstLine="0"/>
              <w:jc w:val="left"/>
            </w:pPr>
            <w:r>
              <w:rPr>
                <w:noProof/>
              </w:rPr>
              <w:drawing>
                <wp:inline distT="0" distB="0" distL="0" distR="0">
                  <wp:extent cx="571500" cy="571500"/>
                  <wp:effectExtent l="0" t="0" r="0" b="0"/>
                  <wp:docPr id="207" name="Picture 207"/>
                  <wp:cNvGraphicFramePr/>
                  <a:graphic xmlns:a="http://schemas.openxmlformats.org/drawingml/2006/main">
                    <a:graphicData uri="http://schemas.openxmlformats.org/drawingml/2006/picture">
                      <pic:pic xmlns:pic="http://schemas.openxmlformats.org/drawingml/2006/picture">
                        <pic:nvPicPr>
                          <pic:cNvPr id="207" name="Picture 207"/>
                          <pic:cNvPicPr/>
                        </pic:nvPicPr>
                        <pic:blipFill>
                          <a:blip r:embed="rId5"/>
                          <a:stretch>
                            <a:fillRect/>
                          </a:stretch>
                        </pic:blipFill>
                        <pic:spPr>
                          <a:xfrm>
                            <a:off x="0" y="0"/>
                            <a:ext cx="571500" cy="571500"/>
                          </a:xfrm>
                          <a:prstGeom prst="rect">
                            <a:avLst/>
                          </a:prstGeom>
                        </pic:spPr>
                      </pic:pic>
                    </a:graphicData>
                  </a:graphic>
                </wp:inline>
              </w:drawing>
            </w:r>
          </w:p>
        </w:tc>
      </w:tr>
      <w:tr w:rsidR="00C9434A">
        <w:trPr>
          <w:trHeight w:val="520"/>
        </w:trPr>
        <w:tc>
          <w:tcPr>
            <w:tcW w:w="9300" w:type="dxa"/>
            <w:gridSpan w:val="3"/>
            <w:tcBorders>
              <w:top w:val="single" w:sz="4" w:space="0" w:color="000000"/>
              <w:left w:val="single" w:sz="4" w:space="0" w:color="000000"/>
              <w:bottom w:val="single" w:sz="4" w:space="0" w:color="000000"/>
              <w:right w:val="single" w:sz="4" w:space="0" w:color="000000"/>
            </w:tcBorders>
          </w:tcPr>
          <w:p w:rsidR="00C9434A" w:rsidRDefault="00637DCA">
            <w:pPr>
              <w:spacing w:after="51" w:line="259" w:lineRule="auto"/>
              <w:ind w:left="0" w:firstLine="0"/>
              <w:jc w:val="center"/>
            </w:pPr>
            <w:r>
              <w:rPr>
                <w:rFonts w:ascii="Arial" w:eastAsia="Arial" w:hAnsi="Arial" w:cs="Arial"/>
                <w:sz w:val="12"/>
              </w:rPr>
              <w:t>Código Seguro de Verificación (CSV): 1E86CA1C2ECE7E3A75E621EE97463DD1</w:t>
            </w:r>
          </w:p>
          <w:p w:rsidR="00C9434A" w:rsidRDefault="00637DCA">
            <w:pPr>
              <w:spacing w:after="0" w:line="259" w:lineRule="auto"/>
              <w:ind w:left="0" w:firstLine="0"/>
              <w:jc w:val="center"/>
            </w:pPr>
            <w:r>
              <w:rPr>
                <w:rFonts w:ascii="Arial" w:eastAsia="Arial" w:hAnsi="Arial" w:cs="Arial"/>
                <w:sz w:val="12"/>
              </w:rPr>
              <w:t>Comprobación CSV:  https://sedeelectronica.candelaria.es//publico/documento/1E86CA1C2ECE7E3A75E621EE97463DD1 .</w:t>
            </w:r>
          </w:p>
        </w:tc>
        <w:tc>
          <w:tcPr>
            <w:tcW w:w="0" w:type="auto"/>
            <w:vMerge/>
            <w:tcBorders>
              <w:top w:val="nil"/>
              <w:left w:val="single" w:sz="4" w:space="0" w:color="000000"/>
              <w:bottom w:val="nil"/>
              <w:right w:val="single" w:sz="4" w:space="0" w:color="000000"/>
            </w:tcBorders>
          </w:tcPr>
          <w:p w:rsidR="00C9434A" w:rsidRDefault="00C9434A">
            <w:pPr>
              <w:spacing w:after="160" w:line="259" w:lineRule="auto"/>
              <w:ind w:left="0" w:firstLine="0"/>
              <w:jc w:val="left"/>
            </w:pPr>
          </w:p>
        </w:tc>
      </w:tr>
      <w:tr w:rsidR="00C9434A">
        <w:trPr>
          <w:trHeight w:val="269"/>
        </w:trPr>
        <w:tc>
          <w:tcPr>
            <w:tcW w:w="9300" w:type="dxa"/>
            <w:gridSpan w:val="3"/>
            <w:tcBorders>
              <w:top w:val="single" w:sz="4" w:space="0" w:color="000000"/>
              <w:left w:val="single" w:sz="4" w:space="0" w:color="000000"/>
              <w:bottom w:val="single" w:sz="4" w:space="0" w:color="000000"/>
              <w:right w:val="single" w:sz="4" w:space="0" w:color="000000"/>
            </w:tcBorders>
          </w:tcPr>
          <w:p w:rsidR="00C9434A" w:rsidRDefault="00637DCA">
            <w:pPr>
              <w:tabs>
                <w:tab w:val="center" w:pos="5173"/>
                <w:tab w:val="right" w:pos="9180"/>
              </w:tabs>
              <w:spacing w:after="0" w:line="259" w:lineRule="auto"/>
              <w:ind w:left="0" w:firstLine="0"/>
              <w:jc w:val="left"/>
            </w:pPr>
            <w:r>
              <w:rPr>
                <w:rFonts w:ascii="Arial" w:eastAsia="Arial" w:hAnsi="Arial" w:cs="Arial"/>
                <w:sz w:val="12"/>
              </w:rPr>
              <w:t>Fecha de sellado electrónico: 16-10-2021 15:21:27</w:t>
            </w:r>
            <w:r>
              <w:rPr>
                <w:rFonts w:ascii="Arial" w:eastAsia="Arial" w:hAnsi="Arial" w:cs="Arial"/>
                <w:sz w:val="12"/>
              </w:rPr>
              <w:tab/>
            </w:r>
            <w:r>
              <w:rPr>
                <w:rFonts w:ascii="Arial" w:eastAsia="Arial" w:hAnsi="Arial" w:cs="Arial"/>
                <w:color w:val="404040"/>
                <w:sz w:val="12"/>
              </w:rPr>
              <w:t>- 2/2 -</w:t>
            </w:r>
            <w:r>
              <w:rPr>
                <w:rFonts w:ascii="Arial" w:eastAsia="Arial" w:hAnsi="Arial" w:cs="Arial"/>
                <w:color w:val="404040"/>
                <w:sz w:val="12"/>
              </w:rPr>
              <w:tab/>
            </w:r>
            <w:r>
              <w:rPr>
                <w:rFonts w:ascii="Arial" w:eastAsia="Arial" w:hAnsi="Arial" w:cs="Arial"/>
                <w:sz w:val="12"/>
              </w:rPr>
              <w:t>Fecha de emisión de esta copia: 24-01-2024 08:32:05</w:t>
            </w:r>
          </w:p>
        </w:tc>
        <w:tc>
          <w:tcPr>
            <w:tcW w:w="0" w:type="auto"/>
            <w:vMerge/>
            <w:tcBorders>
              <w:top w:val="nil"/>
              <w:left w:val="single" w:sz="4" w:space="0" w:color="000000"/>
              <w:bottom w:val="single" w:sz="4" w:space="0" w:color="000000"/>
              <w:right w:val="single" w:sz="4" w:space="0" w:color="000000"/>
            </w:tcBorders>
          </w:tcPr>
          <w:p w:rsidR="00C9434A" w:rsidRDefault="00C9434A">
            <w:pPr>
              <w:spacing w:after="160" w:line="259" w:lineRule="auto"/>
              <w:ind w:left="0" w:firstLine="0"/>
              <w:jc w:val="left"/>
            </w:pPr>
          </w:p>
        </w:tc>
      </w:tr>
    </w:tbl>
    <w:p w:rsidR="00C9434A" w:rsidRDefault="00637DCA">
      <w:pPr>
        <w:numPr>
          <w:ilvl w:val="0"/>
          <w:numId w:val="2"/>
        </w:numPr>
        <w:ind w:left="389" w:right="1" w:hanging="221"/>
      </w:pPr>
      <w:r>
        <w:t>Planificación y gestión territorial y urbanística.</w:t>
      </w:r>
    </w:p>
    <w:p w:rsidR="00C9434A" w:rsidRDefault="00637DCA">
      <w:pPr>
        <w:ind w:left="165" w:right="1"/>
      </w:pPr>
      <w:r>
        <w:t>Infracciones y sanciones.</w:t>
      </w:r>
    </w:p>
    <w:p w:rsidR="00C9434A" w:rsidRDefault="00637DCA">
      <w:pPr>
        <w:ind w:left="-2" w:right="1" w:firstLine="155"/>
      </w:pPr>
      <w:r>
        <w:t xml:space="preserve">Artículo 9º.- En todo lo relativo a la calificación de las sanciones tributarias, así como de las sanciones que por las mismas correspondan en cada caso, se estará a lo dispuesto </w:t>
      </w:r>
      <w:r>
        <w:t>en los artículos 77 y siguientes de la Ley General Tributaria.</w:t>
      </w:r>
    </w:p>
    <w:p w:rsidR="00C9434A" w:rsidRDefault="00637DCA">
      <w:pPr>
        <w:ind w:left="-2" w:right="1" w:firstLine="155"/>
      </w:pPr>
      <w:r>
        <w:t>En la Villa de Candelaria, a 12 de diciembre de 2003.</w:t>
      </w:r>
    </w:p>
    <w:p w:rsidR="00C9434A" w:rsidRDefault="00637DCA">
      <w:pPr>
        <w:ind w:left="-2" w:right="1" w:firstLine="155"/>
      </w:pPr>
      <w:r>
        <w:t>Alcalde-Presidente, José Gumersindo García Trujillo.</w:t>
      </w:r>
    </w:p>
    <w:p w:rsidR="00C9434A" w:rsidRDefault="00637DCA">
      <w:pPr>
        <w:spacing w:after="150" w:line="259" w:lineRule="auto"/>
        <w:ind w:left="184"/>
        <w:jc w:val="left"/>
      </w:pPr>
      <w:r>
        <w:rPr>
          <w:b/>
        </w:rPr>
        <w:t>VILLA DE LA VICTORIA DE ACENTEJO</w:t>
      </w:r>
    </w:p>
    <w:p w:rsidR="00C9434A" w:rsidRDefault="00637DCA">
      <w:pPr>
        <w:spacing w:after="0" w:line="259" w:lineRule="auto"/>
        <w:ind w:right="3"/>
        <w:jc w:val="center"/>
      </w:pPr>
      <w:r>
        <w:rPr>
          <w:b/>
        </w:rPr>
        <w:t>ANUNCIO Nº 45/2003</w:t>
      </w:r>
    </w:p>
    <w:p w:rsidR="00C9434A" w:rsidRDefault="00637DCA">
      <w:pPr>
        <w:pStyle w:val="Ttulo1"/>
        <w:tabs>
          <w:tab w:val="right" w:pos="4139"/>
        </w:tabs>
        <w:ind w:left="-15" w:right="0" w:firstLine="0"/>
      </w:pPr>
      <w:r>
        <w:t>16507</w:t>
      </w:r>
      <w:r>
        <w:tab/>
        <w:t>10514</w:t>
      </w:r>
    </w:p>
    <w:p w:rsidR="00C9434A" w:rsidRDefault="00637DCA">
      <w:pPr>
        <w:ind w:left="-2" w:right="1" w:firstLine="155"/>
      </w:pPr>
      <w:r>
        <w:t xml:space="preserve">Mediante Resolución de la Alcaldía-Presidencia del Ayuntamiento de La Victoria de </w:t>
      </w:r>
      <w:proofErr w:type="spellStart"/>
      <w:r>
        <w:t>Acentejo</w:t>
      </w:r>
      <w:proofErr w:type="spellEnd"/>
      <w:r>
        <w:t>, de fecha 02 de diciembre de 2003, se acordó subsanar el error detectado en la base séptima de las bases por las que se ha de regir la convocatoria de oposición libr</w:t>
      </w:r>
      <w:r>
        <w:t xml:space="preserve">e para la provisión en propiedad UNA PLAZA DE POLICÍALOCAL, vacante en la Plantilla de personal funcionario e integrada en la Oferta de Empleo </w:t>
      </w:r>
      <w:proofErr w:type="spellStart"/>
      <w:r>
        <w:t>Publico</w:t>
      </w:r>
      <w:proofErr w:type="spellEnd"/>
      <w:r>
        <w:t xml:space="preserve"> para 2003 del Ayuntamiento de la Victoria de </w:t>
      </w:r>
      <w:proofErr w:type="spellStart"/>
      <w:r>
        <w:t>Acentejo</w:t>
      </w:r>
      <w:proofErr w:type="spellEnd"/>
      <w:r>
        <w:t>, publicadas en el B.O.P. nº 150 de 28.11.2003, de m</w:t>
      </w:r>
      <w:r>
        <w:t xml:space="preserve">odo que, en la prueba de </w:t>
      </w:r>
      <w:r>
        <w:lastRenderedPageBreak/>
        <w:t>“levantamiento de pesas”, donde dice 40 kilos diga 30 kilos, y donde diga 60 kilos diga 50 kilos.</w:t>
      </w:r>
    </w:p>
    <w:p w:rsidR="00C9434A" w:rsidRDefault="00637DCA">
      <w:pPr>
        <w:ind w:left="165" w:right="1"/>
      </w:pPr>
      <w:r>
        <w:t xml:space="preserve">La Victoria de </w:t>
      </w:r>
      <w:proofErr w:type="spellStart"/>
      <w:r>
        <w:t>Acentejo</w:t>
      </w:r>
      <w:proofErr w:type="spellEnd"/>
      <w:r>
        <w:t>, a 2 de diciembre de 2003.</w:t>
      </w:r>
    </w:p>
    <w:p w:rsidR="00C9434A" w:rsidRDefault="00637DCA">
      <w:pPr>
        <w:spacing w:after="554"/>
        <w:ind w:left="-2" w:right="1" w:firstLine="155"/>
      </w:pPr>
      <w:r>
        <w:t xml:space="preserve">El Alcalde-Presidente, Manuel Jesús Correa </w:t>
      </w:r>
      <w:proofErr w:type="spellStart"/>
      <w:r>
        <w:t>Afonso</w:t>
      </w:r>
      <w:proofErr w:type="spellEnd"/>
      <w:r>
        <w:t>.</w:t>
      </w:r>
    </w:p>
    <w:p w:rsidR="00C9434A" w:rsidRDefault="00637DCA">
      <w:pPr>
        <w:pStyle w:val="Ttulo1"/>
        <w:spacing w:after="194"/>
        <w:ind w:left="0" w:right="0" w:firstLine="0"/>
      </w:pPr>
      <w:r>
        <w:rPr>
          <w:rFonts w:ascii="Arial" w:eastAsia="Arial" w:hAnsi="Arial" w:cs="Arial"/>
          <w:sz w:val="33"/>
        </w:rPr>
        <w:t>IV. ADMINISTRACIÓN DE JUSTICIA</w:t>
      </w:r>
    </w:p>
    <w:p w:rsidR="00C9434A" w:rsidRDefault="00637DCA">
      <w:pPr>
        <w:spacing w:after="0" w:line="259" w:lineRule="auto"/>
        <w:ind w:right="3"/>
        <w:jc w:val="center"/>
      </w:pPr>
      <w:r>
        <w:rPr>
          <w:b/>
        </w:rPr>
        <w:t>JUZGADO DE LO SOCIAL Nº 5</w:t>
      </w:r>
    </w:p>
    <w:p w:rsidR="00C9434A" w:rsidRDefault="00637DCA">
      <w:pPr>
        <w:spacing w:after="150" w:line="259" w:lineRule="auto"/>
        <w:ind w:right="2"/>
        <w:jc w:val="center"/>
      </w:pPr>
      <w:r>
        <w:rPr>
          <w:b/>
        </w:rPr>
        <w:t>DE SANTA CRUZ DE TENERIFE</w:t>
      </w:r>
    </w:p>
    <w:p w:rsidR="00C9434A" w:rsidRDefault="00637DCA">
      <w:pPr>
        <w:spacing w:after="0" w:line="259" w:lineRule="auto"/>
        <w:ind w:right="3"/>
        <w:jc w:val="center"/>
      </w:pPr>
      <w:r>
        <w:rPr>
          <w:b/>
        </w:rPr>
        <w:t>E D I C T O</w:t>
      </w:r>
    </w:p>
    <w:p w:rsidR="00C9434A" w:rsidRDefault="00637DCA">
      <w:pPr>
        <w:pStyle w:val="Ttulo2"/>
        <w:tabs>
          <w:tab w:val="right" w:pos="4139"/>
        </w:tabs>
        <w:ind w:left="-15" w:right="0" w:firstLine="0"/>
      </w:pPr>
      <w:r>
        <w:t>16508</w:t>
      </w:r>
      <w:r>
        <w:tab/>
        <w:t>10519</w:t>
      </w:r>
    </w:p>
    <w:p w:rsidR="00C9434A" w:rsidRDefault="00637DCA">
      <w:pPr>
        <w:spacing w:after="147"/>
        <w:ind w:left="165" w:right="1"/>
      </w:pPr>
      <w:r>
        <w:t>Procedimiento: Demanda.</w:t>
      </w:r>
    </w:p>
    <w:p w:rsidR="00C9434A" w:rsidRDefault="00637DCA">
      <w:pPr>
        <w:spacing w:after="0" w:line="414" w:lineRule="auto"/>
        <w:ind w:left="165" w:right="690"/>
      </w:pPr>
      <w:r>
        <w:t>Nº procedimiento: 0000960/2003. N.I.G.: 3803834420030004547.</w:t>
      </w:r>
    </w:p>
    <w:p w:rsidR="00C9434A" w:rsidRDefault="00637DCA">
      <w:pPr>
        <w:spacing w:after="147"/>
        <w:ind w:left="165" w:right="1"/>
      </w:pPr>
      <w:r>
        <w:t>Fase: señalamiento de juicio.</w:t>
      </w:r>
    </w:p>
    <w:p w:rsidR="00C9434A" w:rsidRDefault="00637DCA">
      <w:pPr>
        <w:ind w:left="165" w:right="1"/>
      </w:pPr>
      <w:r>
        <w:t>Materia: despido.</w:t>
      </w:r>
    </w:p>
    <w:sectPr w:rsidR="00C9434A">
      <w:type w:val="continuous"/>
      <w:pgSz w:w="11900" w:h="16840"/>
      <w:pgMar w:top="1093" w:right="1550" w:bottom="400" w:left="1544" w:header="720" w:footer="720" w:gutter="0"/>
      <w:cols w:num="2" w:space="5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921741"/>
    <w:multiLevelType w:val="hybridMultilevel"/>
    <w:tmpl w:val="A468AD6C"/>
    <w:lvl w:ilvl="0" w:tplc="8DE62F1E">
      <w:start w:val="3"/>
      <w:numFmt w:val="lowerLetter"/>
      <w:lvlText w:val="%1)"/>
      <w:lvlJc w:val="left"/>
      <w:pPr>
        <w:ind w:left="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7125398">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7000CAE">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46CC838">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FEF3D4">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FECB556">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0EED692">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02861A8">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B5650A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76159E5"/>
    <w:multiLevelType w:val="hybridMultilevel"/>
    <w:tmpl w:val="CEC6360A"/>
    <w:lvl w:ilvl="0" w:tplc="7E9CC206">
      <w:start w:val="1"/>
      <w:numFmt w:val="lowerLetter"/>
      <w:lvlText w:val="%1)"/>
      <w:lvlJc w:val="left"/>
      <w:pPr>
        <w:ind w:left="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EFE3F1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8487B2E">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0B040F8">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7221A56">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9AC1E0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0DAA908">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C66E074">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3ECDD66">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34A"/>
    <w:rsid w:val="00637DCA"/>
    <w:rsid w:val="00C943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DF9F36-D720-4E0E-9848-374EC094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0" w:line="263" w:lineRule="auto"/>
      <w:ind w:left="10" w:hanging="10"/>
      <w:jc w:val="both"/>
    </w:pPr>
    <w:rPr>
      <w:rFonts w:ascii="Times New Roman" w:eastAsia="Times New Roman" w:hAnsi="Times New Roman" w:cs="Times New Roman"/>
      <w:color w:val="000000"/>
      <w:sz w:val="20"/>
    </w:rPr>
  </w:style>
  <w:style w:type="paragraph" w:styleId="Ttulo1">
    <w:name w:val="heading 1"/>
    <w:next w:val="Normal"/>
    <w:link w:val="Ttulo1Car"/>
    <w:uiPriority w:val="9"/>
    <w:unhideWhenUsed/>
    <w:qFormat/>
    <w:pPr>
      <w:keepNext/>
      <w:keepLines/>
      <w:spacing w:after="0"/>
      <w:ind w:left="10" w:right="4" w:hanging="10"/>
      <w:outlineLvl w:val="0"/>
    </w:pPr>
    <w:rPr>
      <w:rFonts w:ascii="Times New Roman" w:eastAsia="Times New Roman" w:hAnsi="Times New Roman" w:cs="Times New Roman"/>
      <w:b/>
      <w:color w:val="000000"/>
      <w:sz w:val="20"/>
    </w:rPr>
  </w:style>
  <w:style w:type="paragraph" w:styleId="Ttulo2">
    <w:name w:val="heading 2"/>
    <w:next w:val="Normal"/>
    <w:link w:val="Ttulo2Car"/>
    <w:uiPriority w:val="9"/>
    <w:unhideWhenUsed/>
    <w:qFormat/>
    <w:pPr>
      <w:keepNext/>
      <w:keepLines/>
      <w:spacing w:after="0"/>
      <w:ind w:left="10" w:right="4" w:hanging="10"/>
      <w:outlineLvl w:val="1"/>
    </w:pPr>
    <w:rPr>
      <w:rFonts w:ascii="Times New Roman" w:eastAsia="Times New Roman" w:hAnsi="Times New Roman" w:cs="Times New Roman"/>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20"/>
    </w:rPr>
  </w:style>
  <w:style w:type="character" w:customStyle="1" w:styleId="Ttulo2Car">
    <w:name w:val="Título 2 Car"/>
    <w:link w:val="Ttulo2"/>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1104</Words>
  <Characters>6078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COPIA - GIYS - Ilustre Ayuntamiento de Candelaria</dc:subject>
  <dc:creator>begoña.sarmiento</dc:creator>
  <cp:keywords/>
  <cp:lastModifiedBy>begoña.sarmiento</cp:lastModifiedBy>
  <cp:revision>2</cp:revision>
  <dcterms:created xsi:type="dcterms:W3CDTF">2024-01-24T08:33:00Z</dcterms:created>
  <dcterms:modified xsi:type="dcterms:W3CDTF">2024-01-24T08:33:00Z</dcterms:modified>
</cp:coreProperties>
</file>