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68" w:rsidRDefault="00F47858">
      <w:pPr>
        <w:tabs>
          <w:tab w:val="right" w:pos="9298"/>
        </w:tabs>
        <w:spacing w:after="0" w:line="259" w:lineRule="auto"/>
        <w:ind w:right="0" w:firstLine="0"/>
        <w:jc w:val="left"/>
      </w:pPr>
      <w:bookmarkStart w:id="0" w:name="_GoBack"/>
      <w:bookmarkEnd w:id="0"/>
      <w:r>
        <w:rPr>
          <w:sz w:val="16"/>
        </w:rPr>
        <w:t>13081308</w:t>
      </w:r>
      <w:r>
        <w:rPr>
          <w:sz w:val="16"/>
        </w:rPr>
        <w:tab/>
        <w:t xml:space="preserve"> Boletín Oficial de la Provincia de Santa Cruz de Tenerife. Número 86, </w:t>
      </w:r>
      <w:proofErr w:type="gramStart"/>
      <w:r>
        <w:rPr>
          <w:sz w:val="16"/>
        </w:rPr>
        <w:t>Lunes</w:t>
      </w:r>
      <w:proofErr w:type="gramEnd"/>
      <w:r>
        <w:rPr>
          <w:sz w:val="16"/>
        </w:rPr>
        <w:t xml:space="preserve">, 18 de julio de 2022 Boletín Oficial de la Provincia de Santa Cruz de Tenerife. Número 8, </w:t>
      </w:r>
      <w:proofErr w:type="gramStart"/>
      <w:r>
        <w:rPr>
          <w:sz w:val="16"/>
        </w:rPr>
        <w:t>Miércoles</w:t>
      </w:r>
      <w:proofErr w:type="gramEnd"/>
      <w:r>
        <w:rPr>
          <w:sz w:val="16"/>
        </w:rPr>
        <w:t xml:space="preserve"> 18 de enero de 2023</w:t>
      </w:r>
    </w:p>
    <w:p w:rsidR="00254768" w:rsidRDefault="00F47858">
      <w:pPr>
        <w:spacing w:after="0" w:line="259" w:lineRule="auto"/>
        <w:ind w:left="-62" w:right="-5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6084" cy="11584"/>
                <wp:effectExtent l="0" t="0" r="0" b="0"/>
                <wp:docPr id="3138" name="Group 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84" cy="11584"/>
                          <a:chOff x="0" y="0"/>
                          <a:chExt cx="5976084" cy="11584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976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84">
                                <a:moveTo>
                                  <a:pt x="0" y="0"/>
                                </a:moveTo>
                                <a:lnTo>
                                  <a:pt x="5976084" y="0"/>
                                </a:lnTo>
                              </a:path>
                            </a:pathLst>
                          </a:custGeom>
                          <a:ln w="1158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8" style="width:470.558pt;height:0.9121pt;mso-position-horizontal-relative:char;mso-position-vertical-relative:line" coordsize="59760,115">
                <v:shape id="Shape 51" style="position:absolute;width:59760;height:0;left:0;top:0;" coordsize="5976084,0" path="m0,0l5976084,0">
                  <v:stroke weight="0.912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254768" w:rsidRDefault="00254768">
      <w:pPr>
        <w:sectPr w:rsidR="00254768">
          <w:pgSz w:w="11906" w:h="16838"/>
          <w:pgMar w:top="1211" w:right="1298" w:bottom="2689" w:left="1309" w:header="720" w:footer="720" w:gutter="0"/>
          <w:cols w:space="720"/>
        </w:sectPr>
      </w:pPr>
    </w:p>
    <w:p w:rsidR="00254768" w:rsidRDefault="00F47858">
      <w:pPr>
        <w:spacing w:after="205" w:line="259" w:lineRule="auto"/>
        <w:ind w:right="39" w:firstLine="0"/>
        <w:jc w:val="center"/>
      </w:pPr>
      <w:r>
        <w:rPr>
          <w:b/>
          <w:sz w:val="22"/>
        </w:rPr>
        <w:lastRenderedPageBreak/>
        <w:t>VILLA DE CANDELARIA</w:t>
      </w:r>
    </w:p>
    <w:p w:rsidR="00254768" w:rsidRDefault="00F47858">
      <w:pPr>
        <w:spacing w:after="53" w:line="216" w:lineRule="auto"/>
        <w:ind w:left="1398" w:right="0" w:hanging="870"/>
        <w:jc w:val="left"/>
      </w:pPr>
      <w:r>
        <w:rPr>
          <w:b/>
          <w:sz w:val="22"/>
        </w:rPr>
        <w:t>ANUNCIO DE APROBACIÓN DEFINITIVA</w:t>
      </w:r>
    </w:p>
    <w:p w:rsidR="00254768" w:rsidRDefault="00F47858">
      <w:pPr>
        <w:tabs>
          <w:tab w:val="right" w:pos="4188"/>
        </w:tabs>
        <w:spacing w:after="8" w:line="259" w:lineRule="auto"/>
        <w:ind w:right="0" w:firstLine="0"/>
        <w:jc w:val="left"/>
      </w:pPr>
      <w:r>
        <w:rPr>
          <w:b/>
        </w:rPr>
        <w:t xml:space="preserve">202 </w:t>
      </w:r>
      <w:r>
        <w:rPr>
          <w:b/>
        </w:rPr>
        <w:tab/>
        <w:t>13493</w:t>
      </w:r>
    </w:p>
    <w:p w:rsidR="00254768" w:rsidRDefault="00F47858">
      <w:pPr>
        <w:ind w:left="-15" w:right="0"/>
      </w:pPr>
      <w:r>
        <w:t>Aprobado inicialmente en sesión ordinaria de Pleno de este Ayuntamiento, de fecha 29 de septiembre de 2022, el expediente 9964/2022 propuesta del Concejal Delegado de Hacienda de 20 de septiembre de 2022 al Pleno</w:t>
      </w:r>
      <w:r>
        <w:t xml:space="preserve"> para la Modificación de la Ordenanza Fiscal Reguladora del Impuesto sobre Bienes Inmuebles, una vez finalizado el período de exposición pública de treinta días y presentadas alegaciones, las mismas se resuelven y desestiman, y queda aprobado definitivamen</w:t>
      </w:r>
      <w:r>
        <w:t>te en sesión ordinaria de Pleno de fecha 29 de diciembre de 2022, según lo previsto en el artículo 17.3 y 4 del Texto Refundido de la Ley Reguladora de las Haciendas Locales, aprobado por Real Decreto Legislativo 2/2004, de 5 de marzo, y se publica para ge</w:t>
      </w:r>
      <w:r>
        <w:t>neral conocimiento, con entrada en vigor al día siguiente de su publicación, el texto de la modificación parcial de la ordenanza, en particular el artículo 10 apartados 5, 6, y un nuevo apartado 7, e introducción de una nueva Disposición Transitoria, queda</w:t>
      </w:r>
      <w:r>
        <w:t>ndo la redacción de los preceptos modificados según el siguiente anexo:</w:t>
      </w:r>
    </w:p>
    <w:p w:rsidR="00254768" w:rsidRDefault="00F47858">
      <w:pPr>
        <w:ind w:left="-15" w:right="0"/>
      </w:pPr>
      <w:r>
        <w:t>ANEXO. Texto de la modificación parcial de la Ordenanza Fiscal Reguladora del Impuesto sobre Bienes Inmuebles.</w:t>
      </w:r>
    </w:p>
    <w:p w:rsidR="00254768" w:rsidRDefault="00F47858">
      <w:pPr>
        <w:ind w:left="129" w:right="0" w:firstLine="0"/>
      </w:pPr>
      <w:r>
        <w:t>Artículo 10. Hecho Imponible.</w:t>
      </w:r>
    </w:p>
    <w:p w:rsidR="00254768" w:rsidRDefault="00F47858">
      <w:pPr>
        <w:ind w:left="129" w:right="0" w:firstLine="0"/>
      </w:pPr>
      <w:r>
        <w:t>(…)</w:t>
      </w:r>
    </w:p>
    <w:p w:rsidR="00254768" w:rsidRDefault="00F47858">
      <w:pPr>
        <w:ind w:left="-15" w:right="0"/>
      </w:pPr>
      <w:r>
        <w:t xml:space="preserve">“5. Tendrán derecho a disfrutar de una </w:t>
      </w:r>
      <w:r>
        <w:t>bonificación del 30 por ciento en la cuota íntegra del impuesto, las edificaciones cuyo uso catastral sea residencial en más de un 50% de su superficie en las que se hayan instalado sistemas para el aprovechamiento térmico o eléctrico de la energía proveni</w:t>
      </w:r>
      <w:r>
        <w:t>ente del sol para autoconsumo.</w:t>
      </w:r>
    </w:p>
    <w:p w:rsidR="00254768" w:rsidRDefault="00F47858">
      <w:pPr>
        <w:ind w:left="-15" w:right="0"/>
      </w:pPr>
      <w:r>
        <w:t>La aplicación de esta bonificación, que tendrá un límite temporal de 5 años desde la solicitud de la misma, estará condicionada al cumplimiento de los siguientes requisitos:</w:t>
      </w:r>
    </w:p>
    <w:p w:rsidR="00254768" w:rsidRDefault="00F47858">
      <w:pPr>
        <w:numPr>
          <w:ilvl w:val="0"/>
          <w:numId w:val="1"/>
        </w:numPr>
        <w:ind w:right="0"/>
      </w:pPr>
      <w:r>
        <w:t>Que las instalaciones para producción de calor incl</w:t>
      </w:r>
      <w:r>
        <w:t>uyan colectores que dispongan de la correspondiente homologación por la Administración competente.</w:t>
      </w:r>
    </w:p>
    <w:tbl>
      <w:tblPr>
        <w:tblStyle w:val="TableGrid"/>
        <w:tblpPr w:vertAnchor="page" w:horzAnchor="page" w:tblpX="500" w:tblpY="15438"/>
        <w:tblOverlap w:val="never"/>
        <w:tblW w:w="10906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 w:rsidR="00254768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54768" w:rsidRDefault="00F47858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Firmado por: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2"/>
              </w:rPr>
              <w:t>Fecha: 18-01-2023 09:04:04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0" w:line="259" w:lineRule="auto"/>
              <w:ind w:left="29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768">
        <w:trPr>
          <w:trHeight w:val="520"/>
        </w:trPr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51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Código Seguro de Verificación (CSV): 0D147FC76502059651BEDE0389DFDEA8</w:t>
            </w:r>
          </w:p>
          <w:p w:rsidR="00254768" w:rsidRDefault="00F47858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Comprobación CSV:  https://sedeelectronica.candelaria.es//publico/documento/0D147FC76502059651BEDE0389DFDEA8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768" w:rsidRDefault="00254768">
            <w:pPr>
              <w:spacing w:after="160" w:line="259" w:lineRule="auto"/>
              <w:ind w:right="0" w:firstLine="0"/>
              <w:jc w:val="left"/>
            </w:pPr>
          </w:p>
        </w:tc>
      </w:tr>
      <w:tr w:rsidR="00254768">
        <w:trPr>
          <w:trHeight w:val="269"/>
        </w:trPr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tabs>
                <w:tab w:val="center" w:pos="5177"/>
                <w:tab w:val="right" w:pos="918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Fecha de sellado electrónico: 18-01-2023 09:04:04                </w:t>
            </w:r>
            <w:r>
              <w:rPr>
                <w:rFonts w:ascii="Arial" w:eastAsia="Arial" w:hAnsi="Arial" w:cs="Arial"/>
                <w:color w:val="000000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- 1/2 -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color w:val="000000"/>
                <w:sz w:val="12"/>
              </w:rPr>
              <w:t>Fecha de emisión de esta copia: 23-01-2024 12:16:57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25476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54768" w:rsidRDefault="00F47858">
      <w:pPr>
        <w:numPr>
          <w:ilvl w:val="0"/>
          <w:numId w:val="1"/>
        </w:numPr>
        <w:ind w:right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791930</wp:posOffset>
                </wp:positionH>
                <wp:positionV relativeFrom="page">
                  <wp:posOffset>699336</wp:posOffset>
                </wp:positionV>
                <wp:extent cx="5976084" cy="11584"/>
                <wp:effectExtent l="0" t="0" r="0" b="0"/>
                <wp:wrapTopAndBottom/>
                <wp:docPr id="3137" name="Group 3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84" cy="11584"/>
                          <a:chOff x="0" y="0"/>
                          <a:chExt cx="5976084" cy="11584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976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084">
                                <a:moveTo>
                                  <a:pt x="0" y="0"/>
                                </a:moveTo>
                                <a:lnTo>
                                  <a:pt x="5976084" y="0"/>
                                </a:lnTo>
                              </a:path>
                            </a:pathLst>
                          </a:custGeom>
                          <a:ln w="1158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37" style="width:470.558pt;height:0.9121pt;position:absolute;mso-position-horizontal-relative:page;mso-position-horizontal:absolute;margin-left:62.3567pt;mso-position-vertical-relative:page;margin-top:55.0659pt;" coordsize="59760,115">
                <v:shape id="Shape 50" style="position:absolute;width:59760;height:0;left:0;top:0;" coordsize="5976084,0" path="m0,0l5976084,0">
                  <v:stroke weight="0.9121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Que dichas instalaciones constituyan la fuente principal de suministro de energía de la vivienda.</w:t>
      </w:r>
    </w:p>
    <w:p w:rsidR="00254768" w:rsidRDefault="00F47858">
      <w:pPr>
        <w:spacing w:after="353"/>
        <w:ind w:left="-15" w:right="0"/>
      </w:pPr>
      <w:r>
        <w:t>La solicitud deberá acompañarse de la documentación exigida con carácter general en la Ordenanza fiscal general del Consorcio de Tributos de Tenerife, relativ</w:t>
      </w:r>
      <w:r>
        <w:t>a a los tributos y demás ingresos de derecho público encomendados.</w:t>
      </w:r>
    </w:p>
    <w:p w:rsidR="00254768" w:rsidRDefault="00F47858">
      <w:pPr>
        <w:spacing w:after="353"/>
        <w:ind w:left="-15" w:right="0"/>
      </w:pPr>
      <w:r>
        <w:t>No se concederá bonificación cuando la instalación de estos sistemas de aprovechamiento de la energía solar sea obligatoria a tenor de la normativa específica en la materia.</w:t>
      </w:r>
    </w:p>
    <w:p w:rsidR="00254768" w:rsidRDefault="00F47858">
      <w:pPr>
        <w:numPr>
          <w:ilvl w:val="0"/>
          <w:numId w:val="2"/>
        </w:numPr>
        <w:spacing w:after="353"/>
        <w:ind w:right="0"/>
      </w:pPr>
      <w:r>
        <w:t>Tendrán derecho</w:t>
      </w:r>
      <w:r>
        <w:t xml:space="preserve"> a disfrutar de una bonificación del 30 por ciento en la cuota íntegra del impuesto, las edificaciones cuyo uso catastral sea residencial en más de un 50% de su superficie en las que se hayan instalado puntos de recarga para vehículos eléctricos. En los ca</w:t>
      </w:r>
      <w:r>
        <w:t>sos en que la instalación se sitúe en zonas comunes será requisito imprescindible la identidad de sujeto pasivo entre el titular de la vivienda y el de la plaza de garaje donde se instale el punto de recarga.</w:t>
      </w:r>
    </w:p>
    <w:p w:rsidR="00254768" w:rsidRDefault="00F47858">
      <w:pPr>
        <w:spacing w:after="353"/>
        <w:ind w:left="-15" w:right="0"/>
      </w:pPr>
      <w:r>
        <w:t xml:space="preserve">La aplicación de esta bonificación, que tendrá </w:t>
      </w:r>
      <w:r>
        <w:t>un límite temporal de 5 años desde la solicitud de la misma, estará condicionada a que las instalaciones dispongan de la correspondiente homologación por la Administración competente. La solicitud deberá acompañarse de la documentación exigida con carácter</w:t>
      </w:r>
      <w:r>
        <w:t xml:space="preserve"> general en la Ordenanza Fiscal General del Consorcio de Tributos de Tenerife, relativa a los tributos y demás ingresos de derecho público encomendados.</w:t>
      </w:r>
    </w:p>
    <w:p w:rsidR="00254768" w:rsidRDefault="00F47858">
      <w:pPr>
        <w:numPr>
          <w:ilvl w:val="0"/>
          <w:numId w:val="2"/>
        </w:numPr>
        <w:spacing w:after="353"/>
        <w:ind w:right="0"/>
      </w:pPr>
      <w:r>
        <w:t xml:space="preserve">Las bonificaciones reguladas en el presente artículo son compatibles entre sí cuando así lo permita la </w:t>
      </w:r>
      <w:r>
        <w:t>naturaleza de la bonificación y del bien inmueble correspondiente; y se aplicarán, en su caso, por el orden en el que las mismas aparecen relacionadas en los apartados citados, minorando sucesivamente la cuota íntegra del Impuesto.”</w:t>
      </w:r>
    </w:p>
    <w:p w:rsidR="00254768" w:rsidRDefault="00F47858">
      <w:pPr>
        <w:spacing w:after="347"/>
        <w:ind w:left="129" w:right="0" w:firstLine="0"/>
      </w:pPr>
      <w:r>
        <w:t xml:space="preserve">(…) </w:t>
      </w:r>
    </w:p>
    <w:p w:rsidR="00254768" w:rsidRDefault="00F47858">
      <w:pPr>
        <w:ind w:left="-15" w:right="0"/>
      </w:pPr>
      <w:r>
        <w:t>“Disposición Trans</w:t>
      </w:r>
      <w:r>
        <w:t>itoria. Régimen de las bonificaciones por aprovechamiento térmico de la energía solar proveniente del sol para autoconsumo solicitadas con anterioridad al 1 de enero de 2023.</w:t>
      </w:r>
    </w:p>
    <w:p w:rsidR="00254768" w:rsidRDefault="00F47858">
      <w:pPr>
        <w:spacing w:after="0"/>
        <w:ind w:left="-15" w:right="0"/>
      </w:pPr>
      <w:r>
        <w:lastRenderedPageBreak/>
        <w:t xml:space="preserve">Las solicitudes de bonificación por aprovechamiento térmico de la energía solar proveniente del sol para autoconsumo solicitadas con anterioridad al 1 de enero de 2023, se regirán por la normativa vigente en el momento de su </w:t>
      </w:r>
    </w:p>
    <w:p w:rsidR="00254768" w:rsidRDefault="00F47858">
      <w:pPr>
        <w:ind w:left="-15" w:right="0" w:firstLine="0"/>
      </w:pPr>
      <w:r>
        <w:t xml:space="preserve">solicitud.” </w:t>
      </w:r>
    </w:p>
    <w:tbl>
      <w:tblPr>
        <w:tblStyle w:val="TableGrid"/>
        <w:tblpPr w:vertAnchor="text" w:horzAnchor="margin"/>
        <w:tblOverlap w:val="never"/>
        <w:tblW w:w="94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1"/>
      </w:tblGrid>
      <w:tr w:rsidR="00254768">
        <w:trPr>
          <w:trHeight w:val="212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:rsidR="00254768" w:rsidRDefault="00F47858">
            <w:pPr>
              <w:spacing w:after="10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76084" cy="11584"/>
                      <wp:effectExtent l="0" t="0" r="0" b="0"/>
                      <wp:docPr id="2938" name="Group 2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6084" cy="11584"/>
                                <a:chOff x="0" y="0"/>
                                <a:chExt cx="5976084" cy="11584"/>
                              </a:xfrm>
                            </wpg:grpSpPr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0"/>
                                  <a:ext cx="59760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6084">
                                      <a:moveTo>
                                        <a:pt x="0" y="0"/>
                                      </a:moveTo>
                                      <a:lnTo>
                                        <a:pt x="5976084" y="0"/>
                                      </a:lnTo>
                                    </a:path>
                                  </a:pathLst>
                                </a:custGeom>
                                <a:ln w="1158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8" style="width:470.558pt;height:0.9121pt;mso-position-horizontal-relative:char;mso-position-vertical-relative:line" coordsize="59760,115">
                      <v:shape id="Shape 217" style="position:absolute;width:59760;height:0;left:0;top:0;" coordsize="5976084,0" path="m0,0l5976084,0">
                        <v:stroke weight="0.912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254768" w:rsidRDefault="00F47858">
            <w:pPr>
              <w:tabs>
                <w:tab w:val="right" w:pos="9411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 Boletín Oficial de la Provincia de Santa Cruz de Tenerife. Número 8, </w:t>
            </w:r>
            <w:proofErr w:type="gramStart"/>
            <w:r>
              <w:rPr>
                <w:sz w:val="16"/>
              </w:rPr>
              <w:t>Miércoles</w:t>
            </w:r>
            <w:proofErr w:type="gramEnd"/>
            <w:r>
              <w:rPr>
                <w:sz w:val="16"/>
              </w:rPr>
              <w:t xml:space="preserve"> 18 de enero de 2023 Boletín Oficial de la Provincia de Santa Cruz de Tenerife. Número 86, </w:t>
            </w:r>
            <w:proofErr w:type="gramStart"/>
            <w:r>
              <w:rPr>
                <w:sz w:val="16"/>
              </w:rPr>
              <w:t>Lunes</w:t>
            </w:r>
            <w:proofErr w:type="gramEnd"/>
            <w:r>
              <w:rPr>
                <w:sz w:val="16"/>
              </w:rPr>
              <w:t>, 18 de julio de 2022</w:t>
            </w:r>
            <w:r>
              <w:rPr>
                <w:sz w:val="16"/>
              </w:rPr>
              <w:tab/>
              <w:t>13091309</w:t>
            </w:r>
          </w:p>
          <w:p w:rsidR="00254768" w:rsidRDefault="00F4785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76084" cy="11584"/>
                      <wp:effectExtent l="0" t="0" r="0" b="0"/>
                      <wp:docPr id="2939" name="Group 2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6084" cy="11584"/>
                                <a:chOff x="0" y="0"/>
                                <a:chExt cx="5976084" cy="11584"/>
                              </a:xfrm>
                            </wpg:grpSpPr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59760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6084">
                                      <a:moveTo>
                                        <a:pt x="0" y="0"/>
                                      </a:moveTo>
                                      <a:lnTo>
                                        <a:pt x="5976084" y="0"/>
                                      </a:lnTo>
                                    </a:path>
                                  </a:pathLst>
                                </a:custGeom>
                                <a:ln w="1158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9" style="width:470.558pt;height:0.9121pt;mso-position-horizontal-relative:char;mso-position-vertical-relative:line" coordsize="59760,115">
                      <v:shape id="Shape 218" style="position:absolute;width:59760;height:0;left:0;top:0;" coordsize="5976084,0" path="m0,0l5976084,0">
                        <v:stroke weight="0.912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254768" w:rsidRDefault="00F47858">
      <w:pPr>
        <w:ind w:left="-15" w:right="0"/>
      </w:pPr>
      <w:r>
        <w:t>Contra el presente Acuerdo, que pone fin a la v</w:t>
      </w:r>
      <w:r>
        <w:t>ía administrativa, podrá interponerse recurso contencioso-administrativo, ante el Juzgado de lo Contencioso-Administrativo de Santa Cruz de Tenerife que por turno corresponda en el plazo de dos meses, a contar desde el día siguiente al de la publicación de</w:t>
      </w:r>
      <w:r>
        <w:t xml:space="preserve"> este Acuerdo, de conformidad con el artículo 46 de la Ley 29/1998, de 13 de julio, de la Jurisdicción Contencioso-Administrativa.</w:t>
      </w:r>
    </w:p>
    <w:p w:rsidR="00254768" w:rsidRDefault="00F47858">
      <w:pPr>
        <w:ind w:left="-15" w:right="0"/>
      </w:pPr>
      <w:r>
        <w:t xml:space="preserve">Todo lo cual se publica por el Secretario General en virtud de la función de fe pública del artículo </w:t>
      </w:r>
    </w:p>
    <w:tbl>
      <w:tblPr>
        <w:tblStyle w:val="TableGrid"/>
        <w:tblpPr w:vertAnchor="page" w:horzAnchor="page" w:tblpX="500" w:tblpY="15438"/>
        <w:tblOverlap w:val="never"/>
        <w:tblW w:w="10906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 w:rsidR="00254768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254768" w:rsidRDefault="00F47858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Firmado por: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2"/>
              </w:rPr>
              <w:t>Fecha: 18-01-2023 09:04:04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0" w:line="259" w:lineRule="auto"/>
              <w:ind w:left="29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768">
        <w:trPr>
          <w:trHeight w:val="520"/>
        </w:trPr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spacing w:after="51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Código Seguro de Verificación (CSV): 0D147FC76502059651BEDE0389DFDEA8</w:t>
            </w:r>
          </w:p>
          <w:p w:rsidR="00254768" w:rsidRDefault="00F47858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Comprobación CSV:  https://sedeelectronica.candelaria.es//publico/documento/0D147FC76502059651BEDE0389DFDEA8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768" w:rsidRDefault="00254768">
            <w:pPr>
              <w:spacing w:after="160" w:line="259" w:lineRule="auto"/>
              <w:ind w:right="0" w:firstLine="0"/>
              <w:jc w:val="left"/>
            </w:pPr>
          </w:p>
        </w:tc>
      </w:tr>
      <w:tr w:rsidR="00254768">
        <w:trPr>
          <w:trHeight w:val="269"/>
        </w:trPr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68" w:rsidRDefault="00F47858">
            <w:pPr>
              <w:tabs>
                <w:tab w:val="center" w:pos="5177"/>
                <w:tab w:val="right" w:pos="918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z w:val="12"/>
              </w:rPr>
              <w:t>Fecha de sellado electrónico: 18-01-2023 09:04:04</w:t>
            </w:r>
            <w:r>
              <w:rPr>
                <w:rFonts w:ascii="Arial" w:eastAsia="Arial" w:hAnsi="Arial" w:cs="Arial"/>
                <w:color w:val="000000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- 2/2 -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color w:val="000000"/>
                <w:sz w:val="12"/>
              </w:rPr>
              <w:t>Fecha de emisión de esta copia: 23-01-2024 12:16:57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768" w:rsidRDefault="0025476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54768" w:rsidRDefault="00F47858">
      <w:pPr>
        <w:spacing w:after="380"/>
        <w:ind w:left="-15" w:right="0" w:firstLine="0"/>
      </w:pPr>
      <w:r>
        <w:t>3.2 j) del Real Decreto 128/2018, de 16 de marzo, de régimen jurídico de los funcionarios de Administración local con habilitación de carácter nacional.</w:t>
      </w:r>
    </w:p>
    <w:p w:rsidR="00254768" w:rsidRDefault="00F47858">
      <w:pPr>
        <w:spacing w:after="380"/>
        <w:ind w:left="-15" w:right="0"/>
      </w:pPr>
      <w:r>
        <w:t>Villa de Candelaria, a once de enero de dos mil veintitrés.</w:t>
      </w:r>
    </w:p>
    <w:p w:rsidR="00254768" w:rsidRDefault="00F47858">
      <w:pPr>
        <w:ind w:left="-15" w:right="0"/>
      </w:pPr>
      <w:r>
        <w:t>EL SECRETARIO, Octavio Manuel Fernández Her</w:t>
      </w:r>
      <w:r>
        <w:t>nández, documento firmado electrónicamente.</w:t>
      </w:r>
    </w:p>
    <w:sectPr w:rsidR="00254768">
      <w:type w:val="continuous"/>
      <w:pgSz w:w="11906" w:h="16838"/>
      <w:pgMar w:top="1083" w:right="1557" w:bottom="400" w:left="1557" w:header="720" w:footer="720" w:gutter="0"/>
      <w:cols w:num="2" w:space="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467"/>
    <w:multiLevelType w:val="hybridMultilevel"/>
    <w:tmpl w:val="CEEE18E0"/>
    <w:lvl w:ilvl="0" w:tplc="A8122C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2C450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4E4B4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8EA44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1EC122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C9868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09DAC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26DBE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AB748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A7F0B"/>
    <w:multiLevelType w:val="hybridMultilevel"/>
    <w:tmpl w:val="436C09EA"/>
    <w:lvl w:ilvl="0" w:tplc="99F6020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69398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84C76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3E3BA4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48CAC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8705C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A37FA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B2F714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6C854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68"/>
    <w:rsid w:val="00254768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3F75-7987-4A3C-B89E-1690A8AF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6" w:line="217" w:lineRule="auto"/>
      <w:ind w:right="50" w:firstLine="119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2024-01-23T12:24:00Z</dcterms:created>
  <dcterms:modified xsi:type="dcterms:W3CDTF">2024-01-23T12:24:00Z</dcterms:modified>
</cp:coreProperties>
</file>