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F5" w:rsidRDefault="006024CB">
      <w:pPr>
        <w:spacing w:after="390" w:line="265" w:lineRule="auto"/>
        <w:ind w:left="13" w:hanging="10"/>
      </w:pPr>
      <w:bookmarkStart w:id="0" w:name="_GoBack"/>
      <w:bookmarkEnd w:id="0"/>
      <w:r>
        <w:rPr>
          <w:color w:val="181717"/>
          <w:sz w:val="20"/>
        </w:rPr>
        <w:t xml:space="preserve"> 14548</w:t>
      </w:r>
    </w:p>
    <w:p w:rsidR="00D75DF5" w:rsidRDefault="006024CB">
      <w:pPr>
        <w:spacing w:after="3" w:line="259" w:lineRule="auto"/>
        <w:ind w:left="0" w:right="2" w:firstLine="0"/>
        <w:jc w:val="center"/>
      </w:pPr>
      <w:r>
        <w:rPr>
          <w:b/>
          <w:color w:val="181717"/>
          <w:sz w:val="20"/>
        </w:rPr>
        <w:t>A N U N C I O</w:t>
      </w:r>
    </w:p>
    <w:p w:rsidR="00D75DF5" w:rsidRDefault="006024CB">
      <w:pPr>
        <w:pStyle w:val="Ttulo1"/>
        <w:spacing w:after="26" w:line="259" w:lineRule="auto"/>
        <w:ind w:left="8289" w:hanging="8289"/>
        <w:jc w:val="left"/>
      </w:pPr>
      <w:r>
        <w:rPr>
          <w:b/>
        </w:rPr>
        <w:t>64126</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75DF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75DF5" w:rsidRDefault="006024CB">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Fecha: 30-08-2021 07:42:34</w:t>
            </w:r>
          </w:p>
        </w:tc>
        <w:tc>
          <w:tcPr>
            <w:tcW w:w="1600" w:type="dxa"/>
            <w:vMerge w:val="restart"/>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D75DF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spacing w:after="51" w:line="259" w:lineRule="auto"/>
              <w:ind w:left="0" w:firstLine="0"/>
              <w:jc w:val="center"/>
            </w:pPr>
            <w:r>
              <w:rPr>
                <w:rFonts w:ascii="Arial" w:eastAsia="Arial" w:hAnsi="Arial" w:cs="Arial"/>
                <w:sz w:val="12"/>
              </w:rPr>
              <w:lastRenderedPageBreak/>
              <w:t>Código Seguro de Verificación (CSV): C863CD62D20645ADF84ABEACBC02A691</w:t>
            </w:r>
          </w:p>
          <w:p w:rsidR="00D75DF5" w:rsidRDefault="006024CB">
            <w:pPr>
              <w:spacing w:after="0" w:line="259" w:lineRule="auto"/>
              <w:ind w:left="0" w:firstLine="0"/>
              <w:jc w:val="center"/>
            </w:pPr>
            <w:r>
              <w:rPr>
                <w:rFonts w:ascii="Arial" w:eastAsia="Arial" w:hAnsi="Arial" w:cs="Arial"/>
                <w:sz w:val="12"/>
              </w:rPr>
              <w:t>Comprobación CSV:  https://sedeelectronica.candelaria.es//publico/documento/C863CD62D20645ADF84ABEACBC02A691 .</w:t>
            </w:r>
          </w:p>
        </w:tc>
        <w:tc>
          <w:tcPr>
            <w:tcW w:w="0" w:type="auto"/>
            <w:vMerge/>
            <w:tcBorders>
              <w:top w:val="nil"/>
              <w:left w:val="single" w:sz="4" w:space="0" w:color="000000"/>
              <w:bottom w:val="nil"/>
              <w:right w:val="single" w:sz="4" w:space="0" w:color="000000"/>
            </w:tcBorders>
          </w:tcPr>
          <w:p w:rsidR="00D75DF5" w:rsidRDefault="00D75DF5">
            <w:pPr>
              <w:spacing w:after="160" w:line="259" w:lineRule="auto"/>
              <w:ind w:left="0" w:firstLine="0"/>
              <w:jc w:val="left"/>
            </w:pPr>
          </w:p>
        </w:tc>
      </w:tr>
      <w:tr w:rsidR="00D75DF5">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tabs>
                <w:tab w:val="center" w:pos="5177"/>
                <w:tab w:val="right" w:pos="9186"/>
              </w:tabs>
              <w:spacing w:after="0" w:line="259" w:lineRule="auto"/>
              <w:ind w:left="0" w:firstLine="0"/>
              <w:jc w:val="left"/>
            </w:pPr>
            <w:r>
              <w:rPr>
                <w:rFonts w:ascii="Arial" w:eastAsia="Arial" w:hAnsi="Arial" w:cs="Arial"/>
                <w:sz w:val="12"/>
              </w:rPr>
              <w:lastRenderedPageBreak/>
              <w:t xml:space="preserve">Fecha de sellado electrónico: 30-08-2021 07:42:34                </w:t>
            </w:r>
            <w:r>
              <w:rPr>
                <w:rFonts w:ascii="Arial" w:eastAsia="Arial" w:hAnsi="Arial" w:cs="Arial"/>
                <w:sz w:val="12"/>
              </w:rPr>
              <w:tab/>
            </w:r>
            <w:r>
              <w:rPr>
                <w:rFonts w:ascii="Arial" w:eastAsia="Arial" w:hAnsi="Arial" w:cs="Arial"/>
                <w:color w:val="404040"/>
                <w:sz w:val="12"/>
              </w:rPr>
              <w:t>- 1/5 -</w:t>
            </w:r>
            <w:r>
              <w:rPr>
                <w:rFonts w:ascii="Arial" w:eastAsia="Arial" w:hAnsi="Arial" w:cs="Arial"/>
                <w:color w:val="404040"/>
                <w:sz w:val="12"/>
              </w:rPr>
              <w:tab/>
            </w:r>
            <w:r>
              <w:rPr>
                <w:rFonts w:ascii="Arial" w:eastAsia="Arial" w:hAnsi="Arial" w:cs="Arial"/>
                <w:sz w:val="12"/>
              </w:rPr>
              <w:t>Fecha de emisión de esta copia: 23-01-2024 12:46:37</w:t>
            </w:r>
          </w:p>
        </w:tc>
        <w:tc>
          <w:tcPr>
            <w:tcW w:w="0" w:type="auto"/>
            <w:vMerge/>
            <w:tcBorders>
              <w:top w:val="nil"/>
              <w:left w:val="single" w:sz="4" w:space="0" w:color="000000"/>
              <w:bottom w:val="single" w:sz="4" w:space="0" w:color="000000"/>
              <w:right w:val="single" w:sz="4" w:space="0" w:color="000000"/>
            </w:tcBorders>
          </w:tcPr>
          <w:p w:rsidR="00D75DF5" w:rsidRDefault="00D75DF5">
            <w:pPr>
              <w:spacing w:after="160" w:line="259" w:lineRule="auto"/>
              <w:ind w:left="0" w:firstLine="0"/>
              <w:jc w:val="left"/>
            </w:pPr>
          </w:p>
        </w:tc>
      </w:tr>
    </w:tbl>
    <w:p w:rsidR="00D75DF5" w:rsidRDefault="006024CB">
      <w:pPr>
        <w:spacing w:after="1771" w:line="265" w:lineRule="auto"/>
        <w:ind w:left="3" w:firstLine="155"/>
      </w:pPr>
      <w:r>
        <w:rPr>
          <w:color w:val="181717"/>
          <w:sz w:val="20"/>
        </w:rPr>
        <w:t>Aprobado inicialmente en sesión ordinaria de Pleno telemático de este Ayuntamiento, de fecha 25 de junio de 2020, el expediente 3780/2020 propuesta del Concejal delegado de Hacienda del 15 de junio de 2020 al Pleno para la modificación de la Ordenanza Fisc</w:t>
      </w:r>
      <w:r>
        <w:rPr>
          <w:color w:val="181717"/>
          <w:sz w:val="20"/>
        </w:rPr>
        <w:t>al de la tasa por ocupación del dominio público con mesas y sillas, finalizado el periodo de exposición al público y con arreglo a lo previsto en el artículo 169 del Texto Refundido de la Ley Reguladora de Haciendas Locales aprobado por Real Decreto Legisl</w:t>
      </w:r>
      <w:r>
        <w:rPr>
          <w:color w:val="181717"/>
          <w:sz w:val="20"/>
        </w:rPr>
        <w:t>ativo 2/2004, de 5 de marzo, queda definitivamente aprobado al no constar la presentación de reclamaciones al mismo en dicho periodo, con el siguiente detalle:</w:t>
      </w:r>
    </w:p>
    <w:p w:rsidR="00D75DF5" w:rsidRDefault="006024CB">
      <w:pPr>
        <w:spacing w:after="169"/>
        <w:ind w:left="1378" w:right="1319" w:firstLine="424"/>
      </w:pPr>
      <w:r>
        <w:rPr>
          <w:b/>
        </w:rPr>
        <w:t>ORDENANZA FISCAL REGULADORA DE LA TASA POR OCUPACIÓN DE TERRENOS DE USO PÚBLICO CON MESAS Y SILL</w:t>
      </w:r>
      <w:r>
        <w:rPr>
          <w:b/>
        </w:rPr>
        <w:t xml:space="preserve">AS CON FINALIDAD LUCRATIVA E INSTALACIÓN DE QUIOSCOS EN LA VÍA PÚBLICA. </w:t>
      </w:r>
    </w:p>
    <w:p w:rsidR="00D75DF5" w:rsidRDefault="006024CB">
      <w:pPr>
        <w:spacing w:after="137"/>
        <w:ind w:right="1281" w:firstLine="0"/>
      </w:pPr>
      <w:r>
        <w:t>A)</w:t>
      </w:r>
      <w:r>
        <w:rPr>
          <w:rFonts w:ascii="Arial" w:eastAsia="Arial" w:hAnsi="Arial" w:cs="Arial"/>
        </w:rPr>
        <w:t xml:space="preserve"> </w:t>
      </w:r>
      <w:r>
        <w:t xml:space="preserve">Texto del acuerdo, de fecha 25 de junio de 2020, del Ayuntamiento Pleno. </w:t>
      </w:r>
    </w:p>
    <w:p w:rsidR="00D75DF5" w:rsidRDefault="006024CB">
      <w:pPr>
        <w:ind w:left="1363" w:right="1281"/>
      </w:pPr>
      <w:r>
        <w:t>1º.- De conformidad con lo dispuesto en los artículos 15 y 17 del Real Decreto Legislativo por el que se a</w:t>
      </w:r>
      <w:r>
        <w:t xml:space="preserve">prueba el Texto Refundido de la Ley reguladora de las Haciendas Locales, se aprueba la modificación de los siguientes artículos de la Ordenanza reguladora del Impuesto sobre Actividades Económicas, en los siguientes términos. </w:t>
      </w:r>
    </w:p>
    <w:p w:rsidR="00D75DF5" w:rsidRDefault="006024CB">
      <w:pPr>
        <w:spacing w:after="144"/>
        <w:ind w:left="1504" w:right="1281" w:firstLine="0"/>
      </w:pPr>
      <w:r>
        <w:t>Artículo 6. Cuota tributaria.</w:t>
      </w:r>
      <w:r>
        <w:t xml:space="preserve"> </w:t>
      </w:r>
    </w:p>
    <w:p w:rsidR="00D75DF5" w:rsidRDefault="006024CB">
      <w:pPr>
        <w:ind w:left="1363" w:right="1281"/>
      </w:pPr>
      <w:r>
        <w:t xml:space="preserve">1.- La cuota, resultante de la aplicación de una tarifa (euros/metro cuadrado y año), será la siguiente para cada aprovechamiento solicitado o realizado. </w:t>
      </w:r>
    </w:p>
    <w:p w:rsidR="00D75DF5" w:rsidRDefault="006024CB">
      <w:pPr>
        <w:spacing w:after="289"/>
        <w:ind w:left="1503" w:right="1281" w:firstLine="0"/>
      </w:pPr>
      <w:r>
        <w:t xml:space="preserve">2.- Cálculo de la cuota tributaria. Tarifa = Su x Vr. </w:t>
      </w:r>
    </w:p>
    <w:p w:rsidR="00D75DF5" w:rsidRDefault="006024CB">
      <w:pPr>
        <w:ind w:left="1503" w:right="1281" w:firstLine="0"/>
      </w:pPr>
      <w:r>
        <w:t xml:space="preserve">* Valor de referencia para el cálculo de las tarifas </w:t>
      </w:r>
    </w:p>
    <w:p w:rsidR="00D75DF5" w:rsidRDefault="006024CB">
      <w:pPr>
        <w:ind w:left="1363" w:right="1281" w:firstLine="0"/>
      </w:pPr>
      <w:r>
        <w:t xml:space="preserve">= Valor del suelo x Tipo de gravamen. </w:t>
      </w:r>
    </w:p>
    <w:p w:rsidR="00D75DF5" w:rsidRDefault="006024CB">
      <w:pPr>
        <w:spacing w:after="141"/>
        <w:ind w:left="1503" w:right="1281" w:firstLine="0"/>
      </w:pPr>
      <w:r>
        <w:t xml:space="preserve">Su = Superficie utilizada. </w:t>
      </w:r>
    </w:p>
    <w:p w:rsidR="00D75DF5" w:rsidRDefault="006024CB">
      <w:pPr>
        <w:ind w:left="1363" w:right="1281"/>
      </w:pPr>
      <w:r>
        <w:t>Valor del suelo = Valor de Repercusión del suelo, según la ponencia de valores aprobada del año 1999, actualizada con los incrementos r</w:t>
      </w:r>
      <w:r>
        <w:t xml:space="preserve">egulados en las leyes de presupuestos. Para el ejercicio 1999 el valor de referencia queda establecido en 138.83 euros/m2. Anualmente se </w:t>
      </w:r>
    </w:p>
    <w:p w:rsidR="00D75DF5" w:rsidRDefault="006024CB">
      <w:pPr>
        <w:pStyle w:val="Ttulo1"/>
        <w:numPr>
          <w:ilvl w:val="0"/>
          <w:numId w:val="0"/>
        </w:numPr>
        <w:tabs>
          <w:tab w:val="right" w:pos="8792"/>
        </w:tabs>
        <w:jc w:val="left"/>
      </w:pPr>
      <w:r>
        <w:lastRenderedPageBreak/>
        <w:t>Boletín</w:t>
      </w:r>
      <w:r>
        <w:tab/>
        <w:t>Oficial</w:t>
      </w:r>
      <w:r>
        <w:tab/>
        <w:t>de</w:t>
      </w:r>
      <w:r>
        <w:tab/>
        <w:t>la</w:t>
      </w:r>
      <w:r>
        <w:tab/>
        <w:t>Provincia</w:t>
      </w:r>
      <w:r>
        <w:tab/>
        <w:t>de</w:t>
      </w:r>
      <w:r>
        <w:tab/>
        <w:t>Santa</w:t>
      </w:r>
      <w:r>
        <w:tab/>
        <w:t>Cruz</w:t>
      </w:r>
      <w:r>
        <w:tab/>
        <w:t>de</w:t>
      </w:r>
      <w:r>
        <w:tab/>
        <w:t>Tenerife</w:t>
      </w:r>
      <w:r>
        <w:tab/>
        <w:t>núm.</w:t>
      </w:r>
      <w:r>
        <w:tab/>
        <w:t>128,</w:t>
      </w:r>
      <w:r>
        <w:tab/>
        <w:t>viernes</w:t>
      </w:r>
      <w:r>
        <w:tab/>
        <w:t>23</w:t>
      </w:r>
      <w:r>
        <w:tab/>
        <w:t>de</w:t>
      </w:r>
      <w:r>
        <w:tab/>
        <w:t>octubre</w:t>
      </w:r>
      <w:r>
        <w:tab/>
        <w:t>de</w:t>
      </w:r>
      <w:r>
        <w:tab/>
        <w:t>2020</w:t>
      </w:r>
      <w:r>
        <w:tab/>
      </w:r>
      <w:r>
        <w:tab/>
        <w:t>14549</w:t>
      </w:r>
    </w:p>
    <w:p w:rsidR="00D75DF5" w:rsidRDefault="006024CB">
      <w:pPr>
        <w:spacing w:after="64" w:line="259" w:lineRule="auto"/>
        <w:ind w:left="1972" w:firstLine="0"/>
        <w:jc w:val="left"/>
      </w:pPr>
      <w:r>
        <w:rPr>
          <w:rFonts w:ascii="Arial" w:eastAsia="Arial" w:hAnsi="Arial" w:cs="Arial"/>
        </w:rPr>
        <w:t xml:space="preserve">  </w:t>
      </w:r>
    </w:p>
    <w:p w:rsidR="00D75DF5" w:rsidRDefault="006024CB">
      <w:pPr>
        <w:ind w:left="1363" w:right="1281" w:firstLine="0"/>
      </w:pPr>
      <w:r>
        <w:t>actualizar</w:t>
      </w:r>
      <w:r>
        <w:t xml:space="preserve">á según el incremento que fijen las normas estatales para el valor catastral del Impuesto sobre Bienes Inmuebles. </w:t>
      </w:r>
    </w:p>
    <w:p w:rsidR="00D75DF5" w:rsidRDefault="006024CB">
      <w:pPr>
        <w:spacing w:after="144"/>
        <w:ind w:left="1485" w:right="1281" w:firstLine="0"/>
      </w:pPr>
      <w:r>
        <w:t xml:space="preserve">Tipo de gravamen fijado para la tasa = 40%. </w:t>
      </w:r>
    </w:p>
    <w:p w:rsidR="00D75DF5" w:rsidRDefault="006024CB">
      <w:pPr>
        <w:ind w:left="1363" w:right="1281"/>
      </w:pPr>
      <w:r>
        <w:t xml:space="preserve">Cuando el suelo estuviera protegido por parasoles individuales o sombrillas de tarifa inferior, </w:t>
      </w:r>
      <w:r>
        <w:t xml:space="preserve">se incrementará aplicando un recargo de 15%; por el contrario si estuviera protegido por otras cubiertas, se incrementará un 30%. </w:t>
      </w:r>
    </w:p>
    <w:p w:rsidR="00D75DF5" w:rsidRDefault="006024CB">
      <w:pPr>
        <w:numPr>
          <w:ilvl w:val="0"/>
          <w:numId w:val="1"/>
        </w:numPr>
        <w:spacing w:after="142"/>
        <w:ind w:right="1281"/>
      </w:pPr>
      <w:r>
        <w:t>Las cantidades exigibles con arreglo a la Tarifa se liquidarán por cada aprovechamiento solicitado o realizado y por semestre</w:t>
      </w:r>
      <w:r>
        <w:t xml:space="preserve">s naturales y serán prorrateadas cuando los períodos de utilización sean inferiores al año. </w:t>
      </w:r>
    </w:p>
    <w:p w:rsidR="00D75DF5" w:rsidRDefault="006024CB">
      <w:pPr>
        <w:ind w:left="1363" w:right="1281"/>
      </w:pPr>
      <w:r>
        <w:t xml:space="preserve">Si el número de metros cuadrados del aprovechamiento no es entero, se redondeará por exceso para obtener la superficie ocupada. </w:t>
      </w:r>
    </w:p>
    <w:p w:rsidR="00D75DF5" w:rsidRDefault="006024CB">
      <w:pPr>
        <w:numPr>
          <w:ilvl w:val="0"/>
          <w:numId w:val="1"/>
        </w:numPr>
        <w:ind w:right="1281"/>
      </w:pPr>
      <w:r>
        <w:t xml:space="preserve">En todo caso, y por cualquier liquidación por ocupación se cobrará una cantidad mínima de 72,12 euros. </w:t>
      </w:r>
    </w:p>
    <w:p w:rsidR="00D75DF5" w:rsidRDefault="006024CB">
      <w:pPr>
        <w:numPr>
          <w:ilvl w:val="0"/>
          <w:numId w:val="2"/>
        </w:numPr>
        <w:ind w:right="1281"/>
      </w:pPr>
      <w:r>
        <w:t xml:space="preserve">Cuando existieran elementos separadores que hicieran del aprovechamiento del suelo uso privativo (uso común especial) estas tarifas se incrementarán en </w:t>
      </w:r>
      <w:r>
        <w:t xml:space="preserve">un 75%. </w:t>
      </w:r>
    </w:p>
    <w:p w:rsidR="00D75DF5" w:rsidRDefault="006024CB">
      <w:pPr>
        <w:numPr>
          <w:ilvl w:val="0"/>
          <w:numId w:val="2"/>
        </w:numPr>
        <w:ind w:right="1281"/>
      </w:pPr>
      <w:r>
        <w:t>En aquellos casos en que la utilización privativa o el aprovechamiento especial se realice por Empresas explotadoras de servicios de suministros que afecten a la generalidad o a una parte importante del vecindario, el importe de la presente tasa s</w:t>
      </w:r>
      <w:r>
        <w:t>e considerará incluido dentro de la compensación del 1.5 por 100 de los ingresos brutos que obtengan anualmente en el término municipal dichas empresas, en virtud de lo establecido por el artículo 24.1 del Tex- to Refundido regulador de la Ley de las Hacie</w:t>
      </w:r>
      <w:r>
        <w:t xml:space="preserve">ndas Locales. </w:t>
      </w:r>
    </w:p>
    <w:p w:rsidR="00D75DF5" w:rsidRDefault="006024CB">
      <w:pPr>
        <w:spacing w:after="141"/>
        <w:ind w:left="1474" w:right="1281" w:firstLine="0"/>
      </w:pPr>
      <w:r>
        <w:t xml:space="preserve">Artículo 8. Normas de gestión. </w:t>
      </w:r>
    </w:p>
    <w:p w:rsidR="00D75DF5" w:rsidRDefault="006024CB">
      <w:pPr>
        <w:spacing w:after="142"/>
        <w:ind w:left="1363" w:right="1281"/>
      </w:pPr>
      <w:r>
        <w:t xml:space="preserve">1. La presente tasa se devenga cuando se inicie el uso privativo o </w:t>
      </w:r>
      <w:r>
        <w:t xml:space="preserve">el aprovechamiento especial del dominio público local que determina su hecho imponible. No obstante, en caso de aprovechamientos ya autorizados o prorrogados, el devengo de la tasa se produce el día primero de cada año natural. </w:t>
      </w:r>
    </w:p>
    <w:p w:rsidR="00D75DF5" w:rsidRDefault="006024CB">
      <w:pPr>
        <w:spacing w:after="142"/>
        <w:ind w:left="1363" w:right="1281"/>
      </w:pPr>
      <w:r>
        <w:t>2º.- El presente acuerdo de</w:t>
      </w:r>
      <w:r>
        <w:t xml:space="preserve"> aprobación provisional, así como Texto Refundido de la Ordenanza Fiscal anexa al mismo, se expondrán a público durante un plazo de 30 días, de conformidad con lo previsto en el artículo 17 del Texto Refundido de la Ley reguladora de la Ley de Haciendas Lo</w:t>
      </w:r>
      <w:r>
        <w:t xml:space="preserve">cales. </w:t>
      </w:r>
    </w:p>
    <w:p w:rsidR="00D75DF5" w:rsidRDefault="006024CB">
      <w:pPr>
        <w:spacing w:after="142"/>
        <w:ind w:left="1363" w:right="1281"/>
      </w:pPr>
      <w:r>
        <w:t>3º.- Hacer constar expresamente que, terminado el plazo de exposición sin haberse presentado reclamaciones, se entienda automáticamente elevado a definitivo el presente acuerdo provisional, de conformidad con lo establecido en el artículo 17.3 de T</w:t>
      </w:r>
      <w:r>
        <w:t xml:space="preserve">exto Refundido de la Ley reguladora de la Ley de Haciendas Locales. </w:t>
      </w:r>
    </w:p>
    <w:p w:rsidR="00D75DF5" w:rsidRDefault="006024CB">
      <w:pPr>
        <w:spacing w:after="142"/>
        <w:ind w:left="1363" w:right="1281"/>
      </w:pPr>
      <w:r>
        <w:t>4º.- De aprobarse definitivamente la modificación, esta entrará en vigor al día siguiente de su publicación integra en el Boletín Oficial de la Provincia, y tendrá aplicación desde el PRI</w:t>
      </w:r>
      <w:r>
        <w:t>MERO de enero de 2021, permaneciendo en vigor mientras no se acuerde su modificación o derogación expresa. El Texto Refundido de la Ordenanza reguladora del Impuesto sobre Actividades Económicas, una vez efectuadas las modificaciones, y actualizada la legi</w:t>
      </w:r>
      <w:r>
        <w:t>slación de aplicación con motivo de la publicación del Real Decreto Legislativo 2/2004, de 5 de marzo, por el que se aprueba el Texto Refundido de la Ley reguladora de las Haciendas Locales, y Ley 58/2003, de 17 de diciembre, General Tributaria, queda reda</w:t>
      </w:r>
      <w:r>
        <w:t xml:space="preserve">ctado en los términos del texto anexo incorporado al expediente. </w:t>
      </w:r>
    </w:p>
    <w:p w:rsidR="00D75DF5" w:rsidRDefault="006024CB">
      <w:pPr>
        <w:spacing w:after="0" w:line="457" w:lineRule="auto"/>
        <w:ind w:left="1474" w:right="2469" w:firstLine="0"/>
      </w:pPr>
      <w:r>
        <w:t xml:space="preserve">5º.- Facultar ampliamente a la Alcaldía para la ejecución de este acuerdo. </w:t>
      </w:r>
      <w:r>
        <w:t>B)</w:t>
      </w:r>
      <w:r>
        <w:rPr>
          <w:rFonts w:ascii="Arial" w:eastAsia="Arial" w:hAnsi="Arial" w:cs="Arial"/>
        </w:rPr>
        <w:t xml:space="preserve"> </w:t>
      </w:r>
      <w:r>
        <w:t xml:space="preserve">Texto de la Ordenanza. </w:t>
      </w:r>
    </w:p>
    <w:p w:rsidR="00D75DF5" w:rsidRDefault="006024CB">
      <w:pPr>
        <w:ind w:left="1363" w:right="1281"/>
      </w:pPr>
      <w:r>
        <w:t>Ordenanza Fiscal reguladora de la Tasa por Ocupación de Terrenos de Uso Público con Mesa</w:t>
      </w:r>
      <w:r>
        <w:t xml:space="preserve">s y Sillas con Finalidad Lucrativa e Instalación de Quioscos en la Vía Pública. </w:t>
      </w:r>
    </w:p>
    <w:p w:rsidR="00D75DF5" w:rsidRDefault="006024CB">
      <w:pPr>
        <w:pStyle w:val="Ttulo2"/>
        <w:ind w:left="13"/>
      </w:pPr>
      <w:r>
        <w:t xml:space="preserve"> 14550</w:t>
      </w:r>
    </w:p>
    <w:p w:rsidR="00D75DF5" w:rsidRDefault="006024CB">
      <w:pPr>
        <w:spacing w:after="85" w:line="259" w:lineRule="auto"/>
        <w:ind w:left="1972" w:firstLine="0"/>
        <w:jc w:val="left"/>
      </w:pPr>
      <w:r>
        <w:rPr>
          <w:rFonts w:ascii="Arial" w:eastAsia="Arial" w:hAnsi="Arial" w:cs="Arial"/>
        </w:rPr>
        <w:t xml:space="preserve">  </w:t>
      </w:r>
    </w:p>
    <w:p w:rsidR="00D75DF5" w:rsidRDefault="006024CB">
      <w:pPr>
        <w:spacing w:after="144"/>
        <w:ind w:left="1475" w:right="1281" w:firstLine="0"/>
      </w:pPr>
      <w:r>
        <w:t xml:space="preserve">Artículo 1. Fundamento y naturaleza. </w:t>
      </w:r>
    </w:p>
    <w:p w:rsidR="00D75DF5" w:rsidRDefault="006024CB">
      <w:pPr>
        <w:ind w:left="1363" w:right="1351"/>
      </w:pPr>
      <w:r>
        <w:t>El Ilustre Ayuntamiento de la Villa de Candelaria, conforme a lo autorizado por el artículo 106 de la Ley 7/1985, de 2 de abril</w:t>
      </w:r>
      <w:r>
        <w:t>, reguladora de las Bases del Régimen Local y de acuerdo con lo previsto en el artículo 20.3.m) del Real Decreto Legislativo, de 5 de marzo, por el que se aprueba el Texto Refundido de la Ley reguladora de las Haciendas Locales, establece la Tasa por ocupa</w:t>
      </w:r>
      <w:r>
        <w:t xml:space="preserve">ción de terrenos de uso público con mesas y sillas con finalidad lucrativa e instalación de quioscos en la vía pública”, que se regulará por la presente Ordenanza, redactada conforme a lo dispuesto en el artículo 16 del citado Texto Refundido. </w:t>
      </w:r>
    </w:p>
    <w:p w:rsidR="00D75DF5" w:rsidRDefault="006024CB">
      <w:pPr>
        <w:spacing w:after="141"/>
        <w:ind w:left="1474" w:right="1281" w:firstLine="0"/>
      </w:pPr>
      <w:r>
        <w:t>Artículo 2.</w:t>
      </w:r>
      <w:r>
        <w:t xml:space="preserve"> Hecho imponible. </w:t>
      </w:r>
    </w:p>
    <w:p w:rsidR="00D75DF5" w:rsidRDefault="006024CB">
      <w:pPr>
        <w:ind w:left="1363" w:right="1352"/>
      </w:pPr>
      <w:r>
        <w:t>Constituye el hecho imponible de la tasa la utilización privativa o aprovechamiento especial del dominio público local como consecuencia de la ocupación de terrenos de uso público con mesas, sillas, tribunas, tablados y otros elementos a</w:t>
      </w:r>
      <w:r>
        <w:t xml:space="preserve">nálogos, con finalidad lucrativa y por la instalación de quioscos en la vía pública. </w:t>
      </w:r>
    </w:p>
    <w:p w:rsidR="00D75DF5" w:rsidRDefault="006024CB">
      <w:pPr>
        <w:ind w:left="1474" w:right="1281" w:firstLine="0"/>
      </w:pPr>
      <w:r>
        <w:t xml:space="preserve">Artículo 3. Sujetos Pasivos. </w:t>
      </w:r>
    </w:p>
    <w:p w:rsidR="00D75DF5" w:rsidRDefault="006024CB">
      <w:pPr>
        <w:numPr>
          <w:ilvl w:val="0"/>
          <w:numId w:val="3"/>
        </w:numPr>
        <w:ind w:right="1316"/>
      </w:pPr>
      <w:r>
        <w:t>Son sujetos pasivos de la tasa, en concepto de contribuyentes, las personas físicas y jurídicas, y entidades a que se refiere el artículo 35 de la Ley General Tributaria, que disfruten, utilicen o aprovechen especialmente el dominio público local en benefi</w:t>
      </w:r>
      <w:r>
        <w:t xml:space="preserve">cio particular. </w:t>
      </w:r>
    </w:p>
    <w:p w:rsidR="00D75DF5" w:rsidRDefault="006024CB">
      <w:pPr>
        <w:numPr>
          <w:ilvl w:val="0"/>
          <w:numId w:val="3"/>
        </w:numPr>
        <w:ind w:right="1316"/>
      </w:pPr>
      <w:r>
        <w:t xml:space="preserve">Tendrán la condición de sustitutos del contribuyente quienes soliciten las correspondientes licencias, si no fueran los propios contribuyentes. </w:t>
      </w:r>
    </w:p>
    <w:p w:rsidR="00D75DF5" w:rsidRDefault="006024CB">
      <w:pPr>
        <w:spacing w:after="144"/>
        <w:ind w:left="1474" w:right="1281" w:firstLine="0"/>
      </w:pPr>
      <w:r>
        <w:t xml:space="preserve">Artículo 4. Base imponible y liquidable. </w:t>
      </w:r>
    </w:p>
    <w:p w:rsidR="00D75DF5" w:rsidRDefault="006024CB">
      <w:pPr>
        <w:ind w:left="1363" w:right="1281"/>
      </w:pPr>
      <w:r>
        <w:t>Se tomará como base de la tasa los metros cuadrados,</w:t>
      </w:r>
      <w:r>
        <w:t xml:space="preserve"> incluyendo fracción en centímetros, de la utilización privativa o del aprovechamiento especial del dominio público. </w:t>
      </w:r>
    </w:p>
    <w:p w:rsidR="00D75DF5" w:rsidRDefault="006024CB">
      <w:pPr>
        <w:ind w:left="1474" w:right="1281" w:firstLine="0"/>
      </w:pPr>
      <w:r>
        <w:t xml:space="preserve">Artículo 5. Responsables. </w:t>
      </w:r>
    </w:p>
    <w:p w:rsidR="00D75DF5" w:rsidRDefault="006024CB">
      <w:pPr>
        <w:numPr>
          <w:ilvl w:val="0"/>
          <w:numId w:val="4"/>
        </w:numPr>
        <w:ind w:right="1281"/>
      </w:pPr>
      <w:r>
        <w:t>Son sujetos pasivos de la Tasa, en concepto de contribuyentes, las personas físicas o jurídicas, así como las e</w:t>
      </w:r>
      <w:r>
        <w:t>ntidades a que se refiere el artículo 35 de la Ley General Tributaria que disfruten, utilicen o aprovechen especialmente el dominio público local en beneficio particular, independientemente de que se haya obtenido la correspondiente licencia o autorización</w:t>
      </w:r>
      <w:r>
        <w:t xml:space="preserve">. </w:t>
      </w:r>
    </w:p>
    <w:p w:rsidR="00D75DF5" w:rsidRDefault="006024CB">
      <w:pPr>
        <w:numPr>
          <w:ilvl w:val="0"/>
          <w:numId w:val="4"/>
        </w:numPr>
        <w:ind w:right="1281"/>
      </w:pPr>
      <w:r>
        <w:t xml:space="preserve">Tendrán la condición de sustitutos del contribuyente quienes soliciten las correspondientes licencias, si no fueran los propios contribuyentes. </w:t>
      </w:r>
    </w:p>
    <w:p w:rsidR="00D75DF5" w:rsidRDefault="006024CB">
      <w:pPr>
        <w:spacing w:after="144"/>
        <w:ind w:left="1484" w:right="1281" w:firstLine="0"/>
      </w:pPr>
      <w:r>
        <w:t xml:space="preserve">Artículo 6. Cuota tributaria. </w:t>
      </w:r>
    </w:p>
    <w:p w:rsidR="00D75DF5" w:rsidRDefault="006024CB">
      <w:pPr>
        <w:ind w:left="1363" w:right="1281"/>
      </w:pPr>
      <w:r>
        <w:t>1.- La cuota, resultante de la aplicación de una tarifa (euros/metro cuadrado</w:t>
      </w:r>
      <w:r>
        <w:t xml:space="preserve"> y año), será la siguiente para cada aprovechamiento solicitado o realizado. </w:t>
      </w:r>
    </w:p>
    <w:p w:rsidR="00D75DF5" w:rsidRDefault="006024CB">
      <w:pPr>
        <w:ind w:left="1482" w:right="1281" w:firstLine="0"/>
      </w:pPr>
      <w:r>
        <w:t xml:space="preserve">2.- Cálculo de la cuota tributaria. Tarifa = Su x Vr. </w:t>
      </w:r>
    </w:p>
    <w:p w:rsidR="00D75DF5" w:rsidRDefault="006024CB">
      <w:pPr>
        <w:ind w:left="1484" w:right="1281" w:firstLine="0"/>
      </w:pPr>
      <w:r>
        <w:t xml:space="preserve">* Valor de referencia para el cálculo de las tarifas </w:t>
      </w:r>
    </w:p>
    <w:p w:rsidR="00D75DF5" w:rsidRDefault="006024CB">
      <w:pPr>
        <w:ind w:left="1363" w:right="1281" w:firstLine="0"/>
      </w:pPr>
      <w:r>
        <w:t xml:space="preserve">= Valor del suelo x Tipo de gravamen. </w:t>
      </w:r>
    </w:p>
    <w:p w:rsidR="00D75DF5" w:rsidRDefault="006024CB">
      <w:pPr>
        <w:ind w:left="1484" w:right="1281" w:firstLine="0"/>
      </w:pPr>
      <w:r>
        <w:t xml:space="preserve">Su = Superficie utilizada. </w:t>
      </w:r>
    </w:p>
    <w:p w:rsidR="00D75DF5" w:rsidRDefault="006024CB">
      <w:pPr>
        <w:ind w:left="1363" w:right="1281"/>
      </w:pPr>
      <w:r>
        <w:t>Va</w:t>
      </w:r>
      <w:r>
        <w:t xml:space="preserve">lor del suelo = Valor de Repercusión del suelo, según la ponencia de valores aprobada del año 1999, actualizada con los incrementos regulados en las Leyes de Presupuestos. Para el ejercicio 1999 el valor de referencia queda establecido en 138.83 euros/m2. </w:t>
      </w:r>
      <w:r>
        <w:t xml:space="preserve">Anualmente se actualizará según el incremento que fijen las normas estatales para el valor catastral del Impuesto sobre Bienes Inmuebles. </w:t>
      </w:r>
    </w:p>
    <w:p w:rsidR="00D75DF5" w:rsidRDefault="006024CB">
      <w:pPr>
        <w:pStyle w:val="Ttulo1"/>
        <w:numPr>
          <w:ilvl w:val="0"/>
          <w:numId w:val="0"/>
        </w:numPr>
        <w:tabs>
          <w:tab w:val="right" w:pos="8792"/>
        </w:tabs>
        <w:jc w:val="left"/>
      </w:pPr>
      <w:r>
        <w:t>Boletín</w:t>
      </w:r>
      <w:r>
        <w:tab/>
        <w:t>Oficial</w:t>
      </w:r>
      <w:r>
        <w:tab/>
        <w:t>de</w:t>
      </w:r>
      <w:r>
        <w:tab/>
        <w:t>la</w:t>
      </w:r>
      <w:r>
        <w:tab/>
        <w:t>Provincia</w:t>
      </w:r>
      <w:r>
        <w:tab/>
        <w:t>de</w:t>
      </w:r>
      <w:r>
        <w:tab/>
        <w:t>Santa</w:t>
      </w:r>
      <w:r>
        <w:tab/>
        <w:t>Cruz</w:t>
      </w:r>
      <w:r>
        <w:tab/>
        <w:t>de</w:t>
      </w:r>
      <w:r>
        <w:tab/>
        <w:t>Tenerife</w:t>
      </w:r>
      <w:r>
        <w:tab/>
        <w:t>núm.</w:t>
      </w:r>
      <w:r>
        <w:tab/>
        <w:t>128,</w:t>
      </w:r>
      <w:r>
        <w:tab/>
        <w:t>viernes</w:t>
      </w:r>
      <w:r>
        <w:tab/>
        <w:t>23</w:t>
      </w:r>
      <w:r>
        <w:tab/>
        <w:t>de</w:t>
      </w:r>
      <w:r>
        <w:tab/>
        <w:t>octubre</w:t>
      </w:r>
      <w:r>
        <w:tab/>
        <w:t>de</w:t>
      </w:r>
      <w:r>
        <w:tab/>
        <w:t>2020</w:t>
      </w:r>
      <w:r>
        <w:tab/>
      </w:r>
      <w:r>
        <w:tab/>
        <w:t>14551</w:t>
      </w:r>
    </w:p>
    <w:p w:rsidR="00D75DF5" w:rsidRDefault="006024CB">
      <w:pPr>
        <w:spacing w:after="85" w:line="259" w:lineRule="auto"/>
        <w:ind w:left="1972" w:firstLine="0"/>
        <w:jc w:val="left"/>
      </w:pPr>
      <w:r>
        <w:rPr>
          <w:rFonts w:ascii="Arial" w:eastAsia="Arial" w:hAnsi="Arial" w:cs="Arial"/>
        </w:rPr>
        <w:t xml:space="preserve">  </w:t>
      </w:r>
    </w:p>
    <w:p w:rsidR="00D75DF5" w:rsidRDefault="006024CB">
      <w:pPr>
        <w:spacing w:after="144"/>
        <w:ind w:left="1485" w:right="1281" w:firstLine="0"/>
      </w:pPr>
      <w:r>
        <w:t xml:space="preserve">Tipo de gravamen fijado para la tasa = 40%. </w:t>
      </w:r>
    </w:p>
    <w:p w:rsidR="00D75DF5" w:rsidRDefault="006024CB">
      <w:pPr>
        <w:spacing w:after="142"/>
        <w:ind w:left="1363" w:right="1281"/>
      </w:pPr>
      <w:r>
        <w:t>Cuando el suelo estuviera protegido por parasoles individuales o sombrillas de tarifa inferior, se incrementará aplicando un recargo de 15%; por el contrario si estuviera protegido por otras cubiertas, se increm</w:t>
      </w:r>
      <w:r>
        <w:t xml:space="preserve">entará un 30%. </w:t>
      </w:r>
    </w:p>
    <w:p w:rsidR="00D75DF5" w:rsidRDefault="006024CB">
      <w:pPr>
        <w:spacing w:after="142"/>
        <w:ind w:left="1363" w:right="1281"/>
      </w:pPr>
      <w:r>
        <w:t xml:space="preserve">3.- Las cantidades exigibles con arreglo a la Tarifa, se liquidarán por cada aprovechamiento solicitado o realizado, y por semestres naturales, y serán prorrateadas cuando los períodos de utilización sean inferiores al año. </w:t>
      </w:r>
    </w:p>
    <w:p w:rsidR="00D75DF5" w:rsidRDefault="006024CB">
      <w:pPr>
        <w:spacing w:after="142"/>
        <w:ind w:left="1363" w:right="1281"/>
      </w:pPr>
      <w:r>
        <w:t>Si el numero de</w:t>
      </w:r>
      <w:r>
        <w:t xml:space="preserve"> metros cuadrados del aprovechamiento no es entero, se redondeará por exceso para obtener la superficie ocupada. </w:t>
      </w:r>
    </w:p>
    <w:p w:rsidR="00D75DF5" w:rsidRDefault="006024CB">
      <w:pPr>
        <w:spacing w:after="142"/>
        <w:ind w:left="1363" w:right="1281"/>
      </w:pPr>
      <w:r>
        <w:t xml:space="preserve">4.- En todo caso, y por cualquier liquidación por ocupación se cobrará una cantidad mínima de 72,12 euros. </w:t>
      </w:r>
    </w:p>
    <w:p w:rsidR="00D75DF5" w:rsidRDefault="006024CB">
      <w:pPr>
        <w:ind w:left="1363" w:right="1281"/>
      </w:pPr>
      <w:r>
        <w:t>5.- Para la determinación de la su</w:t>
      </w:r>
      <w:r>
        <w:t xml:space="preserve">perficie computable a efectos de aplicación de la tarifa en los quioscos, además de la superficie ocupada estrictamente por el quiosco, se tendrá en cuenta la superficie anexa utilizada para la exposición de artículos y productos complementarios. </w:t>
      </w:r>
    </w:p>
    <w:p w:rsidR="00D75DF5" w:rsidRDefault="006024CB">
      <w:pPr>
        <w:numPr>
          <w:ilvl w:val="0"/>
          <w:numId w:val="5"/>
        </w:numPr>
        <w:ind w:right="1281"/>
      </w:pPr>
      <w:r>
        <w:t>Cuando e</w:t>
      </w:r>
      <w:r>
        <w:t xml:space="preserve">xistieran elementos separadores que hicieran del aprovechamiento del suelo uso privativo (uso común especial) estas tarifas se incrementarán en un 75%. </w:t>
      </w:r>
    </w:p>
    <w:p w:rsidR="00D75DF5" w:rsidRDefault="006024CB">
      <w:pPr>
        <w:numPr>
          <w:ilvl w:val="0"/>
          <w:numId w:val="5"/>
        </w:numPr>
        <w:ind w:right="1281"/>
      </w:pPr>
      <w:r>
        <w:t>En aquellos casos en que la utilización privativa o el aprovechamiento especial, se realice por empresa</w:t>
      </w:r>
      <w:r>
        <w:t>s explotadoras de servicios de suministros, que afecten a la generalidad o a una parte importante del vecindario, el importe de la presente tasa se considerará incluido dentro de la compensación del 1.5 por 100 de los ingresos brutos que obtengan anualment</w:t>
      </w:r>
      <w:r>
        <w:t xml:space="preserve">e en el término municipal dichas empresas, en virtud de lo establecido por el artículo 24.1 del Tex- to Refundido de la Ley reguladora de las Haciendas Locales. </w:t>
      </w:r>
    </w:p>
    <w:p w:rsidR="00D75DF5" w:rsidRDefault="006024CB">
      <w:pPr>
        <w:spacing w:after="144"/>
        <w:ind w:left="1486" w:right="1281" w:firstLine="0"/>
      </w:pPr>
      <w:r>
        <w:t xml:space="preserve">Artículo 7. Exenciones y bonificaciones. </w:t>
      </w:r>
    </w:p>
    <w:p w:rsidR="00D75DF5" w:rsidRDefault="006024CB">
      <w:pPr>
        <w:ind w:left="1486" w:right="1281" w:firstLine="0"/>
      </w:pPr>
      <w:r>
        <w:t>No se concederá exención o bonificación alguna en el</w:t>
      </w:r>
      <w:r>
        <w:t xml:space="preserve"> pago de la tasa. </w:t>
      </w:r>
    </w:p>
    <w:p w:rsidR="00D75DF5" w:rsidRDefault="006024CB">
      <w:pPr>
        <w:ind w:left="1486" w:right="1281" w:firstLine="0"/>
      </w:pPr>
      <w:r>
        <w:t xml:space="preserve">Artículo 8. Normas de gestión. </w:t>
      </w:r>
    </w:p>
    <w:p w:rsidR="00D75DF5" w:rsidRDefault="006024CB">
      <w:pPr>
        <w:numPr>
          <w:ilvl w:val="0"/>
          <w:numId w:val="6"/>
        </w:numPr>
        <w:ind w:right="1281"/>
      </w:pPr>
      <w:r>
        <w:t xml:space="preserve">La presente tasa se devenga cuando se inicie el uso privativo o el aprovechamiento especial del dominio público local que determina su hecho imponible. No obstante, en caso de aprovechamientos ya autorizados o prorrogados, el devengo de la tasa se produce </w:t>
      </w:r>
      <w:r>
        <w:t xml:space="preserve">el día primero de cada año natural. </w:t>
      </w:r>
    </w:p>
    <w:p w:rsidR="00D75DF5" w:rsidRDefault="006024CB">
      <w:pPr>
        <w:numPr>
          <w:ilvl w:val="0"/>
          <w:numId w:val="6"/>
        </w:numPr>
        <w:ind w:right="1281"/>
      </w:pPr>
      <w:r>
        <w:t>Toda persona o entidad que pretenda beneficiarse directamente de cualesquiera de los aprovechamientos sujetos a gravamen con arreglo a la precedente tarifa de esta Ordenanza, deberá solicitar del Ayuntamiento la oportun</w:t>
      </w:r>
      <w:r>
        <w:t xml:space="preserve">a licencia o permiso. </w:t>
      </w:r>
    </w:p>
    <w:p w:rsidR="00D75DF5" w:rsidRDefault="006024CB">
      <w:pPr>
        <w:numPr>
          <w:ilvl w:val="0"/>
          <w:numId w:val="6"/>
        </w:numPr>
        <w:ind w:right="1281"/>
      </w:pPr>
      <w:r>
        <w:t xml:space="preserve">Las licencias se entenderán caducadas sin excusa ni pretexto alguno en la fecha señalada para su terminación. </w:t>
      </w:r>
    </w:p>
    <w:p w:rsidR="00D75DF5" w:rsidRDefault="006024CB">
      <w:pPr>
        <w:numPr>
          <w:ilvl w:val="0"/>
          <w:numId w:val="6"/>
        </w:numPr>
        <w:ind w:right="1281"/>
      </w:pPr>
      <w:r>
        <w:t xml:space="preserve">Los solicitantes deberán acompañar a su escrito de solicitud plano detallado de la superficie de aprovechamiento, período de solicitud, elementos a instalar, así como de la superficie que se pretende ocupar y su situación en el municipio. </w:t>
      </w:r>
    </w:p>
    <w:p w:rsidR="00D75DF5" w:rsidRDefault="006024CB">
      <w:pPr>
        <w:numPr>
          <w:ilvl w:val="0"/>
          <w:numId w:val="6"/>
        </w:numPr>
        <w:spacing w:after="142"/>
        <w:ind w:right="1281"/>
      </w:pPr>
      <w:r>
        <w:t>De conformidad c</w:t>
      </w:r>
      <w:r>
        <w:t xml:space="preserve">on lo previsto en el artículo 26.1.a) del Texto Refundido regulador de la Ley de las Haciendas Locales, toda solicitud de licencia para que pueda ser admitida a trámite, deberá acompañarse de un justificante del depósito previo de la presente tasa. </w:t>
      </w:r>
    </w:p>
    <w:p w:rsidR="00D75DF5" w:rsidRDefault="006024CB">
      <w:pPr>
        <w:spacing w:after="138"/>
        <w:ind w:left="1363" w:right="1281"/>
      </w:pPr>
      <w:r>
        <w:t>La liq</w:t>
      </w:r>
      <w:r>
        <w:t>uidación del depósito previo se practicará teniendo en cuenta los datos formulados por el interesado, y el mismo no causará derecho alguno, no facultando para realizar la utilización o aprovechamiento solicitado, que sólo podrán llevarse a cabo cuando se o</w:t>
      </w:r>
      <w:r>
        <w:t xml:space="preserve">btenga la correspondiente licencia. </w:t>
      </w:r>
    </w:p>
    <w:p w:rsidR="00D75DF5" w:rsidRDefault="006024CB">
      <w:pPr>
        <w:spacing w:after="0" w:line="259" w:lineRule="auto"/>
        <w:ind w:left="1484" w:firstLine="0"/>
        <w:jc w:val="left"/>
      </w:pPr>
      <w:r>
        <w:t xml:space="preserve"> </w:t>
      </w:r>
    </w:p>
    <w:p w:rsidR="00D75DF5" w:rsidRDefault="006024CB">
      <w:pPr>
        <w:pStyle w:val="Ttulo2"/>
        <w:ind w:left="13"/>
      </w:pPr>
      <w:r>
        <w:t xml:space="preserve"> 14552</w:t>
      </w:r>
    </w:p>
    <w:p w:rsidR="00D75DF5" w:rsidRDefault="006024CB">
      <w:pPr>
        <w:spacing w:after="64" w:line="259" w:lineRule="auto"/>
        <w:ind w:left="1990" w:firstLine="0"/>
        <w:jc w:val="left"/>
      </w:pPr>
      <w:r>
        <w:rPr>
          <w:rFonts w:ascii="Arial" w:eastAsia="Arial" w:hAnsi="Arial" w:cs="Arial"/>
        </w:rPr>
        <w:t xml:space="preserve">  </w:t>
      </w:r>
    </w:p>
    <w:p w:rsidR="00D75DF5" w:rsidRDefault="006024CB">
      <w:pPr>
        <w:spacing w:after="142"/>
        <w:ind w:left="1363" w:right="1281"/>
      </w:pPr>
      <w:r>
        <w:t>La liquidación practicada conforme a las normas anteriores, se elevará a definitiva una vez que recaiga resolución sobre la concesión de la licencia, y si esta fuera denegada, el interesado podrá instar la d</w:t>
      </w:r>
      <w:r>
        <w:t xml:space="preserve">evolución de los derechos pagados, siempre que la utilización privativa o el aprovechamiento especial no se hubiese realizado. </w:t>
      </w:r>
    </w:p>
    <w:p w:rsidR="00D75DF5" w:rsidRDefault="006024CB">
      <w:pPr>
        <w:ind w:left="1363" w:right="1281"/>
      </w:pPr>
      <w:r>
        <w:t>Asimismo, el interesado podrá instar la devolución de los derechos pagados en los casos en que, no habiéndose realizado la utili</w:t>
      </w:r>
      <w:r>
        <w:t>zación privativa o el aprovechamiento especial, se renuncie o desista de este. En estos casos, si la renuncia o desistimiento se produce con posterioridad a la concesión de la licencia, no procederá la devolución de la parte de la tasa correspondiente a la</w:t>
      </w:r>
      <w:r>
        <w:t xml:space="preserve"> concesión o tramitación de ésta. </w:t>
      </w:r>
    </w:p>
    <w:p w:rsidR="00D75DF5" w:rsidRDefault="006024CB">
      <w:pPr>
        <w:numPr>
          <w:ilvl w:val="0"/>
          <w:numId w:val="7"/>
        </w:numPr>
        <w:ind w:right="1133" w:hanging="175"/>
        <w:jc w:val="left"/>
      </w:pPr>
      <w:r>
        <w:t>Salvo en los denominados aprovechamientos por temporadas, una vez autorizada la ocupación, se entenderá prorrogada mientras no se acuerde su caducidad por el órgano local competente o se presente baja justificada por el i</w:t>
      </w:r>
      <w:r>
        <w:t>nteresado. La presentación de la baja surtirá efectos a partir del día primero del período natural de tiempo siguiente señalado en el epígrafe de la tarifa que corresponde. Sea cual sea la causa que se alegue en contrario, la no presentación de la baja det</w:t>
      </w:r>
      <w:r>
        <w:t xml:space="preserve">erminará la obligación de continuar abonando la tasa. </w:t>
      </w:r>
    </w:p>
    <w:p w:rsidR="00D75DF5" w:rsidRDefault="006024CB">
      <w:pPr>
        <w:numPr>
          <w:ilvl w:val="0"/>
          <w:numId w:val="7"/>
        </w:numPr>
        <w:spacing w:after="163"/>
        <w:ind w:right="1133" w:hanging="175"/>
        <w:jc w:val="left"/>
      </w:pPr>
      <w:r>
        <w:t xml:space="preserve">De conformidad con lo previsto en el artículo 27.1 del Texto Refundido regulador de la Ley de las Haciendas Locales, el Ayuntamiento podrá exigir la presente tasa en régimen de autoliquidación. </w:t>
      </w:r>
    </w:p>
    <w:p w:rsidR="00D75DF5" w:rsidRDefault="006024CB">
      <w:pPr>
        <w:spacing w:after="141"/>
        <w:ind w:left="1493" w:right="1281" w:firstLine="0"/>
      </w:pPr>
      <w:r>
        <w:t>Artícu</w:t>
      </w:r>
      <w:r>
        <w:t xml:space="preserve">lo 9. Infracciones y sanciones. </w:t>
      </w:r>
    </w:p>
    <w:p w:rsidR="00D75DF5" w:rsidRDefault="006024CB">
      <w:pPr>
        <w:ind w:left="1363" w:right="1281"/>
      </w:pPr>
      <w:r>
        <w:t xml:space="preserve">En todo lo relativo a la calificación de infracciones tributarias, así como de las sanciones que por las mismas correspondan en cada caso, se estará a lo dispuesto en la Ley General Tributaria. </w:t>
      </w:r>
    </w:p>
    <w:p w:rsidR="00D75DF5" w:rsidRDefault="006024CB">
      <w:pPr>
        <w:ind w:left="1489" w:right="1281" w:firstLine="0"/>
      </w:pPr>
      <w:r>
        <w:t xml:space="preserve">Disposición Transitoria  </w:t>
      </w:r>
    </w:p>
    <w:p w:rsidR="00D75DF5" w:rsidRDefault="006024CB">
      <w:pPr>
        <w:ind w:left="1489" w:right="1281" w:firstLine="0"/>
      </w:pPr>
      <w:r>
        <w:t xml:space="preserve">Suspender la ejecución de la ordenanza fiscal los ejercicios 2021 y 2022. </w:t>
      </w:r>
    </w:p>
    <w:p w:rsidR="00D75DF5" w:rsidRDefault="006024CB">
      <w:pPr>
        <w:spacing w:after="144"/>
        <w:ind w:left="1493" w:right="1281" w:firstLine="0"/>
      </w:pPr>
      <w:r>
        <w:t xml:space="preserve">Disposición derogatoria. </w:t>
      </w:r>
    </w:p>
    <w:p w:rsidR="00D75DF5" w:rsidRDefault="006024CB">
      <w:pPr>
        <w:ind w:left="1363" w:right="1281"/>
      </w:pPr>
      <w:r>
        <w:t>Quedan derogadas cuantas normas de igual o inferior rango o acuerdos adoptados por órgano competente de esta Administración en lo que contradigan o se opon</w:t>
      </w:r>
      <w:r>
        <w:t xml:space="preserve">gan a lo dispuesto en la presente Ordenanza. </w:t>
      </w:r>
    </w:p>
    <w:p w:rsidR="00D75DF5" w:rsidRDefault="006024CB">
      <w:pPr>
        <w:ind w:left="1493" w:right="1281" w:firstLine="0"/>
      </w:pPr>
      <w:r>
        <w:t xml:space="preserve">Disposición final. </w:t>
      </w:r>
    </w:p>
    <w:p w:rsidR="00D75DF5" w:rsidRDefault="006024CB">
      <w:pPr>
        <w:ind w:left="1280" w:right="1281" w:firstLine="213"/>
      </w:pPr>
      <w:r>
        <w:t>La presente Ordenanza Fiscal entrará en vigor el día de su publicación en el Boletín Oficial de la Provincia, y será de aplicación a partir del día 1 de enero de 2021, permaneciendo en vigor</w:t>
      </w:r>
      <w:r>
        <w:t xml:space="preserve"> hasta su modificación o derogación expresas. </w:t>
      </w:r>
    </w:p>
    <w:p w:rsidR="00D75DF5" w:rsidRDefault="006024CB">
      <w:pPr>
        <w:spacing w:after="637"/>
        <w:ind w:left="1280" w:right="1281" w:firstLine="0"/>
      </w:pPr>
      <w:r>
        <w:t xml:space="preserve">Todo lo cual se publica por el Secretario General en virtud de la función de fe pública del artículo 3.2 j) del Real Decreto 128/2018, de 16 de marzo, de régimen jurídico de los funcionarios de Administración </w:t>
      </w:r>
      <w:r>
        <w:t xml:space="preserve">local con habilitación de carácter nacional. </w:t>
      </w:r>
    </w:p>
    <w:p w:rsidR="00D75DF5" w:rsidRDefault="006024CB">
      <w:pPr>
        <w:spacing w:after="1528" w:line="265" w:lineRule="auto"/>
        <w:ind w:left="183" w:hanging="10"/>
      </w:pPr>
      <w:r>
        <w:rPr>
          <w:color w:val="181717"/>
          <w:sz w:val="20"/>
        </w:rPr>
        <w:t>Villa de Candelaria, a 8 de octubre de 2020.- Documento firmado electrónicamente.</w:t>
      </w:r>
    </w:p>
    <w:sectPr w:rsidR="00D75DF5">
      <w:headerReference w:type="even" r:id="rId8"/>
      <w:headerReference w:type="default" r:id="rId9"/>
      <w:footerReference w:type="even" r:id="rId10"/>
      <w:footerReference w:type="default" r:id="rId11"/>
      <w:headerReference w:type="first" r:id="rId12"/>
      <w:footerReference w:type="first" r:id="rId13"/>
      <w:pgSz w:w="11906" w:h="16838"/>
      <w:pgMar w:top="1509" w:right="1556" w:bottom="400" w:left="1557" w:header="1349"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24CB">
      <w:pPr>
        <w:spacing w:after="0" w:line="240" w:lineRule="auto"/>
      </w:pPr>
      <w:r>
        <w:separator/>
      </w:r>
    </w:p>
  </w:endnote>
  <w:endnote w:type="continuationSeparator" w:id="0">
    <w:p w:rsidR="00000000" w:rsidRDefault="0060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75DF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75DF5" w:rsidRDefault="006024CB">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Fecha: 30-08-2021 07:42:34</w:t>
          </w:r>
        </w:p>
      </w:tc>
      <w:tc>
        <w:tcPr>
          <w:tcW w:w="1600" w:type="dxa"/>
          <w:vMerge w:val="restart"/>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290" w:firstLine="0"/>
            <w:jc w:val="left"/>
          </w:pPr>
          <w:r>
            <w:rPr>
              <w:noProof/>
            </w:rPr>
            <w:drawing>
              <wp:inline distT="0" distB="0" distL="0" distR="0">
                <wp:extent cx="571500" cy="57150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571500" cy="571500"/>
                        </a:xfrm>
                        <a:prstGeom prst="rect">
                          <a:avLst/>
                        </a:prstGeom>
                      </pic:spPr>
                    </pic:pic>
                  </a:graphicData>
                </a:graphic>
              </wp:inline>
            </w:drawing>
          </w:r>
        </w:p>
      </w:tc>
    </w:tr>
    <w:tr w:rsidR="00D75DF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spacing w:after="51" w:line="259" w:lineRule="auto"/>
            <w:ind w:left="0" w:firstLine="0"/>
            <w:jc w:val="center"/>
          </w:pPr>
          <w:r>
            <w:rPr>
              <w:rFonts w:ascii="Arial" w:eastAsia="Arial" w:hAnsi="Arial" w:cs="Arial"/>
              <w:sz w:val="12"/>
            </w:rPr>
            <w:t>Código Seguro de Verificación (CSV): C863CD62D20645ADF84ABEACBC02A691</w:t>
          </w:r>
        </w:p>
        <w:p w:rsidR="00D75DF5" w:rsidRDefault="006024CB">
          <w:pPr>
            <w:spacing w:after="0" w:line="259" w:lineRule="auto"/>
            <w:ind w:left="0" w:firstLine="0"/>
            <w:jc w:val="center"/>
          </w:pPr>
          <w:r>
            <w:rPr>
              <w:rFonts w:ascii="Arial" w:eastAsia="Arial" w:hAnsi="Arial" w:cs="Arial"/>
              <w:sz w:val="12"/>
            </w:rPr>
            <w:t>Comprobación CSV:  https://sedeelectronica.candelaria.es//publico/documento/C863CD62D20645ADF84ABEACBC02A691 .</w:t>
          </w:r>
        </w:p>
      </w:tc>
      <w:tc>
        <w:tcPr>
          <w:tcW w:w="0" w:type="auto"/>
          <w:vMerge/>
          <w:tcBorders>
            <w:top w:val="nil"/>
            <w:left w:val="single" w:sz="4" w:space="0" w:color="000000"/>
            <w:bottom w:val="nil"/>
            <w:right w:val="single" w:sz="4" w:space="0" w:color="000000"/>
          </w:tcBorders>
        </w:tcPr>
        <w:p w:rsidR="00D75DF5" w:rsidRDefault="00D75DF5">
          <w:pPr>
            <w:spacing w:after="160" w:line="259" w:lineRule="auto"/>
            <w:ind w:left="0" w:firstLine="0"/>
            <w:jc w:val="left"/>
          </w:pPr>
        </w:p>
      </w:tc>
    </w:tr>
    <w:tr w:rsidR="00D75DF5">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tabs>
              <w:tab w:val="center" w:pos="5177"/>
              <w:tab w:val="right" w:pos="9186"/>
            </w:tabs>
            <w:spacing w:after="0" w:line="259" w:lineRule="auto"/>
            <w:ind w:left="0" w:firstLine="0"/>
            <w:jc w:val="left"/>
          </w:pPr>
          <w:r>
            <w:rPr>
              <w:rFonts w:ascii="Arial" w:eastAsia="Arial" w:hAnsi="Arial" w:cs="Arial"/>
              <w:sz w:val="12"/>
            </w:rPr>
            <w:t>Fecha de sellado electrónico: 30-08-2021 07:42:34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024CB">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024CB">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12:46:37</w:t>
          </w:r>
        </w:p>
      </w:tc>
      <w:tc>
        <w:tcPr>
          <w:tcW w:w="0" w:type="auto"/>
          <w:vMerge/>
          <w:tcBorders>
            <w:top w:val="nil"/>
            <w:left w:val="single" w:sz="4" w:space="0" w:color="000000"/>
            <w:bottom w:val="single" w:sz="4" w:space="0" w:color="000000"/>
            <w:right w:val="single" w:sz="4" w:space="0" w:color="000000"/>
          </w:tcBorders>
        </w:tcPr>
        <w:p w:rsidR="00D75DF5" w:rsidRDefault="00D75DF5">
          <w:pPr>
            <w:spacing w:after="160" w:line="259" w:lineRule="auto"/>
            <w:ind w:left="0" w:firstLine="0"/>
            <w:jc w:val="left"/>
          </w:pPr>
        </w:p>
      </w:tc>
    </w:tr>
  </w:tbl>
  <w:p w:rsidR="00D75DF5" w:rsidRDefault="00D75DF5">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75DF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75DF5" w:rsidRDefault="006024CB">
          <w:pPr>
            <w:spacing w:after="0" w:line="259" w:lineRule="auto"/>
            <w:ind w:left="0" w:firstLine="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5" w:firstLine="0"/>
            <w:jc w:val="left"/>
          </w:pPr>
          <w:r>
            <w:rPr>
              <w:rFonts w:ascii="Arial" w:eastAsia="Arial" w:hAnsi="Arial" w:cs="Arial"/>
              <w:sz w:val="12"/>
            </w:rPr>
            <w:t>Fecha: 30-08-2021 07:42:34</w:t>
          </w:r>
        </w:p>
      </w:tc>
      <w:tc>
        <w:tcPr>
          <w:tcW w:w="1600" w:type="dxa"/>
          <w:vMerge w:val="restart"/>
          <w:tcBorders>
            <w:top w:val="single" w:sz="4" w:space="0" w:color="000000"/>
            <w:left w:val="single" w:sz="4" w:space="0" w:color="000000"/>
            <w:bottom w:val="single" w:sz="4" w:space="0" w:color="000000"/>
            <w:right w:val="single" w:sz="4" w:space="0" w:color="000000"/>
          </w:tcBorders>
        </w:tcPr>
        <w:p w:rsidR="00D75DF5" w:rsidRDefault="006024CB">
          <w:pPr>
            <w:spacing w:after="0" w:line="259" w:lineRule="auto"/>
            <w:ind w:left="290" w:firstLine="0"/>
            <w:jc w:val="left"/>
          </w:pPr>
          <w:r>
            <w:rPr>
              <w:noProof/>
            </w:rPr>
            <w:drawing>
              <wp:inline distT="0" distB="0" distL="0" distR="0">
                <wp:extent cx="571500" cy="571500"/>
                <wp:effectExtent l="0" t="0" r="0" b="0"/>
                <wp:docPr id="1"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571500" cy="571500"/>
                        </a:xfrm>
                        <a:prstGeom prst="rect">
                          <a:avLst/>
                        </a:prstGeom>
                      </pic:spPr>
                    </pic:pic>
                  </a:graphicData>
                </a:graphic>
              </wp:inline>
            </w:drawing>
          </w:r>
        </w:p>
      </w:tc>
    </w:tr>
    <w:tr w:rsidR="00D75DF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spacing w:after="51" w:line="259" w:lineRule="auto"/>
            <w:ind w:left="0" w:firstLine="0"/>
            <w:jc w:val="center"/>
          </w:pPr>
          <w:r>
            <w:rPr>
              <w:rFonts w:ascii="Arial" w:eastAsia="Arial" w:hAnsi="Arial" w:cs="Arial"/>
              <w:sz w:val="12"/>
            </w:rPr>
            <w:t>Código Seguro de Verificación (CSV): C863CD62D20645ADF84ABEACBC02A691</w:t>
          </w:r>
        </w:p>
        <w:p w:rsidR="00D75DF5" w:rsidRDefault="006024CB">
          <w:pPr>
            <w:spacing w:after="0" w:line="259" w:lineRule="auto"/>
            <w:ind w:left="0" w:firstLine="0"/>
            <w:jc w:val="center"/>
          </w:pPr>
          <w:r>
            <w:rPr>
              <w:rFonts w:ascii="Arial" w:eastAsia="Arial" w:hAnsi="Arial" w:cs="Arial"/>
              <w:sz w:val="12"/>
            </w:rPr>
            <w:t>Comprobación CSV:  https://sedeelectronica.candelaria.es//publico/documento/C863CD62D20645ADF84ABEACBC02A691 .</w:t>
          </w:r>
        </w:p>
      </w:tc>
      <w:tc>
        <w:tcPr>
          <w:tcW w:w="0" w:type="auto"/>
          <w:vMerge/>
          <w:tcBorders>
            <w:top w:val="nil"/>
            <w:left w:val="single" w:sz="4" w:space="0" w:color="000000"/>
            <w:bottom w:val="nil"/>
            <w:right w:val="single" w:sz="4" w:space="0" w:color="000000"/>
          </w:tcBorders>
        </w:tcPr>
        <w:p w:rsidR="00D75DF5" w:rsidRDefault="00D75DF5">
          <w:pPr>
            <w:spacing w:after="160" w:line="259" w:lineRule="auto"/>
            <w:ind w:left="0" w:firstLine="0"/>
            <w:jc w:val="left"/>
          </w:pPr>
        </w:p>
      </w:tc>
    </w:tr>
    <w:tr w:rsidR="00D75DF5">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75DF5" w:rsidRDefault="006024CB">
          <w:pPr>
            <w:tabs>
              <w:tab w:val="center" w:pos="5177"/>
              <w:tab w:val="right" w:pos="9186"/>
            </w:tabs>
            <w:spacing w:after="0" w:line="259" w:lineRule="auto"/>
            <w:ind w:left="0" w:firstLine="0"/>
            <w:jc w:val="left"/>
          </w:pPr>
          <w:r>
            <w:rPr>
              <w:rFonts w:ascii="Arial" w:eastAsia="Arial" w:hAnsi="Arial" w:cs="Arial"/>
              <w:sz w:val="12"/>
            </w:rPr>
            <w:t>Fecha de sellado electrónico: 30-08-2021 07:42:34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024CB">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024CB">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23-01-2024 12:46:37</w:t>
          </w:r>
        </w:p>
      </w:tc>
      <w:tc>
        <w:tcPr>
          <w:tcW w:w="0" w:type="auto"/>
          <w:vMerge/>
          <w:tcBorders>
            <w:top w:val="nil"/>
            <w:left w:val="single" w:sz="4" w:space="0" w:color="000000"/>
            <w:bottom w:val="single" w:sz="4" w:space="0" w:color="000000"/>
            <w:right w:val="single" w:sz="4" w:space="0" w:color="000000"/>
          </w:tcBorders>
        </w:tcPr>
        <w:p w:rsidR="00D75DF5" w:rsidRDefault="00D75DF5">
          <w:pPr>
            <w:spacing w:after="160" w:line="259" w:lineRule="auto"/>
            <w:ind w:left="0" w:firstLine="0"/>
            <w:jc w:val="left"/>
          </w:pPr>
        </w:p>
      </w:tc>
    </w:tr>
  </w:tbl>
  <w:p w:rsidR="00D75DF5" w:rsidRDefault="00D75DF5">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F5" w:rsidRDefault="00D75DF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24CB">
      <w:pPr>
        <w:spacing w:after="0" w:line="240" w:lineRule="auto"/>
      </w:pPr>
      <w:r>
        <w:separator/>
      </w:r>
    </w:p>
  </w:footnote>
  <w:footnote w:type="continuationSeparator" w:id="0">
    <w:p w:rsidR="00000000" w:rsidRDefault="0060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F5" w:rsidRDefault="006024CB">
    <w:pPr>
      <w:spacing w:after="0" w:line="259" w:lineRule="auto"/>
      <w:ind w:left="-1557" w:right="1034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7018" name="Group 7018"/>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7019" name="Shape 7019"/>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18" style="width:439.531pt;height:0.9121pt;position:absolute;mso-position-horizontal-relative:page;mso-position-horizontal:absolute;margin-left:77.87pt;mso-position-vertical-relative:page;margin-top:67.4283pt;" coordsize="55820,115">
              <v:shape id="Shape 7019" style="position:absolute;width:55820;height:0;left:0;top:0;" coordsize="5582042,0" path="m0,0l5582042,0">
                <v:stroke weight="0.9121pt" endcap="flat" joinstyle="miter" miterlimit="4" on="true" color="#181717"/>
                <v:fill on="false" color="#000000" opacity="0"/>
              </v:shape>
              <w10:wrap type="square"/>
            </v:group>
          </w:pict>
        </mc:Fallback>
      </mc:AlternateContent>
    </w:r>
  </w:p>
  <w:p w:rsidR="00D75DF5" w:rsidRDefault="006024CB">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988950</wp:posOffset>
              </wp:positionH>
              <wp:positionV relativeFrom="page">
                <wp:posOffset>1151862</wp:posOffset>
              </wp:positionV>
              <wp:extent cx="5582042" cy="1036737"/>
              <wp:effectExtent l="0" t="0" r="0" b="0"/>
              <wp:wrapNone/>
              <wp:docPr id="7020" name="Group 7020"/>
              <wp:cNvGraphicFramePr/>
              <a:graphic xmlns:a="http://schemas.openxmlformats.org/drawingml/2006/main">
                <a:graphicData uri="http://schemas.microsoft.com/office/word/2010/wordprocessingGroup">
                  <wpg:wgp>
                    <wpg:cNvGrpSpPr/>
                    <wpg:grpSpPr>
                      <a:xfrm>
                        <a:off x="0" y="0"/>
                        <a:ext cx="5582042" cy="1036737"/>
                        <a:chOff x="0" y="0"/>
                        <a:chExt cx="5582042" cy="1036737"/>
                      </a:xfrm>
                    </wpg:grpSpPr>
                    <wps:wsp>
                      <wps:cNvPr id="7021" name="Shape 7021"/>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7022" name="Picture 7022"/>
                        <pic:cNvPicPr/>
                      </pic:nvPicPr>
                      <pic:blipFill>
                        <a:blip r:embed="rId1"/>
                        <a:stretch>
                          <a:fillRect/>
                        </a:stretch>
                      </pic:blipFill>
                      <pic:spPr>
                        <a:xfrm>
                          <a:off x="801156" y="522282"/>
                          <a:ext cx="451552" cy="514455"/>
                        </a:xfrm>
                        <a:prstGeom prst="rect">
                          <a:avLst/>
                        </a:prstGeom>
                      </pic:spPr>
                    </pic:pic>
                  </wpg:wgp>
                </a:graphicData>
              </a:graphic>
            </wp:anchor>
          </w:drawing>
        </mc:Choice>
        <mc:Fallback xmlns:a="http://schemas.openxmlformats.org/drawingml/2006/main">
          <w:pict>
            <v:group id="Group 7020" style="width:439.531pt;height:81.6328pt;position:absolute;z-index:-2147483648;mso-position-horizontal-relative:page;mso-position-horizontal:absolute;margin-left:77.87pt;mso-position-vertical-relative:page;margin-top:90.6978pt;" coordsize="55820,10367">
              <v:shape id="Shape 7021" style="position:absolute;width:55820;height:0;left:0;top:0;" coordsize="5582042,0" path="m0,0l5582042,0">
                <v:stroke weight="0.9121pt" endcap="flat" joinstyle="miter" miterlimit="4" on="true" color="#181717"/>
                <v:fill on="false" color="#000000" opacity="0"/>
              </v:shape>
              <v:shape id="Picture 7022" style="position:absolute;width:4515;height:5144;left:8011;top:5222;"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F5" w:rsidRDefault="006024CB">
    <w:pPr>
      <w:tabs>
        <w:tab w:val="center" w:pos="344"/>
        <w:tab w:val="right" w:pos="879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6904" name="Group 6904"/>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6905" name="Shape 6905"/>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4" style="width:439.532pt;height:0.9121pt;position:absolute;mso-position-horizontal-relative:page;mso-position-horizontal:absolute;margin-left:77.8697pt;mso-position-vertical-relative:page;margin-top:67.8843pt;" coordsize="55820,115">
              <v:shape id="Shape 6905"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6906" name="Group 6906"/>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6907" name="Shape 6907"/>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6" style="width:439.532pt;height:0.9121pt;position:absolute;mso-position-horizontal-relative:page;mso-position-horizontal:absolute;margin-left:77.8697pt;mso-position-vertical-relative:page;margin-top:91.1539pt;" coordsize="55820,115">
              <v:shape id="Shape 6907" style="position:absolute;width:55820;height:0;left:0;top:0;" coordsize="5582054,0" path="m0,0l5582054,0">
                <v:stroke weight="0.9121pt" endcap="flat" joinstyle="miter" miterlimit="4" on="true" color="#181717"/>
                <v:fill on="false" color="#000000" opacity="0"/>
              </v:shape>
              <w10:wrap type="square"/>
            </v:group>
          </w:pict>
        </mc:Fallback>
      </mc:AlternateContent>
    </w:r>
    <w:r>
      <w:rPr>
        <w:noProof/>
      </w:rPr>
      <w:drawing>
        <wp:anchor distT="0" distB="0" distL="114300" distR="114300" simplePos="0" relativeHeight="251662336"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1"/>
                  <a:stretch>
                    <a:fillRect/>
                  </a:stretch>
                </pic:blipFill>
                <pic:spPr>
                  <a:xfrm>
                    <a:off x="0" y="0"/>
                    <a:ext cx="451552" cy="514455"/>
                  </a:xfrm>
                  <a:prstGeom prst="rect">
                    <a:avLst/>
                  </a:prstGeom>
                </pic:spPr>
              </pic:pic>
            </a:graphicData>
          </a:graphic>
        </wp:anchor>
      </w:drawing>
    </w:r>
    <w:r>
      <w:rPr>
        <w:rFonts w:ascii="Calibri" w:eastAsia="Calibri" w:hAnsi="Calibri" w:cs="Calibri"/>
        <w:sz w:val="22"/>
      </w:rPr>
      <w:tab/>
    </w:r>
    <w:r>
      <w:rPr>
        <w:color w:val="181717"/>
        <w:sz w:val="20"/>
      </w:rPr>
      <w:tab/>
    </w:r>
    <w:r>
      <w:rPr>
        <w:color w:val="181717"/>
        <w:sz w:val="20"/>
      </w:rPr>
      <w:t>Boletín</w:t>
    </w:r>
    <w:r>
      <w:rPr>
        <w:color w:val="181717"/>
        <w:sz w:val="20"/>
      </w:rPr>
      <w:tab/>
      <w:t>Oficial</w:t>
    </w:r>
    <w:r>
      <w:rPr>
        <w:color w:val="181717"/>
        <w:sz w:val="20"/>
      </w:rPr>
      <w:tab/>
      <w:t>de</w:t>
    </w:r>
    <w:r>
      <w:rPr>
        <w:color w:val="181717"/>
        <w:sz w:val="20"/>
      </w:rPr>
      <w:tab/>
      <w:t>la</w:t>
    </w:r>
    <w:r>
      <w:rPr>
        <w:color w:val="181717"/>
        <w:sz w:val="20"/>
      </w:rPr>
      <w:tab/>
      <w:t>Provincia</w:t>
    </w:r>
    <w:r>
      <w:rPr>
        <w:color w:val="181717"/>
        <w:sz w:val="20"/>
      </w:rPr>
      <w:tab/>
      <w:t>de</w:t>
    </w:r>
    <w:r>
      <w:rPr>
        <w:color w:val="181717"/>
        <w:sz w:val="20"/>
      </w:rPr>
      <w:tab/>
      <w:t>Santa</w:t>
    </w:r>
    <w:r>
      <w:rPr>
        <w:color w:val="181717"/>
        <w:sz w:val="20"/>
      </w:rPr>
      <w:tab/>
      <w:t>Cruz</w:t>
    </w:r>
    <w:r>
      <w:rPr>
        <w:color w:val="181717"/>
        <w:sz w:val="20"/>
      </w:rPr>
      <w:tab/>
      <w:t>de</w:t>
    </w:r>
    <w:r>
      <w:rPr>
        <w:color w:val="181717"/>
        <w:sz w:val="20"/>
      </w:rPr>
      <w:tab/>
      <w:t>Tenerife</w:t>
    </w:r>
    <w:r>
      <w:rPr>
        <w:color w:val="181717"/>
        <w:sz w:val="20"/>
      </w:rPr>
      <w:tab/>
      <w:t>núm.</w:t>
    </w:r>
    <w:r>
      <w:rPr>
        <w:color w:val="181717"/>
        <w:sz w:val="20"/>
      </w:rPr>
      <w:tab/>
      <w:t>128,</w:t>
    </w:r>
    <w:r>
      <w:rPr>
        <w:color w:val="181717"/>
        <w:sz w:val="20"/>
      </w:rPr>
      <w:tab/>
      <w:t>viernes</w:t>
    </w:r>
    <w:r>
      <w:rPr>
        <w:color w:val="181717"/>
        <w:sz w:val="20"/>
      </w:rPr>
      <w:tab/>
      <w:t>23</w:t>
    </w:r>
    <w:r>
      <w:rPr>
        <w:color w:val="181717"/>
        <w:sz w:val="20"/>
      </w:rPr>
      <w:tab/>
      <w:t>de</w:t>
    </w:r>
    <w:r>
      <w:rPr>
        <w:color w:val="181717"/>
        <w:sz w:val="20"/>
      </w:rPr>
      <w:tab/>
      <w:t>octubre</w:t>
    </w:r>
    <w:r>
      <w:rPr>
        <w:color w:val="181717"/>
        <w:sz w:val="20"/>
      </w:rPr>
      <w:tab/>
      <w:t>de</w:t>
    </w:r>
    <w:r>
      <w:rPr>
        <w:color w:val="181717"/>
        <w:sz w:val="20"/>
      </w:rPr>
      <w:tab/>
      <w:t>2020</w:t>
    </w:r>
  </w:p>
  <w:p w:rsidR="00D75DF5" w:rsidRDefault="006024CB">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6910" name="Group 69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1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F5" w:rsidRDefault="006024CB">
    <w:pPr>
      <w:tabs>
        <w:tab w:val="center" w:pos="344"/>
        <w:tab w:val="right" w:pos="879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6891" name="Group 6891"/>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6892" name="Shape 6892"/>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91" style="width:439.532pt;height:0.9121pt;position:absolute;mso-position-horizontal-relative:page;mso-position-horizontal:absolute;margin-left:77.8697pt;mso-position-vertical-relative:page;margin-top:67.8843pt;" coordsize="55820,115">
              <v:shape id="Shape 6892"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6893" name="Group 6893"/>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6894" name="Shape 6894"/>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93" style="width:439.532pt;height:0.9121pt;position:absolute;mso-position-horizontal-relative:page;mso-position-horizontal:absolute;margin-left:77.8697pt;mso-position-vertical-relative:page;margin-top:91.1539pt;" coordsize="55820,115">
              <v:shape id="Shape 6894"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color w:val="181717"/>
        <w:sz w:val="20"/>
      </w:rPr>
      <w:tab/>
      <w:t>Boletín</w:t>
    </w:r>
    <w:r>
      <w:rPr>
        <w:color w:val="181717"/>
        <w:sz w:val="20"/>
      </w:rPr>
      <w:tab/>
      <w:t>Oficial</w:t>
    </w:r>
    <w:r>
      <w:rPr>
        <w:color w:val="181717"/>
        <w:sz w:val="20"/>
      </w:rPr>
      <w:tab/>
      <w:t>de</w:t>
    </w:r>
    <w:r>
      <w:rPr>
        <w:color w:val="181717"/>
        <w:sz w:val="20"/>
      </w:rPr>
      <w:tab/>
      <w:t>la</w:t>
    </w:r>
    <w:r>
      <w:rPr>
        <w:color w:val="181717"/>
        <w:sz w:val="20"/>
      </w:rPr>
      <w:tab/>
      <w:t>Provincia</w:t>
    </w:r>
    <w:r>
      <w:rPr>
        <w:color w:val="181717"/>
        <w:sz w:val="20"/>
      </w:rPr>
      <w:tab/>
      <w:t>de</w:t>
    </w:r>
    <w:r>
      <w:rPr>
        <w:color w:val="181717"/>
        <w:sz w:val="20"/>
      </w:rPr>
      <w:tab/>
      <w:t>Santa</w:t>
    </w:r>
    <w:r>
      <w:rPr>
        <w:color w:val="181717"/>
        <w:sz w:val="20"/>
      </w:rPr>
      <w:tab/>
      <w:t>Cruz</w:t>
    </w:r>
    <w:r>
      <w:rPr>
        <w:color w:val="181717"/>
        <w:sz w:val="20"/>
      </w:rPr>
      <w:tab/>
      <w:t>de</w:t>
    </w:r>
    <w:r>
      <w:rPr>
        <w:color w:val="181717"/>
        <w:sz w:val="20"/>
      </w:rPr>
      <w:tab/>
      <w:t>Tenerife</w:t>
    </w:r>
    <w:r>
      <w:rPr>
        <w:color w:val="181717"/>
        <w:sz w:val="20"/>
      </w:rPr>
      <w:tab/>
      <w:t>núm.</w:t>
    </w:r>
    <w:r>
      <w:rPr>
        <w:color w:val="181717"/>
        <w:sz w:val="20"/>
      </w:rPr>
      <w:tab/>
      <w:t>128,</w:t>
    </w:r>
    <w:r>
      <w:rPr>
        <w:color w:val="181717"/>
        <w:sz w:val="20"/>
      </w:rPr>
      <w:tab/>
      <w:t>viernes</w:t>
    </w:r>
    <w:r>
      <w:rPr>
        <w:color w:val="181717"/>
        <w:sz w:val="20"/>
      </w:rPr>
      <w:tab/>
      <w:t>23</w:t>
    </w:r>
    <w:r>
      <w:rPr>
        <w:color w:val="181717"/>
        <w:sz w:val="20"/>
      </w:rPr>
      <w:tab/>
      <w:t>de</w:t>
    </w:r>
    <w:r>
      <w:rPr>
        <w:color w:val="181717"/>
        <w:sz w:val="20"/>
      </w:rPr>
      <w:tab/>
      <w:t>octubre</w:t>
    </w:r>
    <w:r>
      <w:rPr>
        <w:color w:val="181717"/>
        <w:sz w:val="20"/>
      </w:rPr>
      <w:tab/>
      <w:t>de</w:t>
    </w:r>
    <w:r>
      <w:rPr>
        <w:color w:val="181717"/>
        <w:sz w:val="20"/>
      </w:rPr>
      <w:tab/>
      <w:t>2020</w:t>
    </w:r>
  </w:p>
  <w:p w:rsidR="00D75DF5" w:rsidRDefault="006024CB">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6895" name="Group 68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89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115"/>
    <w:multiLevelType w:val="hybridMultilevel"/>
    <w:tmpl w:val="A64C60D8"/>
    <w:lvl w:ilvl="0" w:tplc="9D6A9592">
      <w:start w:val="1"/>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4E83FE4">
      <w:start w:val="1"/>
      <w:numFmt w:val="lowerLetter"/>
      <w:lvlText w:val="%2"/>
      <w:lvlJc w:val="left"/>
      <w:pPr>
        <w:ind w:left="2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29089F8">
      <w:start w:val="1"/>
      <w:numFmt w:val="lowerRoman"/>
      <w:lvlText w:val="%3"/>
      <w:lvlJc w:val="left"/>
      <w:pPr>
        <w:ind w:left="3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CAC74CA">
      <w:start w:val="1"/>
      <w:numFmt w:val="decimal"/>
      <w:lvlText w:val="%4"/>
      <w:lvlJc w:val="left"/>
      <w:pPr>
        <w:ind w:left="3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910A472">
      <w:start w:val="1"/>
      <w:numFmt w:val="lowerLetter"/>
      <w:lvlText w:val="%5"/>
      <w:lvlJc w:val="left"/>
      <w:pPr>
        <w:ind w:left="4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EBE5622">
      <w:start w:val="1"/>
      <w:numFmt w:val="lowerRoman"/>
      <w:lvlText w:val="%6"/>
      <w:lvlJc w:val="left"/>
      <w:pPr>
        <w:ind w:left="5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974EB80">
      <w:start w:val="1"/>
      <w:numFmt w:val="decimal"/>
      <w:lvlText w:val="%7"/>
      <w:lvlJc w:val="left"/>
      <w:pPr>
        <w:ind w:left="6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2B06620">
      <w:start w:val="1"/>
      <w:numFmt w:val="lowerLetter"/>
      <w:lvlText w:val="%8"/>
      <w:lvlJc w:val="left"/>
      <w:pPr>
        <w:ind w:left="6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260288C">
      <w:start w:val="1"/>
      <w:numFmt w:val="lowerRoman"/>
      <w:lvlText w:val="%9"/>
      <w:lvlJc w:val="left"/>
      <w:pPr>
        <w:ind w:left="7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7F1FF8"/>
    <w:multiLevelType w:val="hybridMultilevel"/>
    <w:tmpl w:val="53B81A34"/>
    <w:lvl w:ilvl="0" w:tplc="BD8668F6">
      <w:start w:val="1"/>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05A5C4C">
      <w:start w:val="1"/>
      <w:numFmt w:val="lowerLetter"/>
      <w:lvlText w:val="%2"/>
      <w:lvlJc w:val="left"/>
      <w:pPr>
        <w:ind w:left="25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6009A1C">
      <w:start w:val="1"/>
      <w:numFmt w:val="lowerRoman"/>
      <w:lvlText w:val="%3"/>
      <w:lvlJc w:val="left"/>
      <w:pPr>
        <w:ind w:left="32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67E74CC">
      <w:start w:val="1"/>
      <w:numFmt w:val="decimal"/>
      <w:lvlText w:val="%4"/>
      <w:lvlJc w:val="left"/>
      <w:pPr>
        <w:ind w:left="39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958507A">
      <w:start w:val="1"/>
      <w:numFmt w:val="lowerLetter"/>
      <w:lvlText w:val="%5"/>
      <w:lvlJc w:val="left"/>
      <w:pPr>
        <w:ind w:left="47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A9C73E4">
      <w:start w:val="1"/>
      <w:numFmt w:val="lowerRoman"/>
      <w:lvlText w:val="%6"/>
      <w:lvlJc w:val="left"/>
      <w:pPr>
        <w:ind w:left="5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D22C12">
      <w:start w:val="1"/>
      <w:numFmt w:val="decimal"/>
      <w:lvlText w:val="%7"/>
      <w:lvlJc w:val="left"/>
      <w:pPr>
        <w:ind w:left="61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A4C061C">
      <w:start w:val="1"/>
      <w:numFmt w:val="lowerLetter"/>
      <w:lvlText w:val="%8"/>
      <w:lvlJc w:val="left"/>
      <w:pPr>
        <w:ind w:left="68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1223512">
      <w:start w:val="1"/>
      <w:numFmt w:val="lowerRoman"/>
      <w:lvlText w:val="%9"/>
      <w:lvlJc w:val="left"/>
      <w:pPr>
        <w:ind w:left="75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9517EF"/>
    <w:multiLevelType w:val="hybridMultilevel"/>
    <w:tmpl w:val="A2FAB85A"/>
    <w:lvl w:ilvl="0" w:tplc="E882469C">
      <w:start w:val="6"/>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FC62CAE">
      <w:start w:val="1"/>
      <w:numFmt w:val="lowerLetter"/>
      <w:lvlText w:val="%2"/>
      <w:lvlJc w:val="left"/>
      <w:pPr>
        <w:ind w:left="2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B4BB1C">
      <w:start w:val="1"/>
      <w:numFmt w:val="lowerRoman"/>
      <w:lvlText w:val="%3"/>
      <w:lvlJc w:val="left"/>
      <w:pPr>
        <w:ind w:left="3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7242C68">
      <w:start w:val="1"/>
      <w:numFmt w:val="decimal"/>
      <w:lvlText w:val="%4"/>
      <w:lvlJc w:val="left"/>
      <w:pPr>
        <w:ind w:left="3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4FAD628">
      <w:start w:val="1"/>
      <w:numFmt w:val="lowerLetter"/>
      <w:lvlText w:val="%5"/>
      <w:lvlJc w:val="left"/>
      <w:pPr>
        <w:ind w:left="4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2CC6A4C">
      <w:start w:val="1"/>
      <w:numFmt w:val="lowerRoman"/>
      <w:lvlText w:val="%6"/>
      <w:lvlJc w:val="left"/>
      <w:pPr>
        <w:ind w:left="5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6FA96B6">
      <w:start w:val="1"/>
      <w:numFmt w:val="decimal"/>
      <w:lvlText w:val="%7"/>
      <w:lvlJc w:val="left"/>
      <w:pPr>
        <w:ind w:left="6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B88D80E">
      <w:start w:val="1"/>
      <w:numFmt w:val="lowerLetter"/>
      <w:lvlText w:val="%8"/>
      <w:lvlJc w:val="left"/>
      <w:pPr>
        <w:ind w:left="68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6FEFCEE">
      <w:start w:val="1"/>
      <w:numFmt w:val="lowerRoman"/>
      <w:lvlText w:val="%9"/>
      <w:lvlJc w:val="left"/>
      <w:pPr>
        <w:ind w:left="7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BA7557D"/>
    <w:multiLevelType w:val="hybridMultilevel"/>
    <w:tmpl w:val="ABE6194C"/>
    <w:lvl w:ilvl="0" w:tplc="D4B49C84">
      <w:start w:val="1"/>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FABEAA">
      <w:start w:val="1"/>
      <w:numFmt w:val="lowerLetter"/>
      <w:lvlText w:val="%2"/>
      <w:lvlJc w:val="left"/>
      <w:pPr>
        <w:ind w:left="25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DE8DFD0">
      <w:start w:val="1"/>
      <w:numFmt w:val="lowerRoman"/>
      <w:lvlText w:val="%3"/>
      <w:lvlJc w:val="left"/>
      <w:pPr>
        <w:ind w:left="32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9688D66">
      <w:start w:val="1"/>
      <w:numFmt w:val="decimal"/>
      <w:lvlText w:val="%4"/>
      <w:lvlJc w:val="left"/>
      <w:pPr>
        <w:ind w:left="39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B2A368A">
      <w:start w:val="1"/>
      <w:numFmt w:val="lowerLetter"/>
      <w:lvlText w:val="%5"/>
      <w:lvlJc w:val="left"/>
      <w:pPr>
        <w:ind w:left="46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458FBDE">
      <w:start w:val="1"/>
      <w:numFmt w:val="lowerRoman"/>
      <w:lvlText w:val="%6"/>
      <w:lvlJc w:val="left"/>
      <w:pPr>
        <w:ind w:left="54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CB2C59C">
      <w:start w:val="1"/>
      <w:numFmt w:val="decimal"/>
      <w:lvlText w:val="%7"/>
      <w:lvlJc w:val="left"/>
      <w:pPr>
        <w:ind w:left="61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934CF96">
      <w:start w:val="1"/>
      <w:numFmt w:val="lowerLetter"/>
      <w:lvlText w:val="%8"/>
      <w:lvlJc w:val="left"/>
      <w:pPr>
        <w:ind w:left="68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7407A9C">
      <w:start w:val="1"/>
      <w:numFmt w:val="lowerRoman"/>
      <w:lvlText w:val="%9"/>
      <w:lvlJc w:val="left"/>
      <w:pPr>
        <w:ind w:left="75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475FFC"/>
    <w:multiLevelType w:val="hybridMultilevel"/>
    <w:tmpl w:val="234C62C6"/>
    <w:lvl w:ilvl="0" w:tplc="E498451E">
      <w:start w:val="4436"/>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F8C07530">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50B0DD42">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FE4DE4C">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BB288902">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9E90752E">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0A5A74AA">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19EAA524">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CCFED952">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42395765"/>
    <w:multiLevelType w:val="hybridMultilevel"/>
    <w:tmpl w:val="05DAC49A"/>
    <w:lvl w:ilvl="0" w:tplc="D862B9A6">
      <w:start w:val="1"/>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DDAC8BE">
      <w:start w:val="1"/>
      <w:numFmt w:val="lowerLetter"/>
      <w:lvlText w:val="%2"/>
      <w:lvlJc w:val="left"/>
      <w:pPr>
        <w:ind w:left="25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8584C2C">
      <w:start w:val="1"/>
      <w:numFmt w:val="lowerRoman"/>
      <w:lvlText w:val="%3"/>
      <w:lvlJc w:val="left"/>
      <w:pPr>
        <w:ind w:left="32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A929D42">
      <w:start w:val="1"/>
      <w:numFmt w:val="decimal"/>
      <w:lvlText w:val="%4"/>
      <w:lvlJc w:val="left"/>
      <w:pPr>
        <w:ind w:left="39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6A42A0A">
      <w:start w:val="1"/>
      <w:numFmt w:val="lowerLetter"/>
      <w:lvlText w:val="%5"/>
      <w:lvlJc w:val="left"/>
      <w:pPr>
        <w:ind w:left="47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60C8760">
      <w:start w:val="1"/>
      <w:numFmt w:val="lowerRoman"/>
      <w:lvlText w:val="%6"/>
      <w:lvlJc w:val="left"/>
      <w:pPr>
        <w:ind w:left="54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1987062">
      <w:start w:val="1"/>
      <w:numFmt w:val="decimal"/>
      <w:lvlText w:val="%7"/>
      <w:lvlJc w:val="left"/>
      <w:pPr>
        <w:ind w:left="6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05CD8FA">
      <w:start w:val="1"/>
      <w:numFmt w:val="lowerLetter"/>
      <w:lvlText w:val="%8"/>
      <w:lvlJc w:val="left"/>
      <w:pPr>
        <w:ind w:left="6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76D658">
      <w:start w:val="1"/>
      <w:numFmt w:val="lowerRoman"/>
      <w:lvlText w:val="%9"/>
      <w:lvlJc w:val="left"/>
      <w:pPr>
        <w:ind w:left="7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91E3E6F"/>
    <w:multiLevelType w:val="hybridMultilevel"/>
    <w:tmpl w:val="B1DAAAA4"/>
    <w:lvl w:ilvl="0" w:tplc="084ED77A">
      <w:start w:val="6"/>
      <w:numFmt w:val="decimal"/>
      <w:lvlText w:val="%1."/>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606F16C">
      <w:start w:val="1"/>
      <w:numFmt w:val="lowerLetter"/>
      <w:lvlText w:val="%2"/>
      <w:lvlJc w:val="left"/>
      <w:pPr>
        <w:ind w:left="25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8D076C2">
      <w:start w:val="1"/>
      <w:numFmt w:val="lowerRoman"/>
      <w:lvlText w:val="%3"/>
      <w:lvlJc w:val="left"/>
      <w:pPr>
        <w:ind w:left="32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94826CE">
      <w:start w:val="1"/>
      <w:numFmt w:val="decimal"/>
      <w:lvlText w:val="%4"/>
      <w:lvlJc w:val="left"/>
      <w:pPr>
        <w:ind w:left="39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51A77FC">
      <w:start w:val="1"/>
      <w:numFmt w:val="lowerLetter"/>
      <w:lvlText w:val="%5"/>
      <w:lvlJc w:val="left"/>
      <w:pPr>
        <w:ind w:left="46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6081D8">
      <w:start w:val="1"/>
      <w:numFmt w:val="lowerRoman"/>
      <w:lvlText w:val="%6"/>
      <w:lvlJc w:val="left"/>
      <w:pPr>
        <w:ind w:left="54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1E62BC0">
      <w:start w:val="1"/>
      <w:numFmt w:val="decimal"/>
      <w:lvlText w:val="%7"/>
      <w:lvlJc w:val="left"/>
      <w:pPr>
        <w:ind w:left="61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72AC0D8">
      <w:start w:val="1"/>
      <w:numFmt w:val="lowerLetter"/>
      <w:lvlText w:val="%8"/>
      <w:lvlJc w:val="left"/>
      <w:pPr>
        <w:ind w:left="68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FDC2290">
      <w:start w:val="1"/>
      <w:numFmt w:val="lowerRoman"/>
      <w:lvlText w:val="%9"/>
      <w:lvlJc w:val="left"/>
      <w:pPr>
        <w:ind w:left="75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60F26A7"/>
    <w:multiLevelType w:val="hybridMultilevel"/>
    <w:tmpl w:val="301057AE"/>
    <w:lvl w:ilvl="0" w:tplc="1EC022BA">
      <w:start w:val="6"/>
      <w:numFmt w:val="decimal"/>
      <w:lvlText w:val="%1."/>
      <w:lvlJc w:val="left"/>
      <w:pPr>
        <w:ind w:left="14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C6EA63C">
      <w:start w:val="1"/>
      <w:numFmt w:val="lowerLetter"/>
      <w:lvlText w:val="%2"/>
      <w:lvlJc w:val="left"/>
      <w:pPr>
        <w:ind w:left="2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C4E005E">
      <w:start w:val="1"/>
      <w:numFmt w:val="lowerRoman"/>
      <w:lvlText w:val="%3"/>
      <w:lvlJc w:val="left"/>
      <w:pPr>
        <w:ind w:left="3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B0CD2AE">
      <w:start w:val="1"/>
      <w:numFmt w:val="decimal"/>
      <w:lvlText w:val="%4"/>
      <w:lvlJc w:val="left"/>
      <w:pPr>
        <w:ind w:left="38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214A2EC">
      <w:start w:val="1"/>
      <w:numFmt w:val="lowerLetter"/>
      <w:lvlText w:val="%5"/>
      <w:lvlJc w:val="left"/>
      <w:pPr>
        <w:ind w:left="45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0B44300">
      <w:start w:val="1"/>
      <w:numFmt w:val="lowerRoman"/>
      <w:lvlText w:val="%6"/>
      <w:lvlJc w:val="left"/>
      <w:pPr>
        <w:ind w:left="52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B46184E">
      <w:start w:val="1"/>
      <w:numFmt w:val="decimal"/>
      <w:lvlText w:val="%7"/>
      <w:lvlJc w:val="left"/>
      <w:pPr>
        <w:ind w:left="60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04E35E">
      <w:start w:val="1"/>
      <w:numFmt w:val="lowerLetter"/>
      <w:lvlText w:val="%8"/>
      <w:lvlJc w:val="left"/>
      <w:pPr>
        <w:ind w:left="6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D70C574">
      <w:start w:val="1"/>
      <w:numFmt w:val="lowerRoman"/>
      <w:lvlText w:val="%9"/>
      <w:lvlJc w:val="left"/>
      <w:pPr>
        <w:ind w:left="74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F5"/>
    <w:rsid w:val="006024CB"/>
    <w:rsid w:val="00D75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57571-93A1-4552-B218-4321CC0E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16" w:lineRule="auto"/>
      <w:ind w:left="1594" w:firstLine="116"/>
      <w:jc w:val="both"/>
    </w:pPr>
    <w:rPr>
      <w:rFonts w:ascii="Times New Roman" w:eastAsia="Times New Roman" w:hAnsi="Times New Roman" w:cs="Times New Roman"/>
      <w:color w:val="000000"/>
      <w:sz w:val="16"/>
    </w:rPr>
  </w:style>
  <w:style w:type="paragraph" w:styleId="Ttulo1">
    <w:name w:val="heading 1"/>
    <w:next w:val="Normal"/>
    <w:link w:val="Ttulo1Car"/>
    <w:uiPriority w:val="9"/>
    <w:unhideWhenUsed/>
    <w:qFormat/>
    <w:pPr>
      <w:keepNext/>
      <w:keepLines/>
      <w:numPr>
        <w:numId w:val="8"/>
      </w:numPr>
      <w:spacing w:after="1528" w:line="265" w:lineRule="auto"/>
      <w:ind w:left="28" w:hanging="10"/>
      <w:jc w:val="both"/>
      <w:outlineLvl w:val="0"/>
    </w:pPr>
    <w:rPr>
      <w:rFonts w:ascii="Times New Roman" w:eastAsia="Times New Roman" w:hAnsi="Times New Roman" w:cs="Times New Roman"/>
      <w:color w:val="181717"/>
      <w:sz w:val="20"/>
    </w:rPr>
  </w:style>
  <w:style w:type="paragraph" w:styleId="Ttulo2">
    <w:name w:val="heading 2"/>
    <w:next w:val="Normal"/>
    <w:link w:val="Ttulo2Car"/>
    <w:uiPriority w:val="9"/>
    <w:unhideWhenUsed/>
    <w:qFormat/>
    <w:pPr>
      <w:keepNext/>
      <w:keepLines/>
      <w:spacing w:after="1528" w:line="265" w:lineRule="auto"/>
      <w:ind w:left="28" w:hanging="10"/>
      <w:jc w:val="both"/>
      <w:outlineLvl w:val="1"/>
    </w:pPr>
    <w:rPr>
      <w:rFonts w:ascii="Times New Roman" w:eastAsia="Times New Roman" w:hAnsi="Times New Roman" w:cs="Times New Roman"/>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181717"/>
      <w:sz w:val="20"/>
    </w:rPr>
  </w:style>
  <w:style w:type="character" w:customStyle="1" w:styleId="Ttulo2Car">
    <w:name w:val="Título 2 Car"/>
    <w:link w:val="Ttulo2"/>
    <w:rPr>
      <w:rFonts w:ascii="Times New Roman" w:eastAsia="Times New Roman" w:hAnsi="Times New Roman" w:cs="Times New Roman"/>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2024-01-23T13:08:00Z</dcterms:created>
  <dcterms:modified xsi:type="dcterms:W3CDTF">2024-01-23T13:08:00Z</dcterms:modified>
</cp:coreProperties>
</file>