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429" w:rsidRDefault="00534744">
      <w:pPr>
        <w:spacing w:after="430" w:line="513" w:lineRule="auto"/>
        <w:ind w:left="13" w:hanging="10"/>
        <w:jc w:val="left"/>
      </w:pPr>
      <w:bookmarkStart w:id="0" w:name="_GoBack"/>
      <w:bookmarkEnd w:id="0"/>
      <w:r>
        <w:rPr>
          <w:rFonts w:ascii="Arial" w:eastAsia="Arial" w:hAnsi="Arial" w:cs="Arial"/>
          <w:sz w:val="15"/>
        </w:rPr>
        <w:t>17458</w:t>
      </w:r>
    </w:p>
    <w:p w:rsidR="00FC3429" w:rsidRDefault="00534744">
      <w:pPr>
        <w:pStyle w:val="Ttulo1"/>
      </w:pPr>
      <w:r>
        <w:t>CANDELARIA</w:t>
      </w:r>
    </w:p>
    <w:p w:rsidR="00FC3429" w:rsidRDefault="00534744">
      <w:pPr>
        <w:spacing w:after="15" w:line="259" w:lineRule="auto"/>
        <w:ind w:left="122" w:hanging="10"/>
        <w:jc w:val="left"/>
      </w:pPr>
      <w:r>
        <w:rPr>
          <w:b/>
        </w:rPr>
        <w:t>ANUNCIO DE APROBACIÓN DEFINITIVA</w:t>
      </w:r>
    </w:p>
    <w:p w:rsidR="00FC3429" w:rsidRDefault="00534744">
      <w:pPr>
        <w:tabs>
          <w:tab w:val="right" w:pos="4136"/>
        </w:tabs>
        <w:spacing w:after="15" w:line="259" w:lineRule="auto"/>
        <w:ind w:left="-15" w:firstLine="0"/>
        <w:jc w:val="left"/>
      </w:pPr>
      <w:r>
        <w:rPr>
          <w:b/>
        </w:rPr>
        <w:t>5564</w:t>
      </w:r>
      <w:r>
        <w:rPr>
          <w:b/>
        </w:rPr>
        <w:tab/>
        <w:t>95759</w:t>
      </w:r>
    </w:p>
    <w:p w:rsidR="00FC3429" w:rsidRDefault="00534744">
      <w:pPr>
        <w:ind w:left="-15"/>
      </w:pPr>
      <w:r>
        <w:t xml:space="preserve">Esta Administración, aprecia la existencia de error material en la publicación de aprobación definitiva de la modificación de la Ordenanza Fiscal relativa al Impuesto de Vehículos de Tracción Mecánica, en el Boletín Oficial de la Provincia de Tenerife, de </w:t>
      </w:r>
      <w:r>
        <w:t>fecha 6 de noviembre de 2020, al producirse un error en la numeración de los artículos publicados respecto al acuerdo adoptado. Por lo expuesto, debe publicarse la modificación de la Ordenanza Fiscal del Impuesto sobre Vehículos de Tracción Mecánica, con l</w:t>
      </w:r>
      <w:r>
        <w:t>a numeración correlativa de los artículos, tal cual consta en el acuerdo plenario.</w:t>
      </w:r>
    </w:p>
    <w:p w:rsidR="00FC3429" w:rsidRDefault="00534744">
      <w:pPr>
        <w:ind w:left="-15"/>
      </w:pPr>
      <w:r>
        <w:t>ORDENANZA FISCAL REGULADORA DEL IMPUESTO SOBRE VEHÍCULOS DE TRACCIÓN MECÁNICA DEL MUNICIPIO DE CANDELARIA.</w:t>
      </w:r>
    </w:p>
    <w:p w:rsidR="00FC3429" w:rsidRDefault="00534744">
      <w:pPr>
        <w:ind w:left="155" w:firstLine="0"/>
      </w:pPr>
      <w:r>
        <w:t xml:space="preserve">Artículo1. Normativa Aplicable. </w:t>
      </w:r>
    </w:p>
    <w:p w:rsidR="00FC3429" w:rsidRDefault="00534744">
      <w:pPr>
        <w:ind w:left="-15"/>
      </w:pPr>
      <w:r>
        <w:t>Esta entidad local, en uso de las</w:t>
      </w:r>
      <w:r>
        <w:t xml:space="preserve"> facultades contenidas en los artículos 133.2 y 142 de la Constitución Española, de acuerdo con lo dispuesto en los artículos 105 y 106 de la Ley 7/1985, de 2 de abril, Reguladora de las Bases del Régimen Local, y de conformidad con lo establecido en el ar</w:t>
      </w:r>
      <w:r>
        <w:t>tículo 15 en concordancia con el artículo 59.1 Del Real Decreto Legislativo 2/2004, de 5 de marzo, por el que se aprueba el texto refundido de la Ley Reguladora de las Haciendas Locales, regula en éste término municipal el Impuesto sobre Vehículos de Tracc</w:t>
      </w:r>
      <w:r>
        <w:t>ión Mecánica, que se regirá por la presente Ordenanza fiscal, cuyas normas atienden a lo previsto en los artículos 92 a 99 del citado Real Decreto Legislativo 2/2004, de 5 de marzo, por el que se aprueba el tácito refundido de la Ley Reguladora de las Haci</w:t>
      </w:r>
      <w:r>
        <w:t xml:space="preserve">endas Locales. </w:t>
      </w:r>
    </w:p>
    <w:p w:rsidR="00FC3429" w:rsidRDefault="00534744">
      <w:pPr>
        <w:ind w:left="155" w:firstLine="0"/>
      </w:pPr>
      <w:r>
        <w:t xml:space="preserve">Artículo 2. Naturaleza y hecho imponible </w:t>
      </w:r>
    </w:p>
    <w:p w:rsidR="00FC3429" w:rsidRDefault="00534744">
      <w:pPr>
        <w:numPr>
          <w:ilvl w:val="0"/>
          <w:numId w:val="1"/>
        </w:numPr>
      </w:pPr>
      <w:r>
        <w:t xml:space="preserve">El impuesto sobre vehículos de tracción mecánicaes un tributo directo, que grava la titularidad de los vehículos de esta naturaleza, aptos para circular por las vías públicas, cualquiera que sea su </w:t>
      </w:r>
      <w:r>
        <w:t xml:space="preserve">clase y categoría. </w:t>
      </w:r>
    </w:p>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FC3429">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FC3429" w:rsidRDefault="00534744">
            <w:pPr>
              <w:spacing w:after="0" w:line="259" w:lineRule="auto"/>
              <w:ind w:firstLine="0"/>
              <w:jc w:val="center"/>
            </w:pPr>
            <w:r>
              <w:rPr>
                <w:rFonts w:ascii="Arial" w:eastAsia="Arial" w:hAnsi="Arial" w:cs="Arial"/>
                <w:b/>
                <w:color w:val="000000"/>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FC3429" w:rsidRDefault="00534744">
            <w:pPr>
              <w:spacing w:after="0" w:line="259" w:lineRule="auto"/>
              <w:ind w:left="5" w:firstLine="0"/>
              <w:jc w:val="left"/>
            </w:pPr>
            <w:r>
              <w:rPr>
                <w:rFonts w:ascii="Arial" w:eastAsia="Arial" w:hAnsi="Arial" w:cs="Arial"/>
                <w:color w:val="000000"/>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FC3429" w:rsidRDefault="00534744">
            <w:pPr>
              <w:spacing w:after="0" w:line="259" w:lineRule="auto"/>
              <w:ind w:left="5" w:firstLine="0"/>
              <w:jc w:val="left"/>
            </w:pPr>
            <w:r>
              <w:rPr>
                <w:rFonts w:ascii="Arial" w:eastAsia="Arial" w:hAnsi="Arial" w:cs="Arial"/>
                <w:color w:val="000000"/>
                <w:sz w:val="12"/>
              </w:rPr>
              <w:t>Fecha: 30-08-2021 08:34:59</w:t>
            </w:r>
          </w:p>
        </w:tc>
        <w:tc>
          <w:tcPr>
            <w:tcW w:w="1600" w:type="dxa"/>
            <w:vMerge w:val="restart"/>
            <w:tcBorders>
              <w:top w:val="single" w:sz="4" w:space="0" w:color="000000"/>
              <w:left w:val="single" w:sz="4" w:space="0" w:color="000000"/>
              <w:bottom w:val="single" w:sz="4" w:space="0" w:color="000000"/>
              <w:right w:val="single" w:sz="4" w:space="0" w:color="000000"/>
            </w:tcBorders>
          </w:tcPr>
          <w:p w:rsidR="00FC3429" w:rsidRDefault="00534744">
            <w:pPr>
              <w:spacing w:after="0" w:line="259" w:lineRule="auto"/>
              <w:ind w:left="290" w:firstLine="0"/>
              <w:jc w:val="left"/>
            </w:pPr>
            <w:r>
              <w:rPr>
                <w:noProof/>
              </w:rPr>
              <w:drawing>
                <wp:inline distT="0" distB="0" distL="0" distR="0">
                  <wp:extent cx="571500" cy="5715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
                          <a:stretch>
                            <a:fillRect/>
                          </a:stretch>
                        </pic:blipFill>
                        <pic:spPr>
                          <a:xfrm>
                            <a:off x="0" y="0"/>
                            <a:ext cx="571500" cy="571500"/>
                          </a:xfrm>
                          <a:prstGeom prst="rect">
                            <a:avLst/>
                          </a:prstGeom>
                        </pic:spPr>
                      </pic:pic>
                    </a:graphicData>
                  </a:graphic>
                </wp:inline>
              </w:drawing>
            </w:r>
          </w:p>
        </w:tc>
      </w:tr>
      <w:tr w:rsidR="00FC3429">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FC3429" w:rsidRDefault="00534744">
            <w:pPr>
              <w:spacing w:after="51" w:line="259" w:lineRule="auto"/>
              <w:ind w:firstLine="0"/>
              <w:jc w:val="center"/>
            </w:pPr>
            <w:r>
              <w:rPr>
                <w:rFonts w:ascii="Arial" w:eastAsia="Arial" w:hAnsi="Arial" w:cs="Arial"/>
                <w:color w:val="000000"/>
                <w:sz w:val="12"/>
              </w:rPr>
              <w:t>Código Seguro de Verificación (CSV): 8F4E90A6F1A7EE6592BA928C5D298AFF</w:t>
            </w:r>
          </w:p>
          <w:p w:rsidR="00FC3429" w:rsidRDefault="00534744">
            <w:pPr>
              <w:spacing w:after="0" w:line="259" w:lineRule="auto"/>
              <w:ind w:firstLine="0"/>
              <w:jc w:val="center"/>
            </w:pPr>
            <w:r>
              <w:rPr>
                <w:rFonts w:ascii="Arial" w:eastAsia="Arial" w:hAnsi="Arial" w:cs="Arial"/>
                <w:color w:val="000000"/>
                <w:sz w:val="12"/>
              </w:rPr>
              <w:t>Comprobación CSV:  https://sedeelectronica.candelaria.es//publico/documento/8F4E90A6F1A7EE6592BA928C5D298AFF .</w:t>
            </w:r>
          </w:p>
        </w:tc>
        <w:tc>
          <w:tcPr>
            <w:tcW w:w="0" w:type="auto"/>
            <w:vMerge/>
            <w:tcBorders>
              <w:top w:val="nil"/>
              <w:left w:val="single" w:sz="4" w:space="0" w:color="000000"/>
              <w:bottom w:val="nil"/>
              <w:right w:val="single" w:sz="4" w:space="0" w:color="000000"/>
            </w:tcBorders>
          </w:tcPr>
          <w:p w:rsidR="00FC3429" w:rsidRDefault="00FC3429">
            <w:pPr>
              <w:spacing w:after="160" w:line="259" w:lineRule="auto"/>
              <w:ind w:firstLine="0"/>
              <w:jc w:val="left"/>
            </w:pPr>
          </w:p>
        </w:tc>
      </w:tr>
      <w:tr w:rsidR="00FC3429">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FC3429" w:rsidRDefault="00534744">
            <w:pPr>
              <w:tabs>
                <w:tab w:val="center" w:pos="5173"/>
                <w:tab w:val="right" w:pos="9180"/>
              </w:tabs>
              <w:spacing w:after="0" w:line="259" w:lineRule="auto"/>
              <w:ind w:firstLine="0"/>
              <w:jc w:val="left"/>
            </w:pPr>
            <w:r>
              <w:rPr>
                <w:rFonts w:ascii="Arial" w:eastAsia="Arial" w:hAnsi="Arial" w:cs="Arial"/>
                <w:color w:val="000000"/>
                <w:sz w:val="12"/>
              </w:rPr>
              <w:t xml:space="preserve">Fecha de sellado electrónico: 30-08-2021 08:34:59                </w:t>
            </w:r>
            <w:r>
              <w:rPr>
                <w:rFonts w:ascii="Arial" w:eastAsia="Arial" w:hAnsi="Arial" w:cs="Arial"/>
                <w:color w:val="000000"/>
                <w:sz w:val="12"/>
              </w:rPr>
              <w:tab/>
            </w:r>
            <w:r>
              <w:rPr>
                <w:rFonts w:ascii="Arial" w:eastAsia="Arial" w:hAnsi="Arial" w:cs="Arial"/>
                <w:color w:val="404040"/>
                <w:sz w:val="12"/>
              </w:rPr>
              <w:t>- 1/5 -</w:t>
            </w:r>
            <w:r>
              <w:rPr>
                <w:rFonts w:ascii="Arial" w:eastAsia="Arial" w:hAnsi="Arial" w:cs="Arial"/>
                <w:color w:val="404040"/>
                <w:sz w:val="12"/>
              </w:rPr>
              <w:tab/>
            </w:r>
            <w:r>
              <w:rPr>
                <w:rFonts w:ascii="Arial" w:eastAsia="Arial" w:hAnsi="Arial" w:cs="Arial"/>
                <w:color w:val="000000"/>
                <w:sz w:val="12"/>
              </w:rPr>
              <w:t>Fecha de emisión de esta copia: 23-01-2024 13:10:10</w:t>
            </w:r>
          </w:p>
        </w:tc>
        <w:tc>
          <w:tcPr>
            <w:tcW w:w="0" w:type="auto"/>
            <w:vMerge/>
            <w:tcBorders>
              <w:top w:val="nil"/>
              <w:left w:val="single" w:sz="4" w:space="0" w:color="000000"/>
              <w:bottom w:val="single" w:sz="4" w:space="0" w:color="000000"/>
              <w:right w:val="single" w:sz="4" w:space="0" w:color="000000"/>
            </w:tcBorders>
          </w:tcPr>
          <w:p w:rsidR="00FC3429" w:rsidRDefault="00FC3429">
            <w:pPr>
              <w:spacing w:after="160" w:line="259" w:lineRule="auto"/>
              <w:ind w:firstLine="0"/>
              <w:jc w:val="left"/>
            </w:pPr>
          </w:p>
        </w:tc>
      </w:tr>
    </w:tbl>
    <w:p w:rsidR="00FC3429" w:rsidRDefault="00534744">
      <w:pPr>
        <w:numPr>
          <w:ilvl w:val="0"/>
          <w:numId w:val="1"/>
        </w:numPr>
      </w:pPr>
      <w:r>
        <w:t xml:space="preserve">Se considera vehículo apto para la circulación elque haya estado matriculado en los </w:t>
      </w:r>
      <w:r>
        <w:lastRenderedPageBreak/>
        <w:t>registros públicos correspondientes y mientras no haya causado baja. A los efectos de este impuesto también se consideran</w:t>
      </w:r>
    </w:p>
    <w:p w:rsidR="00FC3429" w:rsidRDefault="00534744">
      <w:pPr>
        <w:ind w:left="-15" w:firstLine="0"/>
      </w:pPr>
      <w:r>
        <w:t>aptos los vehículos provistos de permisos temporal</w:t>
      </w:r>
      <w:r>
        <w:t xml:space="preserve">es y matrícula turística. </w:t>
      </w:r>
    </w:p>
    <w:p w:rsidR="00FC3429" w:rsidRDefault="00534744">
      <w:pPr>
        <w:numPr>
          <w:ilvl w:val="0"/>
          <w:numId w:val="1"/>
        </w:numPr>
      </w:pPr>
      <w:r>
        <w:t xml:space="preserve">No están sujetos a este impuesto: </w:t>
      </w:r>
    </w:p>
    <w:p w:rsidR="00FC3429" w:rsidRDefault="00534744">
      <w:pPr>
        <w:numPr>
          <w:ilvl w:val="0"/>
          <w:numId w:val="2"/>
        </w:numPr>
      </w:pPr>
      <w:r>
        <w:t>Los vehículos que, habiendo sido dados de bajaen el Registro de Tráfico por antigüedad de su modelo, puedan ser autorizados para circular excepcionalmente con ocasión de exhibiciones, certámenes</w:t>
      </w:r>
      <w:r>
        <w:t xml:space="preserve"> o carreras limitadas a los de esta naturaleza. </w:t>
      </w:r>
    </w:p>
    <w:p w:rsidR="00FC3429" w:rsidRDefault="00534744">
      <w:pPr>
        <w:numPr>
          <w:ilvl w:val="0"/>
          <w:numId w:val="2"/>
        </w:numPr>
      </w:pPr>
      <w:r>
        <w:t xml:space="preserve">Los remolques y semirremolques arrastradospor vehículos de tracción mecánica cuya carga útil no sea superior a 750 Kilogramos. </w:t>
      </w:r>
    </w:p>
    <w:p w:rsidR="00FC3429" w:rsidRDefault="00534744">
      <w:pPr>
        <w:ind w:left="155" w:firstLine="0"/>
      </w:pPr>
      <w:r>
        <w:t xml:space="preserve">Artículo 3. Sujetos pasivos </w:t>
      </w:r>
    </w:p>
    <w:p w:rsidR="00FC3429" w:rsidRDefault="00534744">
      <w:pPr>
        <w:ind w:left="-15"/>
      </w:pPr>
      <w:r>
        <w:t>1. Son sujetos pasivos de este impuesto las person</w:t>
      </w:r>
      <w:r>
        <w:t xml:space="preserve">as físicas o jurídicas y las entidades a que se refiere el artículo 35.4 de la Ley 58/2003, de 17 de diciembre, General Tributaria, a cuyo nombre conste el vehículo en el permiso de circulación. </w:t>
      </w:r>
    </w:p>
    <w:p w:rsidR="00FC3429" w:rsidRDefault="00534744">
      <w:pPr>
        <w:ind w:left="155" w:firstLine="0"/>
      </w:pPr>
      <w:r>
        <w:t xml:space="preserve">Artículo 4. Exenciones </w:t>
      </w:r>
    </w:p>
    <w:p w:rsidR="00FC3429" w:rsidRDefault="00534744">
      <w:pPr>
        <w:ind w:left="155" w:firstLine="0"/>
      </w:pPr>
      <w:r>
        <w:t>1. Estarán exentos de este impuesto:</w:t>
      </w:r>
      <w:r>
        <w:t xml:space="preserve"> </w:t>
      </w:r>
    </w:p>
    <w:p w:rsidR="00FC3429" w:rsidRDefault="00534744">
      <w:pPr>
        <w:numPr>
          <w:ilvl w:val="0"/>
          <w:numId w:val="3"/>
        </w:numPr>
      </w:pPr>
      <w:r>
        <w:t xml:space="preserve">Los vehículos oficiales del Estado, ComunidadesAutónomas y Entidades Locales adscritos a la defensa nacional o la seguridad ciudadana. </w:t>
      </w:r>
    </w:p>
    <w:p w:rsidR="00FC3429" w:rsidRDefault="00534744">
      <w:pPr>
        <w:numPr>
          <w:ilvl w:val="0"/>
          <w:numId w:val="3"/>
        </w:numPr>
      </w:pPr>
      <w:r>
        <w:t xml:space="preserve">Los vehículos de representaciones </w:t>
      </w:r>
      <w:proofErr w:type="gramStart"/>
      <w:r>
        <w:t>diplomáticas,oficinas</w:t>
      </w:r>
      <w:proofErr w:type="gramEnd"/>
      <w:r>
        <w:t xml:space="preserve"> consulares, agentes diplomáticos y funcionarios consulares de </w:t>
      </w:r>
      <w:r>
        <w:t xml:space="preserve">carrera acreditados en España, que sean súbditos de los respectivos países, identificados externamente y a condición de reciprocidad en su extensión y grado. </w:t>
      </w:r>
    </w:p>
    <w:p w:rsidR="00FC3429" w:rsidRDefault="00534744">
      <w:pPr>
        <w:spacing w:after="4"/>
        <w:ind w:left="155" w:firstLine="0"/>
      </w:pPr>
      <w:r>
        <w:t>Asimismo, los vehículos de los Organismos</w:t>
      </w:r>
    </w:p>
    <w:p w:rsidR="00FC3429" w:rsidRDefault="00534744">
      <w:pPr>
        <w:ind w:left="-15" w:firstLine="0"/>
      </w:pPr>
      <w:r>
        <w:t xml:space="preserve">Internacionales con sede u oficina en España y de sus funcionarios o miembros con estatuto diplomático. </w:t>
      </w:r>
    </w:p>
    <w:p w:rsidR="00FC3429" w:rsidRDefault="00534744">
      <w:pPr>
        <w:numPr>
          <w:ilvl w:val="0"/>
          <w:numId w:val="3"/>
        </w:numPr>
        <w:spacing w:after="4"/>
      </w:pPr>
      <w:r>
        <w:t>Los vehículos respecto de los cuales así se derive</w:t>
      </w:r>
    </w:p>
    <w:p w:rsidR="00FC3429" w:rsidRDefault="00534744">
      <w:pPr>
        <w:ind w:left="-15" w:firstLine="0"/>
      </w:pPr>
      <w:r>
        <w:t xml:space="preserve">de lo dispuesto en Tratados o Convenios Internacionales. </w:t>
      </w:r>
    </w:p>
    <w:p w:rsidR="00FC3429" w:rsidRDefault="00534744">
      <w:pPr>
        <w:numPr>
          <w:ilvl w:val="0"/>
          <w:numId w:val="3"/>
        </w:numPr>
      </w:pPr>
      <w:r>
        <w:lastRenderedPageBreak/>
        <w:t>Las ambulancias y demás vehículos directam</w:t>
      </w:r>
      <w:r>
        <w:t xml:space="preserve">entedestinados a la asistencia sanitaria o al traslado de heridos y enfermos. </w:t>
      </w:r>
    </w:p>
    <w:p w:rsidR="00FC3429" w:rsidRDefault="00534744">
      <w:pPr>
        <w:numPr>
          <w:ilvl w:val="0"/>
          <w:numId w:val="3"/>
        </w:numPr>
        <w:spacing w:after="0"/>
      </w:pPr>
      <w:r>
        <w:t>Los vehículos para personas de movilidad reducidaa que se refiere el apartado A del anexo II del Reglamento General de Vehículos, aprobado por Real</w:t>
      </w:r>
    </w:p>
    <w:p w:rsidR="00FC3429" w:rsidRDefault="00534744">
      <w:pPr>
        <w:ind w:left="-15" w:firstLine="0"/>
      </w:pPr>
      <w:r>
        <w:t xml:space="preserve">Decreto 2822/1998, de 23 de diciembre </w:t>
      </w:r>
    </w:p>
    <w:tbl>
      <w:tblPr>
        <w:tblStyle w:val="TableGrid"/>
        <w:tblpPr w:vertAnchor="text" w:horzAnchor="margin"/>
        <w:tblOverlap w:val="never"/>
        <w:tblW w:w="8832" w:type="dxa"/>
        <w:tblInd w:w="0" w:type="dxa"/>
        <w:tblCellMar>
          <w:top w:w="12" w:type="dxa"/>
          <w:left w:w="18" w:type="dxa"/>
          <w:bottom w:w="0" w:type="dxa"/>
          <w:right w:w="79" w:type="dxa"/>
        </w:tblCellMar>
        <w:tblLook w:val="04A0" w:firstRow="1" w:lastRow="0" w:firstColumn="1" w:lastColumn="0" w:noHBand="0" w:noVBand="1"/>
      </w:tblPr>
      <w:tblGrid>
        <w:gridCol w:w="8832"/>
      </w:tblGrid>
      <w:tr w:rsidR="00FC3429">
        <w:trPr>
          <w:trHeight w:val="154"/>
        </w:trPr>
        <w:tc>
          <w:tcPr>
            <w:tcW w:w="8735" w:type="dxa"/>
            <w:tcBorders>
              <w:top w:val="nil"/>
              <w:left w:val="nil"/>
              <w:bottom w:val="nil"/>
              <w:right w:val="nil"/>
            </w:tcBorders>
          </w:tcPr>
          <w:p w:rsidR="00FC3429" w:rsidRDefault="00534744">
            <w:pPr>
              <w:tabs>
                <w:tab w:val="right" w:pos="8735"/>
              </w:tabs>
              <w:spacing w:after="0" w:line="259" w:lineRule="auto"/>
              <w:ind w:firstLine="0"/>
              <w:jc w:val="left"/>
            </w:pPr>
            <w:r>
              <w:rPr>
                <w:rFonts w:ascii="Arial" w:eastAsia="Arial" w:hAnsi="Arial" w:cs="Arial"/>
                <w:sz w:val="15"/>
              </w:rPr>
              <w:t>Boletín Oficial de la Provincia de Santa Cruz de Tenerife núm. 154, miércoles 23 de diciembre de 2020</w:t>
            </w:r>
            <w:r>
              <w:rPr>
                <w:rFonts w:ascii="Arial" w:eastAsia="Arial" w:hAnsi="Arial" w:cs="Arial"/>
                <w:sz w:val="15"/>
              </w:rPr>
              <w:tab/>
              <w:t>17459</w:t>
            </w:r>
          </w:p>
        </w:tc>
      </w:tr>
    </w:tbl>
    <w:p w:rsidR="00FC3429" w:rsidRDefault="00534744">
      <w:pPr>
        <w:ind w:left="-15"/>
      </w:pPr>
      <w:r>
        <w:t>Asimismo, están exentos los vehículos matriculados a nombre de personas con discapacidad para su uso exclusi</w:t>
      </w:r>
      <w:r>
        <w:t>vo, considerándose a estos efectos persona con discapacidad quienes tengan esa condición legal en grado igual o superior al 33 por 100. Esta exención se aplicará en tanto se mantengan dichas circunstancias, tanto a los vehículos conducidos por personas con</w:t>
      </w:r>
      <w:r>
        <w:t xml:space="preserve"> discapacidad como a los destinados a su transporte. </w:t>
      </w:r>
    </w:p>
    <w:p w:rsidR="00FC3429" w:rsidRDefault="00534744">
      <w:pPr>
        <w:spacing w:after="219" w:line="251" w:lineRule="auto"/>
        <w:ind w:left="-15"/>
        <w:jc w:val="left"/>
      </w:pPr>
      <w:r>
        <w:t xml:space="preserve">Las exenciones previstas en los dos párrafos anteriores no resultarán aplicables a los sujetos pasivos beneficiarios de las mismas por más de un vehículo simultáneamente. </w:t>
      </w:r>
    </w:p>
    <w:p w:rsidR="00FC3429" w:rsidRDefault="00534744">
      <w:pPr>
        <w:numPr>
          <w:ilvl w:val="0"/>
          <w:numId w:val="3"/>
        </w:numPr>
      </w:pPr>
      <w:r>
        <w:t>Los autobuses, microbuses y de</w:t>
      </w:r>
      <w:r>
        <w:t xml:space="preserve">más vehículosdestinados o adscritos al servicio de transporte público urbano, siempre que tengan una capacidad que exceda de nueve plazas, incluida la del conductor. </w:t>
      </w:r>
    </w:p>
    <w:p w:rsidR="00FC3429" w:rsidRDefault="00534744">
      <w:pPr>
        <w:numPr>
          <w:ilvl w:val="0"/>
          <w:numId w:val="3"/>
        </w:numPr>
        <w:spacing w:after="219" w:line="251" w:lineRule="auto"/>
      </w:pPr>
      <w:r>
        <w:t>Los tractores, remolques, semirremolques ymaquinaria provistos de la Cartilla de Inspecci</w:t>
      </w:r>
      <w:r>
        <w:t xml:space="preserve">ón Agrícola. </w:t>
      </w:r>
    </w:p>
    <w:p w:rsidR="00FC3429" w:rsidRDefault="00534744">
      <w:pPr>
        <w:ind w:left="-15"/>
      </w:pPr>
      <w:r>
        <w:t>2. Para poder aplicar las exenciones a que se refieren las letras e) y g) del apartado anterior, los interesados deberán solicitar su concesión indicando las características del vehículo, su matrícula y la causa del beneficio, acompañando la siguiente docu</w:t>
      </w:r>
      <w:r>
        <w:t xml:space="preserve">mentación: </w:t>
      </w:r>
    </w:p>
    <w:p w:rsidR="00FC3429" w:rsidRDefault="00534744">
      <w:pPr>
        <w:ind w:left="-15"/>
      </w:pPr>
      <w:r>
        <w:t xml:space="preserve">a) En el supuesto de vehículos para personas de movilidad reducida o matriculados a nombre de personas con discapacidad para su uso exclusivo: </w:t>
      </w:r>
    </w:p>
    <w:p w:rsidR="00FC3429" w:rsidRDefault="00534744">
      <w:pPr>
        <w:numPr>
          <w:ilvl w:val="0"/>
          <w:numId w:val="4"/>
        </w:numPr>
      </w:pPr>
      <w:r>
        <w:t xml:space="preserve">Copia del Certificado de Características Técnicasdel Vehículo </w:t>
      </w:r>
    </w:p>
    <w:p w:rsidR="00FC3429" w:rsidRDefault="00534744">
      <w:pPr>
        <w:numPr>
          <w:ilvl w:val="0"/>
          <w:numId w:val="4"/>
        </w:numPr>
      </w:pPr>
      <w:r>
        <w:t>Copia de la declaración administrativ</w:t>
      </w:r>
      <w:r>
        <w:t xml:space="preserve">a y calificaciónde grado de discapacidad expedida por organismo competente. </w:t>
      </w:r>
    </w:p>
    <w:p w:rsidR="00FC3429" w:rsidRDefault="00534744">
      <w:pPr>
        <w:ind w:left="-15"/>
      </w:pPr>
      <w:r>
        <w:t xml:space="preserve">b) En el supuesto de tractores, remolques, semirremolques y maquinaria provistos de Cartilla de Inspección Agrícola: </w:t>
      </w:r>
    </w:p>
    <w:p w:rsidR="00FC3429" w:rsidRDefault="00534744">
      <w:pPr>
        <w:ind w:left="-15"/>
      </w:pPr>
      <w:r>
        <w:lastRenderedPageBreak/>
        <w:t>• Copia de la Cartilla de Inspección Agrícola expedida a nomb</w:t>
      </w:r>
      <w:r>
        <w:t xml:space="preserve">re del titular de vehículo. </w:t>
      </w:r>
    </w:p>
    <w:p w:rsidR="00FC3429" w:rsidRDefault="00534744">
      <w:pPr>
        <w:ind w:left="-15"/>
      </w:pPr>
      <w:r>
        <w:t xml:space="preserve">El reconocimiento de estos beneficios fiscales rogados surtirá efectos a partir del ejercicio siguiente al de la solicitud. </w:t>
      </w:r>
    </w:p>
    <w:p w:rsidR="00FC3429" w:rsidRDefault="00534744">
      <w:pPr>
        <w:ind w:left="155" w:firstLine="0"/>
      </w:pPr>
      <w:r>
        <w:t xml:space="preserve">Artículo 5. Bonificaciones </w:t>
      </w:r>
    </w:p>
    <w:p w:rsidR="00FC3429" w:rsidRDefault="00534744">
      <w:pPr>
        <w:numPr>
          <w:ilvl w:val="0"/>
          <w:numId w:val="5"/>
        </w:numPr>
      </w:pPr>
      <w:r>
        <w:t>Gozarán de una bonificación del 100 por ciento</w:t>
      </w:r>
    </w:p>
    <w:p w:rsidR="00FC3429" w:rsidRDefault="00534744">
      <w:pPr>
        <w:ind w:left="-15" w:firstLine="0"/>
      </w:pPr>
      <w:r>
        <w:t>de la cuota del impuesto lo</w:t>
      </w:r>
      <w:r>
        <w:t xml:space="preserve">s vehículos catalogados como históricos, de acuerdo con su normativa reguladora. </w:t>
      </w:r>
    </w:p>
    <w:p w:rsidR="00FC3429" w:rsidRDefault="00534744">
      <w:pPr>
        <w:numPr>
          <w:ilvl w:val="0"/>
          <w:numId w:val="5"/>
        </w:numPr>
      </w:pPr>
      <w:r>
        <w:t>Gozarán de una bonificación del 100 por cientoen la cuota tributaria del impuesto a favor de los titulares de vehículos que tengan una antigüedad superior a 25 años, contados</w:t>
      </w:r>
      <w:r>
        <w:t xml:space="preserve"> a partir de la fecha de su fabricación o, si ésta no se conociera, tomando como tal la de su primera matriculación o, en su defecto, la fecha en que el correspondiente tipo o variante se dejó de fabricar. A este respecto será requisito necesario que el ve</w:t>
      </w:r>
      <w:r>
        <w:t xml:space="preserve">hículo haya superado la inspección técnica del vehículo que le corresponda de conformidad a la normativa de aplicación </w:t>
      </w:r>
    </w:p>
    <w:p w:rsidR="00FC3429" w:rsidRDefault="00534744">
      <w:pPr>
        <w:numPr>
          <w:ilvl w:val="0"/>
          <w:numId w:val="5"/>
        </w:numPr>
      </w:pPr>
      <w:r>
        <w:t>Gozarán de una bonificación del 75 por cientode la tarifa, en función del carburante que consuman o de las características de sus motore</w:t>
      </w:r>
      <w:r>
        <w:t xml:space="preserve">s, por su incidencia en el medio ambiente, los siguientes vehículos: </w:t>
      </w:r>
    </w:p>
    <w:p w:rsidR="00FC3429" w:rsidRDefault="00534744">
      <w:pPr>
        <w:ind w:left="-15"/>
      </w:pPr>
      <w:r>
        <w:t xml:space="preserve">- Los clasificados como vehículos eléctricos de batería (BEV), vehículo eléctrico de autonomía extendida (REEV), vehículo eléctrico híbrido enchufable (PHEV) con una autonomía mínima de </w:t>
      </w:r>
      <w:r>
        <w:t xml:space="preserve">40 kilómetros o vehículos de pila de combustible. (Etiqueta Ambiental 0 Azul) </w:t>
      </w:r>
    </w:p>
    <w:p w:rsidR="00FC3429" w:rsidRDefault="00534744">
      <w:pPr>
        <w:ind w:left="-15"/>
      </w:pPr>
      <w:r>
        <w:t xml:space="preserve">4. Gozarán de una bonificación del 50 por ciento de la tarifa, durante 6 años, en función del carburante que consuman o de las características de sus motores, por su incidencia </w:t>
      </w:r>
      <w:r>
        <w:t xml:space="preserve">en el medio ambiente, los siguientes vehículos: </w:t>
      </w:r>
    </w:p>
    <w:p w:rsidR="00FC3429" w:rsidRDefault="00534744">
      <w:pPr>
        <w:numPr>
          <w:ilvl w:val="0"/>
          <w:numId w:val="6"/>
        </w:numPr>
      </w:pPr>
      <w:r>
        <w:t>Los clasificados como vehículos híbridos enchufablescon autonomía &lt;40km, vehículos híbridos no enchufables (HEV), vehículos propulsados por gas natural, vehículos propulsados por gas natural comprimido (GNC)</w:t>
      </w:r>
      <w:r>
        <w:t xml:space="preserve"> o gas licuado del petróleo (GLP). </w:t>
      </w:r>
    </w:p>
    <w:p w:rsidR="00FC3429" w:rsidRDefault="00534744">
      <w:pPr>
        <w:numPr>
          <w:ilvl w:val="0"/>
          <w:numId w:val="6"/>
        </w:numPr>
      </w:pPr>
      <w:r>
        <w:t xml:space="preserve">Los vehículos de más de 8 plazas y transporte demercancías, clasificados como híbridos </w:t>
      </w:r>
      <w:r>
        <w:lastRenderedPageBreak/>
        <w:t>enchufables con autonomía &lt;40km, híbridos no enchufables (HEV), propulsados por gas natural comprimido (GNC), gas natural licuado (GN</w:t>
      </w:r>
      <w:r>
        <w:t xml:space="preserve">L) o gas licuado del petróleo (GLP). </w:t>
      </w:r>
    </w:p>
    <w:p w:rsidR="00FC3429" w:rsidRDefault="00534744">
      <w:pPr>
        <w:numPr>
          <w:ilvl w:val="0"/>
          <w:numId w:val="6"/>
        </w:numPr>
      </w:pPr>
      <w:r>
        <w:t xml:space="preserve">Los Vehículos ligeros (categoría L), como vehículoshíbridos enchufables (PHEV) con autonomía &lt;40Km o vehículos híbridos no enchufables (HEV). (Etiqueta Ambiental Eco). </w:t>
      </w:r>
    </w:p>
    <w:p w:rsidR="00FC3429" w:rsidRDefault="00534744">
      <w:pPr>
        <w:numPr>
          <w:ilvl w:val="0"/>
          <w:numId w:val="7"/>
        </w:numPr>
      </w:pPr>
      <w:r>
        <w:t>Gozarán de una bonificación del 25% los Turismosy</w:t>
      </w:r>
      <w:r>
        <w:t xml:space="preserve"> comerciales ligeros, clasificados en el Registro de</w:t>
      </w:r>
    </w:p>
    <w:p w:rsidR="00FC3429" w:rsidRDefault="00FC3429">
      <w:pPr>
        <w:sectPr w:rsidR="00FC3429">
          <w:headerReference w:type="even" r:id="rId8"/>
          <w:headerReference w:type="default" r:id="rId9"/>
          <w:footerReference w:type="even" r:id="rId10"/>
          <w:footerReference w:type="default" r:id="rId11"/>
          <w:headerReference w:type="first" r:id="rId12"/>
          <w:footerReference w:type="first" r:id="rId13"/>
          <w:pgSz w:w="11900" w:h="16840"/>
          <w:pgMar w:top="1226" w:right="1556" w:bottom="400" w:left="1557" w:header="1095" w:footer="720" w:gutter="0"/>
          <w:cols w:num="2" w:space="514"/>
          <w:titlePg/>
        </w:sectPr>
      </w:pPr>
    </w:p>
    <w:p w:rsidR="00FC3429" w:rsidRDefault="00534744">
      <w:pPr>
        <w:spacing w:after="430" w:line="513" w:lineRule="auto"/>
        <w:ind w:left="13" w:hanging="10"/>
        <w:jc w:val="left"/>
      </w:pPr>
      <w:r>
        <w:rPr>
          <w:rFonts w:ascii="Arial" w:eastAsia="Arial" w:hAnsi="Arial" w:cs="Arial"/>
          <w:sz w:val="15"/>
        </w:rPr>
        <w:t>17460</w:t>
      </w:r>
    </w:p>
    <w:p w:rsidR="00FC3429" w:rsidRDefault="00534744">
      <w:pPr>
        <w:ind w:left="-15" w:firstLine="0"/>
      </w:pPr>
      <w:r>
        <w:t>Vehículos como gasolina con nivel de emisiones Euro 4/IV, 5/V o 6/VI o diésel EURO 6/VI. Vehículos de más de 8 plazas y transporte de mercancías, clasificados en el Registro de vehículos con nivel de emisiones Euro 6/VI, independientemente del tipo de comb</w:t>
      </w:r>
      <w:r>
        <w:t xml:space="preserve">ustible. Las motos y ciclomotores Euro 4 y Euro 3. </w:t>
      </w:r>
    </w:p>
    <w:p w:rsidR="00FC3429" w:rsidRDefault="00534744">
      <w:pPr>
        <w:numPr>
          <w:ilvl w:val="0"/>
          <w:numId w:val="7"/>
        </w:numPr>
      </w:pPr>
      <w:r>
        <w:t xml:space="preserve">Para poder gozar de estas bonificaciones, los interesados deberán instar su concesión, a excepción de lascontempladas en los apartados 1 y 2, que se aplicarán de oficio. </w:t>
      </w:r>
    </w:p>
    <w:p w:rsidR="00FC3429" w:rsidRDefault="00534744">
      <w:pPr>
        <w:ind w:left="-15"/>
      </w:pPr>
      <w:r>
        <w:t>El reconocimiento de los benefici</w:t>
      </w:r>
      <w:r>
        <w:t xml:space="preserve">os fiscales rogados surtirá efectos a partir del ejercicio siguiente al de la solicitud. </w:t>
      </w:r>
    </w:p>
    <w:p w:rsidR="00FC3429" w:rsidRDefault="00534744">
      <w:pPr>
        <w:ind w:left="155" w:firstLine="0"/>
      </w:pPr>
      <w:r>
        <w:t xml:space="preserve">Artículo 6. Tarifas </w:t>
      </w:r>
    </w:p>
    <w:p w:rsidR="00FC3429" w:rsidRDefault="00534744">
      <w:pPr>
        <w:numPr>
          <w:ilvl w:val="0"/>
          <w:numId w:val="8"/>
        </w:numPr>
      </w:pPr>
      <w:r>
        <w:t>Las cuotas del cuadro de tarifas del impuesto fijadas en el artículo 95 del del Real Decreto Legislativo 2/2004 de 5 de marzo, por el que se aprueba el Texto Refundido de la Ley Reguladora de las Haciendas Locales (TRLHL), se incrementarán por aplicación s</w:t>
      </w:r>
      <w:r>
        <w:t xml:space="preserve">obre las mismas del coeficiente 1,33%. </w:t>
      </w:r>
    </w:p>
    <w:p w:rsidR="00FC3429" w:rsidRDefault="00534744">
      <w:pPr>
        <w:numPr>
          <w:ilvl w:val="0"/>
          <w:numId w:val="8"/>
        </w:numPr>
        <w:spacing w:after="35"/>
      </w:pPr>
      <w:r>
        <w:t>Por aplicación de lo previsto en el apartado anterior, el cuadro de tarifas aplicables en este municipio seráel siguiente:</w:t>
      </w:r>
    </w:p>
    <w:tbl>
      <w:tblPr>
        <w:tblStyle w:val="TableGrid"/>
        <w:tblW w:w="8605" w:type="dxa"/>
        <w:tblInd w:w="155" w:type="dxa"/>
        <w:tblCellMar>
          <w:top w:w="0" w:type="dxa"/>
          <w:left w:w="0" w:type="dxa"/>
          <w:bottom w:w="0" w:type="dxa"/>
          <w:right w:w="0" w:type="dxa"/>
        </w:tblCellMar>
        <w:tblLook w:val="04A0" w:firstRow="1" w:lastRow="0" w:firstColumn="1" w:lastColumn="0" w:noHBand="0" w:noVBand="1"/>
      </w:tblPr>
      <w:tblGrid>
        <w:gridCol w:w="121"/>
        <w:gridCol w:w="7828"/>
        <w:gridCol w:w="99"/>
        <w:gridCol w:w="557"/>
      </w:tblGrid>
      <w:tr w:rsidR="00FC3429">
        <w:trPr>
          <w:gridBefore w:val="1"/>
          <w:wBefore w:w="137" w:type="dxa"/>
          <w:trHeight w:val="322"/>
        </w:trPr>
        <w:tc>
          <w:tcPr>
            <w:tcW w:w="7953" w:type="dxa"/>
            <w:tcBorders>
              <w:top w:val="nil"/>
              <w:left w:val="nil"/>
              <w:bottom w:val="nil"/>
              <w:right w:val="nil"/>
            </w:tcBorders>
          </w:tcPr>
          <w:p w:rsidR="00FC3429" w:rsidRDefault="00534744">
            <w:pPr>
              <w:spacing w:after="0" w:line="259" w:lineRule="auto"/>
              <w:ind w:firstLine="0"/>
              <w:jc w:val="left"/>
            </w:pPr>
            <w:r>
              <w:t>A) Turismos:</w:t>
            </w:r>
          </w:p>
        </w:tc>
        <w:tc>
          <w:tcPr>
            <w:tcW w:w="652" w:type="dxa"/>
            <w:gridSpan w:val="2"/>
            <w:tcBorders>
              <w:top w:val="nil"/>
              <w:left w:val="nil"/>
              <w:bottom w:val="nil"/>
              <w:right w:val="nil"/>
            </w:tcBorders>
          </w:tcPr>
          <w:p w:rsidR="00FC3429" w:rsidRDefault="00534744">
            <w:pPr>
              <w:spacing w:after="0" w:line="259" w:lineRule="auto"/>
              <w:ind w:left="184" w:firstLine="0"/>
              <w:jc w:val="left"/>
            </w:pPr>
            <w:r>
              <w:t>Euros</w:t>
            </w:r>
          </w:p>
        </w:tc>
      </w:tr>
      <w:tr w:rsidR="00FC3429">
        <w:trPr>
          <w:gridBefore w:val="1"/>
          <w:wBefore w:w="137" w:type="dxa"/>
          <w:trHeight w:val="463"/>
        </w:trPr>
        <w:tc>
          <w:tcPr>
            <w:tcW w:w="7953" w:type="dxa"/>
            <w:tcBorders>
              <w:top w:val="nil"/>
              <w:left w:val="nil"/>
              <w:bottom w:val="nil"/>
              <w:right w:val="nil"/>
            </w:tcBorders>
            <w:vAlign w:val="center"/>
          </w:tcPr>
          <w:p w:rsidR="00FC3429" w:rsidRDefault="00534744">
            <w:pPr>
              <w:spacing w:after="0" w:line="259" w:lineRule="auto"/>
              <w:ind w:firstLine="0"/>
              <w:jc w:val="left"/>
            </w:pPr>
            <w:r>
              <w:t>De menos de ocho caballos fiscales</w:t>
            </w:r>
          </w:p>
        </w:tc>
        <w:tc>
          <w:tcPr>
            <w:tcW w:w="652" w:type="dxa"/>
            <w:gridSpan w:val="2"/>
            <w:tcBorders>
              <w:top w:val="nil"/>
              <w:left w:val="nil"/>
              <w:bottom w:val="nil"/>
              <w:right w:val="nil"/>
            </w:tcBorders>
            <w:vAlign w:val="center"/>
          </w:tcPr>
          <w:p w:rsidR="00FC3429" w:rsidRDefault="00534744">
            <w:pPr>
              <w:spacing w:after="0" w:line="259" w:lineRule="auto"/>
              <w:ind w:firstLine="0"/>
            </w:pPr>
            <w:r>
              <w:t>16,7846</w:t>
            </w:r>
          </w:p>
        </w:tc>
      </w:tr>
      <w:tr w:rsidR="00FC3429">
        <w:trPr>
          <w:gridBefore w:val="1"/>
          <w:wBefore w:w="137" w:type="dxa"/>
          <w:trHeight w:val="463"/>
        </w:trPr>
        <w:tc>
          <w:tcPr>
            <w:tcW w:w="7953" w:type="dxa"/>
            <w:tcBorders>
              <w:top w:val="nil"/>
              <w:left w:val="nil"/>
              <w:bottom w:val="nil"/>
              <w:right w:val="nil"/>
            </w:tcBorders>
            <w:vAlign w:val="center"/>
          </w:tcPr>
          <w:p w:rsidR="00FC3429" w:rsidRDefault="00534744">
            <w:pPr>
              <w:spacing w:after="0" w:line="259" w:lineRule="auto"/>
              <w:ind w:firstLine="0"/>
              <w:jc w:val="left"/>
            </w:pPr>
            <w:r>
              <w:t>De 8 hasta 11,99 caballos fiscales</w:t>
            </w:r>
          </w:p>
        </w:tc>
        <w:tc>
          <w:tcPr>
            <w:tcW w:w="652" w:type="dxa"/>
            <w:gridSpan w:val="2"/>
            <w:tcBorders>
              <w:top w:val="nil"/>
              <w:left w:val="nil"/>
              <w:bottom w:val="nil"/>
              <w:right w:val="nil"/>
            </w:tcBorders>
            <w:vAlign w:val="center"/>
          </w:tcPr>
          <w:p w:rsidR="00FC3429" w:rsidRDefault="00534744">
            <w:pPr>
              <w:spacing w:after="0" w:line="259" w:lineRule="auto"/>
              <w:ind w:firstLine="0"/>
              <w:jc w:val="right"/>
            </w:pPr>
            <w:r>
              <w:t>45,33</w:t>
            </w:r>
          </w:p>
        </w:tc>
      </w:tr>
      <w:tr w:rsidR="00FC3429">
        <w:trPr>
          <w:gridBefore w:val="1"/>
          <w:wBefore w:w="137" w:type="dxa"/>
          <w:trHeight w:val="463"/>
        </w:trPr>
        <w:tc>
          <w:tcPr>
            <w:tcW w:w="7953" w:type="dxa"/>
            <w:tcBorders>
              <w:top w:val="nil"/>
              <w:left w:val="nil"/>
              <w:bottom w:val="nil"/>
              <w:right w:val="nil"/>
            </w:tcBorders>
            <w:vAlign w:val="center"/>
          </w:tcPr>
          <w:p w:rsidR="00FC3429" w:rsidRDefault="00534744">
            <w:pPr>
              <w:spacing w:after="0" w:line="259" w:lineRule="auto"/>
              <w:ind w:firstLine="0"/>
              <w:jc w:val="left"/>
            </w:pPr>
            <w:r>
              <w:t>De 12 hasta 15,99 caballos fiscales</w:t>
            </w:r>
          </w:p>
        </w:tc>
        <w:tc>
          <w:tcPr>
            <w:tcW w:w="652" w:type="dxa"/>
            <w:gridSpan w:val="2"/>
            <w:tcBorders>
              <w:top w:val="nil"/>
              <w:left w:val="nil"/>
              <w:bottom w:val="nil"/>
              <w:right w:val="nil"/>
            </w:tcBorders>
            <w:vAlign w:val="center"/>
          </w:tcPr>
          <w:p w:rsidR="00FC3429" w:rsidRDefault="00534744">
            <w:pPr>
              <w:spacing w:after="0" w:line="259" w:lineRule="auto"/>
              <w:ind w:firstLine="0"/>
              <w:jc w:val="right"/>
            </w:pPr>
            <w:r>
              <w:t>95,68</w:t>
            </w:r>
          </w:p>
        </w:tc>
      </w:tr>
      <w:tr w:rsidR="00FC3429">
        <w:trPr>
          <w:gridBefore w:val="1"/>
          <w:wBefore w:w="137" w:type="dxa"/>
          <w:trHeight w:val="463"/>
        </w:trPr>
        <w:tc>
          <w:tcPr>
            <w:tcW w:w="7953" w:type="dxa"/>
            <w:tcBorders>
              <w:top w:val="nil"/>
              <w:left w:val="nil"/>
              <w:bottom w:val="nil"/>
              <w:right w:val="nil"/>
            </w:tcBorders>
            <w:vAlign w:val="center"/>
          </w:tcPr>
          <w:p w:rsidR="00FC3429" w:rsidRDefault="00534744">
            <w:pPr>
              <w:spacing w:after="0" w:line="259" w:lineRule="auto"/>
              <w:ind w:firstLine="0"/>
              <w:jc w:val="left"/>
            </w:pPr>
            <w:r>
              <w:t>De 16 hasta 19,99 caballos fiscales</w:t>
            </w:r>
          </w:p>
        </w:tc>
        <w:tc>
          <w:tcPr>
            <w:tcW w:w="652" w:type="dxa"/>
            <w:gridSpan w:val="2"/>
            <w:tcBorders>
              <w:top w:val="nil"/>
              <w:left w:val="nil"/>
              <w:bottom w:val="nil"/>
              <w:right w:val="nil"/>
            </w:tcBorders>
            <w:vAlign w:val="center"/>
          </w:tcPr>
          <w:p w:rsidR="00FC3429" w:rsidRDefault="00534744">
            <w:pPr>
              <w:spacing w:after="0" w:line="259" w:lineRule="auto"/>
              <w:ind w:left="100" w:firstLine="0"/>
              <w:jc w:val="left"/>
            </w:pPr>
            <w:r>
              <w:t>115,59</w:t>
            </w:r>
          </w:p>
        </w:tc>
      </w:tr>
      <w:tr w:rsidR="00FC3429">
        <w:trPr>
          <w:gridBefore w:val="1"/>
          <w:wBefore w:w="137" w:type="dxa"/>
          <w:trHeight w:val="926"/>
        </w:trPr>
        <w:tc>
          <w:tcPr>
            <w:tcW w:w="7953" w:type="dxa"/>
            <w:tcBorders>
              <w:top w:val="nil"/>
              <w:left w:val="nil"/>
              <w:bottom w:val="nil"/>
              <w:right w:val="nil"/>
            </w:tcBorders>
            <w:vAlign w:val="center"/>
          </w:tcPr>
          <w:p w:rsidR="00FC3429" w:rsidRDefault="00534744">
            <w:pPr>
              <w:spacing w:after="0" w:line="259" w:lineRule="auto"/>
              <w:ind w:right="4956" w:firstLine="0"/>
              <w:jc w:val="left"/>
            </w:pPr>
            <w:r>
              <w:t>De 20 caballos fiscales en adelante B) Autobuses:</w:t>
            </w:r>
          </w:p>
        </w:tc>
        <w:tc>
          <w:tcPr>
            <w:tcW w:w="652" w:type="dxa"/>
            <w:gridSpan w:val="2"/>
            <w:tcBorders>
              <w:top w:val="nil"/>
              <w:left w:val="nil"/>
              <w:bottom w:val="nil"/>
              <w:right w:val="nil"/>
            </w:tcBorders>
          </w:tcPr>
          <w:p w:rsidR="00FC3429" w:rsidRDefault="00534744">
            <w:pPr>
              <w:spacing w:after="0" w:line="259" w:lineRule="auto"/>
              <w:ind w:left="100" w:firstLine="0"/>
              <w:jc w:val="left"/>
            </w:pPr>
            <w:r>
              <w:t>148,96</w:t>
            </w:r>
          </w:p>
        </w:tc>
      </w:tr>
      <w:tr w:rsidR="00FC3429">
        <w:trPr>
          <w:gridBefore w:val="1"/>
          <w:wBefore w:w="137" w:type="dxa"/>
          <w:trHeight w:val="463"/>
        </w:trPr>
        <w:tc>
          <w:tcPr>
            <w:tcW w:w="7953" w:type="dxa"/>
            <w:tcBorders>
              <w:top w:val="nil"/>
              <w:left w:val="nil"/>
              <w:bottom w:val="nil"/>
              <w:right w:val="nil"/>
            </w:tcBorders>
            <w:vAlign w:val="center"/>
          </w:tcPr>
          <w:p w:rsidR="00FC3429" w:rsidRDefault="00534744">
            <w:pPr>
              <w:spacing w:after="0" w:line="259" w:lineRule="auto"/>
              <w:ind w:firstLine="0"/>
              <w:jc w:val="left"/>
            </w:pPr>
            <w:r>
              <w:t>De menos de 21 plazas</w:t>
            </w:r>
          </w:p>
        </w:tc>
        <w:tc>
          <w:tcPr>
            <w:tcW w:w="652" w:type="dxa"/>
            <w:gridSpan w:val="2"/>
            <w:tcBorders>
              <w:top w:val="nil"/>
              <w:left w:val="nil"/>
              <w:bottom w:val="nil"/>
              <w:right w:val="nil"/>
            </w:tcBorders>
            <w:vAlign w:val="center"/>
          </w:tcPr>
          <w:p w:rsidR="00FC3429" w:rsidRDefault="00534744">
            <w:pPr>
              <w:spacing w:after="0" w:line="259" w:lineRule="auto"/>
              <w:ind w:left="100" w:firstLine="0"/>
              <w:jc w:val="left"/>
            </w:pPr>
            <w:r>
              <w:t>110,79</w:t>
            </w:r>
          </w:p>
        </w:tc>
      </w:tr>
      <w:tr w:rsidR="00FC3429">
        <w:trPr>
          <w:gridBefore w:val="1"/>
          <w:wBefore w:w="137" w:type="dxa"/>
          <w:trHeight w:val="463"/>
        </w:trPr>
        <w:tc>
          <w:tcPr>
            <w:tcW w:w="7953" w:type="dxa"/>
            <w:tcBorders>
              <w:top w:val="nil"/>
              <w:left w:val="nil"/>
              <w:bottom w:val="nil"/>
              <w:right w:val="nil"/>
            </w:tcBorders>
            <w:vAlign w:val="center"/>
          </w:tcPr>
          <w:p w:rsidR="00FC3429" w:rsidRDefault="00534744">
            <w:pPr>
              <w:spacing w:after="0" w:line="259" w:lineRule="auto"/>
              <w:ind w:firstLine="0"/>
              <w:jc w:val="left"/>
            </w:pPr>
            <w:r>
              <w:t>De 21 a 50 plazas</w:t>
            </w:r>
          </w:p>
        </w:tc>
        <w:tc>
          <w:tcPr>
            <w:tcW w:w="652" w:type="dxa"/>
            <w:gridSpan w:val="2"/>
            <w:tcBorders>
              <w:top w:val="nil"/>
              <w:left w:val="nil"/>
              <w:bottom w:val="nil"/>
              <w:right w:val="nil"/>
            </w:tcBorders>
            <w:vAlign w:val="center"/>
          </w:tcPr>
          <w:p w:rsidR="00FC3429" w:rsidRDefault="00534744">
            <w:pPr>
              <w:spacing w:after="0" w:line="259" w:lineRule="auto"/>
              <w:ind w:left="100" w:firstLine="0"/>
              <w:jc w:val="left"/>
            </w:pPr>
            <w:r>
              <w:t>157,79</w:t>
            </w:r>
          </w:p>
        </w:tc>
      </w:tr>
      <w:tr w:rsidR="00FC3429">
        <w:trPr>
          <w:gridBefore w:val="1"/>
          <w:wBefore w:w="137" w:type="dxa"/>
          <w:trHeight w:val="926"/>
        </w:trPr>
        <w:tc>
          <w:tcPr>
            <w:tcW w:w="7953" w:type="dxa"/>
            <w:tcBorders>
              <w:top w:val="nil"/>
              <w:left w:val="nil"/>
              <w:bottom w:val="nil"/>
              <w:right w:val="nil"/>
            </w:tcBorders>
            <w:vAlign w:val="center"/>
          </w:tcPr>
          <w:p w:rsidR="00FC3429" w:rsidRDefault="00534744">
            <w:pPr>
              <w:spacing w:after="0" w:line="259" w:lineRule="auto"/>
              <w:ind w:right="6104" w:firstLine="0"/>
              <w:jc w:val="left"/>
            </w:pPr>
            <w:r>
              <w:t>De más de 50 plazas C) Camiones:</w:t>
            </w:r>
          </w:p>
        </w:tc>
        <w:tc>
          <w:tcPr>
            <w:tcW w:w="652" w:type="dxa"/>
            <w:gridSpan w:val="2"/>
            <w:tcBorders>
              <w:top w:val="nil"/>
              <w:left w:val="nil"/>
              <w:bottom w:val="nil"/>
              <w:right w:val="nil"/>
            </w:tcBorders>
          </w:tcPr>
          <w:p w:rsidR="00FC3429" w:rsidRDefault="00534744">
            <w:pPr>
              <w:spacing w:after="0" w:line="259" w:lineRule="auto"/>
              <w:ind w:left="100" w:firstLine="0"/>
              <w:jc w:val="left"/>
            </w:pPr>
            <w:r>
              <w:t>197,24</w:t>
            </w:r>
          </w:p>
        </w:tc>
      </w:tr>
      <w:tr w:rsidR="00FC3429">
        <w:trPr>
          <w:gridBefore w:val="1"/>
          <w:wBefore w:w="137" w:type="dxa"/>
          <w:trHeight w:val="463"/>
        </w:trPr>
        <w:tc>
          <w:tcPr>
            <w:tcW w:w="7953" w:type="dxa"/>
            <w:tcBorders>
              <w:top w:val="nil"/>
              <w:left w:val="nil"/>
              <w:bottom w:val="nil"/>
              <w:right w:val="nil"/>
            </w:tcBorders>
            <w:vAlign w:val="center"/>
          </w:tcPr>
          <w:p w:rsidR="00FC3429" w:rsidRDefault="00534744">
            <w:pPr>
              <w:spacing w:after="0" w:line="259" w:lineRule="auto"/>
              <w:ind w:firstLine="0"/>
              <w:jc w:val="left"/>
            </w:pPr>
            <w:r>
              <w:t>De menos de 1.000 kilogramos de carga útil</w:t>
            </w:r>
          </w:p>
        </w:tc>
        <w:tc>
          <w:tcPr>
            <w:tcW w:w="652" w:type="dxa"/>
            <w:gridSpan w:val="2"/>
            <w:tcBorders>
              <w:top w:val="nil"/>
              <w:left w:val="nil"/>
              <w:bottom w:val="nil"/>
              <w:right w:val="nil"/>
            </w:tcBorders>
            <w:vAlign w:val="center"/>
          </w:tcPr>
          <w:p w:rsidR="00FC3429" w:rsidRDefault="00534744">
            <w:pPr>
              <w:spacing w:after="0" w:line="259" w:lineRule="auto"/>
              <w:ind w:firstLine="0"/>
              <w:jc w:val="right"/>
            </w:pPr>
            <w:r>
              <w:t>56,23</w:t>
            </w:r>
          </w:p>
        </w:tc>
      </w:tr>
      <w:tr w:rsidR="00FC3429">
        <w:trPr>
          <w:gridBefore w:val="1"/>
          <w:wBefore w:w="137" w:type="dxa"/>
          <w:trHeight w:val="463"/>
        </w:trPr>
        <w:tc>
          <w:tcPr>
            <w:tcW w:w="7953" w:type="dxa"/>
            <w:tcBorders>
              <w:top w:val="nil"/>
              <w:left w:val="nil"/>
              <w:bottom w:val="nil"/>
              <w:right w:val="nil"/>
            </w:tcBorders>
            <w:vAlign w:val="center"/>
          </w:tcPr>
          <w:p w:rsidR="00FC3429" w:rsidRDefault="00534744">
            <w:pPr>
              <w:spacing w:after="0" w:line="259" w:lineRule="auto"/>
              <w:ind w:firstLine="0"/>
              <w:jc w:val="left"/>
            </w:pPr>
            <w:r>
              <w:t>De 1.000 a 2.999 kilogramos de carga útil</w:t>
            </w:r>
          </w:p>
        </w:tc>
        <w:tc>
          <w:tcPr>
            <w:tcW w:w="652" w:type="dxa"/>
            <w:gridSpan w:val="2"/>
            <w:tcBorders>
              <w:top w:val="nil"/>
              <w:left w:val="nil"/>
              <w:bottom w:val="nil"/>
              <w:right w:val="nil"/>
            </w:tcBorders>
            <w:vAlign w:val="center"/>
          </w:tcPr>
          <w:p w:rsidR="00FC3429" w:rsidRDefault="00534744">
            <w:pPr>
              <w:spacing w:after="0" w:line="259" w:lineRule="auto"/>
              <w:ind w:left="100" w:firstLine="0"/>
              <w:jc w:val="left"/>
            </w:pPr>
            <w:r>
              <w:t>110,79</w:t>
            </w:r>
          </w:p>
        </w:tc>
      </w:tr>
      <w:tr w:rsidR="00FC3429">
        <w:trPr>
          <w:gridBefore w:val="1"/>
          <w:wBefore w:w="137" w:type="dxa"/>
          <w:trHeight w:val="463"/>
        </w:trPr>
        <w:tc>
          <w:tcPr>
            <w:tcW w:w="7953" w:type="dxa"/>
            <w:tcBorders>
              <w:top w:val="nil"/>
              <w:left w:val="nil"/>
              <w:bottom w:val="nil"/>
              <w:right w:val="nil"/>
            </w:tcBorders>
            <w:vAlign w:val="center"/>
          </w:tcPr>
          <w:p w:rsidR="00FC3429" w:rsidRDefault="00534744">
            <w:pPr>
              <w:spacing w:after="0" w:line="259" w:lineRule="auto"/>
              <w:ind w:firstLine="0"/>
              <w:jc w:val="left"/>
            </w:pPr>
            <w:r>
              <w:t>De más de 2.999 a 9.999 kilogramos de carga útil</w:t>
            </w:r>
          </w:p>
        </w:tc>
        <w:tc>
          <w:tcPr>
            <w:tcW w:w="652" w:type="dxa"/>
            <w:gridSpan w:val="2"/>
            <w:tcBorders>
              <w:top w:val="nil"/>
              <w:left w:val="nil"/>
              <w:bottom w:val="nil"/>
              <w:right w:val="nil"/>
            </w:tcBorders>
            <w:vAlign w:val="center"/>
          </w:tcPr>
          <w:p w:rsidR="00FC3429" w:rsidRDefault="00534744">
            <w:pPr>
              <w:spacing w:after="0" w:line="259" w:lineRule="auto"/>
              <w:ind w:left="100" w:firstLine="0"/>
              <w:jc w:val="left"/>
            </w:pPr>
            <w:r>
              <w:t>157,79</w:t>
            </w:r>
          </w:p>
        </w:tc>
      </w:tr>
      <w:tr w:rsidR="00FC3429">
        <w:trPr>
          <w:gridBefore w:val="1"/>
          <w:wBefore w:w="137" w:type="dxa"/>
          <w:trHeight w:val="926"/>
        </w:trPr>
        <w:tc>
          <w:tcPr>
            <w:tcW w:w="7953" w:type="dxa"/>
            <w:tcBorders>
              <w:top w:val="nil"/>
              <w:left w:val="nil"/>
              <w:bottom w:val="nil"/>
              <w:right w:val="nil"/>
            </w:tcBorders>
            <w:vAlign w:val="center"/>
          </w:tcPr>
          <w:p w:rsidR="00FC3429" w:rsidRDefault="00534744">
            <w:pPr>
              <w:spacing w:after="0" w:line="259" w:lineRule="auto"/>
              <w:ind w:right="4404" w:firstLine="0"/>
              <w:jc w:val="left"/>
            </w:pPr>
            <w:r>
              <w:t>De más de 9.999 kilogramos de carga útil D) Tractores:</w:t>
            </w:r>
          </w:p>
        </w:tc>
        <w:tc>
          <w:tcPr>
            <w:tcW w:w="652" w:type="dxa"/>
            <w:gridSpan w:val="2"/>
            <w:tcBorders>
              <w:top w:val="nil"/>
              <w:left w:val="nil"/>
              <w:bottom w:val="nil"/>
              <w:right w:val="nil"/>
            </w:tcBorders>
          </w:tcPr>
          <w:p w:rsidR="00FC3429" w:rsidRDefault="00534744">
            <w:pPr>
              <w:spacing w:after="0" w:line="259" w:lineRule="auto"/>
              <w:ind w:left="101" w:firstLine="0"/>
              <w:jc w:val="left"/>
            </w:pPr>
            <w:r>
              <w:t>197,24</w:t>
            </w:r>
          </w:p>
        </w:tc>
      </w:tr>
      <w:tr w:rsidR="00FC3429">
        <w:trPr>
          <w:gridBefore w:val="1"/>
          <w:wBefore w:w="137" w:type="dxa"/>
          <w:trHeight w:val="463"/>
        </w:trPr>
        <w:tc>
          <w:tcPr>
            <w:tcW w:w="7953" w:type="dxa"/>
            <w:tcBorders>
              <w:top w:val="nil"/>
              <w:left w:val="nil"/>
              <w:bottom w:val="nil"/>
              <w:right w:val="nil"/>
            </w:tcBorders>
            <w:vAlign w:val="center"/>
          </w:tcPr>
          <w:p w:rsidR="00FC3429" w:rsidRDefault="00534744">
            <w:pPr>
              <w:spacing w:after="0" w:line="259" w:lineRule="auto"/>
              <w:ind w:firstLine="0"/>
              <w:jc w:val="left"/>
            </w:pPr>
            <w:r>
              <w:t>De menos de 16 caballos fiscales</w:t>
            </w:r>
          </w:p>
        </w:tc>
        <w:tc>
          <w:tcPr>
            <w:tcW w:w="652" w:type="dxa"/>
            <w:gridSpan w:val="2"/>
            <w:tcBorders>
              <w:top w:val="nil"/>
              <w:left w:val="nil"/>
              <w:bottom w:val="nil"/>
              <w:right w:val="nil"/>
            </w:tcBorders>
            <w:vAlign w:val="center"/>
          </w:tcPr>
          <w:p w:rsidR="00FC3429" w:rsidRDefault="00534744">
            <w:pPr>
              <w:spacing w:after="0" w:line="259" w:lineRule="auto"/>
              <w:ind w:firstLine="0"/>
              <w:jc w:val="right"/>
            </w:pPr>
            <w:r>
              <w:t>23,50</w:t>
            </w:r>
          </w:p>
        </w:tc>
      </w:tr>
      <w:tr w:rsidR="00FC3429">
        <w:trPr>
          <w:gridBefore w:val="1"/>
          <w:wBefore w:w="137" w:type="dxa"/>
          <w:trHeight w:val="322"/>
        </w:trPr>
        <w:tc>
          <w:tcPr>
            <w:tcW w:w="7953" w:type="dxa"/>
            <w:tcBorders>
              <w:top w:val="nil"/>
              <w:left w:val="nil"/>
              <w:bottom w:val="nil"/>
              <w:right w:val="nil"/>
            </w:tcBorders>
            <w:vAlign w:val="bottom"/>
          </w:tcPr>
          <w:p w:rsidR="00FC3429" w:rsidRDefault="00534744">
            <w:pPr>
              <w:spacing w:after="0" w:line="259" w:lineRule="auto"/>
              <w:ind w:firstLine="0"/>
              <w:jc w:val="left"/>
            </w:pPr>
            <w:r>
              <w:t>De 16 a 25 caballos fiscales</w:t>
            </w:r>
          </w:p>
        </w:tc>
        <w:tc>
          <w:tcPr>
            <w:tcW w:w="652" w:type="dxa"/>
            <w:gridSpan w:val="2"/>
            <w:tcBorders>
              <w:top w:val="nil"/>
              <w:left w:val="nil"/>
              <w:bottom w:val="nil"/>
              <w:right w:val="nil"/>
            </w:tcBorders>
            <w:vAlign w:val="bottom"/>
          </w:tcPr>
          <w:p w:rsidR="00FC3429" w:rsidRDefault="00534744">
            <w:pPr>
              <w:spacing w:after="0" w:line="259" w:lineRule="auto"/>
              <w:ind w:firstLine="0"/>
              <w:jc w:val="right"/>
            </w:pPr>
            <w:r>
              <w:t>36,93</w:t>
            </w:r>
          </w:p>
        </w:tc>
      </w:tr>
      <w:tr w:rsidR="00FC3429">
        <w:trPr>
          <w:trHeight w:val="432"/>
        </w:trPr>
        <w:tc>
          <w:tcPr>
            <w:tcW w:w="8190" w:type="dxa"/>
            <w:gridSpan w:val="3"/>
            <w:tcBorders>
              <w:top w:val="nil"/>
              <w:left w:val="nil"/>
              <w:bottom w:val="nil"/>
              <w:right w:val="nil"/>
            </w:tcBorders>
          </w:tcPr>
          <w:p w:rsidR="00FC3429" w:rsidRDefault="00534744">
            <w:pPr>
              <w:spacing w:after="0" w:line="259" w:lineRule="auto"/>
              <w:ind w:firstLine="0"/>
              <w:jc w:val="left"/>
            </w:pPr>
            <w:r>
              <w:rPr>
                <w:rFonts w:ascii="Arial" w:eastAsia="Arial" w:hAnsi="Arial" w:cs="Arial"/>
                <w:sz w:val="15"/>
              </w:rPr>
              <w:t>Boletín Oficial de la Provincia de Santa Cruz de Tenerife núm. 154, miércoles 23 de diciembre de 2020</w:t>
            </w:r>
          </w:p>
        </w:tc>
        <w:tc>
          <w:tcPr>
            <w:tcW w:w="552" w:type="dxa"/>
            <w:tcBorders>
              <w:top w:val="nil"/>
              <w:left w:val="nil"/>
              <w:bottom w:val="nil"/>
              <w:right w:val="nil"/>
            </w:tcBorders>
          </w:tcPr>
          <w:p w:rsidR="00FC3429" w:rsidRDefault="00534744">
            <w:pPr>
              <w:spacing w:after="0" w:line="259" w:lineRule="auto"/>
              <w:ind w:left="139" w:firstLine="0"/>
              <w:jc w:val="left"/>
            </w:pPr>
            <w:r>
              <w:rPr>
                <w:rFonts w:ascii="Arial" w:eastAsia="Arial" w:hAnsi="Arial" w:cs="Arial"/>
                <w:sz w:val="15"/>
              </w:rPr>
              <w:t>17461</w:t>
            </w:r>
          </w:p>
        </w:tc>
      </w:tr>
      <w:tr w:rsidR="00FC3429">
        <w:trPr>
          <w:trHeight w:val="1094"/>
        </w:trPr>
        <w:tc>
          <w:tcPr>
            <w:tcW w:w="8190" w:type="dxa"/>
            <w:gridSpan w:val="3"/>
            <w:tcBorders>
              <w:top w:val="nil"/>
              <w:left w:val="nil"/>
              <w:bottom w:val="nil"/>
              <w:right w:val="nil"/>
            </w:tcBorders>
            <w:vAlign w:val="bottom"/>
          </w:tcPr>
          <w:p w:rsidR="00FC3429" w:rsidRDefault="00534744">
            <w:pPr>
              <w:spacing w:after="216" w:line="259" w:lineRule="auto"/>
              <w:ind w:left="137" w:firstLine="0"/>
              <w:jc w:val="left"/>
            </w:pPr>
            <w:r>
              <w:t>De más de 25 caballos fiscales</w:t>
            </w:r>
          </w:p>
          <w:p w:rsidR="00FC3429" w:rsidRDefault="00534744">
            <w:pPr>
              <w:spacing w:after="0" w:line="259" w:lineRule="auto"/>
              <w:ind w:left="137" w:firstLine="0"/>
              <w:jc w:val="left"/>
            </w:pPr>
            <w:r>
              <w:t>E) Remolques y semirremolques arrastrados por vehículos de tracción mecánica:</w:t>
            </w:r>
          </w:p>
        </w:tc>
        <w:tc>
          <w:tcPr>
            <w:tcW w:w="552" w:type="dxa"/>
            <w:tcBorders>
              <w:top w:val="nil"/>
              <w:left w:val="nil"/>
              <w:bottom w:val="nil"/>
              <w:right w:val="nil"/>
            </w:tcBorders>
          </w:tcPr>
          <w:p w:rsidR="00FC3429" w:rsidRDefault="00534744">
            <w:pPr>
              <w:spacing w:after="0" w:line="259" w:lineRule="auto"/>
              <w:ind w:firstLine="0"/>
            </w:pPr>
            <w:r>
              <w:t>110,79</w:t>
            </w:r>
          </w:p>
        </w:tc>
      </w:tr>
      <w:tr w:rsidR="00FC3429">
        <w:trPr>
          <w:trHeight w:val="467"/>
        </w:trPr>
        <w:tc>
          <w:tcPr>
            <w:tcW w:w="8190" w:type="dxa"/>
            <w:gridSpan w:val="3"/>
            <w:tcBorders>
              <w:top w:val="nil"/>
              <w:left w:val="nil"/>
              <w:bottom w:val="nil"/>
              <w:right w:val="nil"/>
            </w:tcBorders>
            <w:vAlign w:val="center"/>
          </w:tcPr>
          <w:p w:rsidR="00FC3429" w:rsidRDefault="00534744">
            <w:pPr>
              <w:spacing w:after="0" w:line="259" w:lineRule="auto"/>
              <w:ind w:left="137" w:firstLine="0"/>
              <w:jc w:val="left"/>
            </w:pPr>
            <w:r>
              <w:t>De menos de 1.000 y más de 750 kilogramos de carga útil</w:t>
            </w:r>
          </w:p>
        </w:tc>
        <w:tc>
          <w:tcPr>
            <w:tcW w:w="552" w:type="dxa"/>
            <w:tcBorders>
              <w:top w:val="nil"/>
              <w:left w:val="nil"/>
              <w:bottom w:val="nil"/>
              <w:right w:val="nil"/>
            </w:tcBorders>
            <w:vAlign w:val="center"/>
          </w:tcPr>
          <w:p w:rsidR="00FC3429" w:rsidRDefault="00534744">
            <w:pPr>
              <w:spacing w:after="0" w:line="259" w:lineRule="auto"/>
              <w:ind w:left="100" w:firstLine="0"/>
              <w:jc w:val="left"/>
            </w:pPr>
            <w:r>
              <w:t>23,50</w:t>
            </w:r>
          </w:p>
        </w:tc>
      </w:tr>
      <w:tr w:rsidR="00FC3429">
        <w:trPr>
          <w:trHeight w:val="467"/>
        </w:trPr>
        <w:tc>
          <w:tcPr>
            <w:tcW w:w="8190" w:type="dxa"/>
            <w:gridSpan w:val="3"/>
            <w:tcBorders>
              <w:top w:val="nil"/>
              <w:left w:val="nil"/>
              <w:bottom w:val="nil"/>
              <w:right w:val="nil"/>
            </w:tcBorders>
            <w:vAlign w:val="center"/>
          </w:tcPr>
          <w:p w:rsidR="00FC3429" w:rsidRDefault="00534744">
            <w:pPr>
              <w:spacing w:after="0" w:line="259" w:lineRule="auto"/>
              <w:ind w:left="137" w:firstLine="0"/>
              <w:jc w:val="left"/>
            </w:pPr>
            <w:r>
              <w:t>De 1.000 a 2.999 kilogramos de carga útil</w:t>
            </w:r>
          </w:p>
        </w:tc>
        <w:tc>
          <w:tcPr>
            <w:tcW w:w="552" w:type="dxa"/>
            <w:tcBorders>
              <w:top w:val="nil"/>
              <w:left w:val="nil"/>
              <w:bottom w:val="nil"/>
              <w:right w:val="nil"/>
            </w:tcBorders>
            <w:vAlign w:val="center"/>
          </w:tcPr>
          <w:p w:rsidR="00FC3429" w:rsidRDefault="00534744">
            <w:pPr>
              <w:spacing w:after="0" w:line="259" w:lineRule="auto"/>
              <w:ind w:left="100" w:firstLine="0"/>
              <w:jc w:val="left"/>
            </w:pPr>
            <w:r>
              <w:t>36,93</w:t>
            </w:r>
          </w:p>
        </w:tc>
      </w:tr>
      <w:tr w:rsidR="00FC3429">
        <w:trPr>
          <w:trHeight w:val="467"/>
        </w:trPr>
        <w:tc>
          <w:tcPr>
            <w:tcW w:w="8190" w:type="dxa"/>
            <w:gridSpan w:val="3"/>
            <w:tcBorders>
              <w:top w:val="nil"/>
              <w:left w:val="nil"/>
              <w:bottom w:val="nil"/>
              <w:right w:val="nil"/>
            </w:tcBorders>
            <w:vAlign w:val="center"/>
          </w:tcPr>
          <w:p w:rsidR="00FC3429" w:rsidRDefault="00534744">
            <w:pPr>
              <w:spacing w:after="0" w:line="259" w:lineRule="auto"/>
              <w:ind w:left="137" w:firstLine="0"/>
              <w:jc w:val="left"/>
            </w:pPr>
            <w:r>
              <w:t>De más de 2.999 kilogramos de carga útil</w:t>
            </w:r>
          </w:p>
        </w:tc>
        <w:tc>
          <w:tcPr>
            <w:tcW w:w="552" w:type="dxa"/>
            <w:tcBorders>
              <w:top w:val="nil"/>
              <w:left w:val="nil"/>
              <w:bottom w:val="nil"/>
              <w:right w:val="nil"/>
            </w:tcBorders>
            <w:vAlign w:val="center"/>
          </w:tcPr>
          <w:p w:rsidR="00FC3429" w:rsidRDefault="00534744">
            <w:pPr>
              <w:spacing w:after="0" w:line="259" w:lineRule="auto"/>
              <w:ind w:firstLine="0"/>
            </w:pPr>
            <w:r>
              <w:t>110,79</w:t>
            </w:r>
          </w:p>
        </w:tc>
      </w:tr>
      <w:tr w:rsidR="00FC3429">
        <w:trPr>
          <w:trHeight w:val="467"/>
        </w:trPr>
        <w:tc>
          <w:tcPr>
            <w:tcW w:w="8190" w:type="dxa"/>
            <w:gridSpan w:val="3"/>
            <w:tcBorders>
              <w:top w:val="nil"/>
              <w:left w:val="nil"/>
              <w:bottom w:val="nil"/>
              <w:right w:val="nil"/>
            </w:tcBorders>
            <w:vAlign w:val="center"/>
          </w:tcPr>
          <w:p w:rsidR="00FC3429" w:rsidRDefault="00534744">
            <w:pPr>
              <w:spacing w:after="0" w:line="259" w:lineRule="auto"/>
              <w:ind w:left="137" w:firstLine="0"/>
              <w:jc w:val="left"/>
            </w:pPr>
            <w:r>
              <w:t>Ciclomotores</w:t>
            </w:r>
          </w:p>
        </w:tc>
        <w:tc>
          <w:tcPr>
            <w:tcW w:w="552" w:type="dxa"/>
            <w:tcBorders>
              <w:top w:val="nil"/>
              <w:left w:val="nil"/>
              <w:bottom w:val="nil"/>
              <w:right w:val="nil"/>
            </w:tcBorders>
            <w:vAlign w:val="center"/>
          </w:tcPr>
          <w:p w:rsidR="00FC3429" w:rsidRDefault="00534744">
            <w:pPr>
              <w:spacing w:after="0" w:line="259" w:lineRule="auto"/>
              <w:ind w:firstLine="0"/>
              <w:jc w:val="right"/>
            </w:pPr>
            <w:r>
              <w:t>5,88</w:t>
            </w:r>
          </w:p>
        </w:tc>
      </w:tr>
      <w:tr w:rsidR="00FC3429">
        <w:trPr>
          <w:trHeight w:val="467"/>
        </w:trPr>
        <w:tc>
          <w:tcPr>
            <w:tcW w:w="8190" w:type="dxa"/>
            <w:gridSpan w:val="3"/>
            <w:tcBorders>
              <w:top w:val="nil"/>
              <w:left w:val="nil"/>
              <w:bottom w:val="nil"/>
              <w:right w:val="nil"/>
            </w:tcBorders>
            <w:vAlign w:val="center"/>
          </w:tcPr>
          <w:p w:rsidR="00FC3429" w:rsidRDefault="00534744">
            <w:pPr>
              <w:spacing w:after="0" w:line="259" w:lineRule="auto"/>
              <w:ind w:left="137" w:firstLine="0"/>
              <w:jc w:val="left"/>
            </w:pPr>
            <w:r>
              <w:t>Motocicletas hasta 125 centímetros cúbicos</w:t>
            </w:r>
          </w:p>
        </w:tc>
        <w:tc>
          <w:tcPr>
            <w:tcW w:w="552" w:type="dxa"/>
            <w:tcBorders>
              <w:top w:val="nil"/>
              <w:left w:val="nil"/>
              <w:bottom w:val="nil"/>
              <w:right w:val="nil"/>
            </w:tcBorders>
            <w:vAlign w:val="center"/>
          </w:tcPr>
          <w:p w:rsidR="00FC3429" w:rsidRDefault="00534744">
            <w:pPr>
              <w:spacing w:after="0" w:line="259" w:lineRule="auto"/>
              <w:ind w:firstLine="0"/>
              <w:jc w:val="right"/>
            </w:pPr>
            <w:r>
              <w:t>5,88</w:t>
            </w:r>
          </w:p>
        </w:tc>
      </w:tr>
      <w:tr w:rsidR="00FC3429">
        <w:trPr>
          <w:trHeight w:val="467"/>
        </w:trPr>
        <w:tc>
          <w:tcPr>
            <w:tcW w:w="8190" w:type="dxa"/>
            <w:gridSpan w:val="3"/>
            <w:tcBorders>
              <w:top w:val="nil"/>
              <w:left w:val="nil"/>
              <w:bottom w:val="nil"/>
              <w:right w:val="nil"/>
            </w:tcBorders>
            <w:vAlign w:val="center"/>
          </w:tcPr>
          <w:p w:rsidR="00FC3429" w:rsidRDefault="00534744">
            <w:pPr>
              <w:spacing w:after="0" w:line="259" w:lineRule="auto"/>
              <w:ind w:left="137" w:firstLine="0"/>
              <w:jc w:val="left"/>
            </w:pPr>
            <w:r>
              <w:t>Motocicletas de más de 125 hasta 250 centímetros cúbicos</w:t>
            </w:r>
          </w:p>
        </w:tc>
        <w:tc>
          <w:tcPr>
            <w:tcW w:w="552" w:type="dxa"/>
            <w:tcBorders>
              <w:top w:val="nil"/>
              <w:left w:val="nil"/>
              <w:bottom w:val="nil"/>
              <w:right w:val="nil"/>
            </w:tcBorders>
            <w:vAlign w:val="center"/>
          </w:tcPr>
          <w:p w:rsidR="00FC3429" w:rsidRDefault="00534744">
            <w:pPr>
              <w:spacing w:after="0" w:line="259" w:lineRule="auto"/>
              <w:ind w:left="100" w:firstLine="0"/>
              <w:jc w:val="left"/>
            </w:pPr>
            <w:r>
              <w:t>10,07</w:t>
            </w:r>
          </w:p>
        </w:tc>
      </w:tr>
      <w:tr w:rsidR="00FC3429">
        <w:trPr>
          <w:trHeight w:val="467"/>
        </w:trPr>
        <w:tc>
          <w:tcPr>
            <w:tcW w:w="8190" w:type="dxa"/>
            <w:gridSpan w:val="3"/>
            <w:tcBorders>
              <w:top w:val="nil"/>
              <w:left w:val="nil"/>
              <w:bottom w:val="nil"/>
              <w:right w:val="nil"/>
            </w:tcBorders>
            <w:vAlign w:val="center"/>
          </w:tcPr>
          <w:p w:rsidR="00FC3429" w:rsidRDefault="00534744">
            <w:pPr>
              <w:spacing w:after="0" w:line="259" w:lineRule="auto"/>
              <w:ind w:left="137" w:firstLine="0"/>
              <w:jc w:val="left"/>
            </w:pPr>
            <w:r>
              <w:t>Motocicletas de más de 250 hasta 500 centímetros cúbicos</w:t>
            </w:r>
          </w:p>
        </w:tc>
        <w:tc>
          <w:tcPr>
            <w:tcW w:w="552" w:type="dxa"/>
            <w:tcBorders>
              <w:top w:val="nil"/>
              <w:left w:val="nil"/>
              <w:bottom w:val="nil"/>
              <w:right w:val="nil"/>
            </w:tcBorders>
            <w:vAlign w:val="center"/>
          </w:tcPr>
          <w:p w:rsidR="00FC3429" w:rsidRDefault="00534744">
            <w:pPr>
              <w:spacing w:after="0" w:line="259" w:lineRule="auto"/>
              <w:ind w:left="100" w:firstLine="0"/>
              <w:jc w:val="left"/>
            </w:pPr>
            <w:r>
              <w:t>20,15</w:t>
            </w:r>
          </w:p>
        </w:tc>
      </w:tr>
      <w:tr w:rsidR="00FC3429">
        <w:trPr>
          <w:trHeight w:val="467"/>
        </w:trPr>
        <w:tc>
          <w:tcPr>
            <w:tcW w:w="8190" w:type="dxa"/>
            <w:gridSpan w:val="3"/>
            <w:tcBorders>
              <w:top w:val="nil"/>
              <w:left w:val="nil"/>
              <w:bottom w:val="nil"/>
              <w:right w:val="nil"/>
            </w:tcBorders>
            <w:vAlign w:val="center"/>
          </w:tcPr>
          <w:p w:rsidR="00FC3429" w:rsidRDefault="00534744">
            <w:pPr>
              <w:spacing w:after="0" w:line="259" w:lineRule="auto"/>
              <w:ind w:left="137" w:firstLine="0"/>
              <w:jc w:val="left"/>
            </w:pPr>
            <w:r>
              <w:t>Motocicletas de más de 500 hasta 1.000 centímetros cúbicos</w:t>
            </w:r>
          </w:p>
        </w:tc>
        <w:tc>
          <w:tcPr>
            <w:tcW w:w="552" w:type="dxa"/>
            <w:tcBorders>
              <w:top w:val="nil"/>
              <w:left w:val="nil"/>
              <w:bottom w:val="nil"/>
              <w:right w:val="nil"/>
            </w:tcBorders>
            <w:vAlign w:val="center"/>
          </w:tcPr>
          <w:p w:rsidR="00FC3429" w:rsidRDefault="00534744">
            <w:pPr>
              <w:spacing w:after="0" w:line="259" w:lineRule="auto"/>
              <w:ind w:left="100" w:firstLine="0"/>
              <w:jc w:val="left"/>
            </w:pPr>
            <w:r>
              <w:t>40,29</w:t>
            </w:r>
          </w:p>
        </w:tc>
      </w:tr>
      <w:tr w:rsidR="00FC3429">
        <w:trPr>
          <w:trHeight w:val="324"/>
        </w:trPr>
        <w:tc>
          <w:tcPr>
            <w:tcW w:w="8190" w:type="dxa"/>
            <w:gridSpan w:val="3"/>
            <w:tcBorders>
              <w:top w:val="nil"/>
              <w:left w:val="nil"/>
              <w:bottom w:val="nil"/>
              <w:right w:val="nil"/>
            </w:tcBorders>
            <w:vAlign w:val="bottom"/>
          </w:tcPr>
          <w:p w:rsidR="00FC3429" w:rsidRDefault="00534744">
            <w:pPr>
              <w:spacing w:after="0" w:line="259" w:lineRule="auto"/>
              <w:ind w:left="137" w:firstLine="0"/>
              <w:jc w:val="left"/>
            </w:pPr>
            <w:r>
              <w:t>Motocicletas de más de 1.000 centímetros cúbicos</w:t>
            </w:r>
          </w:p>
        </w:tc>
        <w:tc>
          <w:tcPr>
            <w:tcW w:w="552" w:type="dxa"/>
            <w:tcBorders>
              <w:top w:val="nil"/>
              <w:left w:val="nil"/>
              <w:bottom w:val="nil"/>
              <w:right w:val="nil"/>
            </w:tcBorders>
            <w:vAlign w:val="bottom"/>
          </w:tcPr>
          <w:p w:rsidR="00FC3429" w:rsidRDefault="00534744">
            <w:pPr>
              <w:spacing w:after="0" w:line="259" w:lineRule="auto"/>
              <w:ind w:left="100" w:firstLine="0"/>
              <w:jc w:val="left"/>
            </w:pPr>
            <w:r>
              <w:t>80,57</w:t>
            </w:r>
          </w:p>
        </w:tc>
      </w:tr>
    </w:tbl>
    <w:p w:rsidR="00FC3429" w:rsidRDefault="00534744">
      <w:pPr>
        <w:numPr>
          <w:ilvl w:val="0"/>
          <w:numId w:val="8"/>
        </w:numPr>
      </w:pPr>
      <w:r>
        <w:t xml:space="preserve">Reglas especiales. </w:t>
      </w:r>
    </w:p>
    <w:p w:rsidR="00FC3429" w:rsidRDefault="00534744">
      <w:pPr>
        <w:ind w:left="-15"/>
      </w:pPr>
      <w:r>
        <w:t>Para la efectiva aplicación de las tarifas del impuesto habrá de estarse a lo dispuesto en el Reglamento General de Vehículos, aprobado por Real Decreto 2822/1998 de 23 de diciembre, en particular a lo dispuesto en el Anexo II del mismo, en relación con la</w:t>
      </w:r>
      <w:r>
        <w:t>s definiciones y categorías de vehículos en él contenidas y teniendo en cuenta además las siguientes reglas así como el Anexo de Reglas especiales de clasificación de vehículos contenido en la Ordenanza fiscal general del Consorcio de Tributos de Tenerife,</w:t>
      </w:r>
      <w:r>
        <w:t xml:space="preserve"> relativa a los tributos y demás ingresos de derecho público encomendados. </w:t>
      </w:r>
    </w:p>
    <w:p w:rsidR="00FC3429" w:rsidRDefault="00534744">
      <w:pPr>
        <w:ind w:left="-15"/>
      </w:pPr>
      <w:r>
        <w:t>Regla Primera. Vehículos mixtos adaptables, camionetas, furgonetas y furgonetas mixtas (Tipología según Dirección General de Tráfico 0G, 20, 21, 24):</w:t>
      </w:r>
    </w:p>
    <w:p w:rsidR="00FC3429" w:rsidRDefault="00534744">
      <w:pPr>
        <w:numPr>
          <w:ilvl w:val="0"/>
          <w:numId w:val="9"/>
        </w:numPr>
        <w:ind w:hanging="217"/>
      </w:pPr>
      <w:r>
        <w:t>Regla general: Tributarán como</w:t>
      </w:r>
      <w:r>
        <w:t xml:space="preserve"> camión. </w:t>
      </w:r>
    </w:p>
    <w:p w:rsidR="00FC3429" w:rsidRDefault="00534744">
      <w:pPr>
        <w:numPr>
          <w:ilvl w:val="0"/>
          <w:numId w:val="9"/>
        </w:numPr>
        <w:ind w:hanging="217"/>
      </w:pPr>
      <w:r>
        <w:t>Reglas especiales:</w:t>
      </w:r>
    </w:p>
    <w:p w:rsidR="00FC3429" w:rsidRDefault="00534744">
      <w:pPr>
        <w:ind w:left="-15"/>
      </w:pPr>
      <w:r>
        <w:t>Si del análisis de la tarjeta de Inspección técnica del Vehículo, aportada por el interesado, se deduce con claridad que la periodicidad de dicha inspección es la correspondiente a Vehículos de uso privado dedicados al transpor</w:t>
      </w:r>
      <w:r>
        <w:t>te de personas con capacidad hasta nueve plazas incluida la del conductor (excluidas motocicletas, vehículos de tres ruedas, cuadriciclos, 26 quads, ciclomotores de tres ruedas y cuadriciclos ligeros y ciclomotores de dos ruedas), tributarán como turismo.</w:t>
      </w:r>
    </w:p>
    <w:p w:rsidR="00FC3429" w:rsidRDefault="00534744">
      <w:pPr>
        <w:ind w:left="-15"/>
      </w:pPr>
      <w:r>
        <w:t xml:space="preserve">Si del análisis de la tarjeta de Inspección técnica del Vehículo, aportada por el interesado, se deduce con claridad que la periodicidad de dicha inspección es la correspondiente a vehículos y conjuntos de vehículos dedicados al transporte de mercancías o </w:t>
      </w:r>
      <w:r>
        <w:t xml:space="preserve">cosas, de MMA • 3,5 Tm (masa máxima autorizada menor o igual a 3,5 Tm) o vehículos dedicados al transporte de mercancías o cosas, de MMA &gt; 3,5 Tm, tributarán camión. </w:t>
      </w:r>
    </w:p>
    <w:p w:rsidR="00FC3429" w:rsidRDefault="00534744">
      <w:pPr>
        <w:ind w:left="-15"/>
      </w:pPr>
      <w:r>
        <w:t>En todo caso, tributarán como autobús, si el vehículo estuviere habilitado para el transp</w:t>
      </w:r>
      <w:r>
        <w:t>orte de más de nueve personas, incluido el conductor.</w:t>
      </w:r>
    </w:p>
    <w:p w:rsidR="00FC3429" w:rsidRDefault="00534744">
      <w:pPr>
        <w:ind w:left="155" w:firstLine="0"/>
      </w:pPr>
      <w:r>
        <w:t xml:space="preserve">Regla Segunda. Los todoterrenos tributarán como turismo. </w:t>
      </w:r>
    </w:p>
    <w:p w:rsidR="00FC3429" w:rsidRDefault="00FC3429">
      <w:pPr>
        <w:sectPr w:rsidR="00FC3429">
          <w:type w:val="continuous"/>
          <w:pgSz w:w="11900" w:h="16840"/>
          <w:pgMar w:top="1238" w:right="1555" w:bottom="2332" w:left="1557" w:header="720" w:footer="720" w:gutter="0"/>
          <w:cols w:space="720"/>
        </w:sectPr>
      </w:pPr>
    </w:p>
    <w:p w:rsidR="00FC3429" w:rsidRDefault="00534744">
      <w:pPr>
        <w:spacing w:after="430" w:line="513" w:lineRule="auto"/>
        <w:ind w:left="13" w:hanging="10"/>
        <w:jc w:val="left"/>
      </w:pPr>
      <w:r>
        <w:rPr>
          <w:rFonts w:ascii="Arial" w:eastAsia="Arial" w:hAnsi="Arial" w:cs="Arial"/>
          <w:sz w:val="15"/>
        </w:rPr>
        <w:t>17462</w:t>
      </w:r>
    </w:p>
    <w:p w:rsidR="00FC3429" w:rsidRDefault="00534744">
      <w:pPr>
        <w:ind w:left="-15"/>
      </w:pPr>
      <w:r>
        <w:t xml:space="preserve">Regla Tercera. Los vehículos vivienda (Tipología según Dirección General de Tráfico 7A) tributarán como camión. </w:t>
      </w:r>
    </w:p>
    <w:p w:rsidR="00FC3429" w:rsidRDefault="00534744">
      <w:pPr>
        <w:ind w:left="-15"/>
      </w:pPr>
      <w:r>
        <w:t>Regla Cua</w:t>
      </w:r>
      <w:r>
        <w:t xml:space="preserve">rta. Los tractores agrícolas y los tractores y maquinaria de obra o servicios tributarán como tractores. </w:t>
      </w:r>
    </w:p>
    <w:p w:rsidR="00FC3429" w:rsidRDefault="00534744">
      <w:pPr>
        <w:ind w:left="-15"/>
      </w:pPr>
      <w:r>
        <w:t>Regla Quinta. Los vehículos especiales (Tipología según Dirección General de Tráfico 70 a 79, 7B a 7J) tributarán como camión, si su clasificación por</w:t>
      </w:r>
      <w:r>
        <w:t xml:space="preserve"> criterio de construcción (dos primeros dígitos) corresponde a dicho tipo de vehículo. </w:t>
      </w:r>
    </w:p>
    <w:p w:rsidR="00FC3429" w:rsidRDefault="00534744">
      <w:pPr>
        <w:ind w:left="-15"/>
      </w:pPr>
      <w:r>
        <w:t>Regla Sexta. Quads: a) Quad-cuadriciclos ligeros: tributarán como ciclomotor, si en su certificado de características, apartado “clasificación de vehículo” figura 03 en</w:t>
      </w:r>
      <w:r>
        <w:t xml:space="preserve"> los dos primeros dígitos. b) Quadvehículos automóviles: tributarán como motocicleta, si en su certificado de características, apartado “clasificación de vehículo” figura 06 en los dos primeros dígitos. c) Quad-vehículos especiales: tributarán como tractor</w:t>
      </w:r>
      <w:r>
        <w:t xml:space="preserve">, si en su certificado de características, apartado “clasificación de vehículo” figura 64 en los dos primeros dígitos. </w:t>
      </w:r>
    </w:p>
    <w:p w:rsidR="00FC3429" w:rsidRDefault="00534744">
      <w:pPr>
        <w:ind w:left="-15"/>
      </w:pPr>
      <w:r>
        <w:t>Regla Séptima. La carga útil será el resultado de restar a la Masa Máxima Autorizada (MMA) la Tara. La Tara puede estar consignada direc</w:t>
      </w:r>
      <w:r>
        <w:t xml:space="preserve">tamente en la tarjeta de inspección Técnica. En su defecto se hallará restando 75 kilogramos a la Masa de Orden en Marcha (MOM). </w:t>
      </w:r>
    </w:p>
    <w:p w:rsidR="00FC3429" w:rsidRDefault="00534744">
      <w:pPr>
        <w:ind w:left="-15"/>
      </w:pPr>
      <w:r>
        <w:t>Regla Octava. En defecto de regulación específica, las motocicletas eléctricas tendrán la consideración, al efecto de este impuesto, de motocicletas hasta 125 c.c.</w:t>
      </w:r>
    </w:p>
    <w:p w:rsidR="00FC3429" w:rsidRDefault="00534744">
      <w:pPr>
        <w:ind w:left="155" w:firstLine="0"/>
      </w:pPr>
      <w:r>
        <w:t xml:space="preserve">Artículo 7. Período impositivo y devengo </w:t>
      </w:r>
    </w:p>
    <w:p w:rsidR="00FC3429" w:rsidRDefault="00534744">
      <w:pPr>
        <w:numPr>
          <w:ilvl w:val="0"/>
          <w:numId w:val="10"/>
        </w:numPr>
      </w:pPr>
      <w:r>
        <w:t xml:space="preserve">El período impositivo coincide con el año </w:t>
      </w:r>
      <w:proofErr w:type="gramStart"/>
      <w:r>
        <w:t>natural,</w:t>
      </w:r>
      <w:r>
        <w:t>salvo</w:t>
      </w:r>
      <w:proofErr w:type="gramEnd"/>
      <w:r>
        <w:t xml:space="preserve"> en el caso de primera adquisición de los vehículos. En este caso, el período impositivo comenzará el día en que se produzca dicha adquisición. </w:t>
      </w:r>
    </w:p>
    <w:p w:rsidR="00FC3429" w:rsidRDefault="00534744">
      <w:pPr>
        <w:numPr>
          <w:ilvl w:val="0"/>
          <w:numId w:val="10"/>
        </w:numPr>
      </w:pPr>
      <w:r>
        <w:t xml:space="preserve">El impuesto se devenga el primer día del períodoimpositivo. </w:t>
      </w:r>
    </w:p>
    <w:p w:rsidR="00FC3429" w:rsidRDefault="00534744">
      <w:pPr>
        <w:numPr>
          <w:ilvl w:val="0"/>
          <w:numId w:val="10"/>
        </w:numPr>
      </w:pPr>
      <w:r>
        <w:t>En los casos de primera adquisición del vehíc</w:t>
      </w:r>
      <w:r>
        <w:t xml:space="preserve">uloel importe de la cuota a exigir se prorrateará por trimestres y se satisfará la que corresponda a los trimestres que resten por transcurrir en el año, incluido aquel en que se produce la adquisición. </w:t>
      </w:r>
    </w:p>
    <w:p w:rsidR="00FC3429" w:rsidRDefault="00534744">
      <w:pPr>
        <w:spacing w:after="193"/>
        <w:ind w:left="-15"/>
      </w:pPr>
      <w:r>
        <w:t>El importe de la cuota del Impuesto se prorrateará p</w:t>
      </w:r>
      <w:r>
        <w:t xml:space="preserve">or trimestres naturales solamente en los siguientes supuestos y con la debida acreditación: </w:t>
      </w:r>
    </w:p>
    <w:p w:rsidR="00FC3429" w:rsidRDefault="00534744">
      <w:pPr>
        <w:numPr>
          <w:ilvl w:val="0"/>
          <w:numId w:val="11"/>
        </w:numPr>
        <w:spacing w:after="191"/>
      </w:pPr>
      <w:r>
        <w:t xml:space="preserve">Primera adquisición del vehículo. </w:t>
      </w:r>
    </w:p>
    <w:p w:rsidR="00FC3429" w:rsidRDefault="00534744">
      <w:pPr>
        <w:numPr>
          <w:ilvl w:val="0"/>
          <w:numId w:val="11"/>
        </w:numPr>
        <w:spacing w:after="153"/>
      </w:pPr>
      <w:r>
        <w:t xml:space="preserve">Baja definitiva del vehículo. </w:t>
      </w:r>
    </w:p>
    <w:p w:rsidR="00FC3429" w:rsidRDefault="00534744">
      <w:pPr>
        <w:numPr>
          <w:ilvl w:val="0"/>
          <w:numId w:val="11"/>
        </w:numPr>
      </w:pPr>
      <w:r>
        <w:t>Baja temporal por sustracción o robo del vehículodesde el momento en que se produzca dicha baja t</w:t>
      </w:r>
      <w:r>
        <w:t xml:space="preserve">emporal en el Registro Público correspondiente. </w:t>
      </w:r>
    </w:p>
    <w:p w:rsidR="00FC3429" w:rsidRDefault="00534744">
      <w:pPr>
        <w:numPr>
          <w:ilvl w:val="0"/>
          <w:numId w:val="11"/>
        </w:numPr>
      </w:pPr>
      <w:r>
        <w:t>Alta del vehículo tras una baja voluntaria, seatemporal o definitiva, siempre que el alta se produzca en ejercicio distinto al de la baja voluntaria.</w:t>
      </w:r>
    </w:p>
    <w:p w:rsidR="00FC3429" w:rsidRDefault="00534744">
      <w:pPr>
        <w:ind w:left="155" w:firstLine="0"/>
      </w:pPr>
      <w:r>
        <w:t xml:space="preserve">Artículo 8. Competencias sobre gestión y recaudación </w:t>
      </w:r>
    </w:p>
    <w:p w:rsidR="00FC3429" w:rsidRDefault="00534744">
      <w:pPr>
        <w:ind w:left="-15"/>
      </w:pPr>
      <w:r>
        <w:t>Las</w:t>
      </w:r>
      <w:r>
        <w:t xml:space="preserve"> competencias sobre gestión, liquidación, inspección y recaudación, así como la revisión de los actos dictados en vía de gestión tributaria corresponde al Consorcio de Tributos de Tenerife, en virtud de los acuerdos de encomienda vigentes, siendo de aplica</w:t>
      </w:r>
      <w:r>
        <w:t xml:space="preserve">ción la Ordenanza fiscal general de dicho Organismo, relativa a los tributos y demás ingresos de derecho público encomendados. </w:t>
      </w:r>
    </w:p>
    <w:p w:rsidR="00FC3429" w:rsidRDefault="00534744">
      <w:pPr>
        <w:ind w:left="155" w:firstLine="0"/>
      </w:pPr>
      <w:r>
        <w:t xml:space="preserve">DISPOSICIÓN DEROGATORIA </w:t>
      </w:r>
    </w:p>
    <w:p w:rsidR="00FC3429" w:rsidRDefault="00534744">
      <w:pPr>
        <w:ind w:left="-15"/>
      </w:pPr>
      <w:r>
        <w:t>A partir de la aplicación de la presente Ordenanza Fiscal, quedan derogadas cuantas disposiciones de ig</w:t>
      </w:r>
      <w:r>
        <w:t xml:space="preserve">ual o inferior rango se opongan a lo dispuesto en la misma. </w:t>
      </w:r>
    </w:p>
    <w:p w:rsidR="00FC3429" w:rsidRDefault="00534744">
      <w:pPr>
        <w:ind w:left="155" w:firstLine="0"/>
      </w:pPr>
      <w:r>
        <w:t xml:space="preserve">DISPOSICIÓN FINAL </w:t>
      </w:r>
    </w:p>
    <w:p w:rsidR="00FC3429" w:rsidRDefault="00534744">
      <w:pPr>
        <w:ind w:left="-15"/>
      </w:pPr>
      <w:r>
        <w:t>La presente Ordenanza Fiscal entrará en vigor el día de su publicación en el Boletín Oficial de la Provincia, y será de aplicación a partir del día 1 de enero de 2021, permanec</w:t>
      </w:r>
      <w:r>
        <w:t>iendo en vigor hasta su modificación o derogación expresa.</w:t>
      </w:r>
    </w:p>
    <w:p w:rsidR="00FC3429" w:rsidRDefault="00534744">
      <w:pPr>
        <w:ind w:left="-15"/>
      </w:pPr>
      <w:r>
        <w:t>Todo lo cual se publica por el Secretario General en virtud de la función de fe pública del artículo 3.2 j) del Real Decreto 128/2018, de 16 de marzo, de régimen jurídico de los funcionarios de Adm</w:t>
      </w:r>
      <w:r>
        <w:t>inistración local con habilitación de carácter nacional.</w:t>
      </w:r>
    </w:p>
    <w:p w:rsidR="00FC3429" w:rsidRDefault="00534744">
      <w:pPr>
        <w:ind w:left="155" w:firstLine="0"/>
      </w:pPr>
      <w:r>
        <w:t>Candelaria, a diecisiete de diciembre de dos mil veinte.</w:t>
      </w:r>
    </w:p>
    <w:p w:rsidR="00FC3429" w:rsidRDefault="00534744">
      <w:pPr>
        <w:ind w:left="155" w:firstLine="0"/>
      </w:pPr>
      <w:r>
        <w:t>EL CONCEJAL, Airam Pérez Chinea.</w:t>
      </w:r>
    </w:p>
    <w:p w:rsidR="00FC3429" w:rsidRDefault="00534744">
      <w:pPr>
        <w:ind w:left="-15"/>
      </w:pPr>
      <w:r>
        <w:t>EL SECRETARIO, Octavio Manuel Fernández Hernández.</w:t>
      </w:r>
    </w:p>
    <w:sectPr w:rsidR="00FC3429">
      <w:type w:val="continuous"/>
      <w:pgSz w:w="11900" w:h="16840"/>
      <w:pgMar w:top="1440" w:right="1556" w:bottom="1440" w:left="1557" w:header="720" w:footer="720" w:gutter="0"/>
      <w:cols w:num="2" w:space="4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34744">
      <w:pPr>
        <w:spacing w:after="0" w:line="240" w:lineRule="auto"/>
      </w:pPr>
      <w:r>
        <w:separator/>
      </w:r>
    </w:p>
  </w:endnote>
  <w:endnote w:type="continuationSeparator" w:id="0">
    <w:p w:rsidR="00000000" w:rsidRDefault="0053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FC3429">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FC3429" w:rsidRDefault="00534744">
          <w:pPr>
            <w:spacing w:after="0" w:line="259" w:lineRule="auto"/>
            <w:ind w:firstLine="0"/>
            <w:jc w:val="center"/>
          </w:pPr>
          <w:r>
            <w:rPr>
              <w:rFonts w:ascii="Arial" w:eastAsia="Arial" w:hAnsi="Arial" w:cs="Arial"/>
              <w:b/>
              <w:color w:val="000000"/>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FC3429" w:rsidRDefault="00534744">
          <w:pPr>
            <w:spacing w:after="0" w:line="259" w:lineRule="auto"/>
            <w:ind w:left="5" w:firstLine="0"/>
            <w:jc w:val="left"/>
          </w:pPr>
          <w:r>
            <w:rPr>
              <w:rFonts w:ascii="Arial" w:eastAsia="Arial" w:hAnsi="Arial" w:cs="Arial"/>
              <w:color w:val="000000"/>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FC3429" w:rsidRDefault="00534744">
          <w:pPr>
            <w:spacing w:after="0" w:line="259" w:lineRule="auto"/>
            <w:ind w:left="5" w:firstLine="0"/>
            <w:jc w:val="left"/>
          </w:pPr>
          <w:r>
            <w:rPr>
              <w:rFonts w:ascii="Arial" w:eastAsia="Arial" w:hAnsi="Arial" w:cs="Arial"/>
              <w:color w:val="000000"/>
              <w:sz w:val="12"/>
            </w:rPr>
            <w:t>Fecha: 30-08-2021 08:34:59</w:t>
          </w:r>
        </w:p>
      </w:tc>
      <w:tc>
        <w:tcPr>
          <w:tcW w:w="1600" w:type="dxa"/>
          <w:vMerge w:val="restart"/>
          <w:tcBorders>
            <w:top w:val="single" w:sz="4" w:space="0" w:color="000000"/>
            <w:left w:val="single" w:sz="4" w:space="0" w:color="000000"/>
            <w:bottom w:val="single" w:sz="4" w:space="0" w:color="000000"/>
            <w:right w:val="single" w:sz="4" w:space="0" w:color="000000"/>
          </w:tcBorders>
        </w:tcPr>
        <w:p w:rsidR="00FC3429" w:rsidRDefault="00534744">
          <w:pPr>
            <w:spacing w:after="0" w:line="259" w:lineRule="auto"/>
            <w:ind w:left="290" w:firstLine="0"/>
            <w:jc w:val="left"/>
          </w:pPr>
          <w:r>
            <w:rPr>
              <w:noProof/>
            </w:rPr>
            <w:drawing>
              <wp:inline distT="0" distB="0" distL="0" distR="0">
                <wp:extent cx="571500" cy="571500"/>
                <wp:effectExtent l="0" t="0" r="0" b="0"/>
                <wp:docPr id="209" name="Picture 209"/>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1"/>
                        <a:stretch>
                          <a:fillRect/>
                        </a:stretch>
                      </pic:blipFill>
                      <pic:spPr>
                        <a:xfrm>
                          <a:off x="0" y="0"/>
                          <a:ext cx="571500" cy="571500"/>
                        </a:xfrm>
                        <a:prstGeom prst="rect">
                          <a:avLst/>
                        </a:prstGeom>
                      </pic:spPr>
                    </pic:pic>
                  </a:graphicData>
                </a:graphic>
              </wp:inline>
            </w:drawing>
          </w:r>
        </w:p>
      </w:tc>
    </w:tr>
    <w:tr w:rsidR="00FC3429">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FC3429" w:rsidRDefault="00534744">
          <w:pPr>
            <w:spacing w:after="51" w:line="259" w:lineRule="auto"/>
            <w:ind w:firstLine="0"/>
            <w:jc w:val="center"/>
          </w:pPr>
          <w:r>
            <w:rPr>
              <w:rFonts w:ascii="Arial" w:eastAsia="Arial" w:hAnsi="Arial" w:cs="Arial"/>
              <w:color w:val="000000"/>
              <w:sz w:val="12"/>
            </w:rPr>
            <w:t>Código Seguro de Verificación (CSV): 8F4E90A6F1A7EE6592BA928C</w:t>
          </w:r>
          <w:r>
            <w:fldChar w:fldCharType="begin"/>
          </w:r>
          <w:r>
            <w:instrText xml:space="preserve"> NUMPAGES   \* MERGEFORMAT </w:instrText>
          </w:r>
          <w:r>
            <w:fldChar w:fldCharType="separate"/>
          </w:r>
          <w:r w:rsidRPr="00534744">
            <w:rPr>
              <w:rFonts w:ascii="Arial" w:eastAsia="Arial" w:hAnsi="Arial" w:cs="Arial"/>
              <w:noProof/>
              <w:color w:val="000000"/>
              <w:sz w:val="12"/>
            </w:rPr>
            <w:t>6</w:t>
          </w:r>
          <w:r>
            <w:rPr>
              <w:rFonts w:ascii="Arial" w:eastAsia="Arial" w:hAnsi="Arial" w:cs="Arial"/>
              <w:color w:val="000000"/>
              <w:sz w:val="12"/>
            </w:rPr>
            <w:fldChar w:fldCharType="end"/>
          </w:r>
          <w:r>
            <w:rPr>
              <w:rFonts w:ascii="Arial" w:eastAsia="Arial" w:hAnsi="Arial" w:cs="Arial"/>
              <w:color w:val="000000"/>
              <w:sz w:val="12"/>
            </w:rPr>
            <w:t>D298AFF</w:t>
          </w:r>
        </w:p>
        <w:p w:rsidR="00FC3429" w:rsidRDefault="00534744">
          <w:pPr>
            <w:spacing w:after="0" w:line="259" w:lineRule="auto"/>
            <w:ind w:firstLine="0"/>
            <w:jc w:val="center"/>
          </w:pPr>
          <w:r>
            <w:rPr>
              <w:rFonts w:ascii="Arial" w:eastAsia="Arial" w:hAnsi="Arial" w:cs="Arial"/>
              <w:color w:val="000000"/>
              <w:sz w:val="12"/>
            </w:rPr>
            <w:t>Comprobación CSV:  https://sedeelectronica.candelaria.es//publico/documento/8F4E90A6F1A7EE6592BA928C5D298AFF .</w:t>
          </w:r>
        </w:p>
      </w:tc>
      <w:tc>
        <w:tcPr>
          <w:tcW w:w="0" w:type="auto"/>
          <w:vMerge/>
          <w:tcBorders>
            <w:top w:val="nil"/>
            <w:left w:val="single" w:sz="4" w:space="0" w:color="000000"/>
            <w:bottom w:val="nil"/>
            <w:right w:val="single" w:sz="4" w:space="0" w:color="000000"/>
          </w:tcBorders>
        </w:tcPr>
        <w:p w:rsidR="00FC3429" w:rsidRDefault="00FC3429">
          <w:pPr>
            <w:spacing w:after="160" w:line="259" w:lineRule="auto"/>
            <w:ind w:firstLine="0"/>
            <w:jc w:val="left"/>
          </w:pPr>
        </w:p>
      </w:tc>
    </w:tr>
    <w:tr w:rsidR="00FC3429">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FC3429" w:rsidRDefault="00534744">
          <w:pPr>
            <w:tabs>
              <w:tab w:val="center" w:pos="5173"/>
              <w:tab w:val="right" w:pos="9180"/>
            </w:tabs>
            <w:spacing w:after="0" w:line="259" w:lineRule="auto"/>
            <w:ind w:firstLine="0"/>
            <w:jc w:val="left"/>
          </w:pPr>
          <w:r>
            <w:rPr>
              <w:rFonts w:ascii="Arial" w:eastAsia="Arial" w:hAnsi="Arial" w:cs="Arial"/>
              <w:color w:val="000000"/>
              <w:sz w:val="12"/>
            </w:rPr>
            <w:t>Fecha de sellado electrónico: 30-08-2021 08:34:59</w:t>
          </w:r>
          <w:r>
            <w:rPr>
              <w:rFonts w:ascii="Arial" w:eastAsia="Arial" w:hAnsi="Arial" w:cs="Arial"/>
              <w:color w:val="000000"/>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534744">
            <w:rPr>
              <w:rFonts w:ascii="Arial" w:eastAsia="Arial" w:hAnsi="Arial" w:cs="Arial"/>
              <w:noProof/>
              <w:color w:val="404040"/>
              <w:sz w:val="12"/>
            </w:rPr>
            <w:t>6</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534744">
            <w:rPr>
              <w:rFonts w:ascii="Arial" w:eastAsia="Arial" w:hAnsi="Arial" w:cs="Arial"/>
              <w:noProof/>
              <w:color w:val="404040"/>
              <w:sz w:val="12"/>
            </w:rPr>
            <w:t>6</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color w:val="000000"/>
              <w:sz w:val="12"/>
            </w:rPr>
            <w:t>Fecha de emisión de esta copia: 23-01-2024 13:10:10</w:t>
          </w:r>
        </w:p>
      </w:tc>
      <w:tc>
        <w:tcPr>
          <w:tcW w:w="0" w:type="auto"/>
          <w:vMerge/>
          <w:tcBorders>
            <w:top w:val="nil"/>
            <w:left w:val="single" w:sz="4" w:space="0" w:color="000000"/>
            <w:bottom w:val="single" w:sz="4" w:space="0" w:color="000000"/>
            <w:right w:val="single" w:sz="4" w:space="0" w:color="000000"/>
          </w:tcBorders>
        </w:tcPr>
        <w:p w:rsidR="00FC3429" w:rsidRDefault="00FC3429">
          <w:pPr>
            <w:spacing w:after="160" w:line="259" w:lineRule="auto"/>
            <w:ind w:firstLine="0"/>
            <w:jc w:val="left"/>
          </w:pPr>
        </w:p>
      </w:tc>
    </w:tr>
  </w:tbl>
  <w:p w:rsidR="00FC3429" w:rsidRDefault="00FC3429">
    <w:pPr>
      <w:spacing w:after="0" w:line="259" w:lineRule="auto"/>
      <w:ind w:left="-1557" w:right="10344"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FC3429">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FC3429" w:rsidRDefault="00534744">
          <w:pPr>
            <w:spacing w:after="0" w:line="259" w:lineRule="auto"/>
            <w:ind w:firstLine="0"/>
            <w:jc w:val="center"/>
          </w:pPr>
          <w:r>
            <w:rPr>
              <w:rFonts w:ascii="Arial" w:eastAsia="Arial" w:hAnsi="Arial" w:cs="Arial"/>
              <w:b/>
              <w:color w:val="000000"/>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FC3429" w:rsidRDefault="00534744">
          <w:pPr>
            <w:spacing w:after="0" w:line="259" w:lineRule="auto"/>
            <w:ind w:left="5" w:firstLine="0"/>
            <w:jc w:val="left"/>
          </w:pPr>
          <w:r>
            <w:rPr>
              <w:rFonts w:ascii="Arial" w:eastAsia="Arial" w:hAnsi="Arial" w:cs="Arial"/>
              <w:color w:val="000000"/>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FC3429" w:rsidRDefault="00534744">
          <w:pPr>
            <w:spacing w:after="0" w:line="259" w:lineRule="auto"/>
            <w:ind w:left="5" w:firstLine="0"/>
            <w:jc w:val="left"/>
          </w:pPr>
          <w:r>
            <w:rPr>
              <w:rFonts w:ascii="Arial" w:eastAsia="Arial" w:hAnsi="Arial" w:cs="Arial"/>
              <w:color w:val="000000"/>
              <w:sz w:val="12"/>
            </w:rPr>
            <w:t>Fecha: 30-08-2021 08:34:59</w:t>
          </w:r>
        </w:p>
      </w:tc>
      <w:tc>
        <w:tcPr>
          <w:tcW w:w="1600" w:type="dxa"/>
          <w:vMerge w:val="restart"/>
          <w:tcBorders>
            <w:top w:val="single" w:sz="4" w:space="0" w:color="000000"/>
            <w:left w:val="single" w:sz="4" w:space="0" w:color="000000"/>
            <w:bottom w:val="single" w:sz="4" w:space="0" w:color="000000"/>
            <w:right w:val="single" w:sz="4" w:space="0" w:color="000000"/>
          </w:tcBorders>
        </w:tcPr>
        <w:p w:rsidR="00FC3429" w:rsidRDefault="00534744">
          <w:pPr>
            <w:spacing w:after="0" w:line="259" w:lineRule="auto"/>
            <w:ind w:left="290" w:firstLine="0"/>
            <w:jc w:val="left"/>
          </w:pPr>
          <w:r>
            <w:rPr>
              <w:noProof/>
            </w:rPr>
            <w:drawing>
              <wp:inline distT="0" distB="0" distL="0" distR="0">
                <wp:extent cx="571500" cy="571500"/>
                <wp:effectExtent l="0" t="0" r="0" b="0"/>
                <wp:docPr id="1" name="Picture 209"/>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1"/>
                        <a:stretch>
                          <a:fillRect/>
                        </a:stretch>
                      </pic:blipFill>
                      <pic:spPr>
                        <a:xfrm>
                          <a:off x="0" y="0"/>
                          <a:ext cx="571500" cy="571500"/>
                        </a:xfrm>
                        <a:prstGeom prst="rect">
                          <a:avLst/>
                        </a:prstGeom>
                      </pic:spPr>
                    </pic:pic>
                  </a:graphicData>
                </a:graphic>
              </wp:inline>
            </w:drawing>
          </w:r>
        </w:p>
      </w:tc>
    </w:tr>
    <w:tr w:rsidR="00FC3429">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FC3429" w:rsidRDefault="00534744">
          <w:pPr>
            <w:spacing w:after="51" w:line="259" w:lineRule="auto"/>
            <w:ind w:firstLine="0"/>
            <w:jc w:val="center"/>
          </w:pPr>
          <w:r>
            <w:rPr>
              <w:rFonts w:ascii="Arial" w:eastAsia="Arial" w:hAnsi="Arial" w:cs="Arial"/>
              <w:color w:val="000000"/>
              <w:sz w:val="12"/>
            </w:rPr>
            <w:t>Código Seguro de Verificación (CSV): 8F4E90A6F1A7EE6592BA928C</w:t>
          </w:r>
          <w:r>
            <w:fldChar w:fldCharType="begin"/>
          </w:r>
          <w:r>
            <w:instrText xml:space="preserve"> NUMPAGES   \* MERGEFORMAT </w:instrText>
          </w:r>
          <w:r>
            <w:fldChar w:fldCharType="separate"/>
          </w:r>
          <w:r w:rsidRPr="00534744">
            <w:rPr>
              <w:rFonts w:ascii="Arial" w:eastAsia="Arial" w:hAnsi="Arial" w:cs="Arial"/>
              <w:noProof/>
              <w:color w:val="000000"/>
              <w:sz w:val="12"/>
            </w:rPr>
            <w:t>6</w:t>
          </w:r>
          <w:r>
            <w:rPr>
              <w:rFonts w:ascii="Arial" w:eastAsia="Arial" w:hAnsi="Arial" w:cs="Arial"/>
              <w:color w:val="000000"/>
              <w:sz w:val="12"/>
            </w:rPr>
            <w:fldChar w:fldCharType="end"/>
          </w:r>
          <w:r>
            <w:rPr>
              <w:rFonts w:ascii="Arial" w:eastAsia="Arial" w:hAnsi="Arial" w:cs="Arial"/>
              <w:color w:val="000000"/>
              <w:sz w:val="12"/>
            </w:rPr>
            <w:t>D298AFF</w:t>
          </w:r>
        </w:p>
        <w:p w:rsidR="00FC3429" w:rsidRDefault="00534744">
          <w:pPr>
            <w:spacing w:after="0" w:line="259" w:lineRule="auto"/>
            <w:ind w:firstLine="0"/>
            <w:jc w:val="center"/>
          </w:pPr>
          <w:r>
            <w:rPr>
              <w:rFonts w:ascii="Arial" w:eastAsia="Arial" w:hAnsi="Arial" w:cs="Arial"/>
              <w:color w:val="000000"/>
              <w:sz w:val="12"/>
            </w:rPr>
            <w:t>Comprobación CSV:  https://sedeelectronica.candelaria.es//publico/documento/8F4E90A6F1A7EE6592BA928C5D298AFF .</w:t>
          </w:r>
        </w:p>
      </w:tc>
      <w:tc>
        <w:tcPr>
          <w:tcW w:w="0" w:type="auto"/>
          <w:vMerge/>
          <w:tcBorders>
            <w:top w:val="nil"/>
            <w:left w:val="single" w:sz="4" w:space="0" w:color="000000"/>
            <w:bottom w:val="nil"/>
            <w:right w:val="single" w:sz="4" w:space="0" w:color="000000"/>
          </w:tcBorders>
        </w:tcPr>
        <w:p w:rsidR="00FC3429" w:rsidRDefault="00FC3429">
          <w:pPr>
            <w:spacing w:after="160" w:line="259" w:lineRule="auto"/>
            <w:ind w:firstLine="0"/>
            <w:jc w:val="left"/>
          </w:pPr>
        </w:p>
      </w:tc>
    </w:tr>
    <w:tr w:rsidR="00FC3429">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FC3429" w:rsidRDefault="00534744">
          <w:pPr>
            <w:tabs>
              <w:tab w:val="center" w:pos="5173"/>
              <w:tab w:val="right" w:pos="9180"/>
            </w:tabs>
            <w:spacing w:after="0" w:line="259" w:lineRule="auto"/>
            <w:ind w:firstLine="0"/>
            <w:jc w:val="left"/>
          </w:pPr>
          <w:r>
            <w:rPr>
              <w:rFonts w:ascii="Arial" w:eastAsia="Arial" w:hAnsi="Arial" w:cs="Arial"/>
              <w:color w:val="000000"/>
              <w:sz w:val="12"/>
            </w:rPr>
            <w:t>Fecha de sellado electrónico: 30-08-2021 08:34:59</w:t>
          </w:r>
          <w:r>
            <w:rPr>
              <w:rFonts w:ascii="Arial" w:eastAsia="Arial" w:hAnsi="Arial" w:cs="Arial"/>
              <w:color w:val="000000"/>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534744">
            <w:rPr>
              <w:rFonts w:ascii="Arial" w:eastAsia="Arial" w:hAnsi="Arial" w:cs="Arial"/>
              <w:noProof/>
              <w:color w:val="404040"/>
              <w:sz w:val="12"/>
            </w:rPr>
            <w:t>5</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534744">
            <w:rPr>
              <w:rFonts w:ascii="Arial" w:eastAsia="Arial" w:hAnsi="Arial" w:cs="Arial"/>
              <w:noProof/>
              <w:color w:val="404040"/>
              <w:sz w:val="12"/>
            </w:rPr>
            <w:t>6</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color w:val="000000"/>
              <w:sz w:val="12"/>
            </w:rPr>
            <w:t>Fecha de emisión de esta copia: 23-01-2024 13:10:10</w:t>
          </w:r>
        </w:p>
      </w:tc>
      <w:tc>
        <w:tcPr>
          <w:tcW w:w="0" w:type="auto"/>
          <w:vMerge/>
          <w:tcBorders>
            <w:top w:val="nil"/>
            <w:left w:val="single" w:sz="4" w:space="0" w:color="000000"/>
            <w:bottom w:val="single" w:sz="4" w:space="0" w:color="000000"/>
            <w:right w:val="single" w:sz="4" w:space="0" w:color="000000"/>
          </w:tcBorders>
        </w:tcPr>
        <w:p w:rsidR="00FC3429" w:rsidRDefault="00FC3429">
          <w:pPr>
            <w:spacing w:after="160" w:line="259" w:lineRule="auto"/>
            <w:ind w:firstLine="0"/>
            <w:jc w:val="left"/>
          </w:pPr>
        </w:p>
      </w:tc>
    </w:tr>
  </w:tbl>
  <w:p w:rsidR="00FC3429" w:rsidRDefault="00FC3429">
    <w:pPr>
      <w:spacing w:after="0" w:line="259" w:lineRule="auto"/>
      <w:ind w:left="-1557" w:right="10344"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29" w:rsidRDefault="00FC3429">
    <w:pPr>
      <w:spacing w:after="160" w:line="259" w:lineRule="auto"/>
      <w:ind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34744">
      <w:pPr>
        <w:spacing w:after="0" w:line="240" w:lineRule="auto"/>
      </w:pPr>
      <w:r>
        <w:separator/>
      </w:r>
    </w:p>
  </w:footnote>
  <w:footnote w:type="continuationSeparator" w:id="0">
    <w:p w:rsidR="00000000" w:rsidRDefault="00534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29" w:rsidRDefault="00534744">
    <w:pPr>
      <w:spacing w:after="0" w:line="259" w:lineRule="auto"/>
      <w:ind w:left="-1557" w:right="10344"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988536</wp:posOffset>
              </wp:positionH>
              <wp:positionV relativeFrom="page">
                <wp:posOffset>695113</wp:posOffset>
              </wp:positionV>
              <wp:extent cx="5579678" cy="11579"/>
              <wp:effectExtent l="0" t="0" r="0" b="0"/>
              <wp:wrapSquare wrapText="bothSides"/>
              <wp:docPr id="10070" name="Group 10070"/>
              <wp:cNvGraphicFramePr/>
              <a:graphic xmlns:a="http://schemas.openxmlformats.org/drawingml/2006/main">
                <a:graphicData uri="http://schemas.microsoft.com/office/word/2010/wordprocessingGroup">
                  <wpg:wgp>
                    <wpg:cNvGrpSpPr/>
                    <wpg:grpSpPr>
                      <a:xfrm>
                        <a:off x="0" y="0"/>
                        <a:ext cx="5579678" cy="11579"/>
                        <a:chOff x="0" y="0"/>
                        <a:chExt cx="5579678" cy="11579"/>
                      </a:xfrm>
                    </wpg:grpSpPr>
                    <wps:wsp>
                      <wps:cNvPr id="10071" name="Shape 10071"/>
                      <wps:cNvSpPr/>
                      <wps:spPr>
                        <a:xfrm>
                          <a:off x="0" y="0"/>
                          <a:ext cx="5579678" cy="0"/>
                        </a:xfrm>
                        <a:custGeom>
                          <a:avLst/>
                          <a:gdLst/>
                          <a:ahLst/>
                          <a:cxnLst/>
                          <a:rect l="0" t="0" r="0" b="0"/>
                          <a:pathLst>
                            <a:path w="5579678">
                              <a:moveTo>
                                <a:pt x="0" y="0"/>
                              </a:moveTo>
                              <a:lnTo>
                                <a:pt x="5579678" y="0"/>
                              </a:lnTo>
                            </a:path>
                          </a:pathLst>
                        </a:custGeom>
                        <a:ln w="11579" cap="flat">
                          <a:miter lim="127000"/>
                        </a:ln>
                      </wps:spPr>
                      <wps:style>
                        <a:lnRef idx="1">
                          <a:srgbClr val="231F2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070" style="width:439.345pt;height:0.911711pt;position:absolute;mso-position-horizontal-relative:page;mso-position-horizontal:absolute;margin-left:77.8375pt;mso-position-vertical-relative:page;margin-top:54.7333pt;" coordsize="55796,115">
              <v:shape id="Shape 10071" style="position:absolute;width:55796;height:0;left:0;top:0;" coordsize="5579678,0" path="m0,0l5579678,0">
                <v:stroke weight="0.911711pt" endcap="flat" joinstyle="miter" miterlimit="10" on="true" color="#231f20"/>
                <v:fill on="false" color="#000000" opacity="0"/>
              </v:shape>
              <w10:wrap type="square"/>
            </v:group>
          </w:pict>
        </mc:Fallback>
      </mc:AlternateContent>
    </w:r>
  </w:p>
  <w:p w:rsidR="00FC3429" w:rsidRDefault="00534744">
    <w:r>
      <w:rPr>
        <w:rFonts w:ascii="Calibri" w:eastAsia="Calibri" w:hAnsi="Calibri" w:cs="Calibri"/>
        <w:noProof/>
        <w:color w:val="000000"/>
        <w:sz w:val="22"/>
      </w:rPr>
      <mc:AlternateContent>
        <mc:Choice Requires="wpg">
          <w:drawing>
            <wp:anchor distT="0" distB="0" distL="114300" distR="114300" simplePos="0" relativeHeight="251659264" behindDoc="1" locked="0" layoutInCell="1" allowOverlap="1">
              <wp:simplePos x="0" y="0"/>
              <wp:positionH relativeFrom="page">
                <wp:posOffset>988536</wp:posOffset>
              </wp:positionH>
              <wp:positionV relativeFrom="page">
                <wp:posOffset>990513</wp:posOffset>
              </wp:positionV>
              <wp:extent cx="5579678" cy="11579"/>
              <wp:effectExtent l="0" t="0" r="0" b="0"/>
              <wp:wrapNone/>
              <wp:docPr id="10072" name="Group 10072"/>
              <wp:cNvGraphicFramePr/>
              <a:graphic xmlns:a="http://schemas.openxmlformats.org/drawingml/2006/main">
                <a:graphicData uri="http://schemas.microsoft.com/office/word/2010/wordprocessingGroup">
                  <wpg:wgp>
                    <wpg:cNvGrpSpPr/>
                    <wpg:grpSpPr>
                      <a:xfrm>
                        <a:off x="0" y="0"/>
                        <a:ext cx="5579678" cy="11579"/>
                        <a:chOff x="0" y="0"/>
                        <a:chExt cx="5579678" cy="11579"/>
                      </a:xfrm>
                    </wpg:grpSpPr>
                    <wps:wsp>
                      <wps:cNvPr id="10073" name="Shape 10073"/>
                      <wps:cNvSpPr/>
                      <wps:spPr>
                        <a:xfrm>
                          <a:off x="0" y="0"/>
                          <a:ext cx="5579678" cy="0"/>
                        </a:xfrm>
                        <a:custGeom>
                          <a:avLst/>
                          <a:gdLst/>
                          <a:ahLst/>
                          <a:cxnLst/>
                          <a:rect l="0" t="0" r="0" b="0"/>
                          <a:pathLst>
                            <a:path w="5579678">
                              <a:moveTo>
                                <a:pt x="0" y="0"/>
                              </a:moveTo>
                              <a:lnTo>
                                <a:pt x="5579678" y="0"/>
                              </a:lnTo>
                            </a:path>
                          </a:pathLst>
                        </a:custGeom>
                        <a:ln w="11579" cap="flat">
                          <a:miter lim="127000"/>
                        </a:ln>
                      </wps:spPr>
                      <wps:style>
                        <a:lnRef idx="1">
                          <a:srgbClr val="231F2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072" style="width:439.345pt;height:0.911711pt;position:absolute;z-index:-2147483648;mso-position-horizontal-relative:page;mso-position-horizontal:absolute;margin-left:77.8375pt;mso-position-vertical-relative:page;margin-top:77.9932pt;" coordsize="55796,115">
              <v:shape id="Shape 10073" style="position:absolute;width:55796;height:0;left:0;top:0;" coordsize="5579678,0" path="m0,0l5579678,0">
                <v:stroke weight="0.911711pt" endcap="flat" joinstyle="miter" miterlimit="10" on="true" color="#231f20"/>
                <v:fill on="false" color="#000000" opacity="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29" w:rsidRDefault="00534744">
    <w:pPr>
      <w:spacing w:after="0" w:line="259" w:lineRule="auto"/>
      <w:ind w:left="2135"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988527</wp:posOffset>
              </wp:positionH>
              <wp:positionV relativeFrom="page">
                <wp:posOffset>695113</wp:posOffset>
              </wp:positionV>
              <wp:extent cx="5579674" cy="11579"/>
              <wp:effectExtent l="0" t="0" r="0" b="0"/>
              <wp:wrapSquare wrapText="bothSides"/>
              <wp:docPr id="9956" name="Group 9956"/>
              <wp:cNvGraphicFramePr/>
              <a:graphic xmlns:a="http://schemas.openxmlformats.org/drawingml/2006/main">
                <a:graphicData uri="http://schemas.microsoft.com/office/word/2010/wordprocessingGroup">
                  <wpg:wgp>
                    <wpg:cNvGrpSpPr/>
                    <wpg:grpSpPr>
                      <a:xfrm>
                        <a:off x="0" y="0"/>
                        <a:ext cx="5579674" cy="11579"/>
                        <a:chOff x="0" y="0"/>
                        <a:chExt cx="5579674" cy="11579"/>
                      </a:xfrm>
                    </wpg:grpSpPr>
                    <wps:wsp>
                      <wps:cNvPr id="9957" name="Shape 9957"/>
                      <wps:cNvSpPr/>
                      <wps:spPr>
                        <a:xfrm>
                          <a:off x="0" y="0"/>
                          <a:ext cx="5579674" cy="0"/>
                        </a:xfrm>
                        <a:custGeom>
                          <a:avLst/>
                          <a:gdLst/>
                          <a:ahLst/>
                          <a:cxnLst/>
                          <a:rect l="0" t="0" r="0" b="0"/>
                          <a:pathLst>
                            <a:path w="5579674">
                              <a:moveTo>
                                <a:pt x="0" y="0"/>
                              </a:moveTo>
                              <a:lnTo>
                                <a:pt x="5579674" y="0"/>
                              </a:lnTo>
                            </a:path>
                          </a:pathLst>
                        </a:custGeom>
                        <a:ln w="11579" cap="flat">
                          <a:miter lim="127000"/>
                        </a:ln>
                      </wps:spPr>
                      <wps:style>
                        <a:lnRef idx="1">
                          <a:srgbClr val="231F2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956" style="width:439.344pt;height:0.911711pt;position:absolute;mso-position-horizontal-relative:page;mso-position-horizontal:absolute;margin-left:77.8367pt;mso-position-vertical-relative:page;margin-top:54.7333pt;" coordsize="55796,115">
              <v:shape id="Shape 9957" style="position:absolute;width:55796;height:0;left:0;top:0;" coordsize="5579674,0" path="m0,0l5579674,0">
                <v:stroke weight="0.911711pt" endcap="flat" joinstyle="miter" miterlimit="10" on="true" color="#231f2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988527</wp:posOffset>
              </wp:positionH>
              <wp:positionV relativeFrom="page">
                <wp:posOffset>990513</wp:posOffset>
              </wp:positionV>
              <wp:extent cx="5579674" cy="11579"/>
              <wp:effectExtent l="0" t="0" r="0" b="0"/>
              <wp:wrapSquare wrapText="bothSides"/>
              <wp:docPr id="9958" name="Group 9958"/>
              <wp:cNvGraphicFramePr/>
              <a:graphic xmlns:a="http://schemas.openxmlformats.org/drawingml/2006/main">
                <a:graphicData uri="http://schemas.microsoft.com/office/word/2010/wordprocessingGroup">
                  <wpg:wgp>
                    <wpg:cNvGrpSpPr/>
                    <wpg:grpSpPr>
                      <a:xfrm>
                        <a:off x="0" y="0"/>
                        <a:ext cx="5579674" cy="11579"/>
                        <a:chOff x="0" y="0"/>
                        <a:chExt cx="5579674" cy="11579"/>
                      </a:xfrm>
                    </wpg:grpSpPr>
                    <wps:wsp>
                      <wps:cNvPr id="9959" name="Shape 9959"/>
                      <wps:cNvSpPr/>
                      <wps:spPr>
                        <a:xfrm>
                          <a:off x="0" y="0"/>
                          <a:ext cx="5579674" cy="0"/>
                        </a:xfrm>
                        <a:custGeom>
                          <a:avLst/>
                          <a:gdLst/>
                          <a:ahLst/>
                          <a:cxnLst/>
                          <a:rect l="0" t="0" r="0" b="0"/>
                          <a:pathLst>
                            <a:path w="5579674">
                              <a:moveTo>
                                <a:pt x="0" y="0"/>
                              </a:moveTo>
                              <a:lnTo>
                                <a:pt x="5579674" y="0"/>
                              </a:lnTo>
                            </a:path>
                          </a:pathLst>
                        </a:custGeom>
                        <a:ln w="11579" cap="flat">
                          <a:miter lim="127000"/>
                        </a:ln>
                      </wps:spPr>
                      <wps:style>
                        <a:lnRef idx="1">
                          <a:srgbClr val="231F2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958" style="width:439.344pt;height:0.911711pt;position:absolute;mso-position-horizontal-relative:page;mso-position-horizontal:absolute;margin-left:77.8367pt;mso-position-vertical-relative:page;margin-top:77.9932pt;" coordsize="55796,115">
              <v:shape id="Shape 9959" style="position:absolute;width:55796;height:0;left:0;top:0;" coordsize="5579674,0" path="m0,0l5579674,0">
                <v:stroke weight="0.911711pt" endcap="flat" joinstyle="miter" miterlimit="10" on="true" color="#231f20"/>
                <v:fill on="false" color="#000000" opacity="0"/>
              </v:shape>
              <w10:wrap type="square"/>
            </v:group>
          </w:pict>
        </mc:Fallback>
      </mc:AlternateContent>
    </w:r>
    <w:r>
      <w:rPr>
        <w:rFonts w:ascii="Arial" w:eastAsia="Arial" w:hAnsi="Arial" w:cs="Arial"/>
        <w:sz w:val="15"/>
      </w:rPr>
      <w:t>Boletín Oficial de la Provincia de Santa Cruz de Tenerife núm. 154, miércoles 23 de diciembre de 2020</w:t>
    </w:r>
  </w:p>
  <w:p w:rsidR="00FC3429" w:rsidRDefault="00534744">
    <w:r>
      <w:rPr>
        <w:rFonts w:ascii="Calibri" w:eastAsia="Calibri" w:hAnsi="Calibri" w:cs="Calibri"/>
        <w:noProof/>
        <w:color w:val="000000"/>
        <w:sz w:val="22"/>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0</wp:posOffset>
              </wp:positionV>
              <wp:extent cx="1" cy="1"/>
              <wp:effectExtent l="0" t="0" r="0" b="0"/>
              <wp:wrapNone/>
              <wp:docPr id="9960" name="Group 996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9960"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29" w:rsidRDefault="00534744">
    <w:pPr>
      <w:spacing w:after="0" w:line="259" w:lineRule="auto"/>
      <w:ind w:left="2135" w:firstLine="0"/>
      <w:jc w:val="left"/>
    </w:pP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988527</wp:posOffset>
              </wp:positionH>
              <wp:positionV relativeFrom="page">
                <wp:posOffset>695113</wp:posOffset>
              </wp:positionV>
              <wp:extent cx="5579674" cy="11579"/>
              <wp:effectExtent l="0" t="0" r="0" b="0"/>
              <wp:wrapSquare wrapText="bothSides"/>
              <wp:docPr id="9944" name="Group 9944"/>
              <wp:cNvGraphicFramePr/>
              <a:graphic xmlns:a="http://schemas.openxmlformats.org/drawingml/2006/main">
                <a:graphicData uri="http://schemas.microsoft.com/office/word/2010/wordprocessingGroup">
                  <wpg:wgp>
                    <wpg:cNvGrpSpPr/>
                    <wpg:grpSpPr>
                      <a:xfrm>
                        <a:off x="0" y="0"/>
                        <a:ext cx="5579674" cy="11579"/>
                        <a:chOff x="0" y="0"/>
                        <a:chExt cx="5579674" cy="11579"/>
                      </a:xfrm>
                    </wpg:grpSpPr>
                    <wps:wsp>
                      <wps:cNvPr id="9945" name="Shape 9945"/>
                      <wps:cNvSpPr/>
                      <wps:spPr>
                        <a:xfrm>
                          <a:off x="0" y="0"/>
                          <a:ext cx="5579674" cy="0"/>
                        </a:xfrm>
                        <a:custGeom>
                          <a:avLst/>
                          <a:gdLst/>
                          <a:ahLst/>
                          <a:cxnLst/>
                          <a:rect l="0" t="0" r="0" b="0"/>
                          <a:pathLst>
                            <a:path w="5579674">
                              <a:moveTo>
                                <a:pt x="0" y="0"/>
                              </a:moveTo>
                              <a:lnTo>
                                <a:pt x="5579674" y="0"/>
                              </a:lnTo>
                            </a:path>
                          </a:pathLst>
                        </a:custGeom>
                        <a:ln w="11579" cap="flat">
                          <a:miter lim="127000"/>
                        </a:ln>
                      </wps:spPr>
                      <wps:style>
                        <a:lnRef idx="1">
                          <a:srgbClr val="231F2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944" style="width:439.344pt;height:0.911711pt;position:absolute;mso-position-horizontal-relative:page;mso-position-horizontal:absolute;margin-left:77.8367pt;mso-position-vertical-relative:page;margin-top:54.7333pt;" coordsize="55796,115">
              <v:shape id="Shape 9945" style="position:absolute;width:55796;height:0;left:0;top:0;" coordsize="5579674,0" path="m0,0l5579674,0">
                <v:stroke weight="0.911711pt" endcap="flat" joinstyle="miter" miterlimit="10" on="true" color="#231f2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988527</wp:posOffset>
              </wp:positionH>
              <wp:positionV relativeFrom="page">
                <wp:posOffset>990513</wp:posOffset>
              </wp:positionV>
              <wp:extent cx="5579674" cy="11579"/>
              <wp:effectExtent l="0" t="0" r="0" b="0"/>
              <wp:wrapSquare wrapText="bothSides"/>
              <wp:docPr id="9946" name="Group 9946"/>
              <wp:cNvGraphicFramePr/>
              <a:graphic xmlns:a="http://schemas.openxmlformats.org/drawingml/2006/main">
                <a:graphicData uri="http://schemas.microsoft.com/office/word/2010/wordprocessingGroup">
                  <wpg:wgp>
                    <wpg:cNvGrpSpPr/>
                    <wpg:grpSpPr>
                      <a:xfrm>
                        <a:off x="0" y="0"/>
                        <a:ext cx="5579674" cy="11579"/>
                        <a:chOff x="0" y="0"/>
                        <a:chExt cx="5579674" cy="11579"/>
                      </a:xfrm>
                    </wpg:grpSpPr>
                    <wps:wsp>
                      <wps:cNvPr id="9947" name="Shape 9947"/>
                      <wps:cNvSpPr/>
                      <wps:spPr>
                        <a:xfrm>
                          <a:off x="0" y="0"/>
                          <a:ext cx="5579674" cy="0"/>
                        </a:xfrm>
                        <a:custGeom>
                          <a:avLst/>
                          <a:gdLst/>
                          <a:ahLst/>
                          <a:cxnLst/>
                          <a:rect l="0" t="0" r="0" b="0"/>
                          <a:pathLst>
                            <a:path w="5579674">
                              <a:moveTo>
                                <a:pt x="0" y="0"/>
                              </a:moveTo>
                              <a:lnTo>
                                <a:pt x="5579674" y="0"/>
                              </a:lnTo>
                            </a:path>
                          </a:pathLst>
                        </a:custGeom>
                        <a:ln w="11579" cap="flat">
                          <a:miter lim="127000"/>
                        </a:ln>
                      </wps:spPr>
                      <wps:style>
                        <a:lnRef idx="1">
                          <a:srgbClr val="231F2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946" style="width:439.344pt;height:0.911711pt;position:absolute;mso-position-horizontal-relative:page;mso-position-horizontal:absolute;margin-left:77.8367pt;mso-position-vertical-relative:page;margin-top:77.9932pt;" coordsize="55796,115">
              <v:shape id="Shape 9947" style="position:absolute;width:55796;height:0;left:0;top:0;" coordsize="5579674,0" path="m0,0l5579674,0">
                <v:stroke weight="0.911711pt" endcap="flat" joinstyle="miter" miterlimit="10" on="true" color="#231f20"/>
                <v:fill on="false" color="#000000" opacity="0"/>
              </v:shape>
              <w10:wrap type="square"/>
            </v:group>
          </w:pict>
        </mc:Fallback>
      </mc:AlternateContent>
    </w:r>
    <w:r>
      <w:rPr>
        <w:rFonts w:ascii="Arial" w:eastAsia="Arial" w:hAnsi="Arial" w:cs="Arial"/>
        <w:sz w:val="15"/>
      </w:rPr>
      <w:t>Boletín Oficial de la Provincia de Santa Cruz de Tenerife núm. 154, miércoles 23 de diciembre de 2020</w:t>
    </w:r>
  </w:p>
  <w:p w:rsidR="00FC3429" w:rsidRDefault="00534744">
    <w:r>
      <w:rPr>
        <w:rFonts w:ascii="Calibri" w:eastAsia="Calibri" w:hAnsi="Calibri" w:cs="Calibri"/>
        <w:noProof/>
        <w:color w:val="000000"/>
        <w:sz w:val="22"/>
      </w:rPr>
      <mc:AlternateContent>
        <mc:Choice Requires="wpg">
          <w:drawing>
            <wp:anchor distT="0" distB="0" distL="114300" distR="114300" simplePos="0" relativeHeight="251665408" behindDoc="1" locked="0" layoutInCell="1" allowOverlap="1">
              <wp:simplePos x="0" y="0"/>
              <wp:positionH relativeFrom="page">
                <wp:posOffset>0</wp:posOffset>
              </wp:positionH>
              <wp:positionV relativeFrom="page">
                <wp:posOffset>0</wp:posOffset>
              </wp:positionV>
              <wp:extent cx="1" cy="1"/>
              <wp:effectExtent l="0" t="0" r="0" b="0"/>
              <wp:wrapNone/>
              <wp:docPr id="9948" name="Group 994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9948"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528D"/>
    <w:multiLevelType w:val="hybridMultilevel"/>
    <w:tmpl w:val="7F28B884"/>
    <w:lvl w:ilvl="0" w:tplc="32A8C3BC">
      <w:start w:val="1"/>
      <w:numFmt w:val="lowerLetter"/>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88F46F54">
      <w:start w:val="1"/>
      <w:numFmt w:val="lowerLetter"/>
      <w:lvlText w:val="%2"/>
      <w:lvlJc w:val="left"/>
      <w:pPr>
        <w:ind w:left="123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6A62AB08">
      <w:start w:val="1"/>
      <w:numFmt w:val="lowerRoman"/>
      <w:lvlText w:val="%3"/>
      <w:lvlJc w:val="left"/>
      <w:pPr>
        <w:ind w:left="195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BD8E88EE">
      <w:start w:val="1"/>
      <w:numFmt w:val="decimal"/>
      <w:lvlText w:val="%4"/>
      <w:lvlJc w:val="left"/>
      <w:pPr>
        <w:ind w:left="267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73363C06">
      <w:start w:val="1"/>
      <w:numFmt w:val="lowerLetter"/>
      <w:lvlText w:val="%5"/>
      <w:lvlJc w:val="left"/>
      <w:pPr>
        <w:ind w:left="339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069A9A70">
      <w:start w:val="1"/>
      <w:numFmt w:val="lowerRoman"/>
      <w:lvlText w:val="%6"/>
      <w:lvlJc w:val="left"/>
      <w:pPr>
        <w:ind w:left="411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340401BE">
      <w:start w:val="1"/>
      <w:numFmt w:val="decimal"/>
      <w:lvlText w:val="%7"/>
      <w:lvlJc w:val="left"/>
      <w:pPr>
        <w:ind w:left="483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1608A0D6">
      <w:start w:val="1"/>
      <w:numFmt w:val="lowerLetter"/>
      <w:lvlText w:val="%8"/>
      <w:lvlJc w:val="left"/>
      <w:pPr>
        <w:ind w:left="555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B48CE0E6">
      <w:start w:val="1"/>
      <w:numFmt w:val="lowerRoman"/>
      <w:lvlText w:val="%9"/>
      <w:lvlJc w:val="left"/>
      <w:pPr>
        <w:ind w:left="627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 w15:restartNumberingAfterBreak="0">
    <w:nsid w:val="0A1E5A2B"/>
    <w:multiLevelType w:val="hybridMultilevel"/>
    <w:tmpl w:val="F920D8CE"/>
    <w:lvl w:ilvl="0" w:tplc="E23804F4">
      <w:start w:val="1"/>
      <w:numFmt w:val="bullet"/>
      <w:lvlText w:val="-"/>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7AF6C82C">
      <w:start w:val="1"/>
      <w:numFmt w:val="bullet"/>
      <w:lvlText w:val="o"/>
      <w:lvlJc w:val="left"/>
      <w:pPr>
        <w:ind w:left="123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F956E696">
      <w:start w:val="1"/>
      <w:numFmt w:val="bullet"/>
      <w:lvlText w:val="▪"/>
      <w:lvlJc w:val="left"/>
      <w:pPr>
        <w:ind w:left="195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A0E609DA">
      <w:start w:val="1"/>
      <w:numFmt w:val="bullet"/>
      <w:lvlText w:val="•"/>
      <w:lvlJc w:val="left"/>
      <w:pPr>
        <w:ind w:left="267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2AE6002E">
      <w:start w:val="1"/>
      <w:numFmt w:val="bullet"/>
      <w:lvlText w:val="o"/>
      <w:lvlJc w:val="left"/>
      <w:pPr>
        <w:ind w:left="339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54B89FCC">
      <w:start w:val="1"/>
      <w:numFmt w:val="bullet"/>
      <w:lvlText w:val="▪"/>
      <w:lvlJc w:val="left"/>
      <w:pPr>
        <w:ind w:left="411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01DE1664">
      <w:start w:val="1"/>
      <w:numFmt w:val="bullet"/>
      <w:lvlText w:val="•"/>
      <w:lvlJc w:val="left"/>
      <w:pPr>
        <w:ind w:left="483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633419C4">
      <w:start w:val="1"/>
      <w:numFmt w:val="bullet"/>
      <w:lvlText w:val="o"/>
      <w:lvlJc w:val="left"/>
      <w:pPr>
        <w:ind w:left="555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BFBC4900">
      <w:start w:val="1"/>
      <w:numFmt w:val="bullet"/>
      <w:lvlText w:val="▪"/>
      <w:lvlJc w:val="left"/>
      <w:pPr>
        <w:ind w:left="627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 w15:restartNumberingAfterBreak="0">
    <w:nsid w:val="21532608"/>
    <w:multiLevelType w:val="hybridMultilevel"/>
    <w:tmpl w:val="61C67CB2"/>
    <w:lvl w:ilvl="0" w:tplc="14F69482">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E65E566A">
      <w:start w:val="1"/>
      <w:numFmt w:val="lowerLetter"/>
      <w:lvlText w:val="%2"/>
      <w:lvlJc w:val="left"/>
      <w:pPr>
        <w:ind w:left="123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918EA118">
      <w:start w:val="1"/>
      <w:numFmt w:val="lowerRoman"/>
      <w:lvlText w:val="%3"/>
      <w:lvlJc w:val="left"/>
      <w:pPr>
        <w:ind w:left="195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B0AADC06">
      <w:start w:val="1"/>
      <w:numFmt w:val="decimal"/>
      <w:lvlText w:val="%4"/>
      <w:lvlJc w:val="left"/>
      <w:pPr>
        <w:ind w:left="267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4A668FFE">
      <w:start w:val="1"/>
      <w:numFmt w:val="lowerLetter"/>
      <w:lvlText w:val="%5"/>
      <w:lvlJc w:val="left"/>
      <w:pPr>
        <w:ind w:left="339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831C2E3E">
      <w:start w:val="1"/>
      <w:numFmt w:val="lowerRoman"/>
      <w:lvlText w:val="%6"/>
      <w:lvlJc w:val="left"/>
      <w:pPr>
        <w:ind w:left="411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48D6D136">
      <w:start w:val="1"/>
      <w:numFmt w:val="decimal"/>
      <w:lvlText w:val="%7"/>
      <w:lvlJc w:val="left"/>
      <w:pPr>
        <w:ind w:left="483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ADF8A7B4">
      <w:start w:val="1"/>
      <w:numFmt w:val="lowerLetter"/>
      <w:lvlText w:val="%8"/>
      <w:lvlJc w:val="left"/>
      <w:pPr>
        <w:ind w:left="555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43846BCC">
      <w:start w:val="1"/>
      <w:numFmt w:val="lowerRoman"/>
      <w:lvlText w:val="%9"/>
      <w:lvlJc w:val="left"/>
      <w:pPr>
        <w:ind w:left="627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 w15:restartNumberingAfterBreak="0">
    <w:nsid w:val="38EF624B"/>
    <w:multiLevelType w:val="hybridMultilevel"/>
    <w:tmpl w:val="306CF85A"/>
    <w:lvl w:ilvl="0" w:tplc="2FA42DDE">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F19A5578">
      <w:start w:val="1"/>
      <w:numFmt w:val="lowerLetter"/>
      <w:lvlText w:val="%2"/>
      <w:lvlJc w:val="left"/>
      <w:pPr>
        <w:ind w:left="123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41F0F032">
      <w:start w:val="1"/>
      <w:numFmt w:val="lowerRoman"/>
      <w:lvlText w:val="%3"/>
      <w:lvlJc w:val="left"/>
      <w:pPr>
        <w:ind w:left="195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3DBE33DA">
      <w:start w:val="1"/>
      <w:numFmt w:val="decimal"/>
      <w:lvlText w:val="%4"/>
      <w:lvlJc w:val="left"/>
      <w:pPr>
        <w:ind w:left="267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B31EF6F6">
      <w:start w:val="1"/>
      <w:numFmt w:val="lowerLetter"/>
      <w:lvlText w:val="%5"/>
      <w:lvlJc w:val="left"/>
      <w:pPr>
        <w:ind w:left="339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FBE08934">
      <w:start w:val="1"/>
      <w:numFmt w:val="lowerRoman"/>
      <w:lvlText w:val="%6"/>
      <w:lvlJc w:val="left"/>
      <w:pPr>
        <w:ind w:left="411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FC0CFFEC">
      <w:start w:val="1"/>
      <w:numFmt w:val="decimal"/>
      <w:lvlText w:val="%7"/>
      <w:lvlJc w:val="left"/>
      <w:pPr>
        <w:ind w:left="483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A226F72C">
      <w:start w:val="1"/>
      <w:numFmt w:val="lowerLetter"/>
      <w:lvlText w:val="%8"/>
      <w:lvlJc w:val="left"/>
      <w:pPr>
        <w:ind w:left="555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E0C8F2CA">
      <w:start w:val="1"/>
      <w:numFmt w:val="lowerRoman"/>
      <w:lvlText w:val="%9"/>
      <w:lvlJc w:val="left"/>
      <w:pPr>
        <w:ind w:left="627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4" w15:restartNumberingAfterBreak="0">
    <w:nsid w:val="3C58302B"/>
    <w:multiLevelType w:val="hybridMultilevel"/>
    <w:tmpl w:val="270E9714"/>
    <w:lvl w:ilvl="0" w:tplc="86747DEA">
      <w:start w:val="1"/>
      <w:numFmt w:val="bullet"/>
      <w:lvlText w:val="•"/>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01E883E2">
      <w:start w:val="1"/>
      <w:numFmt w:val="bullet"/>
      <w:lvlText w:val="o"/>
      <w:lvlJc w:val="left"/>
      <w:pPr>
        <w:ind w:left="123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1026BD7A">
      <w:start w:val="1"/>
      <w:numFmt w:val="bullet"/>
      <w:lvlText w:val="▪"/>
      <w:lvlJc w:val="left"/>
      <w:pPr>
        <w:ind w:left="195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A0009A6E">
      <w:start w:val="1"/>
      <w:numFmt w:val="bullet"/>
      <w:lvlText w:val="•"/>
      <w:lvlJc w:val="left"/>
      <w:pPr>
        <w:ind w:left="267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E2821A32">
      <w:start w:val="1"/>
      <w:numFmt w:val="bullet"/>
      <w:lvlText w:val="o"/>
      <w:lvlJc w:val="left"/>
      <w:pPr>
        <w:ind w:left="339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49689F86">
      <w:start w:val="1"/>
      <w:numFmt w:val="bullet"/>
      <w:lvlText w:val="▪"/>
      <w:lvlJc w:val="left"/>
      <w:pPr>
        <w:ind w:left="411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72CC8654">
      <w:start w:val="1"/>
      <w:numFmt w:val="bullet"/>
      <w:lvlText w:val="•"/>
      <w:lvlJc w:val="left"/>
      <w:pPr>
        <w:ind w:left="483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E242C322">
      <w:start w:val="1"/>
      <w:numFmt w:val="bullet"/>
      <w:lvlText w:val="o"/>
      <w:lvlJc w:val="left"/>
      <w:pPr>
        <w:ind w:left="555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65F6F180">
      <w:start w:val="1"/>
      <w:numFmt w:val="bullet"/>
      <w:lvlText w:val="▪"/>
      <w:lvlJc w:val="left"/>
      <w:pPr>
        <w:ind w:left="627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5" w15:restartNumberingAfterBreak="0">
    <w:nsid w:val="3F317BB5"/>
    <w:multiLevelType w:val="hybridMultilevel"/>
    <w:tmpl w:val="2888428E"/>
    <w:lvl w:ilvl="0" w:tplc="B1A6D602">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B3F08C5C">
      <w:start w:val="1"/>
      <w:numFmt w:val="lowerLetter"/>
      <w:lvlText w:val="%2"/>
      <w:lvlJc w:val="left"/>
      <w:pPr>
        <w:ind w:left="123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36F01132">
      <w:start w:val="1"/>
      <w:numFmt w:val="lowerRoman"/>
      <w:lvlText w:val="%3"/>
      <w:lvlJc w:val="left"/>
      <w:pPr>
        <w:ind w:left="195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F7D2C18E">
      <w:start w:val="1"/>
      <w:numFmt w:val="decimal"/>
      <w:lvlText w:val="%4"/>
      <w:lvlJc w:val="left"/>
      <w:pPr>
        <w:ind w:left="267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12102B54">
      <w:start w:val="1"/>
      <w:numFmt w:val="lowerLetter"/>
      <w:lvlText w:val="%5"/>
      <w:lvlJc w:val="left"/>
      <w:pPr>
        <w:ind w:left="339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A7A62308">
      <w:start w:val="1"/>
      <w:numFmt w:val="lowerRoman"/>
      <w:lvlText w:val="%6"/>
      <w:lvlJc w:val="left"/>
      <w:pPr>
        <w:ind w:left="411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75D4A3FE">
      <w:start w:val="1"/>
      <w:numFmt w:val="decimal"/>
      <w:lvlText w:val="%7"/>
      <w:lvlJc w:val="left"/>
      <w:pPr>
        <w:ind w:left="483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AFCA8B0A">
      <w:start w:val="1"/>
      <w:numFmt w:val="lowerLetter"/>
      <w:lvlText w:val="%8"/>
      <w:lvlJc w:val="left"/>
      <w:pPr>
        <w:ind w:left="555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6B703AEA">
      <w:start w:val="1"/>
      <w:numFmt w:val="lowerRoman"/>
      <w:lvlText w:val="%9"/>
      <w:lvlJc w:val="left"/>
      <w:pPr>
        <w:ind w:left="627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6" w15:restartNumberingAfterBreak="0">
    <w:nsid w:val="4385009B"/>
    <w:multiLevelType w:val="hybridMultilevel"/>
    <w:tmpl w:val="C0A63E5E"/>
    <w:lvl w:ilvl="0" w:tplc="F1562DA4">
      <w:start w:val="1"/>
      <w:numFmt w:val="lowerLetter"/>
      <w:lvlText w:val="%1)"/>
      <w:lvlJc w:val="left"/>
      <w:pPr>
        <w:ind w:left="372"/>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45E2615E">
      <w:start w:val="1"/>
      <w:numFmt w:val="lowerLetter"/>
      <w:lvlText w:val="%2"/>
      <w:lvlJc w:val="left"/>
      <w:pPr>
        <w:ind w:left="123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E358559A">
      <w:start w:val="1"/>
      <w:numFmt w:val="lowerRoman"/>
      <w:lvlText w:val="%3"/>
      <w:lvlJc w:val="left"/>
      <w:pPr>
        <w:ind w:left="195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628AE498">
      <w:start w:val="1"/>
      <w:numFmt w:val="decimal"/>
      <w:lvlText w:val="%4"/>
      <w:lvlJc w:val="left"/>
      <w:pPr>
        <w:ind w:left="267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230E4BE2">
      <w:start w:val="1"/>
      <w:numFmt w:val="lowerLetter"/>
      <w:lvlText w:val="%5"/>
      <w:lvlJc w:val="left"/>
      <w:pPr>
        <w:ind w:left="339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9AB81328">
      <w:start w:val="1"/>
      <w:numFmt w:val="lowerRoman"/>
      <w:lvlText w:val="%6"/>
      <w:lvlJc w:val="left"/>
      <w:pPr>
        <w:ind w:left="411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2E3AC21A">
      <w:start w:val="1"/>
      <w:numFmt w:val="decimal"/>
      <w:lvlText w:val="%7"/>
      <w:lvlJc w:val="left"/>
      <w:pPr>
        <w:ind w:left="483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E530FB9A">
      <w:start w:val="1"/>
      <w:numFmt w:val="lowerLetter"/>
      <w:lvlText w:val="%8"/>
      <w:lvlJc w:val="left"/>
      <w:pPr>
        <w:ind w:left="555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E94815DA">
      <w:start w:val="1"/>
      <w:numFmt w:val="lowerRoman"/>
      <w:lvlText w:val="%9"/>
      <w:lvlJc w:val="left"/>
      <w:pPr>
        <w:ind w:left="627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7" w15:restartNumberingAfterBreak="0">
    <w:nsid w:val="5D281187"/>
    <w:multiLevelType w:val="hybridMultilevel"/>
    <w:tmpl w:val="2564D53A"/>
    <w:lvl w:ilvl="0" w:tplc="A7784DD8">
      <w:start w:val="1"/>
      <w:numFmt w:val="lowerLetter"/>
      <w:lvlText w:val="%1)"/>
      <w:lvlJc w:val="left"/>
      <w:pPr>
        <w:ind w:left="7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B40CD266">
      <w:start w:val="1"/>
      <w:numFmt w:val="lowerLetter"/>
      <w:lvlText w:val="%2"/>
      <w:lvlJc w:val="left"/>
      <w:pPr>
        <w:ind w:left="123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3EBE6468">
      <w:start w:val="1"/>
      <w:numFmt w:val="lowerRoman"/>
      <w:lvlText w:val="%3"/>
      <w:lvlJc w:val="left"/>
      <w:pPr>
        <w:ind w:left="195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7D602B18">
      <w:start w:val="1"/>
      <w:numFmt w:val="decimal"/>
      <w:lvlText w:val="%4"/>
      <w:lvlJc w:val="left"/>
      <w:pPr>
        <w:ind w:left="267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C06ED8F0">
      <w:start w:val="1"/>
      <w:numFmt w:val="lowerLetter"/>
      <w:lvlText w:val="%5"/>
      <w:lvlJc w:val="left"/>
      <w:pPr>
        <w:ind w:left="339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2B7818A8">
      <w:start w:val="1"/>
      <w:numFmt w:val="lowerRoman"/>
      <w:lvlText w:val="%6"/>
      <w:lvlJc w:val="left"/>
      <w:pPr>
        <w:ind w:left="411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602274DC">
      <w:start w:val="1"/>
      <w:numFmt w:val="decimal"/>
      <w:lvlText w:val="%7"/>
      <w:lvlJc w:val="left"/>
      <w:pPr>
        <w:ind w:left="483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84EA652A">
      <w:start w:val="1"/>
      <w:numFmt w:val="lowerLetter"/>
      <w:lvlText w:val="%8"/>
      <w:lvlJc w:val="left"/>
      <w:pPr>
        <w:ind w:left="555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780A750E">
      <w:start w:val="1"/>
      <w:numFmt w:val="lowerRoman"/>
      <w:lvlText w:val="%9"/>
      <w:lvlJc w:val="left"/>
      <w:pPr>
        <w:ind w:left="627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8" w15:restartNumberingAfterBreak="0">
    <w:nsid w:val="606A00A1"/>
    <w:multiLevelType w:val="hybridMultilevel"/>
    <w:tmpl w:val="86447766"/>
    <w:lvl w:ilvl="0" w:tplc="EEB4FED4">
      <w:start w:val="1"/>
      <w:numFmt w:val="lowerLetter"/>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CBDC688E">
      <w:start w:val="1"/>
      <w:numFmt w:val="lowerLetter"/>
      <w:lvlText w:val="%2"/>
      <w:lvlJc w:val="left"/>
      <w:pPr>
        <w:ind w:left="123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8974B57E">
      <w:start w:val="1"/>
      <w:numFmt w:val="lowerRoman"/>
      <w:lvlText w:val="%3"/>
      <w:lvlJc w:val="left"/>
      <w:pPr>
        <w:ind w:left="195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49965ABE">
      <w:start w:val="1"/>
      <w:numFmt w:val="decimal"/>
      <w:lvlText w:val="%4"/>
      <w:lvlJc w:val="left"/>
      <w:pPr>
        <w:ind w:left="267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982EB3FA">
      <w:start w:val="1"/>
      <w:numFmt w:val="lowerLetter"/>
      <w:lvlText w:val="%5"/>
      <w:lvlJc w:val="left"/>
      <w:pPr>
        <w:ind w:left="339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FDCC2412">
      <w:start w:val="1"/>
      <w:numFmt w:val="lowerRoman"/>
      <w:lvlText w:val="%6"/>
      <w:lvlJc w:val="left"/>
      <w:pPr>
        <w:ind w:left="411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1ABC15D6">
      <w:start w:val="1"/>
      <w:numFmt w:val="decimal"/>
      <w:lvlText w:val="%7"/>
      <w:lvlJc w:val="left"/>
      <w:pPr>
        <w:ind w:left="483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1766ED9E">
      <w:start w:val="1"/>
      <w:numFmt w:val="lowerLetter"/>
      <w:lvlText w:val="%8"/>
      <w:lvlJc w:val="left"/>
      <w:pPr>
        <w:ind w:left="555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805EF7C0">
      <w:start w:val="1"/>
      <w:numFmt w:val="lowerRoman"/>
      <w:lvlText w:val="%9"/>
      <w:lvlJc w:val="left"/>
      <w:pPr>
        <w:ind w:left="627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9" w15:restartNumberingAfterBreak="0">
    <w:nsid w:val="64E14BA7"/>
    <w:multiLevelType w:val="hybridMultilevel"/>
    <w:tmpl w:val="FCE6945C"/>
    <w:lvl w:ilvl="0" w:tplc="251CFEA0">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DEF264F2">
      <w:start w:val="1"/>
      <w:numFmt w:val="lowerLetter"/>
      <w:lvlText w:val="%2"/>
      <w:lvlJc w:val="left"/>
      <w:pPr>
        <w:ind w:left="123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F9D629D4">
      <w:start w:val="1"/>
      <w:numFmt w:val="lowerRoman"/>
      <w:lvlText w:val="%3"/>
      <w:lvlJc w:val="left"/>
      <w:pPr>
        <w:ind w:left="195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1DC0CF02">
      <w:start w:val="1"/>
      <w:numFmt w:val="decimal"/>
      <w:lvlText w:val="%4"/>
      <w:lvlJc w:val="left"/>
      <w:pPr>
        <w:ind w:left="267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07BADA0C">
      <w:start w:val="1"/>
      <w:numFmt w:val="lowerLetter"/>
      <w:lvlText w:val="%5"/>
      <w:lvlJc w:val="left"/>
      <w:pPr>
        <w:ind w:left="339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7E5ACE68">
      <w:start w:val="1"/>
      <w:numFmt w:val="lowerRoman"/>
      <w:lvlText w:val="%6"/>
      <w:lvlJc w:val="left"/>
      <w:pPr>
        <w:ind w:left="411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FFBEC8A0">
      <w:start w:val="1"/>
      <w:numFmt w:val="decimal"/>
      <w:lvlText w:val="%7"/>
      <w:lvlJc w:val="left"/>
      <w:pPr>
        <w:ind w:left="483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2236BEDE">
      <w:start w:val="1"/>
      <w:numFmt w:val="lowerLetter"/>
      <w:lvlText w:val="%8"/>
      <w:lvlJc w:val="left"/>
      <w:pPr>
        <w:ind w:left="555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0096FC60">
      <w:start w:val="1"/>
      <w:numFmt w:val="lowerRoman"/>
      <w:lvlText w:val="%9"/>
      <w:lvlJc w:val="left"/>
      <w:pPr>
        <w:ind w:left="627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0" w15:restartNumberingAfterBreak="0">
    <w:nsid w:val="77D03581"/>
    <w:multiLevelType w:val="hybridMultilevel"/>
    <w:tmpl w:val="8B00F3A2"/>
    <w:lvl w:ilvl="0" w:tplc="0DAA8C62">
      <w:start w:val="5"/>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3878CA2A">
      <w:start w:val="1"/>
      <w:numFmt w:val="lowerLetter"/>
      <w:lvlText w:val="%2"/>
      <w:lvlJc w:val="left"/>
      <w:pPr>
        <w:ind w:left="123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3FF02C70">
      <w:start w:val="1"/>
      <w:numFmt w:val="lowerRoman"/>
      <w:lvlText w:val="%3"/>
      <w:lvlJc w:val="left"/>
      <w:pPr>
        <w:ind w:left="195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12942C82">
      <w:start w:val="1"/>
      <w:numFmt w:val="decimal"/>
      <w:lvlText w:val="%4"/>
      <w:lvlJc w:val="left"/>
      <w:pPr>
        <w:ind w:left="267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E0F25A38">
      <w:start w:val="1"/>
      <w:numFmt w:val="lowerLetter"/>
      <w:lvlText w:val="%5"/>
      <w:lvlJc w:val="left"/>
      <w:pPr>
        <w:ind w:left="339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958822D2">
      <w:start w:val="1"/>
      <w:numFmt w:val="lowerRoman"/>
      <w:lvlText w:val="%6"/>
      <w:lvlJc w:val="left"/>
      <w:pPr>
        <w:ind w:left="411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57CC91CC">
      <w:start w:val="1"/>
      <w:numFmt w:val="decimal"/>
      <w:lvlText w:val="%7"/>
      <w:lvlJc w:val="left"/>
      <w:pPr>
        <w:ind w:left="483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B276DBAC">
      <w:start w:val="1"/>
      <w:numFmt w:val="lowerLetter"/>
      <w:lvlText w:val="%8"/>
      <w:lvlJc w:val="left"/>
      <w:pPr>
        <w:ind w:left="555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DEBECBA8">
      <w:start w:val="1"/>
      <w:numFmt w:val="lowerRoman"/>
      <w:lvlText w:val="%9"/>
      <w:lvlJc w:val="left"/>
      <w:pPr>
        <w:ind w:left="627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num w:numId="1">
    <w:abstractNumId w:val="3"/>
  </w:num>
  <w:num w:numId="2">
    <w:abstractNumId w:val="8"/>
  </w:num>
  <w:num w:numId="3">
    <w:abstractNumId w:val="0"/>
  </w:num>
  <w:num w:numId="4">
    <w:abstractNumId w:val="4"/>
  </w:num>
  <w:num w:numId="5">
    <w:abstractNumId w:val="2"/>
  </w:num>
  <w:num w:numId="6">
    <w:abstractNumId w:val="1"/>
  </w:num>
  <w:num w:numId="7">
    <w:abstractNumId w:val="10"/>
  </w:num>
  <w:num w:numId="8">
    <w:abstractNumId w:val="5"/>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429"/>
    <w:rsid w:val="00534744"/>
    <w:rsid w:val="00FC34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A7BAA-CCC1-4494-987B-9DEEFD05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7" w:line="254" w:lineRule="auto"/>
      <w:ind w:firstLine="145"/>
      <w:jc w:val="both"/>
    </w:pPr>
    <w:rPr>
      <w:rFonts w:ascii="Times New Roman" w:eastAsia="Times New Roman" w:hAnsi="Times New Roman" w:cs="Times New Roman"/>
      <w:color w:val="231F20"/>
      <w:sz w:val="20"/>
    </w:rPr>
  </w:style>
  <w:style w:type="paragraph" w:styleId="Ttulo1">
    <w:name w:val="heading 1"/>
    <w:next w:val="Normal"/>
    <w:link w:val="Ttulo1Car"/>
    <w:uiPriority w:val="9"/>
    <w:unhideWhenUsed/>
    <w:qFormat/>
    <w:pPr>
      <w:keepNext/>
      <w:keepLines/>
      <w:spacing w:after="225"/>
      <w:ind w:right="1"/>
      <w:jc w:val="center"/>
      <w:outlineLvl w:val="0"/>
    </w:pPr>
    <w:rPr>
      <w:rFonts w:ascii="Times New Roman" w:eastAsia="Times New Roman" w:hAnsi="Times New Roman" w:cs="Times New Roman"/>
      <w:b/>
      <w:color w:val="231F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231F2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2537</Words>
  <Characters>13959</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COPIA - GIYS - Ilustre Ayuntamiento de Candelaria</dc:subject>
  <dc:creator>begoña.sarmiento</dc:creator>
  <cp:keywords/>
  <cp:lastModifiedBy>begoña.sarmiento</cp:lastModifiedBy>
  <cp:revision>2</cp:revision>
  <dcterms:created xsi:type="dcterms:W3CDTF">2024-01-23T13:11:00Z</dcterms:created>
  <dcterms:modified xsi:type="dcterms:W3CDTF">2024-01-23T13:11:00Z</dcterms:modified>
</cp:coreProperties>
</file>