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B86" w:rsidRDefault="00BA7C13">
      <w:pPr>
        <w:spacing w:after="5" w:line="250" w:lineRule="auto"/>
        <w:ind w:left="355" w:hanging="10"/>
        <w:jc w:val="both"/>
      </w:pPr>
      <w:bookmarkStart w:id="0" w:name="_GoBack"/>
      <w:bookmarkEnd w:id="0"/>
      <w:r>
        <w:rPr>
          <w:rFonts w:ascii="Arial" w:eastAsia="Arial" w:hAnsi="Arial" w:cs="Arial"/>
          <w:b/>
          <w:sz w:val="24"/>
        </w:rPr>
        <w:t>ACTA DE LA SESIÓN ORDINARIA CELEBRADA POR EL AYUNTAMIENTO</w:t>
      </w:r>
    </w:p>
    <w:p w:rsidR="00E23B86" w:rsidRDefault="00BA7C13">
      <w:pPr>
        <w:spacing w:after="988" w:line="265" w:lineRule="auto"/>
        <w:ind w:left="1183" w:right="1376" w:hanging="10"/>
        <w:jc w:val="center"/>
      </w:pPr>
      <w:r>
        <w:rPr>
          <w:rFonts w:ascii="Arial" w:eastAsia="Arial" w:hAnsi="Arial" w:cs="Arial"/>
          <w:b/>
          <w:sz w:val="24"/>
        </w:rPr>
        <w:t>PLENO EL DÍA 28 DE FEBRERO DE 2020. SESIÓN Nº2/2020</w:t>
      </w:r>
    </w:p>
    <w:p w:rsidR="00E23B86" w:rsidRDefault="00BA7C13">
      <w:pPr>
        <w:spacing w:after="479" w:line="265" w:lineRule="auto"/>
        <w:ind w:left="682" w:right="878" w:hanging="10"/>
        <w:jc w:val="center"/>
      </w:pPr>
      <w:r>
        <w:rPr>
          <w:rFonts w:ascii="Arial" w:eastAsia="Arial" w:hAnsi="Arial" w:cs="Arial"/>
          <w:b/>
        </w:rPr>
        <w:t>SEÑORES ASISTENTES:</w:t>
      </w:r>
    </w:p>
    <w:p w:rsidR="00E23B86" w:rsidRDefault="00BA7C13">
      <w:pPr>
        <w:spacing w:after="496" w:line="249" w:lineRule="auto"/>
        <w:ind w:left="355" w:right="554" w:hanging="10"/>
        <w:jc w:val="both"/>
      </w:pPr>
      <w:r>
        <w:rPr>
          <w:rFonts w:ascii="Arial" w:eastAsia="Arial" w:hAnsi="Arial" w:cs="Arial"/>
          <w:b/>
        </w:rPr>
        <w:t xml:space="preserve">                                      Alcaldesa-Presidenta: </w:t>
      </w:r>
      <w:r>
        <w:rPr>
          <w:rFonts w:ascii="Arial" w:eastAsia="Arial" w:hAnsi="Arial" w:cs="Arial"/>
        </w:rPr>
        <w:t>Dª María Concepción Brito Núñez</w:t>
      </w:r>
    </w:p>
    <w:p w:rsidR="00E23B86" w:rsidRDefault="00BA7C13">
      <w:pPr>
        <w:spacing w:after="10" w:line="248" w:lineRule="auto"/>
        <w:ind w:left="373" w:right="552" w:hanging="10"/>
        <w:jc w:val="both"/>
      </w:pPr>
      <w:r>
        <w:rPr>
          <w:rFonts w:ascii="Arial" w:eastAsia="Arial" w:hAnsi="Arial" w:cs="Arial"/>
          <w:b/>
        </w:rPr>
        <w:t xml:space="preserve">               Grupo Socialista</w:t>
      </w:r>
      <w:r>
        <w:rPr>
          <w:rFonts w:ascii="Arial" w:eastAsia="Arial" w:hAnsi="Arial" w:cs="Arial"/>
        </w:rPr>
        <w:t xml:space="preserve">: D. Jorge Baute Delgado, Dª Olivia Concepción Pérez </w:t>
      </w:r>
    </w:p>
    <w:p w:rsidR="00E23B86" w:rsidRDefault="00BA7C13">
      <w:pPr>
        <w:spacing w:after="496" w:line="249" w:lineRule="auto"/>
        <w:ind w:left="347" w:right="555" w:hanging="10"/>
      </w:pPr>
      <w:r>
        <w:rPr>
          <w:noProof/>
        </w:rPr>
        <mc:AlternateContent>
          <mc:Choice Requires="wpg">
            <w:drawing>
              <wp:anchor distT="0" distB="0" distL="114300" distR="114300" simplePos="0" relativeHeight="2516582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6596" name="Group 46659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1" name="Rectangle 4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2" name="Rectangle 42"/>
                        <wps:cNvSpPr/>
                        <wps:spPr>
                          <a:xfrm rot="-5399999">
                            <a:off x="-2042224" y="1328796"/>
                            <a:ext cx="435007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6596" style="width:12.7031pt;height:280.35pt;position:absolute;mso-position-horizontal-relative:page;mso-position-horizontal:absolute;margin-left:681.958pt;mso-position-vertical-relative:page;margin-top:531.65pt;" coordsize="1613,35604">
                <v:rect id="Rectangle 4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2" style="position:absolute;width:43500;height:1132;left:-20422;top:1328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391 </w:t>
                        </w:r>
                      </w:p>
                    </w:txbxContent>
                  </v:textbox>
                </v:rect>
                <w10:wrap type="squar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254000</wp:posOffset>
                </wp:positionH>
                <wp:positionV relativeFrom="page">
                  <wp:posOffset>1397000</wp:posOffset>
                </wp:positionV>
                <wp:extent cx="368300" cy="5922391"/>
                <wp:effectExtent l="0" t="0" r="0" b="0"/>
                <wp:wrapSquare wrapText="bothSides"/>
                <wp:docPr id="466599" name="Group 466599"/>
                <wp:cNvGraphicFramePr/>
                <a:graphic xmlns:a="http://schemas.openxmlformats.org/drawingml/2006/main">
                  <a:graphicData uri="http://schemas.microsoft.com/office/word/2010/wordprocessingGroup">
                    <wpg:wgp>
                      <wpg:cNvGrpSpPr/>
                      <wpg:grpSpPr>
                        <a:xfrm>
                          <a:off x="0" y="0"/>
                          <a:ext cx="368300" cy="5922391"/>
                          <a:chOff x="0" y="0"/>
                          <a:chExt cx="368300" cy="5922391"/>
                        </a:xfrm>
                      </wpg:grpSpPr>
                      <wps:wsp>
                        <wps:cNvPr id="43" name="Shape 43"/>
                        <wps:cNvSpPr/>
                        <wps:spPr>
                          <a:xfrm>
                            <a:off x="0" y="0"/>
                            <a:ext cx="368300" cy="2929509"/>
                          </a:xfrm>
                          <a:custGeom>
                            <a:avLst/>
                            <a:gdLst/>
                            <a:ahLst/>
                            <a:cxnLst/>
                            <a:rect l="0" t="0" r="0" b="0"/>
                            <a:pathLst>
                              <a:path w="368300" h="2929509">
                                <a:moveTo>
                                  <a:pt x="0" y="2929509"/>
                                </a:moveTo>
                                <a:lnTo>
                                  <a:pt x="368300" y="2929509"/>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44" name="Shape 44"/>
                        <wps:cNvSpPr/>
                        <wps:spPr>
                          <a:xfrm>
                            <a:off x="0" y="2992882"/>
                            <a:ext cx="368300" cy="2929509"/>
                          </a:xfrm>
                          <a:custGeom>
                            <a:avLst/>
                            <a:gdLst/>
                            <a:ahLst/>
                            <a:cxnLst/>
                            <a:rect l="0" t="0" r="0" b="0"/>
                            <a:pathLst>
                              <a:path w="368300" h="2929509">
                                <a:moveTo>
                                  <a:pt x="0" y="2929509"/>
                                </a:moveTo>
                                <a:lnTo>
                                  <a:pt x="368300" y="2929509"/>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6599" style="width:29pt;height:466.33pt;position:absolute;mso-position-horizontal-relative:page;mso-position-horizontal:absolute;margin-left:20pt;mso-position-vertical-relative:page;margin-top:110pt;" coordsize="3683,59223">
                <v:shape id="Shape 43" style="position:absolute;width:3683;height:29295;left:0;top:0;" coordsize="368300,2929509" path="m0,2929509l368300,2929509l368300,0l0,0x">
                  <v:stroke weight="0.5pt" endcap="flat" joinstyle="miter" miterlimit="10" on="true" color="#808080"/>
                  <v:fill on="false" color="#000000" opacity="0"/>
                </v:shape>
                <v:shape id="Shape 44" style="position:absolute;width:3683;height:29295;left:0;top:29928;" coordsize="368300,2929509" path="m0,2929509l368300,2929509l368300,0l0,0x">
                  <v:stroke weight="0.5pt" endcap="flat" joinstyle="miter" miterlimit="10" on="true" color="#808080"/>
                  <v:fill on="false" color="#000000" opacity="0"/>
                </v:shape>
                <w10:wrap type="square"/>
              </v:group>
            </w:pict>
          </mc:Fallback>
        </mc:AlternateContent>
      </w:r>
      <w:r>
        <w:rPr>
          <w:rFonts w:ascii="Arial" w:eastAsia="Arial" w:hAnsi="Arial" w:cs="Arial"/>
        </w:rPr>
        <w:t>Díaz,</w:t>
      </w:r>
      <w:r>
        <w:rPr>
          <w:rFonts w:ascii="Arial" w:eastAsia="Arial" w:hAnsi="Arial" w:cs="Arial"/>
        </w:rPr>
        <w:t xml:space="preserve"> D. José Francisco Pinto Ramos, Dª Hilaria Cecilia Otazo González, D. Airam Pérez Chinea, Dª Margarita Eva Tendero Barroso, D. Manuel Alberto González Pestano, Dª Mª del Carmen Clemente Díaz, D. Olegario Francisco Alonso Bello, D. Reinaldo José Triviño Bla</w:t>
      </w:r>
      <w:r>
        <w:rPr>
          <w:rFonts w:ascii="Arial" w:eastAsia="Arial" w:hAnsi="Arial" w:cs="Arial"/>
        </w:rPr>
        <w:t xml:space="preserve">nco. </w:t>
      </w:r>
    </w:p>
    <w:p w:rsidR="00E23B86" w:rsidRDefault="00BA7C13">
      <w:pPr>
        <w:spacing w:after="245" w:line="248" w:lineRule="auto"/>
        <w:ind w:left="373" w:right="552" w:hanging="10"/>
        <w:jc w:val="both"/>
      </w:pPr>
      <w:r>
        <w:rPr>
          <w:rFonts w:ascii="Arial" w:eastAsia="Arial" w:hAnsi="Arial" w:cs="Arial"/>
          <w:b/>
        </w:rPr>
        <w:t xml:space="preserve">               Grupo Popular: </w:t>
      </w:r>
      <w:r>
        <w:rPr>
          <w:rFonts w:ascii="Arial" w:eastAsia="Arial" w:hAnsi="Arial" w:cs="Arial"/>
        </w:rPr>
        <w:t>D. Juan Miguel Olivera González, D. Jacobo López Fariña, Dª Raquel Martín Castro</w:t>
      </w:r>
    </w:p>
    <w:p w:rsidR="00E23B86" w:rsidRDefault="00BA7C13">
      <w:pPr>
        <w:spacing w:after="497" w:line="248" w:lineRule="auto"/>
        <w:ind w:left="373" w:right="552" w:hanging="10"/>
        <w:jc w:val="both"/>
      </w:pPr>
      <w:r>
        <w:rPr>
          <w:rFonts w:ascii="Arial" w:eastAsia="Arial" w:hAnsi="Arial" w:cs="Arial"/>
          <w:b/>
        </w:rPr>
        <w:t xml:space="preserve">               Grupo Mixto:</w:t>
      </w:r>
      <w:r>
        <w:rPr>
          <w:rFonts w:ascii="Arial" w:eastAsia="Arial" w:hAnsi="Arial" w:cs="Arial"/>
        </w:rPr>
        <w:t xml:space="preserve"> Dª María del Carmen Coello González y Dª María del Pilar Maceín Núñez (Si Se Puede), Dª Ángela Cruz Perera (Coalición Canaria Partido Nacionalista Canario), y Don José Fernando Gómez Martín (Vecinos por Candelaria).</w:t>
      </w:r>
    </w:p>
    <w:p w:rsidR="00E23B86" w:rsidRDefault="00BA7C13">
      <w:pPr>
        <w:spacing w:after="243" w:line="248" w:lineRule="auto"/>
        <w:ind w:left="373" w:right="552" w:hanging="10"/>
        <w:jc w:val="both"/>
      </w:pPr>
      <w:r>
        <w:rPr>
          <w:rFonts w:ascii="Arial" w:eastAsia="Arial" w:hAnsi="Arial" w:cs="Arial"/>
          <w:b/>
        </w:rPr>
        <w:t xml:space="preserve">                Secretario General: </w:t>
      </w:r>
      <w:r>
        <w:rPr>
          <w:rFonts w:ascii="Arial" w:eastAsia="Arial" w:hAnsi="Arial" w:cs="Arial"/>
        </w:rPr>
        <w:t xml:space="preserve">D. </w:t>
      </w:r>
      <w:r>
        <w:rPr>
          <w:rFonts w:ascii="Arial" w:eastAsia="Arial" w:hAnsi="Arial" w:cs="Arial"/>
        </w:rPr>
        <w:t>Octavio Manuel Fernández Hernández</w:t>
      </w:r>
    </w:p>
    <w:p w:rsidR="00E23B86" w:rsidRDefault="00BA7C13">
      <w:pPr>
        <w:spacing w:after="1284" w:line="249" w:lineRule="auto"/>
        <w:ind w:left="355" w:right="554" w:hanging="10"/>
        <w:jc w:val="both"/>
      </w:pPr>
      <w:r>
        <w:rPr>
          <w:rFonts w:ascii="Arial" w:eastAsia="Arial" w:hAnsi="Arial" w:cs="Arial"/>
          <w:b/>
        </w:rPr>
        <w:t xml:space="preserve">                Interventor: D</w:t>
      </w:r>
      <w:r>
        <w:rPr>
          <w:rFonts w:ascii="Arial" w:eastAsia="Arial" w:hAnsi="Arial" w:cs="Arial"/>
        </w:rPr>
        <w:t>. Nicolás Rojo Garnica</w:t>
      </w:r>
    </w:p>
    <w:p w:rsidR="00E23B86" w:rsidRDefault="00BA7C13">
      <w:pPr>
        <w:spacing w:after="0" w:line="265" w:lineRule="auto"/>
        <w:ind w:left="359" w:right="553" w:hanging="10"/>
        <w:jc w:val="center"/>
      </w:pPr>
      <w:r>
        <w:rPr>
          <w:rFonts w:ascii="Arial" w:eastAsia="Arial" w:hAnsi="Arial" w:cs="Arial"/>
        </w:rPr>
        <w:t>En Candelaria, a 28 de febrero de dos mil veinte, siendo las 9:00 horas, se constituyó el Ayuntamiento Pleno en el Salón de Sesiones de la Casa Consistorial con asisten</w:t>
      </w:r>
      <w:r>
        <w:rPr>
          <w:rFonts w:ascii="Arial" w:eastAsia="Arial" w:hAnsi="Arial" w:cs="Arial"/>
        </w:rPr>
        <w:t>cia</w:t>
      </w:r>
    </w:p>
    <w:p w:rsidR="00E23B86" w:rsidRDefault="00BA7C13">
      <w:pPr>
        <w:spacing w:after="95" w:line="265" w:lineRule="auto"/>
        <w:ind w:left="359" w:right="555" w:hanging="10"/>
        <w:jc w:val="center"/>
      </w:pPr>
      <w:r>
        <w:rPr>
          <w:rFonts w:ascii="Arial" w:eastAsia="Arial" w:hAnsi="Arial" w:cs="Arial"/>
        </w:rPr>
        <w:t>de los Sres. Concejales expresados al margen, y al objeto de celebrar sesión ordinaria para tratar los asuntos comprendidos en el orden del día de la convocatoria.</w:t>
      </w:r>
    </w:p>
    <w:p w:rsidR="00E23B86" w:rsidRDefault="00BA7C13">
      <w:pPr>
        <w:pStyle w:val="Ttulo3"/>
        <w:spacing w:after="769" w:line="265" w:lineRule="auto"/>
        <w:ind w:left="682" w:right="872"/>
        <w:jc w:val="center"/>
      </w:pPr>
      <w:r>
        <w:rPr>
          <w:i w:val="0"/>
          <w:color w:val="000000"/>
        </w:rPr>
        <w:t>ORDEN DEL DÍA</w:t>
      </w:r>
    </w:p>
    <w:p w:rsidR="00E23B86" w:rsidRDefault="00BA7C13">
      <w:pPr>
        <w:spacing w:after="688" w:line="278" w:lineRule="auto"/>
        <w:ind w:left="722" w:hanging="10"/>
      </w:pPr>
      <w:r>
        <w:rPr>
          <w:rFonts w:ascii="Segoe UI Symbol" w:eastAsia="Segoe UI Symbol" w:hAnsi="Segoe UI Symbol" w:cs="Segoe UI Symbol"/>
        </w:rPr>
        <w:t xml:space="preserve"> </w:t>
      </w:r>
      <w:r>
        <w:rPr>
          <w:rFonts w:ascii="Arial" w:eastAsia="Arial" w:hAnsi="Arial" w:cs="Arial"/>
          <w:b/>
          <w:u w:val="single" w:color="000000"/>
        </w:rPr>
        <w:t>Parte Resolutiva de la Sesión.</w:t>
      </w:r>
    </w:p>
    <w:p w:rsidR="00E23B86" w:rsidRDefault="00BA7C13">
      <w:pPr>
        <w:spacing w:after="245" w:line="249" w:lineRule="auto"/>
        <w:ind w:left="355" w:right="554" w:hanging="10"/>
        <w:jc w:val="both"/>
      </w:pPr>
      <w:r>
        <w:rPr>
          <w:rFonts w:ascii="Arial" w:eastAsia="Arial" w:hAnsi="Arial" w:cs="Arial"/>
          <w:b/>
        </w:rPr>
        <w:t>1.- Aprobación de las actas de los Plenos de las sesiones correspondientes a 2811-2019,26-12-2019 y 30-1-2020.</w:t>
      </w:r>
    </w:p>
    <w:p w:rsidR="00E23B86" w:rsidRDefault="00BA7C13">
      <w:pPr>
        <w:spacing w:after="497" w:line="249" w:lineRule="auto"/>
        <w:ind w:left="355" w:right="554" w:hanging="10"/>
        <w:jc w:val="both"/>
      </w:pPr>
      <w:r>
        <w:rPr>
          <w:rFonts w:ascii="Arial" w:eastAsia="Arial" w:hAnsi="Arial" w:cs="Arial"/>
          <w:b/>
        </w:rPr>
        <w:lastRenderedPageBreak/>
        <w:t>2.-Expediente 1203/2020. Dación de cuenta al Pleno de la liquidación del Presupuesto General del año 2019 aprobada por Decreto de la AlcaldíaPres</w:t>
      </w:r>
      <w:r>
        <w:rPr>
          <w:rFonts w:ascii="Arial" w:eastAsia="Arial" w:hAnsi="Arial" w:cs="Arial"/>
          <w:b/>
        </w:rPr>
        <w:t>idencia 326/2020, de 11 de febrero de 2020.</w:t>
      </w:r>
    </w:p>
    <w:p w:rsidR="00E23B86" w:rsidRDefault="00BA7C13">
      <w:pPr>
        <w:spacing w:after="497" w:line="249" w:lineRule="auto"/>
        <w:ind w:left="355" w:right="554" w:hanging="10"/>
        <w:jc w:val="both"/>
      </w:pPr>
      <w:r>
        <w:rPr>
          <w:rFonts w:ascii="Arial" w:eastAsia="Arial" w:hAnsi="Arial" w:cs="Arial"/>
          <w:b/>
        </w:rPr>
        <w:t>3.-Expediente 11873/2019. Aprobación definitiva del Presupuesto General del ejercicio 2020.</w:t>
      </w:r>
    </w:p>
    <w:p w:rsidR="00E23B86" w:rsidRDefault="00BA7C13">
      <w:pPr>
        <w:spacing w:after="497" w:line="249" w:lineRule="auto"/>
        <w:ind w:left="355" w:right="554" w:hanging="10"/>
        <w:jc w:val="both"/>
      </w:pPr>
      <w:r>
        <w:rPr>
          <w:noProof/>
        </w:rPr>
        <mc:AlternateContent>
          <mc:Choice Requires="wpg">
            <w:drawing>
              <wp:anchor distT="0" distB="0" distL="114300" distR="114300" simplePos="0" relativeHeight="2516602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6787" name="Group 46678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88" name="Rectangle 8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89" name="Rectangle 89"/>
                        <wps:cNvSpPr/>
                        <wps:spPr>
                          <a:xfrm rot="-5399999">
                            <a:off x="-2042224" y="1328796"/>
                            <a:ext cx="4350074" cy="113224"/>
                          </a:xfrm>
                          <a:prstGeom prst="rect">
                            <a:avLst/>
                          </a:prstGeom>
                          <a:ln>
                            <a:noFill/>
                          </a:ln>
                        </wps:spPr>
                        <wps:txbx>
                          <w:txbxContent>
                            <w:p w:rsidR="00E23B86" w:rsidRDefault="00BA7C13">
                              <w:r>
                                <w:rPr>
                                  <w:rFonts w:ascii="Arial" w:eastAsia="Arial" w:hAnsi="Arial" w:cs="Arial"/>
                                  <w:sz w:val="12"/>
                                </w:rPr>
                                <w:t>Documento firmado</w:t>
                              </w:r>
                              <w:r>
                                <w:rPr>
                                  <w:rFonts w:ascii="Arial" w:eastAsia="Arial" w:hAnsi="Arial" w:cs="Arial"/>
                                  <w:sz w:val="12"/>
                                </w:rPr>
                                <w:t xml:space="preserve"> electrónicamente desde la plataforma esPublico Gestiona | Página 2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6787" style="width:12.7031pt;height:280.35pt;position:absolute;mso-position-horizontal-relative:page;mso-position-horizontal:absolute;margin-left:681.958pt;mso-position-vertical-relative:page;margin-top:531.65pt;" coordsize="1613,35604">
                <v:rect id="Rectangle 8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89" style="position:absolute;width:43500;height:1132;left:-20422;top:1328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391 </w:t>
                        </w:r>
                      </w:p>
                    </w:txbxContent>
                  </v:textbox>
                </v:rect>
                <w10:wrap type="square"/>
              </v:group>
            </w:pict>
          </mc:Fallback>
        </mc:AlternateContent>
      </w:r>
      <w:r>
        <w:rPr>
          <w:rFonts w:ascii="Arial" w:eastAsia="Arial" w:hAnsi="Arial" w:cs="Arial"/>
          <w:b/>
        </w:rPr>
        <w:t xml:space="preserve">4.-Expediente 1667/2020. Propuesta del Concejal delegado de Hacienda al Pleno de fecha 14 de febrero de 2020 de aprobación inicial de la modificación presupuestaria por suplemento </w:t>
      </w:r>
      <w:r>
        <w:rPr>
          <w:rFonts w:ascii="Arial" w:eastAsia="Arial" w:hAnsi="Arial" w:cs="Arial"/>
          <w:b/>
        </w:rPr>
        <w:t>de créditos financiado con remanente de tesorería para gastos generales, por la cantidad de 516.986,97 Euros</w:t>
      </w:r>
    </w:p>
    <w:p w:rsidR="00E23B86" w:rsidRDefault="00BA7C13">
      <w:pPr>
        <w:spacing w:after="499" w:line="249" w:lineRule="auto"/>
        <w:ind w:left="355" w:right="554" w:hanging="10"/>
        <w:jc w:val="both"/>
      </w:pPr>
      <w:r>
        <w:rPr>
          <w:rFonts w:ascii="Arial" w:eastAsia="Arial" w:hAnsi="Arial" w:cs="Arial"/>
          <w:b/>
        </w:rPr>
        <w:t>5.-Expediente 11880/2019. Propuesta de la Alcaldesa-Presidenta de fecha 24 de febrero de 2020 de adjudicación del contrato de la adquisición del bi</w:t>
      </w:r>
      <w:r>
        <w:rPr>
          <w:rFonts w:ascii="Arial" w:eastAsia="Arial" w:hAnsi="Arial" w:cs="Arial"/>
          <w:b/>
        </w:rPr>
        <w:t>en inmueble: “parcelas de Acceso a Candelaria” aprobado por el Pleno de 26 de diciembre de 2019 y publicada la licitación pública en el Plataforma de Contratación del Sector Público de 10 de enero de 2020.</w:t>
      </w:r>
    </w:p>
    <w:p w:rsidR="00E23B86" w:rsidRDefault="00BA7C13">
      <w:pPr>
        <w:spacing w:after="499" w:line="249" w:lineRule="auto"/>
        <w:ind w:left="355" w:right="554" w:hanging="10"/>
        <w:jc w:val="both"/>
      </w:pPr>
      <w:r>
        <w:rPr>
          <w:rFonts w:ascii="Arial" w:eastAsia="Arial" w:hAnsi="Arial" w:cs="Arial"/>
          <w:b/>
        </w:rPr>
        <w:t>6.-Expediente 11840/2019. Propuesta de la Concejal</w:t>
      </w:r>
      <w:r>
        <w:rPr>
          <w:rFonts w:ascii="Arial" w:eastAsia="Arial" w:hAnsi="Arial" w:cs="Arial"/>
          <w:b/>
        </w:rPr>
        <w:t>a delegada de Servicios Sociales e Igualdad de 13 de febrero de 2020 para la aprobación del IV Plan Municipal de Prevención de Drogodependencias y otras Adicciones (2019-2023) del municipio de Candelaria.</w:t>
      </w:r>
    </w:p>
    <w:p w:rsidR="00E23B86" w:rsidRDefault="00BA7C13">
      <w:pPr>
        <w:spacing w:after="499" w:line="249" w:lineRule="auto"/>
        <w:ind w:left="355" w:right="554" w:hanging="10"/>
        <w:jc w:val="both"/>
      </w:pPr>
      <w:r>
        <w:rPr>
          <w:rFonts w:ascii="Arial" w:eastAsia="Arial" w:hAnsi="Arial" w:cs="Arial"/>
          <w:b/>
        </w:rPr>
        <w:t>7.-Expediente 1015/2020. Propuesta de la Concejal d</w:t>
      </w:r>
      <w:r>
        <w:rPr>
          <w:rFonts w:ascii="Arial" w:eastAsia="Arial" w:hAnsi="Arial" w:cs="Arial"/>
          <w:b/>
        </w:rPr>
        <w:t>elegada de Servicios Sociales e Igualdad de fecha 17 de febrero de 2020 para solicitar a UNICEF Comité Español, iniciar los trámites para la obtención del reconocimiento de Candelaria como ciudad amiga de la infancia.</w:t>
      </w:r>
    </w:p>
    <w:p w:rsidR="00E23B86" w:rsidRDefault="00BA7C13">
      <w:pPr>
        <w:spacing w:after="111" w:line="249" w:lineRule="auto"/>
        <w:ind w:left="355" w:right="554" w:hanging="10"/>
        <w:jc w:val="both"/>
      </w:pPr>
      <w:r>
        <w:rPr>
          <w:rFonts w:ascii="Arial" w:eastAsia="Arial" w:hAnsi="Arial" w:cs="Arial"/>
          <w:b/>
        </w:rPr>
        <w:t>8.-Expediente 1677/2020. Moción del Grupo Popular por RE 2666/2020 de 13 de febrero de 2020, en relación con la creación de puntos de prevención, sensibilización y atención ante posibles situaciones de agresión sexual y violencia de género.</w:t>
      </w:r>
    </w:p>
    <w:p w:rsidR="00E23B86" w:rsidRDefault="00BA7C13">
      <w:pPr>
        <w:spacing w:after="497" w:line="249" w:lineRule="auto"/>
        <w:ind w:left="355" w:right="554" w:hanging="10"/>
        <w:jc w:val="both"/>
      </w:pPr>
      <w:r>
        <w:rPr>
          <w:rFonts w:ascii="Arial" w:eastAsia="Arial" w:hAnsi="Arial" w:cs="Arial"/>
          <w:b/>
        </w:rPr>
        <w:t xml:space="preserve">9.- Expediente </w:t>
      </w:r>
      <w:r>
        <w:rPr>
          <w:rFonts w:ascii="Arial" w:eastAsia="Arial" w:hAnsi="Arial" w:cs="Arial"/>
          <w:b/>
        </w:rPr>
        <w:t>1779/2020. Moción del Grupo Mixto por RE 2815/2020 de 17 de febrero de 2020 para la utilización de fuegos artificiales sin ruido en los espectáculos pirotécnicos que se celebren en el municipio de Candelaria, organizados por el propio consistorio o que rec</w:t>
      </w:r>
      <w:r>
        <w:rPr>
          <w:rFonts w:ascii="Arial" w:eastAsia="Arial" w:hAnsi="Arial" w:cs="Arial"/>
          <w:b/>
        </w:rPr>
        <w:t>iban financiación municipal.</w:t>
      </w:r>
    </w:p>
    <w:p w:rsidR="00E23B86" w:rsidRDefault="00BA7C13">
      <w:pPr>
        <w:spacing w:after="497" w:line="249" w:lineRule="auto"/>
        <w:ind w:left="482" w:right="554" w:hanging="10"/>
        <w:jc w:val="both"/>
      </w:pPr>
      <w:r>
        <w:rPr>
          <w:rFonts w:ascii="Arial" w:eastAsia="Arial" w:hAnsi="Arial" w:cs="Arial"/>
          <w:b/>
        </w:rPr>
        <w:t>10.- Expediente 800/2020. Moción de Grupo Mixto por RE 1413/2020 de 27 de enero de 2020 en defensa del mar canario.</w:t>
      </w:r>
    </w:p>
    <w:p w:rsidR="00E23B86" w:rsidRDefault="00BA7C13">
      <w:pPr>
        <w:spacing w:after="497" w:line="249" w:lineRule="auto"/>
        <w:ind w:left="355" w:right="554" w:hanging="10"/>
        <w:jc w:val="both"/>
      </w:pPr>
      <w:r>
        <w:rPr>
          <w:rFonts w:ascii="Arial" w:eastAsia="Arial" w:hAnsi="Arial" w:cs="Arial"/>
          <w:b/>
        </w:rPr>
        <w:t xml:space="preserve">11.-Expediente 1676/2020. Moción del Grupo Mixto por RE 2780/2020 de 14 de febrero de 2020 para implantar medidas en la Villa de Candelaria sobre fuegos </w:t>
      </w:r>
      <w:r>
        <w:rPr>
          <w:rFonts w:ascii="Arial" w:eastAsia="Arial" w:hAnsi="Arial" w:cs="Arial"/>
          <w:b/>
        </w:rPr>
        <w:lastRenderedPageBreak/>
        <w:t>artificiales silenciosos en los espectáculos pirotécnicos organizados o financiados por la Administraci</w:t>
      </w:r>
      <w:r>
        <w:rPr>
          <w:rFonts w:ascii="Arial" w:eastAsia="Arial" w:hAnsi="Arial" w:cs="Arial"/>
          <w:b/>
        </w:rPr>
        <w:t>ón Local.</w:t>
      </w:r>
    </w:p>
    <w:p w:rsidR="00E23B86" w:rsidRDefault="00BA7C13">
      <w:pPr>
        <w:spacing w:after="825" w:line="249" w:lineRule="auto"/>
        <w:ind w:left="355" w:right="554" w:hanging="10"/>
        <w:jc w:val="both"/>
      </w:pPr>
      <w:r>
        <w:rPr>
          <w:noProof/>
        </w:rPr>
        <mc:AlternateContent>
          <mc:Choice Requires="wpg">
            <w:drawing>
              <wp:anchor distT="0" distB="0" distL="114300" distR="114300" simplePos="0" relativeHeight="2516613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6558" name="Group 46655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45" name="Rectangle 14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46" name="Rectangle 146"/>
                        <wps:cNvSpPr/>
                        <wps:spPr>
                          <a:xfrm rot="-5399999">
                            <a:off x="-2042224" y="1328796"/>
                            <a:ext cx="435007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6558" style="width:12.7031pt;height:280.35pt;position:absolute;mso-position-horizontal-relative:page;mso-position-horizontal:absolute;margin-left:681.958pt;mso-position-vertical-relative:page;margin-top:531.65pt;" coordsize="1613,35604">
                <v:rect id="Rectangle 14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46" style="position:absolute;width:43500;height:1132;left:-20422;top:1328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391 </w:t>
                        </w:r>
                      </w:p>
                    </w:txbxContent>
                  </v:textbox>
                </v:rect>
                <w10:wrap type="square"/>
              </v:group>
            </w:pict>
          </mc:Fallback>
        </mc:AlternateContent>
      </w:r>
      <w:r>
        <w:rPr>
          <w:rFonts w:ascii="Arial" w:eastAsia="Arial" w:hAnsi="Arial" w:cs="Arial"/>
          <w:b/>
        </w:rPr>
        <w:t>12.- Urgencias.</w:t>
      </w:r>
    </w:p>
    <w:p w:rsidR="00E23B86" w:rsidRDefault="00BA7C13">
      <w:pPr>
        <w:numPr>
          <w:ilvl w:val="0"/>
          <w:numId w:val="1"/>
        </w:numPr>
        <w:spacing w:after="414" w:line="278" w:lineRule="auto"/>
        <w:ind w:hanging="698"/>
      </w:pPr>
      <w:r>
        <w:rPr>
          <w:rFonts w:ascii="Arial" w:eastAsia="Arial" w:hAnsi="Arial" w:cs="Arial"/>
          <w:b/>
          <w:u w:val="single" w:color="000000"/>
        </w:rPr>
        <w:t>Control y Fiscalización de los Órg</w:t>
      </w:r>
      <w:r>
        <w:rPr>
          <w:rFonts w:ascii="Arial" w:eastAsia="Arial" w:hAnsi="Arial" w:cs="Arial"/>
          <w:b/>
          <w:u w:val="single" w:color="000000"/>
        </w:rPr>
        <w:t>anos de Gobierno</w:t>
      </w:r>
      <w:r>
        <w:rPr>
          <w:rFonts w:ascii="Arial" w:eastAsia="Arial" w:hAnsi="Arial" w:cs="Arial"/>
        </w:rPr>
        <w:t>.</w:t>
      </w:r>
    </w:p>
    <w:p w:rsidR="00E23B86" w:rsidRDefault="00BA7C13">
      <w:pPr>
        <w:spacing w:after="245" w:line="249" w:lineRule="auto"/>
        <w:ind w:left="355" w:right="554" w:hanging="10"/>
        <w:jc w:val="both"/>
      </w:pPr>
      <w:r>
        <w:rPr>
          <w:rFonts w:ascii="Arial" w:eastAsia="Arial" w:hAnsi="Arial" w:cs="Arial"/>
          <w:b/>
        </w:rPr>
        <w:t>13.- Dación de Cuenta de los Decretos de la Alcaldía-Presidencia y de los Concejales delegados.</w:t>
      </w:r>
    </w:p>
    <w:p w:rsidR="00E23B86" w:rsidRDefault="00BA7C13">
      <w:pPr>
        <w:spacing w:after="573" w:line="249" w:lineRule="auto"/>
        <w:ind w:left="355" w:right="625" w:hanging="10"/>
        <w:jc w:val="both"/>
      </w:pPr>
      <w:r>
        <w:rPr>
          <w:rFonts w:ascii="Arial" w:eastAsia="Arial" w:hAnsi="Arial" w:cs="Arial"/>
          <w:b/>
        </w:rPr>
        <w:t>14.- Informe del Interventor en su caso de las resoluciones adoptadas por la Presidenta de la Corporación Local contrarias a los reparos efect</w:t>
      </w:r>
      <w:r>
        <w:rPr>
          <w:rFonts w:ascii="Arial" w:eastAsia="Arial" w:hAnsi="Arial" w:cs="Arial"/>
          <w:b/>
        </w:rPr>
        <w:t>uados en cumplimiento de la Ley 27/2013, de 27 de diciembre de racionalización y sostenibilidad de la Administración Local</w:t>
      </w:r>
    </w:p>
    <w:p w:rsidR="00E23B86" w:rsidRDefault="00BA7C13">
      <w:pPr>
        <w:numPr>
          <w:ilvl w:val="0"/>
          <w:numId w:val="1"/>
        </w:numPr>
        <w:spacing w:after="415" w:line="278" w:lineRule="auto"/>
        <w:ind w:hanging="698"/>
      </w:pPr>
      <w:r>
        <w:rPr>
          <w:rFonts w:ascii="Arial" w:eastAsia="Arial" w:hAnsi="Arial" w:cs="Arial"/>
          <w:b/>
          <w:u w:val="single" w:color="000000"/>
        </w:rPr>
        <w:t>Ruegos y preguntas</w:t>
      </w:r>
      <w:r>
        <w:rPr>
          <w:rFonts w:ascii="Arial" w:eastAsia="Arial" w:hAnsi="Arial" w:cs="Arial"/>
          <w:b/>
        </w:rPr>
        <w:t>.</w:t>
      </w:r>
    </w:p>
    <w:p w:rsidR="00E23B86" w:rsidRDefault="00BA7C13">
      <w:pPr>
        <w:spacing w:after="9" w:line="249" w:lineRule="auto"/>
        <w:ind w:left="355" w:right="554" w:hanging="10"/>
        <w:jc w:val="both"/>
      </w:pPr>
      <w:r>
        <w:rPr>
          <w:rFonts w:ascii="Arial" w:eastAsia="Arial" w:hAnsi="Arial" w:cs="Arial"/>
          <w:b/>
        </w:rPr>
        <w:t>15.- Ruegos y preguntas.</w:t>
      </w:r>
    </w:p>
    <w:p w:rsidR="00E23B86" w:rsidRDefault="00BA7C13">
      <w:pPr>
        <w:spacing w:after="0"/>
        <w:ind w:left="352"/>
      </w:pPr>
      <w:r>
        <w:rPr>
          <w:rFonts w:ascii="Arial" w:eastAsia="Arial" w:hAnsi="Arial" w:cs="Arial"/>
        </w:rPr>
        <w:t xml:space="preserve">    </w:t>
      </w:r>
    </w:p>
    <w:p w:rsidR="00E23B86" w:rsidRDefault="00BA7C13">
      <w:pPr>
        <w:numPr>
          <w:ilvl w:val="0"/>
          <w:numId w:val="1"/>
        </w:numPr>
        <w:spacing w:after="456" w:line="278" w:lineRule="auto"/>
        <w:ind w:hanging="698"/>
      </w:pPr>
      <w:r>
        <w:rPr>
          <w:rFonts w:ascii="Arial" w:eastAsia="Arial" w:hAnsi="Arial" w:cs="Arial"/>
          <w:b/>
          <w:u w:val="single" w:color="000000"/>
        </w:rPr>
        <w:t>Parte Resolutiva de la Sesión.</w:t>
      </w:r>
    </w:p>
    <w:p w:rsidR="00E23B86" w:rsidRDefault="00BA7C13">
      <w:pPr>
        <w:spacing w:after="0" w:line="249" w:lineRule="auto"/>
        <w:ind w:left="355" w:right="554" w:hanging="10"/>
        <w:jc w:val="both"/>
      </w:pPr>
      <w:r>
        <w:rPr>
          <w:rFonts w:ascii="Arial" w:eastAsia="Arial" w:hAnsi="Arial" w:cs="Arial"/>
          <w:b/>
        </w:rPr>
        <w:t>El debate íntegro está grabado en el video acta adjunto y en la siguiente dirección</w:t>
      </w:r>
    </w:p>
    <w:p w:rsidR="00E23B86" w:rsidRDefault="00BA7C13">
      <w:pPr>
        <w:spacing w:after="805"/>
        <w:ind w:left="352"/>
      </w:pPr>
      <w:r>
        <w:rPr>
          <w:rFonts w:ascii="Arial" w:eastAsia="Arial" w:hAnsi="Arial" w:cs="Arial"/>
          <w:b/>
        </w:rPr>
        <w:t xml:space="preserve">electrónica: </w:t>
      </w:r>
      <w:r>
        <w:rPr>
          <w:rFonts w:ascii="Arial" w:eastAsia="Arial" w:hAnsi="Arial" w:cs="Arial"/>
          <w:b/>
          <w:color w:val="000080"/>
          <w:u w:val="single" w:color="000080"/>
        </w:rPr>
        <w:t>https://www.youtube.com/watch?v=EmYFGh8KH0A</w:t>
      </w:r>
      <w:r>
        <w:rPr>
          <w:rFonts w:ascii="Arial" w:eastAsia="Arial" w:hAnsi="Arial" w:cs="Arial"/>
          <w:b/>
        </w:rPr>
        <w:t xml:space="preserve"> </w:t>
      </w:r>
    </w:p>
    <w:p w:rsidR="00E23B86" w:rsidRDefault="00BA7C13">
      <w:pPr>
        <w:spacing w:after="1102" w:line="250" w:lineRule="auto"/>
        <w:ind w:left="355" w:hanging="10"/>
        <w:jc w:val="both"/>
      </w:pPr>
      <w:r>
        <w:rPr>
          <w:rFonts w:ascii="Arial" w:eastAsia="Arial" w:hAnsi="Arial" w:cs="Arial"/>
          <w:b/>
          <w:sz w:val="24"/>
        </w:rPr>
        <w:t>1.-Aprobación de las actas de los Plenos de las sesiones correspondientes a 28-11-2019,26-12-2019 y 30-1-2020.</w:t>
      </w:r>
    </w:p>
    <w:p w:rsidR="00E23B86" w:rsidRDefault="00BA7C13">
      <w:pPr>
        <w:pStyle w:val="Ttulo3"/>
        <w:spacing w:after="84" w:line="265" w:lineRule="auto"/>
        <w:ind w:left="682" w:right="1039"/>
        <w:jc w:val="center"/>
      </w:pPr>
      <w:r>
        <w:rPr>
          <w:i w:val="0"/>
          <w:color w:val="000000"/>
        </w:rPr>
        <w:t>VOT</w:t>
      </w:r>
      <w:r>
        <w:rPr>
          <w:i w:val="0"/>
          <w:color w:val="000000"/>
        </w:rPr>
        <w:t>ACIÓN EN EL PLENO</w:t>
      </w:r>
    </w:p>
    <w:p w:rsidR="00E23B86" w:rsidRDefault="00BA7C13">
      <w:pPr>
        <w:spacing w:after="110" w:line="248" w:lineRule="auto"/>
        <w:ind w:left="373" w:right="552" w:hanging="10"/>
        <w:jc w:val="both"/>
      </w:pPr>
      <w:r>
        <w:rPr>
          <w:rFonts w:ascii="Arial" w:eastAsia="Arial" w:hAnsi="Arial" w:cs="Arial"/>
        </w:rPr>
        <w:t>Votos a favor: 15.</w:t>
      </w:r>
    </w:p>
    <w:p w:rsidR="00E23B86" w:rsidRDefault="00BA7C13">
      <w:pPr>
        <w:spacing w:after="110" w:line="248" w:lineRule="auto"/>
        <w:ind w:left="373" w:right="552" w:hanging="10"/>
        <w:jc w:val="both"/>
      </w:pPr>
      <w:r>
        <w:rPr>
          <w:noProof/>
        </w:rPr>
        <mc:AlternateContent>
          <mc:Choice Requires="wpg">
            <w:drawing>
              <wp:anchor distT="0" distB="0" distL="114300" distR="114300" simplePos="0" relativeHeight="2516623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8257" name="Group 46825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99" name="Rectangle 19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00" name="Rectangle 200"/>
                        <wps:cNvSpPr/>
                        <wps:spPr>
                          <a:xfrm rot="-5399999">
                            <a:off x="-2042224" y="1328796"/>
                            <a:ext cx="435007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8257" style="width:12.7031pt;height:280.35pt;position:absolute;mso-position-horizontal-relative:page;mso-position-horizontal:absolute;margin-left:681.958pt;mso-position-vertical-relative:page;margin-top:531.65pt;" coordsize="1613,35604">
                <v:rect id="Rectangle 19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00" style="position:absolute;width:43500;height:1132;left:-20422;top:1328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391 </w:t>
                        </w:r>
                      </w:p>
                    </w:txbxContent>
                  </v:textbox>
                </v:rect>
                <w10:wrap type="square"/>
              </v:group>
            </w:pict>
          </mc:Fallback>
        </mc:AlternateContent>
      </w:r>
      <w:r>
        <w:rPr>
          <w:rFonts w:ascii="Arial" w:eastAsia="Arial" w:hAnsi="Arial" w:cs="Arial"/>
        </w:rPr>
        <w:t>11 concejales del Grupo</w:t>
      </w:r>
      <w:r>
        <w:rPr>
          <w:rFonts w:ascii="Arial" w:eastAsia="Arial" w:hAnsi="Arial" w:cs="Arial"/>
        </w:rPr>
        <w:t xml:space="preserve"> Socialista: Doña María Concepción Brito Núñez, Don Jorge Baute Delgado, Doña Olivia Concepción Pérez Díaz, Don José Francisco Pinto Ramos, Doña Hilaria Cecilia Otazo González, Don Airam Pérez Chinea, Doña Margarita Eva Tendero Barroso, Don Manuel Alberto </w:t>
      </w:r>
      <w:r>
        <w:rPr>
          <w:rFonts w:ascii="Arial" w:eastAsia="Arial" w:hAnsi="Arial" w:cs="Arial"/>
        </w:rPr>
        <w:t xml:space="preserve">González Pestano, Doña María del Carmen Clemente Díaz, Don Olegario Francisco Alonso Bello y Don Reinaldo José Triviño Blanco. </w:t>
      </w:r>
    </w:p>
    <w:p w:rsidR="00E23B86" w:rsidRDefault="00BA7C13">
      <w:pPr>
        <w:spacing w:after="110" w:line="248" w:lineRule="auto"/>
        <w:ind w:left="373" w:right="552" w:hanging="10"/>
        <w:jc w:val="both"/>
      </w:pPr>
      <w:r>
        <w:rPr>
          <w:rFonts w:ascii="Arial" w:eastAsia="Arial" w:hAnsi="Arial" w:cs="Arial"/>
        </w:rPr>
        <w:t xml:space="preserve">4 concejales del Grupo Mixto: Doña María del Carmen Coello González y Doña María del Pilar Maceín Núñez (SSP), Doña Ángela Cruz </w:t>
      </w:r>
      <w:r>
        <w:rPr>
          <w:rFonts w:ascii="Arial" w:eastAsia="Arial" w:hAnsi="Arial" w:cs="Arial"/>
        </w:rPr>
        <w:t>Perera (CC-PNC y Don José Fernando Gómez Martín (PvxC).</w:t>
      </w:r>
    </w:p>
    <w:p w:rsidR="00E23B86" w:rsidRDefault="00BA7C13">
      <w:pPr>
        <w:spacing w:after="110" w:line="248" w:lineRule="auto"/>
        <w:ind w:left="373" w:right="552" w:hanging="10"/>
        <w:jc w:val="both"/>
      </w:pPr>
      <w:r>
        <w:rPr>
          <w:rFonts w:ascii="Arial" w:eastAsia="Arial" w:hAnsi="Arial" w:cs="Arial"/>
        </w:rPr>
        <w:t>Votos en contra: 0.</w:t>
      </w:r>
    </w:p>
    <w:p w:rsidR="00E23B86" w:rsidRDefault="00BA7C13">
      <w:pPr>
        <w:spacing w:after="110" w:line="248" w:lineRule="auto"/>
        <w:ind w:left="373" w:right="552" w:hanging="10"/>
        <w:jc w:val="both"/>
      </w:pPr>
      <w:r>
        <w:rPr>
          <w:rFonts w:ascii="Arial" w:eastAsia="Arial" w:hAnsi="Arial" w:cs="Arial"/>
        </w:rPr>
        <w:t>Abstenciones: 3</w:t>
      </w:r>
    </w:p>
    <w:p w:rsidR="00E23B86" w:rsidRDefault="00BA7C13">
      <w:pPr>
        <w:spacing w:after="1231" w:line="248" w:lineRule="auto"/>
        <w:ind w:left="373" w:right="552" w:hanging="10"/>
        <w:jc w:val="both"/>
      </w:pPr>
      <w:r>
        <w:rPr>
          <w:rFonts w:ascii="Arial" w:eastAsia="Arial" w:hAnsi="Arial" w:cs="Arial"/>
        </w:rPr>
        <w:t xml:space="preserve">3 concejales del Grupo Popular: Don Juan Miguel Olivera González, Don Jacobo López Fariña y Doña Raquel Martín Castro. </w:t>
      </w:r>
    </w:p>
    <w:p w:rsidR="00E23B86" w:rsidRDefault="00BA7C13">
      <w:pPr>
        <w:pStyle w:val="Ttulo3"/>
        <w:spacing w:after="841" w:line="265" w:lineRule="auto"/>
        <w:ind w:left="682" w:right="1278"/>
        <w:jc w:val="center"/>
      </w:pPr>
      <w:r>
        <w:rPr>
          <w:i w:val="0"/>
          <w:color w:val="000000"/>
        </w:rPr>
        <w:t>ACUERDO DEL PLENO</w:t>
      </w:r>
    </w:p>
    <w:p w:rsidR="00E23B86" w:rsidRDefault="00BA7C13">
      <w:pPr>
        <w:spacing w:after="110" w:line="248" w:lineRule="auto"/>
        <w:ind w:left="373" w:right="552" w:hanging="10"/>
        <w:jc w:val="both"/>
      </w:pPr>
      <w:r>
        <w:rPr>
          <w:rFonts w:ascii="Arial" w:eastAsia="Arial" w:hAnsi="Arial" w:cs="Arial"/>
        </w:rPr>
        <w:t>Aprobación de las actas de los Plenos de las sesiones correspondientes a 28-112019,26-12-2019 y 30-1-2020.</w:t>
      </w:r>
    </w:p>
    <w:p w:rsidR="00E23B86" w:rsidRDefault="00BA7C13">
      <w:pPr>
        <w:spacing w:after="870" w:line="250" w:lineRule="auto"/>
        <w:ind w:left="355" w:right="567" w:hanging="10"/>
        <w:jc w:val="both"/>
      </w:pPr>
      <w:r>
        <w:rPr>
          <w:rFonts w:ascii="Arial" w:eastAsia="Arial" w:hAnsi="Arial" w:cs="Arial"/>
          <w:b/>
          <w:sz w:val="24"/>
        </w:rPr>
        <w:t>2.-Expediente 1203/2020. Dación de cuenta al Pleno de la liquidación del Presupuesto General del año 2019 aprobada por Decreto de la AlcaldíaPresiden</w:t>
      </w:r>
      <w:r>
        <w:rPr>
          <w:rFonts w:ascii="Arial" w:eastAsia="Arial" w:hAnsi="Arial" w:cs="Arial"/>
          <w:b/>
          <w:sz w:val="24"/>
        </w:rPr>
        <w:t>cia 326/2020, de 11 de febrero de 2020.</w:t>
      </w:r>
    </w:p>
    <w:p w:rsidR="00E23B86" w:rsidRDefault="00BA7C13">
      <w:pPr>
        <w:spacing w:after="859" w:line="249" w:lineRule="auto"/>
        <w:ind w:left="355" w:right="554" w:hanging="10"/>
        <w:jc w:val="both"/>
      </w:pPr>
      <w:r>
        <w:rPr>
          <w:rFonts w:ascii="Arial" w:eastAsia="Arial" w:hAnsi="Arial" w:cs="Arial"/>
          <w:b/>
        </w:rPr>
        <w:t xml:space="preserve">  Consta en el expediente Informe de Intervención emitido por Don Nicolás Rojo Garnica, que desempeña el puesto de trabajo de Interventor Municipal, de 11 de febrero de 2020, del siguiente tenor literal:</w:t>
      </w:r>
    </w:p>
    <w:p w:rsidR="00E23B86" w:rsidRDefault="00BA7C13">
      <w:pPr>
        <w:spacing w:after="99"/>
        <w:ind w:left="352"/>
      </w:pPr>
      <w:r>
        <w:rPr>
          <w:rFonts w:ascii="Arial" w:eastAsia="Arial" w:hAnsi="Arial" w:cs="Arial"/>
        </w:rPr>
        <w:t xml:space="preserve"> </w:t>
      </w:r>
    </w:p>
    <w:p w:rsidR="00E23B86" w:rsidRDefault="00BA7C13">
      <w:pPr>
        <w:pStyle w:val="Ttulo3"/>
        <w:spacing w:after="227" w:line="265" w:lineRule="auto"/>
        <w:ind w:left="682" w:right="877"/>
        <w:jc w:val="center"/>
      </w:pPr>
      <w:r>
        <w:rPr>
          <w:i w:val="0"/>
          <w:color w:val="000000"/>
        </w:rPr>
        <w:t>“INFORME D</w:t>
      </w:r>
      <w:r>
        <w:rPr>
          <w:i w:val="0"/>
          <w:color w:val="000000"/>
        </w:rPr>
        <w:t>E INTERVENCIÓN</w:t>
      </w:r>
    </w:p>
    <w:p w:rsidR="00E23B86" w:rsidRDefault="00BA7C13">
      <w:pPr>
        <w:spacing w:after="497" w:line="249" w:lineRule="auto"/>
        <w:ind w:left="355" w:right="554" w:hanging="10"/>
        <w:jc w:val="both"/>
      </w:pPr>
      <w:r>
        <w:rPr>
          <w:rFonts w:ascii="Arial" w:eastAsia="Arial" w:hAnsi="Arial" w:cs="Arial"/>
          <w:b/>
        </w:rPr>
        <w:t>ASUNTO: Aprobación de la Liquidación del Presupuesto de 2019 del Ayuntamiento de Candelaria</w:t>
      </w:r>
    </w:p>
    <w:p w:rsidR="00E23B86" w:rsidRDefault="00BA7C13">
      <w:pPr>
        <w:spacing w:after="499" w:line="248" w:lineRule="auto"/>
        <w:ind w:left="363" w:right="552" w:firstLine="708"/>
        <w:jc w:val="both"/>
      </w:pPr>
      <w:r>
        <w:rPr>
          <w:noProof/>
        </w:rPr>
        <mc:AlternateContent>
          <mc:Choice Requires="wpg">
            <w:drawing>
              <wp:anchor distT="0" distB="0" distL="114300" distR="114300" simplePos="0" relativeHeight="2516633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7291" name="Group 46729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6" name="Rectangle 25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7" name="Rectangle 257"/>
                        <wps:cNvSpPr/>
                        <wps:spPr>
                          <a:xfrm rot="-5399999">
                            <a:off x="-2042224" y="1328796"/>
                            <a:ext cx="435007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5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7291" style="width:12.7031pt;height:280.35pt;position:absolute;mso-position-horizontal-relative:page;mso-position-horizontal:absolute;margin-left:681.958pt;mso-position-vertical-relative:page;margin-top:531.65pt;" coordsize="1613,35604">
                <v:rect id="Rectangle 25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7" style="position:absolute;width:43500;height:1132;left:-20422;top:1328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391 </w:t>
                        </w:r>
                      </w:p>
                    </w:txbxContent>
                  </v:textbox>
                </v:rect>
                <w10:wrap type="square"/>
              </v:group>
            </w:pict>
          </mc:Fallback>
        </mc:AlternateContent>
      </w:r>
      <w:r>
        <w:rPr>
          <w:rFonts w:ascii="Arial" w:eastAsia="Arial" w:hAnsi="Arial" w:cs="Arial"/>
        </w:rPr>
        <w:t xml:space="preserve">Una vez cerrada la liquidación de dicho ejercicio, se tramita el expediente para la aprobación de la </w:t>
      </w:r>
      <w:r>
        <w:rPr>
          <w:rFonts w:ascii="Arial" w:eastAsia="Arial" w:hAnsi="Arial" w:cs="Arial"/>
          <w:b/>
        </w:rPr>
        <w:t>Liquidación del Presupuesto General del ejercicio 2019 del Ilu</w:t>
      </w:r>
      <w:r>
        <w:rPr>
          <w:rFonts w:ascii="Arial" w:eastAsia="Arial" w:hAnsi="Arial" w:cs="Arial"/>
          <w:b/>
        </w:rPr>
        <w:t>stre Ayuntamiento de Candelaria</w:t>
      </w:r>
      <w:r>
        <w:rPr>
          <w:rFonts w:ascii="Arial" w:eastAsia="Arial" w:hAnsi="Arial" w:cs="Arial"/>
        </w:rPr>
        <w:t>, que se compone de los Estados de ejecución de los Presupuestos de Gastos e Ingresos previstos por la Instrucción del Modelo Normal de Contabilidad de las Corporaciones Locales, así como el Resultado Presupuestario y el Rema</w:t>
      </w:r>
      <w:r>
        <w:rPr>
          <w:rFonts w:ascii="Arial" w:eastAsia="Arial" w:hAnsi="Arial" w:cs="Arial"/>
        </w:rPr>
        <w:t xml:space="preserve">nente de Tesorería, como magnitudes presupuestarias más importantes derivadas de la Ejecución del Presupuesto. </w:t>
      </w:r>
    </w:p>
    <w:p w:rsidR="00E23B86" w:rsidRDefault="00BA7C13">
      <w:pPr>
        <w:spacing w:after="242" w:line="249" w:lineRule="auto"/>
        <w:ind w:left="355" w:right="554" w:hanging="10"/>
        <w:jc w:val="both"/>
      </w:pPr>
      <w:r>
        <w:rPr>
          <w:rFonts w:ascii="Arial" w:eastAsia="Arial" w:hAnsi="Arial" w:cs="Arial"/>
          <w:b/>
        </w:rPr>
        <w:t>1.- LEGISLACIÓN APLICABLE</w:t>
      </w:r>
    </w:p>
    <w:p w:rsidR="00E23B86" w:rsidRDefault="00BA7C13">
      <w:pPr>
        <w:spacing w:after="245" w:line="248" w:lineRule="auto"/>
        <w:ind w:left="363" w:right="552" w:firstLine="708"/>
        <w:jc w:val="both"/>
      </w:pPr>
      <w:r>
        <w:rPr>
          <w:rFonts w:ascii="Arial" w:eastAsia="Arial" w:hAnsi="Arial" w:cs="Arial"/>
        </w:rPr>
        <w:t>La legislación aplicable a este expediente se encuentra recogida en los artículos 191, 192 y 193 del Real Decreto Legi</w:t>
      </w:r>
      <w:r>
        <w:rPr>
          <w:rFonts w:ascii="Arial" w:eastAsia="Arial" w:hAnsi="Arial" w:cs="Arial"/>
        </w:rPr>
        <w:t>slativo 2/2004, de 5 de marzo, por el que se aprueba el Texto Refundido de la Ley Reguladora de las Haciendas Locales, en los artículos 89 al 105 del RD 500/90, por el que se desarrollan las disposiciones del TRLRHL en materia de Presupuestos, la Orden HAP</w:t>
      </w:r>
      <w:r>
        <w:rPr>
          <w:rFonts w:ascii="Arial" w:eastAsia="Arial" w:hAnsi="Arial" w:cs="Arial"/>
        </w:rPr>
        <w:t>/1781/2013 de 20 de septiembre, por el que se aprueba la Instrucción del Modelo Normal de Contabilidad y la Orden EHA/419/2014 de 14 de marzo, por la que se aprueba la estructura de los presupuestos de las entidades locales.</w:t>
      </w:r>
    </w:p>
    <w:p w:rsidR="00E23B86" w:rsidRDefault="00BA7C13">
      <w:pPr>
        <w:spacing w:after="499" w:line="248" w:lineRule="auto"/>
        <w:ind w:left="363" w:right="552" w:firstLine="708"/>
        <w:jc w:val="both"/>
      </w:pPr>
      <w:r>
        <w:rPr>
          <w:rFonts w:ascii="Arial" w:eastAsia="Arial" w:hAnsi="Arial" w:cs="Arial"/>
        </w:rPr>
        <w:t>Igualmente, son de aplicación e</w:t>
      </w:r>
      <w:r>
        <w:rPr>
          <w:rFonts w:ascii="Arial" w:eastAsia="Arial" w:hAnsi="Arial" w:cs="Arial"/>
        </w:rPr>
        <w:t>l Real Decreto 1463/2007, de 2 de noviembre, por el que se aprueba el reglamento de desarrollo de la Ley 18/2001, de 12 de diciembre, de Estabilidad Presupuestaria, en su aplicación a las Entidades Locales y la Ley Orgánica 2/2012, de 27 de abril, de Estab</w:t>
      </w:r>
      <w:r>
        <w:rPr>
          <w:rFonts w:ascii="Arial" w:eastAsia="Arial" w:hAnsi="Arial" w:cs="Arial"/>
        </w:rPr>
        <w:t>ilidad Presupuestaria y Sostenibilidad Financiera.</w:t>
      </w:r>
    </w:p>
    <w:p w:rsidR="00E23B86" w:rsidRDefault="00BA7C13">
      <w:pPr>
        <w:spacing w:after="242" w:line="249" w:lineRule="auto"/>
        <w:ind w:left="355" w:right="554" w:hanging="10"/>
        <w:jc w:val="both"/>
      </w:pPr>
      <w:r>
        <w:rPr>
          <w:rFonts w:ascii="Arial" w:eastAsia="Arial" w:hAnsi="Arial" w:cs="Arial"/>
          <w:b/>
        </w:rPr>
        <w:t>2.- AMBITO TEMPORAL</w:t>
      </w:r>
    </w:p>
    <w:p w:rsidR="00E23B86" w:rsidRDefault="00BA7C13">
      <w:pPr>
        <w:spacing w:after="110" w:line="248" w:lineRule="auto"/>
        <w:ind w:left="363" w:right="552" w:firstLine="708"/>
        <w:jc w:val="both"/>
      </w:pPr>
      <w:r>
        <w:rPr>
          <w:rFonts w:ascii="Arial" w:eastAsia="Arial" w:hAnsi="Arial" w:cs="Arial"/>
        </w:rPr>
        <w:t>El cierre y liquidación del Presupuesto se efectuará, en cuanto a la recaudación de derechos y el pago de obligaciones, el 31 de diciembre del año natural.</w:t>
      </w:r>
    </w:p>
    <w:p w:rsidR="00E23B86" w:rsidRDefault="00BA7C13">
      <w:pPr>
        <w:spacing w:after="245" w:line="248" w:lineRule="auto"/>
        <w:ind w:left="363" w:right="552" w:firstLine="708"/>
        <w:jc w:val="both"/>
      </w:pPr>
      <w:r>
        <w:rPr>
          <w:rFonts w:ascii="Arial" w:eastAsia="Arial" w:hAnsi="Arial" w:cs="Arial"/>
        </w:rPr>
        <w:t xml:space="preserve">La confección de los Estados </w:t>
      </w:r>
      <w:r>
        <w:rPr>
          <w:rFonts w:ascii="Arial" w:eastAsia="Arial" w:hAnsi="Arial" w:cs="Arial"/>
        </w:rPr>
        <w:t>Demostrativos de la Liquidación del Presupuesto deberá realizarse antes del día primero de marzo del Ejercicio siguiente.</w:t>
      </w:r>
    </w:p>
    <w:p w:rsidR="00E23B86" w:rsidRDefault="00BA7C13">
      <w:pPr>
        <w:spacing w:after="245" w:line="248" w:lineRule="auto"/>
        <w:ind w:left="363" w:right="552" w:firstLine="708"/>
        <w:jc w:val="both"/>
      </w:pPr>
      <w:r>
        <w:rPr>
          <w:rFonts w:ascii="Arial" w:eastAsia="Arial" w:hAnsi="Arial" w:cs="Arial"/>
        </w:rPr>
        <w:t>Las Entidades Locales remitirán copia de la Liquidación de sus Presupuestos antes de finalizar el mes de marzo del Ejercicio siguiente</w:t>
      </w:r>
      <w:r>
        <w:rPr>
          <w:rFonts w:ascii="Arial" w:eastAsia="Arial" w:hAnsi="Arial" w:cs="Arial"/>
        </w:rPr>
        <w:t xml:space="preserve"> al que corresponda, a los órganos competentes de la Comunidad Autónoma y de la Administración del Estado.</w:t>
      </w:r>
    </w:p>
    <w:p w:rsidR="00E23B86" w:rsidRDefault="00BA7C13">
      <w:pPr>
        <w:spacing w:after="243"/>
        <w:ind w:left="1067" w:hanging="10"/>
      </w:pPr>
      <w:r>
        <w:rPr>
          <w:rFonts w:ascii="Arial" w:eastAsia="Arial" w:hAnsi="Arial" w:cs="Arial"/>
          <w:color w:val="1F4D78"/>
        </w:rPr>
        <w:t>3.-</w:t>
      </w:r>
      <w:r>
        <w:rPr>
          <w:rFonts w:ascii="Arial" w:eastAsia="Arial" w:hAnsi="Arial" w:cs="Arial"/>
          <w:b/>
          <w:color w:val="1F4D78"/>
        </w:rPr>
        <w:t xml:space="preserve"> </w:t>
      </w:r>
      <w:r>
        <w:rPr>
          <w:rFonts w:ascii="Arial" w:eastAsia="Arial" w:hAnsi="Arial" w:cs="Arial"/>
          <w:color w:val="1F4D78"/>
        </w:rPr>
        <w:t>RESULTADO PRESUPUESTARIO</w:t>
      </w:r>
    </w:p>
    <w:p w:rsidR="00E23B86" w:rsidRDefault="00BA7C13">
      <w:pPr>
        <w:spacing w:after="0"/>
        <w:ind w:left="361" w:hanging="10"/>
      </w:pPr>
      <w:r>
        <w:rPr>
          <w:noProof/>
        </w:rPr>
        <mc:AlternateContent>
          <mc:Choice Requires="wpg">
            <w:drawing>
              <wp:anchor distT="0" distB="0" distL="114300" distR="114300" simplePos="0" relativeHeight="2516643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3694" name="Group 54369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9" name="Rectangle 56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70" name="Rectangle 570"/>
                        <wps:cNvSpPr/>
                        <wps:spPr>
                          <a:xfrm rot="-5399999">
                            <a:off x="-2042224" y="1328796"/>
                            <a:ext cx="435007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3694" style="width:12.7031pt;height:280.35pt;position:absolute;mso-position-horizontal-relative:page;mso-position-horizontal:absolute;margin-left:681.958pt;mso-position-vertical-relative:page;margin-top:531.65pt;" coordsize="1613,35604">
                <v:rect id="Rectangle 56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70" style="position:absolute;width:43500;height:1132;left:-20422;top:1328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391 </w:t>
                        </w:r>
                      </w:p>
                    </w:txbxContent>
                  </v:textbox>
                </v:rect>
                <w10:wrap type="square"/>
              </v:group>
            </w:pict>
          </mc:Fallback>
        </mc:AlternateContent>
      </w:r>
      <w:r>
        <w:rPr>
          <w:rFonts w:ascii="Arial" w:eastAsia="Arial" w:hAnsi="Arial" w:cs="Arial"/>
          <w:b/>
          <w:bdr w:val="single" w:sz="10" w:space="0" w:color="000001"/>
        </w:rPr>
        <w:t xml:space="preserve">RESULTADO  PRESUPUESTARIO                    PRESUPUESTO 2019    ( Euros )                </w:t>
      </w:r>
    </w:p>
    <w:tbl>
      <w:tblPr>
        <w:tblStyle w:val="TableGrid"/>
        <w:tblW w:w="9116" w:type="dxa"/>
        <w:tblInd w:w="343" w:type="dxa"/>
        <w:tblCellMar>
          <w:top w:w="11" w:type="dxa"/>
          <w:left w:w="11" w:type="dxa"/>
          <w:bottom w:w="0" w:type="dxa"/>
          <w:right w:w="7" w:type="dxa"/>
        </w:tblCellMar>
        <w:tblLook w:val="04A0" w:firstRow="1" w:lastRow="0" w:firstColumn="1" w:lastColumn="0" w:noHBand="0" w:noVBand="1"/>
      </w:tblPr>
      <w:tblGrid>
        <w:gridCol w:w="4512"/>
        <w:gridCol w:w="1420"/>
        <w:gridCol w:w="1422"/>
        <w:gridCol w:w="1762"/>
      </w:tblGrid>
      <w:tr w:rsidR="00E23B86">
        <w:trPr>
          <w:trHeight w:val="515"/>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 DERECHOS RECONOCIDOS NETOS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29.595.138,6</w:t>
            </w:r>
          </w:p>
          <w:p w:rsidR="00E23B86" w:rsidRDefault="00BA7C13">
            <w:pPr>
              <w:spacing w:after="0"/>
            </w:pPr>
            <w:r>
              <w:rPr>
                <w:rFonts w:ascii="Arial" w:eastAsia="Arial" w:hAnsi="Arial" w:cs="Arial"/>
                <w:b/>
              </w:rPr>
              <w:t>6</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Operaciones Corrientes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26.527.733,9 1</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Otras Operaciones no </w:t>
            </w:r>
          </w:p>
          <w:p w:rsidR="00E23B86" w:rsidRDefault="00BA7C13">
            <w:pPr>
              <w:spacing w:after="0"/>
            </w:pPr>
            <w:r>
              <w:rPr>
                <w:rFonts w:ascii="Arial" w:eastAsia="Arial" w:hAnsi="Arial" w:cs="Arial"/>
              </w:rPr>
              <w:t>Financieras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6"/>
            </w:pPr>
            <w:r>
              <w:rPr>
                <w:rFonts w:ascii="Arial" w:eastAsia="Arial" w:hAnsi="Arial" w:cs="Arial"/>
              </w:rPr>
              <w:t>3.067.404,75</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2"/>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Activos Financieros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4"/>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 xml:space="preserve">                                      + Pasivos Financieros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2"/>
        </w:trPr>
        <w:tc>
          <w:tcPr>
            <w:tcW w:w="4512" w:type="dxa"/>
            <w:tcBorders>
              <w:top w:val="single" w:sz="4" w:space="0" w:color="000001"/>
              <w:left w:val="single" w:sz="5" w:space="0" w:color="000001"/>
              <w:bottom w:val="single" w:sz="4" w:space="0" w:color="000001"/>
              <w:right w:val="single" w:sz="5" w:space="0" w:color="000001"/>
            </w:tcBorders>
          </w:tcPr>
          <w:p w:rsidR="00E23B86" w:rsidRDefault="00E23B86"/>
        </w:tc>
        <w:tc>
          <w:tcPr>
            <w:tcW w:w="1420" w:type="dxa"/>
            <w:tcBorders>
              <w:top w:val="single" w:sz="4" w:space="0" w:color="000001"/>
              <w:left w:val="single" w:sz="5" w:space="0" w:color="000001"/>
              <w:bottom w:val="single" w:sz="4" w:space="0" w:color="000001"/>
              <w:right w:val="single" w:sz="5" w:space="0" w:color="000001"/>
            </w:tcBorders>
          </w:tcPr>
          <w:p w:rsidR="00E23B86" w:rsidRDefault="00E23B86"/>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 OBLIGACIONES RECONOCIDAS NETAS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24.148.847,2</w:t>
            </w:r>
          </w:p>
          <w:p w:rsidR="00E23B86" w:rsidRDefault="00BA7C13">
            <w:pPr>
              <w:spacing w:after="0"/>
            </w:pPr>
            <w:r>
              <w:rPr>
                <w:rFonts w:ascii="Arial" w:eastAsia="Arial" w:hAnsi="Arial" w:cs="Arial"/>
                <w:b/>
              </w:rPr>
              <w:t>5</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Operaciones Corrientes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20.594.523,5 1</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Otras Operaciones no </w:t>
            </w:r>
          </w:p>
          <w:p w:rsidR="00E23B86" w:rsidRDefault="00BA7C13">
            <w:pPr>
              <w:spacing w:after="0"/>
            </w:pPr>
            <w:r>
              <w:rPr>
                <w:rFonts w:ascii="Arial" w:eastAsia="Arial" w:hAnsi="Arial" w:cs="Arial"/>
              </w:rPr>
              <w:t>Financieras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6"/>
            </w:pPr>
            <w:r>
              <w:rPr>
                <w:rFonts w:ascii="Arial" w:eastAsia="Arial" w:hAnsi="Arial" w:cs="Arial"/>
              </w:rPr>
              <w:t>2.566.873,84</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4"/>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Activos Financieros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2"/>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 xml:space="preserve">                                      + Pasivos Financieros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rPr>
              <w:t>987.449,90</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4"/>
        </w:trPr>
        <w:tc>
          <w:tcPr>
            <w:tcW w:w="4512" w:type="dxa"/>
            <w:tcBorders>
              <w:top w:val="single" w:sz="4" w:space="0" w:color="000001"/>
              <w:left w:val="single" w:sz="5" w:space="0" w:color="000001"/>
              <w:bottom w:val="single" w:sz="4" w:space="0" w:color="000001"/>
              <w:right w:val="single" w:sz="5" w:space="0" w:color="000001"/>
            </w:tcBorders>
          </w:tcPr>
          <w:p w:rsidR="00E23B86" w:rsidRDefault="00E23B86"/>
        </w:tc>
        <w:tc>
          <w:tcPr>
            <w:tcW w:w="1420" w:type="dxa"/>
            <w:tcBorders>
              <w:top w:val="single" w:sz="4" w:space="0" w:color="000001"/>
              <w:left w:val="single" w:sz="5" w:space="0" w:color="000001"/>
              <w:bottom w:val="single" w:sz="4" w:space="0" w:color="000001"/>
              <w:right w:val="single" w:sz="5" w:space="0" w:color="000001"/>
            </w:tcBorders>
          </w:tcPr>
          <w:p w:rsidR="00E23B86" w:rsidRDefault="00E23B86"/>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3. RESULTADO PRESUPUESTARIO ( 1 – </w:t>
            </w:r>
          </w:p>
          <w:p w:rsidR="00E23B86" w:rsidRDefault="00BA7C13">
            <w:pPr>
              <w:spacing w:after="0"/>
            </w:pPr>
            <w:r>
              <w:rPr>
                <w:rFonts w:ascii="Arial" w:eastAsia="Arial" w:hAnsi="Arial" w:cs="Arial"/>
              </w:rPr>
              <w:t>2 )</w:t>
            </w:r>
          </w:p>
        </w:tc>
        <w:tc>
          <w:tcPr>
            <w:tcW w:w="1420" w:type="dxa"/>
            <w:tcBorders>
              <w:top w:val="single" w:sz="4" w:space="0" w:color="000001"/>
              <w:left w:val="single" w:sz="5" w:space="0" w:color="000001"/>
              <w:bottom w:val="single" w:sz="4" w:space="0" w:color="000001"/>
              <w:right w:val="single" w:sz="5" w:space="0" w:color="000001"/>
            </w:tcBorders>
          </w:tcPr>
          <w:p w:rsidR="00E23B86" w:rsidRDefault="00E23B86"/>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rPr>
              <w:t>5.446.291,41</w:t>
            </w:r>
          </w:p>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4. DESVIACIONES POSITIVAS  </w:t>
            </w:r>
          </w:p>
          <w:p w:rsidR="00E23B86" w:rsidRDefault="00BA7C13">
            <w:pPr>
              <w:spacing w:after="0"/>
            </w:pPr>
            <w:r>
              <w:rPr>
                <w:rFonts w:ascii="Arial" w:eastAsia="Arial" w:hAnsi="Arial" w:cs="Arial"/>
              </w:rPr>
              <w:t xml:space="preserve">FINANCIACION </w:t>
            </w:r>
          </w:p>
        </w:tc>
        <w:tc>
          <w:tcPr>
            <w:tcW w:w="1420" w:type="dxa"/>
            <w:tcBorders>
              <w:top w:val="single" w:sz="4" w:space="0" w:color="000001"/>
              <w:left w:val="single" w:sz="5" w:space="0" w:color="000001"/>
              <w:bottom w:val="single" w:sz="4" w:space="0" w:color="000001"/>
              <w:right w:val="single" w:sz="5" w:space="0" w:color="000001"/>
            </w:tcBorders>
          </w:tcPr>
          <w:p w:rsidR="00E23B86" w:rsidRDefault="00E23B86"/>
        </w:tc>
        <w:tc>
          <w:tcPr>
            <w:tcW w:w="1422"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118"/>
            </w:pPr>
            <w:r>
              <w:rPr>
                <w:rFonts w:ascii="Arial" w:eastAsia="Arial" w:hAnsi="Arial" w:cs="Arial"/>
              </w:rPr>
              <w:t>1.439.802,59</w:t>
            </w:r>
          </w:p>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5. DESVIACIONES NEGATIVAS  </w:t>
            </w:r>
          </w:p>
          <w:p w:rsidR="00E23B86" w:rsidRDefault="00BA7C13">
            <w:pPr>
              <w:spacing w:after="0"/>
            </w:pPr>
            <w:r>
              <w:rPr>
                <w:rFonts w:ascii="Arial" w:eastAsia="Arial" w:hAnsi="Arial" w:cs="Arial"/>
              </w:rPr>
              <w:t>FINANCIACION</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6"/>
            </w:pPr>
            <w:r>
              <w:rPr>
                <w:rFonts w:ascii="Arial" w:eastAsia="Arial" w:hAnsi="Arial" w:cs="Arial"/>
              </w:rPr>
              <w:t>2.410.391,73</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7"/>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6. GASTOS FINANCIADOS CON RTE </w:t>
            </w:r>
          </w:p>
          <w:p w:rsidR="00E23B86" w:rsidRDefault="00BA7C13">
            <w:pPr>
              <w:spacing w:after="0"/>
            </w:pPr>
            <w:r>
              <w:rPr>
                <w:rFonts w:ascii="Arial" w:eastAsia="Arial" w:hAnsi="Arial" w:cs="Arial"/>
              </w:rPr>
              <w:t>TESORERIA</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rPr>
              <w:t>68.423,74</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bl>
    <w:p w:rsidR="00E23B86" w:rsidRDefault="00BA7C13">
      <w:pPr>
        <w:pBdr>
          <w:top w:val="single" w:sz="4" w:space="0" w:color="000001"/>
          <w:left w:val="single" w:sz="5" w:space="0" w:color="000001"/>
          <w:bottom w:val="single" w:sz="4" w:space="0" w:color="000001"/>
          <w:right w:val="single" w:sz="5" w:space="0" w:color="000001"/>
        </w:pBdr>
        <w:spacing w:after="8" w:line="250" w:lineRule="auto"/>
        <w:ind w:left="313" w:hanging="10"/>
      </w:pPr>
      <w:r>
        <w:rPr>
          <w:rFonts w:ascii="Arial" w:eastAsia="Arial" w:hAnsi="Arial" w:cs="Arial"/>
          <w:b/>
        </w:rPr>
        <w:t>7. RESULTADO PRESUPUESTARIO AJUSTADO                           6.485.304,29    ( 3-</w:t>
      </w:r>
    </w:p>
    <w:p w:rsidR="00E23B86" w:rsidRDefault="00BA7C13">
      <w:pPr>
        <w:pBdr>
          <w:top w:val="single" w:sz="4" w:space="0" w:color="000001"/>
          <w:left w:val="single" w:sz="5" w:space="0" w:color="000001"/>
          <w:bottom w:val="single" w:sz="4" w:space="0" w:color="000001"/>
          <w:right w:val="single" w:sz="5" w:space="0" w:color="000001"/>
        </w:pBdr>
        <w:spacing w:after="757" w:line="250" w:lineRule="auto"/>
        <w:ind w:left="313" w:hanging="10"/>
      </w:pPr>
      <w:r>
        <w:rPr>
          <w:rFonts w:ascii="Arial" w:eastAsia="Arial" w:hAnsi="Arial" w:cs="Arial"/>
          <w:b/>
        </w:rPr>
        <w:t>4+5+6 )</w:t>
      </w:r>
    </w:p>
    <w:p w:rsidR="00E23B86" w:rsidRDefault="00BA7C13">
      <w:pPr>
        <w:spacing w:after="252" w:line="249" w:lineRule="auto"/>
        <w:ind w:left="1514" w:right="554" w:hanging="10"/>
        <w:jc w:val="both"/>
      </w:pPr>
      <w:r>
        <w:rPr>
          <w:rFonts w:ascii="Arial" w:eastAsia="Arial" w:hAnsi="Arial" w:cs="Arial"/>
          <w:b/>
        </w:rPr>
        <w:t>4.-REMANENTE DE TESORERIA</w:t>
      </w:r>
    </w:p>
    <w:p w:rsidR="00E23B86" w:rsidRDefault="00BA7C13">
      <w:pPr>
        <w:pBdr>
          <w:top w:val="single" w:sz="4" w:space="0" w:color="000001"/>
          <w:left w:val="single" w:sz="5" w:space="0" w:color="000001"/>
          <w:bottom w:val="single" w:sz="4" w:space="0" w:color="000001"/>
          <w:right w:val="single" w:sz="5" w:space="0" w:color="000001"/>
        </w:pBdr>
        <w:spacing w:after="247" w:line="265" w:lineRule="auto"/>
        <w:ind w:left="966" w:hanging="10"/>
      </w:pPr>
      <w:r>
        <w:rPr>
          <w:rFonts w:ascii="Arial" w:eastAsia="Arial" w:hAnsi="Arial" w:cs="Arial"/>
          <w:b/>
        </w:rPr>
        <w:t>REMANENTE DE TESORERIA                             PRESUPUESTO  2019 ( Euros )</w:t>
      </w:r>
    </w:p>
    <w:p w:rsidR="00E23B86" w:rsidRDefault="00BA7C13">
      <w:pPr>
        <w:numPr>
          <w:ilvl w:val="0"/>
          <w:numId w:val="2"/>
        </w:numPr>
        <w:pBdr>
          <w:top w:val="single" w:sz="4" w:space="0" w:color="000001"/>
          <w:left w:val="single" w:sz="5" w:space="0" w:color="000001"/>
          <w:bottom w:val="single" w:sz="4" w:space="0" w:color="000001"/>
          <w:right w:val="single" w:sz="5" w:space="0" w:color="000001"/>
        </w:pBdr>
        <w:spacing w:after="0"/>
        <w:ind w:left="647" w:hanging="342"/>
      </w:pPr>
      <w:r>
        <w:rPr>
          <w:rFonts w:ascii="Arial" w:eastAsia="Arial" w:hAnsi="Arial" w:cs="Arial"/>
        </w:rPr>
        <w:t xml:space="preserve">DERECHOS PENDIENTES DE COBRO                                                 </w:t>
      </w:r>
      <w:r>
        <w:rPr>
          <w:rFonts w:ascii="Arial" w:eastAsia="Arial" w:hAnsi="Arial" w:cs="Arial"/>
          <w:b/>
        </w:rPr>
        <w:t>11.099.430,86</w:t>
      </w:r>
    </w:p>
    <w:tbl>
      <w:tblPr>
        <w:tblStyle w:val="TableGrid"/>
        <w:tblW w:w="8553" w:type="dxa"/>
        <w:tblInd w:w="884" w:type="dxa"/>
        <w:tblCellMar>
          <w:top w:w="10" w:type="dxa"/>
          <w:left w:w="12" w:type="dxa"/>
          <w:bottom w:w="0" w:type="dxa"/>
          <w:right w:w="8" w:type="dxa"/>
        </w:tblCellMar>
        <w:tblLook w:val="04A0" w:firstRow="1" w:lastRow="0" w:firstColumn="1" w:lastColumn="0" w:noHBand="0" w:noVBand="1"/>
      </w:tblPr>
      <w:tblGrid>
        <w:gridCol w:w="5522"/>
        <w:gridCol w:w="3031"/>
      </w:tblGrid>
      <w:tr w:rsidR="00E23B86">
        <w:trPr>
          <w:trHeight w:val="263"/>
        </w:trPr>
        <w:tc>
          <w:tcPr>
            <w:tcW w:w="552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 xml:space="preserve">+ DE PRESUPUESTO DE INGRESOS, CORRIENTE </w:t>
            </w:r>
          </w:p>
        </w:tc>
        <w:tc>
          <w:tcPr>
            <w:tcW w:w="3031"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668.567,58</w:t>
            </w:r>
          </w:p>
        </w:tc>
      </w:tr>
      <w:tr w:rsidR="00E23B86">
        <w:trPr>
          <w:trHeight w:val="263"/>
        </w:trPr>
        <w:tc>
          <w:tcPr>
            <w:tcW w:w="55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 DE PRESUPUESTO DE INGRESOS , CERRADOS</w:t>
            </w:r>
          </w:p>
        </w:tc>
        <w:tc>
          <w:tcPr>
            <w:tcW w:w="3031"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10.185.756,45</w:t>
            </w:r>
          </w:p>
        </w:tc>
      </w:tr>
      <w:tr w:rsidR="00E23B86">
        <w:trPr>
          <w:trHeight w:val="517"/>
        </w:trPr>
        <w:tc>
          <w:tcPr>
            <w:tcW w:w="55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DE OTRAS OPERACIONES NO </w:t>
            </w:r>
          </w:p>
          <w:p w:rsidR="00E23B86" w:rsidRDefault="00BA7C13">
            <w:pPr>
              <w:spacing w:after="0"/>
            </w:pPr>
            <w:r>
              <w:rPr>
                <w:rFonts w:ascii="Arial" w:eastAsia="Arial" w:hAnsi="Arial" w:cs="Arial"/>
              </w:rPr>
              <w:t>PRESUPUESTARIAS</w:t>
            </w:r>
          </w:p>
        </w:tc>
        <w:tc>
          <w:tcPr>
            <w:tcW w:w="3031"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245.106,83</w:t>
            </w:r>
          </w:p>
        </w:tc>
      </w:tr>
    </w:tbl>
    <w:p w:rsidR="00E23B86" w:rsidRDefault="00BA7C13">
      <w:pPr>
        <w:numPr>
          <w:ilvl w:val="0"/>
          <w:numId w:val="2"/>
        </w:numPr>
        <w:spacing w:after="0"/>
        <w:ind w:hanging="342"/>
      </w:pPr>
      <w:r>
        <w:rPr>
          <w:rFonts w:ascii="Arial" w:eastAsia="Arial" w:hAnsi="Arial" w:cs="Arial"/>
          <w:bdr w:val="single" w:sz="10" w:space="0" w:color="000001"/>
        </w:rPr>
        <w:t xml:space="preserve">OBLIGACIONES PENDIENTES DE PAGO                                                      </w:t>
      </w:r>
      <w:r>
        <w:rPr>
          <w:rFonts w:ascii="Arial" w:eastAsia="Arial" w:hAnsi="Arial" w:cs="Arial"/>
          <w:b/>
          <w:bdr w:val="single" w:sz="10" w:space="0" w:color="000001"/>
        </w:rPr>
        <w:t>3.251.533,59</w:t>
      </w:r>
    </w:p>
    <w:tbl>
      <w:tblPr>
        <w:tblStyle w:val="TableGrid"/>
        <w:tblW w:w="8618" w:type="dxa"/>
        <w:tblInd w:w="847" w:type="dxa"/>
        <w:tblCellMar>
          <w:top w:w="11" w:type="dxa"/>
          <w:left w:w="11" w:type="dxa"/>
          <w:bottom w:w="0" w:type="dxa"/>
          <w:right w:w="8" w:type="dxa"/>
        </w:tblCellMar>
        <w:tblLook w:val="04A0" w:firstRow="1" w:lastRow="0" w:firstColumn="1" w:lastColumn="0" w:noHBand="0" w:noVBand="1"/>
      </w:tblPr>
      <w:tblGrid>
        <w:gridCol w:w="5708"/>
        <w:gridCol w:w="2910"/>
      </w:tblGrid>
      <w:tr w:rsidR="00E23B86">
        <w:trPr>
          <w:trHeight w:val="263"/>
        </w:trPr>
        <w:tc>
          <w:tcPr>
            <w:tcW w:w="570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DE PRESUPUESTO DE GASTOS, CORRIENTE</w:t>
            </w:r>
          </w:p>
        </w:tc>
        <w:tc>
          <w:tcPr>
            <w:tcW w:w="291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1.405.644,49</w:t>
            </w:r>
          </w:p>
        </w:tc>
      </w:tr>
      <w:tr w:rsidR="00E23B86">
        <w:trPr>
          <w:trHeight w:val="262"/>
        </w:trPr>
        <w:tc>
          <w:tcPr>
            <w:tcW w:w="570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DE PRESUPUESTO DE GASTOS , CERRADOS</w:t>
            </w:r>
          </w:p>
        </w:tc>
        <w:tc>
          <w:tcPr>
            <w:tcW w:w="291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476.451,70</w:t>
            </w:r>
          </w:p>
        </w:tc>
      </w:tr>
      <w:tr w:rsidR="00E23B86">
        <w:trPr>
          <w:trHeight w:val="265"/>
        </w:trPr>
        <w:tc>
          <w:tcPr>
            <w:tcW w:w="570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DE OPERACIONES NO PRESUPUESTARIAS</w:t>
            </w:r>
          </w:p>
        </w:tc>
        <w:tc>
          <w:tcPr>
            <w:tcW w:w="291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1.369.437,40</w:t>
            </w:r>
          </w:p>
        </w:tc>
      </w:tr>
    </w:tbl>
    <w:p w:rsidR="00E23B86" w:rsidRDefault="00BA7C13">
      <w:pPr>
        <w:numPr>
          <w:ilvl w:val="0"/>
          <w:numId w:val="2"/>
        </w:numPr>
        <w:pBdr>
          <w:left w:val="single" w:sz="2" w:space="0" w:color="000001"/>
          <w:bottom w:val="single" w:sz="2" w:space="0" w:color="000001"/>
          <w:right w:val="single" w:sz="2" w:space="0" w:color="000001"/>
        </w:pBdr>
        <w:spacing w:after="0"/>
        <w:ind w:left="748" w:hanging="342"/>
      </w:pPr>
      <w:r>
        <w:rPr>
          <w:rFonts w:ascii="Arial" w:eastAsia="Arial" w:hAnsi="Arial" w:cs="Arial"/>
        </w:rPr>
        <w:t>PARTIDAS PENDIENTES DE APLICACIÓN.......................................................</w:t>
      </w:r>
      <w:r>
        <w:rPr>
          <w:rFonts w:ascii="Arial" w:eastAsia="Arial" w:hAnsi="Arial" w:cs="Arial"/>
          <w:b/>
        </w:rPr>
        <w:t>-66.838,33</w:t>
      </w:r>
    </w:p>
    <w:tbl>
      <w:tblPr>
        <w:tblStyle w:val="TableGrid"/>
        <w:tblW w:w="8600" w:type="dxa"/>
        <w:tblInd w:w="850" w:type="dxa"/>
        <w:tblCellMar>
          <w:top w:w="7" w:type="dxa"/>
          <w:left w:w="12" w:type="dxa"/>
          <w:bottom w:w="0" w:type="dxa"/>
          <w:right w:w="7" w:type="dxa"/>
        </w:tblCellMar>
        <w:tblLook w:val="04A0" w:firstRow="1" w:lastRow="0" w:firstColumn="1" w:lastColumn="0" w:noHBand="0" w:noVBand="1"/>
      </w:tblPr>
      <w:tblGrid>
        <w:gridCol w:w="6168"/>
        <w:gridCol w:w="2432"/>
      </w:tblGrid>
      <w:tr w:rsidR="00E23B86">
        <w:trPr>
          <w:trHeight w:val="506"/>
        </w:trPr>
        <w:tc>
          <w:tcPr>
            <w:tcW w:w="6168" w:type="dxa"/>
            <w:tcBorders>
              <w:top w:val="nil"/>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COBROS REALIZADOS PENDIENTES DE APLICACIÓN </w:t>
            </w:r>
          </w:p>
          <w:p w:rsidR="00E23B86" w:rsidRDefault="00BA7C13">
            <w:pPr>
              <w:spacing w:after="0"/>
            </w:pPr>
            <w:r>
              <w:rPr>
                <w:rFonts w:ascii="Arial" w:eastAsia="Arial" w:hAnsi="Arial" w:cs="Arial"/>
              </w:rPr>
              <w:t>DEFINITIVA</w:t>
            </w:r>
          </w:p>
        </w:tc>
        <w:tc>
          <w:tcPr>
            <w:tcW w:w="2432" w:type="dxa"/>
            <w:tcBorders>
              <w:top w:val="nil"/>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66.838,33</w:t>
            </w:r>
          </w:p>
        </w:tc>
      </w:tr>
      <w:tr w:rsidR="00E23B86">
        <w:trPr>
          <w:trHeight w:val="506"/>
        </w:trPr>
        <w:tc>
          <w:tcPr>
            <w:tcW w:w="616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PAGOS REALIZADOS PENDIENTES DE APLICACIÓN </w:t>
            </w:r>
          </w:p>
          <w:p w:rsidR="00E23B86" w:rsidRDefault="00BA7C13">
            <w:pPr>
              <w:spacing w:after="0"/>
            </w:pPr>
            <w:r>
              <w:rPr>
                <w:rFonts w:ascii="Arial" w:eastAsia="Arial" w:hAnsi="Arial" w:cs="Arial"/>
              </w:rPr>
              <w:t>DEFINITIVA</w:t>
            </w:r>
          </w:p>
        </w:tc>
        <w:tc>
          <w:tcPr>
            <w:tcW w:w="24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w:t>
            </w:r>
          </w:p>
        </w:tc>
      </w:tr>
    </w:tbl>
    <w:p w:rsidR="00E23B86" w:rsidRDefault="00BA7C13">
      <w:pPr>
        <w:numPr>
          <w:ilvl w:val="0"/>
          <w:numId w:val="2"/>
        </w:numPr>
        <w:pBdr>
          <w:top w:val="single" w:sz="4" w:space="0" w:color="000001"/>
          <w:left w:val="single" w:sz="5" w:space="0" w:color="000001"/>
          <w:bottom w:val="single" w:sz="4" w:space="0" w:color="000001"/>
          <w:right w:val="single" w:sz="5" w:space="0" w:color="000001"/>
        </w:pBdr>
        <w:spacing w:after="0"/>
        <w:ind w:left="646" w:hanging="342"/>
      </w:pPr>
      <w:r>
        <w:rPr>
          <w:rFonts w:ascii="Arial" w:eastAsia="Arial" w:hAnsi="Arial" w:cs="Arial"/>
        </w:rPr>
        <w:t xml:space="preserve">FONDOS LÍQUIDOS DE TESORERIA                                                                 </w:t>
      </w:r>
    </w:p>
    <w:p w:rsidR="00E23B86" w:rsidRDefault="00BA7C13">
      <w:pPr>
        <w:pBdr>
          <w:top w:val="single" w:sz="4" w:space="0" w:color="000001"/>
          <w:left w:val="single" w:sz="5" w:space="0" w:color="000001"/>
          <w:bottom w:val="single" w:sz="4" w:space="0" w:color="000001"/>
          <w:right w:val="single" w:sz="5" w:space="0" w:color="000001"/>
        </w:pBdr>
        <w:spacing w:after="247" w:line="265" w:lineRule="auto"/>
        <w:ind w:left="314" w:hanging="10"/>
      </w:pPr>
      <w:r>
        <w:rPr>
          <w:rFonts w:ascii="Arial" w:eastAsia="Arial" w:hAnsi="Arial" w:cs="Arial"/>
          <w:b/>
        </w:rPr>
        <w:t>23.252.418,09</w:t>
      </w:r>
    </w:p>
    <w:p w:rsidR="00E23B86" w:rsidRDefault="00BA7C13">
      <w:pPr>
        <w:numPr>
          <w:ilvl w:val="0"/>
          <w:numId w:val="3"/>
        </w:numPr>
        <w:pBdr>
          <w:top w:val="single" w:sz="4" w:space="0" w:color="000001"/>
          <w:left w:val="single" w:sz="5" w:space="0" w:color="000001"/>
          <w:bottom w:val="single" w:sz="4" w:space="0" w:color="000001"/>
          <w:right w:val="single" w:sz="5" w:space="0" w:color="000001"/>
        </w:pBdr>
        <w:spacing w:after="264" w:line="250" w:lineRule="auto"/>
        <w:ind w:left="609" w:hanging="306"/>
      </w:pPr>
      <w:r>
        <w:rPr>
          <w:rFonts w:ascii="Arial" w:eastAsia="Arial" w:hAnsi="Arial" w:cs="Arial"/>
          <w:b/>
        </w:rPr>
        <w:t>REMANENTE DE TESORERIA  TOTAL                                                     31.033.477,03    ( A – B + C)</w:t>
      </w:r>
    </w:p>
    <w:p w:rsidR="00E23B86" w:rsidRDefault="00BA7C13">
      <w:pPr>
        <w:numPr>
          <w:ilvl w:val="0"/>
          <w:numId w:val="3"/>
        </w:numPr>
        <w:spacing w:after="253"/>
        <w:ind w:left="615" w:hanging="306"/>
      </w:pPr>
      <w:r>
        <w:rPr>
          <w:rFonts w:ascii="Arial" w:eastAsia="Arial" w:hAnsi="Arial" w:cs="Arial"/>
          <w:i/>
          <w:color w:val="2E74B5"/>
          <w:bdr w:val="single" w:sz="10" w:space="0" w:color="000001"/>
        </w:rPr>
        <w:t xml:space="preserve">SALDOS DE DUDOSO COBRO                                                                     8.990.041,49  </w:t>
      </w:r>
    </w:p>
    <w:p w:rsidR="00E23B86" w:rsidRDefault="00BA7C13">
      <w:pPr>
        <w:numPr>
          <w:ilvl w:val="0"/>
          <w:numId w:val="3"/>
        </w:numPr>
        <w:spacing w:after="253"/>
        <w:ind w:left="615" w:hanging="306"/>
      </w:pPr>
      <w:r>
        <w:rPr>
          <w:noProof/>
        </w:rPr>
        <mc:AlternateContent>
          <mc:Choice Requires="wpg">
            <w:drawing>
              <wp:anchor distT="0" distB="0" distL="114300" distR="114300" simplePos="0" relativeHeight="2516654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1089" name="Group 47108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751" name="Rectangle 75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752" name="Rectangle 752"/>
                        <wps:cNvSpPr/>
                        <wps:spPr>
                          <a:xfrm rot="-5399999">
                            <a:off x="-2042224" y="1328796"/>
                            <a:ext cx="435007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1089" style="width:12.7031pt;height:280.35pt;position:absolute;mso-position-horizontal-relative:page;mso-position-horizontal:absolute;margin-left:681.958pt;mso-position-vertical-relative:page;margin-top:531.65pt;" coordsize="1613,35604">
                <v:rect id="Rectangle 75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752" style="position:absolute;width:43500;height:1132;left:-20422;top:1328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391 </w:t>
                        </w:r>
                      </w:p>
                    </w:txbxContent>
                  </v:textbox>
                </v:rect>
                <w10:wrap type="square"/>
              </v:group>
            </w:pict>
          </mc:Fallback>
        </mc:AlternateContent>
      </w:r>
      <w:r>
        <w:rPr>
          <w:rFonts w:ascii="Arial" w:eastAsia="Arial" w:hAnsi="Arial" w:cs="Arial"/>
          <w:b/>
          <w:bdr w:val="single" w:sz="10" w:space="0" w:color="000001"/>
        </w:rPr>
        <w:t>EXCESO DE FINANCIACION AFECTADA</w:t>
      </w:r>
      <w:r>
        <w:rPr>
          <w:rFonts w:ascii="Arial" w:eastAsia="Arial" w:hAnsi="Arial" w:cs="Arial"/>
          <w:bdr w:val="single" w:sz="10" w:space="0" w:color="000001"/>
        </w:rPr>
        <w:t xml:space="preserve">                                </w:t>
      </w:r>
      <w:r>
        <w:rPr>
          <w:rFonts w:ascii="Arial" w:eastAsia="Arial" w:hAnsi="Arial" w:cs="Arial"/>
          <w:bdr w:val="single" w:sz="10" w:space="0" w:color="000001"/>
        </w:rPr>
        <w:t xml:space="preserve">                     </w:t>
      </w:r>
      <w:r>
        <w:rPr>
          <w:rFonts w:ascii="Arial" w:eastAsia="Arial" w:hAnsi="Arial" w:cs="Arial"/>
          <w:b/>
          <w:bdr w:val="single" w:sz="10" w:space="0" w:color="000001"/>
        </w:rPr>
        <w:t>3.823.758,27</w:t>
      </w:r>
    </w:p>
    <w:p w:rsidR="00E23B86" w:rsidRDefault="00BA7C13">
      <w:pPr>
        <w:numPr>
          <w:ilvl w:val="0"/>
          <w:numId w:val="3"/>
        </w:numPr>
        <w:pBdr>
          <w:top w:val="single" w:sz="4" w:space="0" w:color="000001"/>
          <w:left w:val="single" w:sz="5" w:space="0" w:color="000001"/>
          <w:bottom w:val="single" w:sz="4" w:space="0" w:color="000001"/>
          <w:right w:val="single" w:sz="5" w:space="0" w:color="000001"/>
        </w:pBdr>
        <w:spacing w:after="268" w:line="265" w:lineRule="auto"/>
        <w:ind w:left="609" w:hanging="306"/>
      </w:pPr>
      <w:r>
        <w:rPr>
          <w:rFonts w:ascii="Arial" w:eastAsia="Arial" w:hAnsi="Arial" w:cs="Arial"/>
          <w:b/>
        </w:rPr>
        <w:t>REMANENTE DE TESORERÍA PARA GASTOS GENERALES                + 18.219.677,27  ( D - E - F )</w:t>
      </w:r>
    </w:p>
    <w:p w:rsidR="00E23B86" w:rsidRDefault="00BA7C13">
      <w:pPr>
        <w:spacing w:after="271" w:line="248" w:lineRule="auto"/>
        <w:ind w:left="363" w:right="552" w:firstLine="708"/>
        <w:jc w:val="both"/>
      </w:pPr>
      <w:r>
        <w:rPr>
          <w:rFonts w:ascii="Arial" w:eastAsia="Arial" w:hAnsi="Arial" w:cs="Arial"/>
        </w:rPr>
        <w:t>Hay que señalar que con la entrada en vigor de la Ley 27/2013, de 27 de diciembre, de racionalización y sostenibilidad de la Admini</w:t>
      </w:r>
      <w:r>
        <w:rPr>
          <w:rFonts w:ascii="Arial" w:eastAsia="Arial" w:hAnsi="Arial" w:cs="Arial"/>
        </w:rPr>
        <w:t xml:space="preserve">stración Local, se incluye un nuevo artículo 193 bis, en el Texto Refundido de la Ley reguladora de las Haciendas Locales, aprobado mediante </w:t>
      </w:r>
      <w:r>
        <w:rPr>
          <w:rFonts w:ascii="Arial" w:eastAsia="Arial" w:hAnsi="Arial" w:cs="Arial"/>
          <w:color w:val="000080"/>
          <w:u w:val="single" w:color="000080"/>
        </w:rPr>
        <w:t>Real Decreto Legislativo 2/2004, de 5 de marzo</w:t>
      </w:r>
      <w:r>
        <w:rPr>
          <w:rFonts w:ascii="Arial" w:eastAsia="Arial" w:hAnsi="Arial" w:cs="Arial"/>
        </w:rPr>
        <w:t xml:space="preserve">, </w:t>
      </w:r>
      <w:r>
        <w:rPr>
          <w:rFonts w:ascii="Arial" w:eastAsia="Arial" w:hAnsi="Arial" w:cs="Arial"/>
        </w:rPr>
        <w:t>establece un nuevo criterio de cálculo de los derechos de difícil o imposible recaudación, para su aplicación a partir del ejercicio 2014, quedando con la siguiente redacción:</w:t>
      </w:r>
    </w:p>
    <w:p w:rsidR="00E23B86" w:rsidRDefault="00BA7C13">
      <w:pPr>
        <w:spacing w:after="268" w:line="251" w:lineRule="auto"/>
        <w:ind w:left="1082" w:right="573" w:hanging="10"/>
        <w:jc w:val="both"/>
      </w:pPr>
      <w:r>
        <w:rPr>
          <w:rFonts w:ascii="Arial" w:eastAsia="Arial" w:hAnsi="Arial" w:cs="Arial"/>
          <w:i/>
        </w:rPr>
        <w:t>«Artículo 193 bis</w:t>
      </w:r>
      <w:r>
        <w:rPr>
          <w:rFonts w:ascii="Arial" w:eastAsia="Arial" w:hAnsi="Arial" w:cs="Arial"/>
        </w:rPr>
        <w:t xml:space="preserve"> </w:t>
      </w:r>
      <w:r>
        <w:rPr>
          <w:rFonts w:ascii="Arial" w:eastAsia="Arial" w:hAnsi="Arial" w:cs="Arial"/>
          <w:i/>
        </w:rPr>
        <w:t xml:space="preserve">Derechos de difícil o imposible recaudación </w:t>
      </w:r>
    </w:p>
    <w:p w:rsidR="00E23B86" w:rsidRDefault="00BA7C13">
      <w:pPr>
        <w:spacing w:after="349" w:line="248" w:lineRule="auto"/>
        <w:ind w:left="1082" w:right="552" w:hanging="10"/>
        <w:jc w:val="both"/>
      </w:pPr>
      <w:r>
        <w:rPr>
          <w:rFonts w:ascii="Arial" w:eastAsia="Arial" w:hAnsi="Arial" w:cs="Arial"/>
        </w:rPr>
        <w:t>Las Entidades Loc</w:t>
      </w:r>
      <w:r>
        <w:rPr>
          <w:rFonts w:ascii="Arial" w:eastAsia="Arial" w:hAnsi="Arial" w:cs="Arial"/>
        </w:rPr>
        <w:t>ales deberán informar al Ministerio de Hacienda y Administraciones Públicas y a su Pleno, u órgano equivalente, del resultado de la aplicación de los criterios determinantes de los derechos de difícil o imposible recaudación con los siguientes límites míni</w:t>
      </w:r>
      <w:r>
        <w:rPr>
          <w:rFonts w:ascii="Arial" w:eastAsia="Arial" w:hAnsi="Arial" w:cs="Arial"/>
        </w:rPr>
        <w:t>mos:</w:t>
      </w:r>
    </w:p>
    <w:p w:rsidR="00E23B86" w:rsidRDefault="00BA7C13">
      <w:pPr>
        <w:numPr>
          <w:ilvl w:val="1"/>
          <w:numId w:val="3"/>
        </w:numPr>
        <w:spacing w:after="110" w:line="248" w:lineRule="auto"/>
        <w:ind w:right="552" w:hanging="360"/>
        <w:jc w:val="both"/>
      </w:pPr>
      <w:r>
        <w:rPr>
          <w:rFonts w:ascii="Arial" w:eastAsia="Arial" w:hAnsi="Arial" w:cs="Arial"/>
          <w:b/>
        </w:rPr>
        <w:t xml:space="preserve">a) </w:t>
      </w:r>
      <w:r>
        <w:rPr>
          <w:rFonts w:ascii="Arial" w:eastAsia="Arial" w:hAnsi="Arial" w:cs="Arial"/>
        </w:rPr>
        <w:t>Los derechos pendientes de cobro liquidados dentro de los presupuestos de los dos ejercicios anteriores al que corresponde la liquidación, se minorarán, como mínimo, en un 25 por ciento.</w:t>
      </w:r>
    </w:p>
    <w:p w:rsidR="00E23B86" w:rsidRDefault="00BA7C13">
      <w:pPr>
        <w:numPr>
          <w:ilvl w:val="1"/>
          <w:numId w:val="3"/>
        </w:numPr>
        <w:spacing w:after="68" w:line="248" w:lineRule="auto"/>
        <w:ind w:right="552" w:hanging="360"/>
        <w:jc w:val="both"/>
      </w:pPr>
      <w:r>
        <w:rPr>
          <w:rFonts w:ascii="Arial" w:eastAsia="Arial" w:hAnsi="Arial" w:cs="Arial"/>
          <w:b/>
        </w:rPr>
        <w:t xml:space="preserve">b) </w:t>
      </w:r>
      <w:r>
        <w:rPr>
          <w:rFonts w:ascii="Arial" w:eastAsia="Arial" w:hAnsi="Arial" w:cs="Arial"/>
        </w:rPr>
        <w:t>Los derechos pendientes de cobro liquidados dentro de los presupuestos del ejercicio tercero anterior al que corresponde la liquidación, se minorarán, como mínimo, en un 50 por ciento.</w:t>
      </w:r>
    </w:p>
    <w:p w:rsidR="00E23B86" w:rsidRDefault="00BA7C13">
      <w:pPr>
        <w:numPr>
          <w:ilvl w:val="1"/>
          <w:numId w:val="3"/>
        </w:numPr>
        <w:spacing w:after="68" w:line="248" w:lineRule="auto"/>
        <w:ind w:right="552" w:hanging="360"/>
        <w:jc w:val="both"/>
      </w:pPr>
      <w:r>
        <w:rPr>
          <w:rFonts w:ascii="Arial" w:eastAsia="Arial" w:hAnsi="Arial" w:cs="Arial"/>
          <w:b/>
        </w:rPr>
        <w:t xml:space="preserve">c) </w:t>
      </w:r>
      <w:r>
        <w:rPr>
          <w:rFonts w:ascii="Arial" w:eastAsia="Arial" w:hAnsi="Arial" w:cs="Arial"/>
        </w:rPr>
        <w:t>Los derechos pendientes de cobro liquidados dentro de los presupuest</w:t>
      </w:r>
      <w:r>
        <w:rPr>
          <w:rFonts w:ascii="Arial" w:eastAsia="Arial" w:hAnsi="Arial" w:cs="Arial"/>
        </w:rPr>
        <w:t>os de los ejercicios cuarto a quinto anteriores al que corresponde la liquidación, se minorarán, como mínimo, en un 75 por ciento.</w:t>
      </w:r>
    </w:p>
    <w:p w:rsidR="00E23B86" w:rsidRDefault="00BA7C13">
      <w:pPr>
        <w:numPr>
          <w:ilvl w:val="1"/>
          <w:numId w:val="3"/>
        </w:numPr>
        <w:spacing w:after="524" w:line="248" w:lineRule="auto"/>
        <w:ind w:right="552" w:hanging="360"/>
        <w:jc w:val="both"/>
      </w:pPr>
      <w:r>
        <w:rPr>
          <w:rFonts w:ascii="Arial" w:eastAsia="Arial" w:hAnsi="Arial" w:cs="Arial"/>
          <w:b/>
        </w:rPr>
        <w:t xml:space="preserve">d) </w:t>
      </w:r>
      <w:r>
        <w:rPr>
          <w:rFonts w:ascii="Arial" w:eastAsia="Arial" w:hAnsi="Arial" w:cs="Arial"/>
        </w:rPr>
        <w:t>Los derechos pendientes de cobro liquidados dentro de los presupuestos de los restantes ejercicios anteriores al que corre</w:t>
      </w:r>
      <w:r>
        <w:rPr>
          <w:rFonts w:ascii="Arial" w:eastAsia="Arial" w:hAnsi="Arial" w:cs="Arial"/>
        </w:rPr>
        <w:t>sponde la liquidación, se minorarán en un 100 por ciento.»</w:t>
      </w:r>
    </w:p>
    <w:p w:rsidR="00E23B86" w:rsidRDefault="00BA7C13">
      <w:pPr>
        <w:spacing w:after="245" w:line="248" w:lineRule="auto"/>
        <w:ind w:left="363" w:right="552" w:firstLine="708"/>
        <w:jc w:val="both"/>
      </w:pPr>
      <w:r>
        <w:rPr>
          <w:rFonts w:ascii="Arial" w:eastAsia="Arial" w:hAnsi="Arial" w:cs="Arial"/>
        </w:rPr>
        <w:t>Este artículo modificado del Texto Refundido de la Ley Reguladora de las Haciendas Locales, ha dado lugar a su reflejo en las Bases de Ejecución del Presupuesto General vigente.</w:t>
      </w:r>
    </w:p>
    <w:p w:rsidR="00E23B86" w:rsidRDefault="00BA7C13">
      <w:pPr>
        <w:spacing w:after="755" w:line="248" w:lineRule="auto"/>
        <w:ind w:left="363" w:right="552" w:firstLine="708"/>
        <w:jc w:val="both"/>
      </w:pPr>
      <w:r>
        <w:rPr>
          <w:noProof/>
        </w:rPr>
        <mc:AlternateContent>
          <mc:Choice Requires="wpg">
            <w:drawing>
              <wp:anchor distT="0" distB="0" distL="114300" distR="114300" simplePos="0" relativeHeight="2516664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3677" name="Group 47367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959" name="Rectangle 95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w:t>
                              </w:r>
                              <w:r>
                                <w:rPr>
                                  <w:rFonts w:ascii="Arial" w:eastAsia="Arial" w:hAnsi="Arial" w:cs="Arial"/>
                                  <w:sz w:val="12"/>
                                </w:rPr>
                                <w:t xml:space="preserve"> 5AJ7C4GAAK3P9GMGZC2N3FZWC | Verificación: https://candelaria.sedelectronica.es/ </w:t>
                              </w:r>
                            </w:p>
                          </w:txbxContent>
                        </wps:txbx>
                        <wps:bodyPr horzOverflow="overflow" vert="horz" lIns="0" tIns="0" rIns="0" bIns="0" rtlCol="0">
                          <a:noAutofit/>
                        </wps:bodyPr>
                      </wps:wsp>
                      <wps:wsp>
                        <wps:cNvPr id="960" name="Rectangle 960"/>
                        <wps:cNvSpPr/>
                        <wps:spPr>
                          <a:xfrm rot="-5399999">
                            <a:off x="-2042224" y="1328796"/>
                            <a:ext cx="435007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3677" style="width:12.7031pt;height:280.35pt;position:absolute;mso-position-horizontal-relative:page;mso-position-horizontal:absolute;margin-left:681.958pt;mso-position-vertical-relative:page;margin-top:531.65pt;" coordsize="1613,35604">
                <v:rect id="Rectangle 95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960" style="position:absolute;width:43500;height:1132;left:-20422;top:1328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391 </w:t>
                        </w:r>
                      </w:p>
                    </w:txbxContent>
                  </v:textbox>
                </v:rect>
                <w10:wrap type="square"/>
              </v:group>
            </w:pict>
          </mc:Fallback>
        </mc:AlternateContent>
      </w:r>
      <w:r>
        <w:rPr>
          <w:rFonts w:ascii="Arial" w:eastAsia="Arial" w:hAnsi="Arial" w:cs="Arial"/>
        </w:rPr>
        <w:t>Así, de los datos obtenidos de ejercicios cerrados, tenemos detallados los impo</w:t>
      </w:r>
      <w:r>
        <w:rPr>
          <w:rFonts w:ascii="Arial" w:eastAsia="Arial" w:hAnsi="Arial" w:cs="Arial"/>
        </w:rPr>
        <w:t>rtes cobrados en dichos ejercicios, la cantidad que está pendiente de cobro y el saldo de dudoso cobro, de acuerdo con los porcentajes establecidos en las Bases del Presupuesto:</w:t>
      </w:r>
    </w:p>
    <w:tbl>
      <w:tblPr>
        <w:tblStyle w:val="TableGrid"/>
        <w:tblW w:w="9163" w:type="dxa"/>
        <w:tblInd w:w="336" w:type="dxa"/>
        <w:tblCellMar>
          <w:top w:w="11" w:type="dxa"/>
          <w:left w:w="0" w:type="dxa"/>
          <w:bottom w:w="0" w:type="dxa"/>
          <w:right w:w="9" w:type="dxa"/>
        </w:tblCellMar>
        <w:tblLook w:val="04A0" w:firstRow="1" w:lastRow="0" w:firstColumn="1" w:lastColumn="0" w:noHBand="0" w:noVBand="1"/>
      </w:tblPr>
      <w:tblGrid>
        <w:gridCol w:w="2046"/>
        <w:gridCol w:w="2255"/>
        <w:gridCol w:w="1726"/>
        <w:gridCol w:w="376"/>
        <w:gridCol w:w="168"/>
        <w:gridCol w:w="1617"/>
        <w:gridCol w:w="975"/>
      </w:tblGrid>
      <w:tr w:rsidR="00E23B86">
        <w:trPr>
          <w:trHeight w:val="767"/>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b/>
              </w:rPr>
              <w:t>EJERCICIO</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b/>
              </w:rPr>
              <w:t>IMPORTES COBRADOS</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b/>
              </w:rPr>
              <w:t>IMPORTES</w:t>
            </w:r>
          </w:p>
          <w:p w:rsidR="00E23B86" w:rsidRDefault="00BA7C13">
            <w:pPr>
              <w:spacing w:after="0"/>
              <w:ind w:left="11"/>
            </w:pPr>
            <w:r>
              <w:rPr>
                <w:rFonts w:ascii="Arial" w:eastAsia="Arial" w:hAnsi="Arial" w:cs="Arial"/>
                <w:b/>
              </w:rPr>
              <w:t>PENDIENTES</w:t>
            </w:r>
          </w:p>
          <w:p w:rsidR="00E23B86" w:rsidRDefault="00BA7C13">
            <w:pPr>
              <w:spacing w:after="0"/>
              <w:ind w:left="11"/>
            </w:pPr>
            <w:r>
              <w:rPr>
                <w:rFonts w:ascii="Arial" w:eastAsia="Arial" w:hAnsi="Arial" w:cs="Arial"/>
                <w:b/>
              </w:rPr>
              <w:t>31/12/2019</w:t>
            </w:r>
          </w:p>
        </w:tc>
        <w:tc>
          <w:tcPr>
            <w:tcW w:w="376" w:type="dxa"/>
            <w:tcBorders>
              <w:top w:val="single" w:sz="4" w:space="0" w:color="000001"/>
              <w:left w:val="nil"/>
              <w:bottom w:val="single" w:sz="4" w:space="0" w:color="000001"/>
              <w:right w:val="nil"/>
            </w:tcBorders>
            <w:vAlign w:val="center"/>
          </w:tcPr>
          <w:p w:rsidR="00E23B86" w:rsidRDefault="00BA7C13">
            <w:pPr>
              <w:spacing w:after="0"/>
            </w:pPr>
            <w:r>
              <w:rPr>
                <w:rFonts w:ascii="Arial" w:eastAsia="Arial" w:hAnsi="Arial" w:cs="Arial"/>
                <w:b/>
              </w:rPr>
              <w:t xml:space="preserve"> </w:t>
            </w:r>
          </w:p>
        </w:tc>
        <w:tc>
          <w:tcPr>
            <w:tcW w:w="167" w:type="dxa"/>
            <w:tcBorders>
              <w:top w:val="single" w:sz="4" w:space="0" w:color="000001"/>
              <w:left w:val="nil"/>
              <w:bottom w:val="single" w:sz="4" w:space="0" w:color="000001"/>
              <w:right w:val="single" w:sz="4" w:space="0" w:color="000001"/>
            </w:tcBorders>
            <w:vAlign w:val="center"/>
          </w:tcPr>
          <w:p w:rsidR="00E23B86" w:rsidRDefault="00BA7C13">
            <w:pPr>
              <w:spacing w:after="0"/>
              <w:jc w:val="both"/>
            </w:pPr>
            <w:r>
              <w:rPr>
                <w:rFonts w:ascii="Arial" w:eastAsia="Arial" w:hAnsi="Arial" w:cs="Arial"/>
                <w:b/>
              </w:rPr>
              <w:t>A</w:t>
            </w:r>
          </w:p>
        </w:tc>
        <w:tc>
          <w:tcPr>
            <w:tcW w:w="1617" w:type="dxa"/>
            <w:tcBorders>
              <w:top w:val="single" w:sz="4" w:space="0" w:color="000001"/>
              <w:left w:val="single" w:sz="4" w:space="0" w:color="000001"/>
              <w:bottom w:val="single" w:sz="4" w:space="0" w:color="000001"/>
              <w:right w:val="nil"/>
            </w:tcBorders>
          </w:tcPr>
          <w:p w:rsidR="00E23B86" w:rsidRDefault="00BA7C13">
            <w:pPr>
              <w:tabs>
                <w:tab w:val="center" w:pos="1169"/>
              </w:tabs>
              <w:spacing w:after="0"/>
            </w:pPr>
            <w:r>
              <w:rPr>
                <w:rFonts w:ascii="Arial" w:eastAsia="Arial" w:hAnsi="Arial" w:cs="Arial"/>
                <w:b/>
              </w:rPr>
              <w:t>SALDO</w:t>
            </w:r>
            <w:r>
              <w:rPr>
                <w:rFonts w:ascii="Arial" w:eastAsia="Arial" w:hAnsi="Arial" w:cs="Arial"/>
                <w:b/>
              </w:rPr>
              <w:tab/>
              <w:t xml:space="preserve"> </w:t>
            </w:r>
          </w:p>
          <w:p w:rsidR="00E23B86" w:rsidRDefault="00BA7C13">
            <w:pPr>
              <w:spacing w:after="0"/>
              <w:ind w:left="12"/>
            </w:pPr>
            <w:r>
              <w:rPr>
                <w:rFonts w:ascii="Arial" w:eastAsia="Arial" w:hAnsi="Arial" w:cs="Arial"/>
                <w:b/>
              </w:rPr>
              <w:t>COBRO</w:t>
            </w:r>
          </w:p>
        </w:tc>
        <w:tc>
          <w:tcPr>
            <w:tcW w:w="974" w:type="dxa"/>
            <w:tcBorders>
              <w:top w:val="single" w:sz="4" w:space="0" w:color="000001"/>
              <w:left w:val="nil"/>
              <w:bottom w:val="single" w:sz="4" w:space="0" w:color="000001"/>
              <w:right w:val="single" w:sz="5" w:space="0" w:color="000001"/>
            </w:tcBorders>
          </w:tcPr>
          <w:p w:rsidR="00E23B86" w:rsidRDefault="00BA7C13">
            <w:pPr>
              <w:spacing w:after="0"/>
              <w:jc w:val="both"/>
            </w:pPr>
            <w:r>
              <w:rPr>
                <w:rFonts w:ascii="Arial" w:eastAsia="Arial" w:hAnsi="Arial" w:cs="Arial"/>
                <w:b/>
              </w:rPr>
              <w:t>DUDOSO</w:t>
            </w:r>
          </w:p>
        </w:tc>
      </w:tr>
      <w:tr w:rsidR="00E23B86">
        <w:trPr>
          <w:trHeight w:val="264"/>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2018</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307.752,03</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567.330,67</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142.082,67</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2"/>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2017</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108.563,61</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877.968,88</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219.492,22</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4"/>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2016</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44.107,51</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290.757,11</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145.378,56</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2"/>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2015</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39.382,58</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233.505,61</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175.129,21</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4"/>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2014</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12.911,95</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214.455,61</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160.841,71</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2"/>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2013-1991</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43.309,00</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8.147.117,12</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8.147.117,12</w:t>
            </w:r>
          </w:p>
        </w:tc>
        <w:tc>
          <w:tcPr>
            <w:tcW w:w="974" w:type="dxa"/>
            <w:tcBorders>
              <w:top w:val="single" w:sz="4" w:space="0" w:color="000001"/>
              <w:left w:val="nil"/>
              <w:bottom w:val="single" w:sz="4" w:space="0" w:color="000001"/>
              <w:right w:val="single" w:sz="5" w:space="0" w:color="000001"/>
            </w:tcBorders>
            <w:vAlign w:val="bottom"/>
          </w:tcPr>
          <w:p w:rsidR="00E23B86" w:rsidRDefault="00E23B86"/>
        </w:tc>
      </w:tr>
      <w:tr w:rsidR="00E23B86">
        <w:trPr>
          <w:trHeight w:val="265"/>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b/>
              </w:rPr>
              <w:t>TOTAL</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b/>
              </w:rPr>
              <w:t>556.026,68</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b/>
              </w:rPr>
              <w:t>10.185.756,45</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b/>
              </w:rPr>
              <w:t>8.990.041,49</w:t>
            </w:r>
          </w:p>
        </w:tc>
        <w:tc>
          <w:tcPr>
            <w:tcW w:w="974" w:type="dxa"/>
            <w:tcBorders>
              <w:top w:val="single" w:sz="4" w:space="0" w:color="000001"/>
              <w:left w:val="nil"/>
              <w:bottom w:val="single" w:sz="4" w:space="0" w:color="000001"/>
              <w:right w:val="single" w:sz="5" w:space="0" w:color="000001"/>
            </w:tcBorders>
          </w:tcPr>
          <w:p w:rsidR="00E23B86" w:rsidRDefault="00E23B86"/>
        </w:tc>
      </w:tr>
    </w:tbl>
    <w:p w:rsidR="00E23B86" w:rsidRDefault="00BA7C13">
      <w:pPr>
        <w:spacing w:after="242" w:line="249" w:lineRule="auto"/>
        <w:ind w:left="355" w:right="554" w:hanging="10"/>
        <w:jc w:val="both"/>
      </w:pPr>
      <w:r>
        <w:rPr>
          <w:rFonts w:ascii="Arial" w:eastAsia="Arial" w:hAnsi="Arial" w:cs="Arial"/>
          <w:b/>
        </w:rPr>
        <w:t>5.- ORGANO COMPETENTE</w:t>
      </w:r>
    </w:p>
    <w:p w:rsidR="00E23B86" w:rsidRDefault="00BA7C13">
      <w:pPr>
        <w:spacing w:after="245" w:line="248" w:lineRule="auto"/>
        <w:ind w:left="363" w:right="552" w:firstLine="708"/>
        <w:jc w:val="both"/>
      </w:pPr>
      <w:r>
        <w:rPr>
          <w:rFonts w:ascii="Arial" w:eastAsia="Arial" w:hAnsi="Arial" w:cs="Arial"/>
        </w:rPr>
        <w:t xml:space="preserve">La competencia para la elaboración de la liquidación de los Presupuestos no está definida por la legislación citada (que utiliza expresiones tales como “se liquidará “, “se efectuará”, “deberá realizarse antes del 1 de marzo” pero en ningún caso señala el </w:t>
      </w:r>
      <w:r>
        <w:rPr>
          <w:rFonts w:ascii="Arial" w:eastAsia="Arial" w:hAnsi="Arial" w:cs="Arial"/>
        </w:rPr>
        <w:t>sujeto activo) y la aprobación de la liquidación del Presupuesto es competencia del Alcalde- Presidente, previo informe de la Intervención.</w:t>
      </w:r>
    </w:p>
    <w:p w:rsidR="00E23B86" w:rsidRDefault="00BA7C13">
      <w:pPr>
        <w:spacing w:after="499" w:line="248" w:lineRule="auto"/>
        <w:ind w:left="363" w:right="552" w:firstLine="708"/>
        <w:jc w:val="both"/>
      </w:pPr>
      <w:r>
        <w:rPr>
          <w:rFonts w:ascii="Arial" w:eastAsia="Arial" w:hAnsi="Arial" w:cs="Arial"/>
        </w:rPr>
        <w:t>La liquidación aprobada ha de remitirse a la Comunidad Autónoma y al Ministerio de Economía y Hacienda, así como dar</w:t>
      </w:r>
      <w:r>
        <w:rPr>
          <w:rFonts w:ascii="Arial" w:eastAsia="Arial" w:hAnsi="Arial" w:cs="Arial"/>
        </w:rPr>
        <w:t xml:space="preserve"> cuenta al Pleno.</w:t>
      </w:r>
    </w:p>
    <w:p w:rsidR="00E23B86" w:rsidRDefault="00BA7C13">
      <w:pPr>
        <w:spacing w:after="242" w:line="249" w:lineRule="auto"/>
        <w:ind w:left="355" w:right="554" w:hanging="10"/>
        <w:jc w:val="both"/>
      </w:pPr>
      <w:r>
        <w:rPr>
          <w:rFonts w:ascii="Arial" w:eastAsia="Arial" w:hAnsi="Arial" w:cs="Arial"/>
          <w:b/>
        </w:rPr>
        <w:t xml:space="preserve">6.- COMPOSICIÓN </w:t>
      </w:r>
    </w:p>
    <w:p w:rsidR="00E23B86" w:rsidRDefault="00BA7C13">
      <w:pPr>
        <w:spacing w:after="110" w:line="248" w:lineRule="auto"/>
        <w:ind w:left="363" w:right="552" w:firstLine="708"/>
        <w:jc w:val="both"/>
      </w:pPr>
      <w:r>
        <w:rPr>
          <w:rFonts w:ascii="Arial" w:eastAsia="Arial" w:hAnsi="Arial" w:cs="Arial"/>
        </w:rPr>
        <w:t>El Estado de liquidación del Presupuesto, se estructura en las siguientes partes:</w:t>
      </w:r>
    </w:p>
    <w:p w:rsidR="00E23B86" w:rsidRDefault="00BA7C13">
      <w:pPr>
        <w:spacing w:after="0" w:line="248" w:lineRule="auto"/>
        <w:ind w:left="723" w:right="552" w:hanging="360"/>
        <w:jc w:val="both"/>
      </w:pPr>
      <w:r>
        <w:rPr>
          <w:rFonts w:ascii="Arial" w:eastAsia="Arial" w:hAnsi="Arial" w:cs="Arial"/>
        </w:rPr>
        <w:t xml:space="preserve">PRIMERA: La liquidación del Presupuestos de Gastos, presenta la siguiente información: </w:t>
      </w:r>
    </w:p>
    <w:p w:rsidR="00E23B86" w:rsidRDefault="00BA7C13">
      <w:pPr>
        <w:spacing w:after="10" w:line="248" w:lineRule="auto"/>
        <w:ind w:left="373" w:right="552" w:hanging="10"/>
        <w:jc w:val="both"/>
      </w:pPr>
      <w:r>
        <w:rPr>
          <w:rFonts w:ascii="Arial" w:eastAsia="Arial" w:hAnsi="Arial" w:cs="Arial"/>
        </w:rPr>
        <w:t>1.- Liquidación del Estado de Gastos</w:t>
      </w:r>
    </w:p>
    <w:p w:rsidR="00E23B86" w:rsidRDefault="00BA7C13">
      <w:pPr>
        <w:spacing w:after="243" w:line="248" w:lineRule="auto"/>
        <w:ind w:left="373" w:right="552" w:hanging="10"/>
        <w:jc w:val="both"/>
      </w:pPr>
      <w:r>
        <w:rPr>
          <w:rFonts w:ascii="Arial" w:eastAsia="Arial" w:hAnsi="Arial" w:cs="Arial"/>
        </w:rPr>
        <w:t>2.- Desarrollo</w:t>
      </w:r>
      <w:r>
        <w:rPr>
          <w:rFonts w:ascii="Arial" w:eastAsia="Arial" w:hAnsi="Arial" w:cs="Arial"/>
        </w:rPr>
        <w:t xml:space="preserve"> de los pagos presupuestos</w:t>
      </w:r>
    </w:p>
    <w:p w:rsidR="00E23B86" w:rsidRDefault="00BA7C13">
      <w:pPr>
        <w:spacing w:after="10" w:line="248" w:lineRule="auto"/>
        <w:ind w:left="722" w:right="552" w:hanging="10"/>
        <w:jc w:val="both"/>
      </w:pPr>
      <w:r>
        <w:rPr>
          <w:rFonts w:ascii="Arial" w:eastAsia="Arial" w:hAnsi="Arial" w:cs="Arial"/>
        </w:rPr>
        <w:t>SEGUNDA: Liquidación del Presupuesto de Ingresos, que recoge:</w:t>
      </w:r>
    </w:p>
    <w:p w:rsidR="00E23B86" w:rsidRDefault="00BA7C13">
      <w:pPr>
        <w:spacing w:after="10" w:line="248" w:lineRule="auto"/>
        <w:ind w:left="373" w:right="552" w:hanging="10"/>
        <w:jc w:val="both"/>
      </w:pPr>
      <w:r>
        <w:rPr>
          <w:rFonts w:ascii="Arial" w:eastAsia="Arial" w:hAnsi="Arial" w:cs="Arial"/>
        </w:rPr>
        <w:t>1.- Liquidación del estado de ingresos</w:t>
      </w:r>
    </w:p>
    <w:p w:rsidR="00E23B86" w:rsidRDefault="00BA7C13">
      <w:pPr>
        <w:spacing w:after="10" w:line="248" w:lineRule="auto"/>
        <w:ind w:left="373" w:right="552" w:hanging="10"/>
        <w:jc w:val="both"/>
      </w:pPr>
      <w:r>
        <w:rPr>
          <w:rFonts w:ascii="Arial" w:eastAsia="Arial" w:hAnsi="Arial" w:cs="Arial"/>
        </w:rPr>
        <w:t>2.- Desarrollo de los compromisos de ingresos</w:t>
      </w:r>
    </w:p>
    <w:p w:rsidR="00E23B86" w:rsidRDefault="00BA7C13">
      <w:pPr>
        <w:spacing w:after="10" w:line="248" w:lineRule="auto"/>
        <w:ind w:left="373" w:right="552" w:hanging="10"/>
        <w:jc w:val="both"/>
      </w:pPr>
      <w:r>
        <w:rPr>
          <w:rFonts w:ascii="Arial" w:eastAsia="Arial" w:hAnsi="Arial" w:cs="Arial"/>
        </w:rPr>
        <w:t xml:space="preserve">3.- Desarrollo del proceso de gestión </w:t>
      </w:r>
    </w:p>
    <w:p w:rsidR="00E23B86" w:rsidRDefault="00BA7C13">
      <w:pPr>
        <w:spacing w:after="245" w:line="248" w:lineRule="auto"/>
        <w:ind w:left="373" w:right="552" w:hanging="10"/>
        <w:jc w:val="both"/>
      </w:pPr>
      <w:r>
        <w:rPr>
          <w:rFonts w:ascii="Arial" w:eastAsia="Arial" w:hAnsi="Arial" w:cs="Arial"/>
        </w:rPr>
        <w:t>4.- Desarrollo del reconocimiento y pago de las devoluciones de ingresos presupuestarios</w:t>
      </w:r>
    </w:p>
    <w:p w:rsidR="00E23B86" w:rsidRDefault="00BA7C13">
      <w:pPr>
        <w:spacing w:after="497" w:line="248" w:lineRule="auto"/>
        <w:ind w:left="722" w:right="552" w:hanging="10"/>
        <w:jc w:val="both"/>
      </w:pPr>
      <w:r>
        <w:rPr>
          <w:rFonts w:ascii="Arial" w:eastAsia="Arial" w:hAnsi="Arial" w:cs="Arial"/>
        </w:rPr>
        <w:t>TERCERA: El Resultado Presupuestario obtenido en el ejercicio.</w:t>
      </w:r>
    </w:p>
    <w:p w:rsidR="00E23B86" w:rsidRDefault="00BA7C13">
      <w:pPr>
        <w:spacing w:after="242" w:line="249" w:lineRule="auto"/>
        <w:ind w:left="355" w:right="554" w:hanging="10"/>
        <w:jc w:val="both"/>
      </w:pPr>
      <w:r>
        <w:rPr>
          <w:rFonts w:ascii="Arial" w:eastAsia="Arial" w:hAnsi="Arial" w:cs="Arial"/>
          <w:b/>
        </w:rPr>
        <w:t>7.- INFORME</w:t>
      </w:r>
    </w:p>
    <w:p w:rsidR="00E23B86" w:rsidRDefault="00BA7C13">
      <w:pPr>
        <w:spacing w:after="245" w:line="248" w:lineRule="auto"/>
        <w:ind w:left="363" w:right="552" w:firstLine="708"/>
        <w:jc w:val="both"/>
      </w:pPr>
      <w:r>
        <w:rPr>
          <w:rFonts w:ascii="Arial" w:eastAsia="Arial" w:hAnsi="Arial" w:cs="Arial"/>
        </w:rPr>
        <w:t>El objeto de la Liquidación del Presupuesto es, en síntesis, obtener un análisis del grado d</w:t>
      </w:r>
      <w:r>
        <w:rPr>
          <w:rFonts w:ascii="Arial" w:eastAsia="Arial" w:hAnsi="Arial" w:cs="Arial"/>
        </w:rPr>
        <w:t xml:space="preserve">e realización del presupuesto, por comparación entre los créditos asignados y los realmente gastados y los ingresos previstos y los realizados. </w:t>
      </w:r>
    </w:p>
    <w:p w:rsidR="00E23B86" w:rsidRDefault="00BA7C13">
      <w:pPr>
        <w:spacing w:after="245" w:line="248" w:lineRule="auto"/>
        <w:ind w:left="363" w:right="552" w:firstLine="708"/>
        <w:jc w:val="both"/>
      </w:pPr>
      <w:r>
        <w:rPr>
          <w:rFonts w:ascii="Arial" w:eastAsia="Arial" w:hAnsi="Arial" w:cs="Arial"/>
        </w:rPr>
        <w:t>Nos da una estimación cifrada del resultado de la gestión económica del Ayuntamiento.</w:t>
      </w:r>
    </w:p>
    <w:p w:rsidR="00E23B86" w:rsidRDefault="00BA7C13">
      <w:pPr>
        <w:spacing w:after="245" w:line="248" w:lineRule="auto"/>
        <w:ind w:left="363" w:right="552" w:firstLine="708"/>
        <w:jc w:val="both"/>
      </w:pPr>
      <w:r>
        <w:rPr>
          <w:noProof/>
        </w:rPr>
        <mc:AlternateContent>
          <mc:Choice Requires="wpg">
            <w:drawing>
              <wp:anchor distT="0" distB="0" distL="114300" distR="114300" simplePos="0" relativeHeight="2516674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7959" name="Group 46795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020" name="Rectangle 102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w:t>
                              </w:r>
                              <w:r>
                                <w:rPr>
                                  <w:rFonts w:ascii="Arial" w:eastAsia="Arial" w:hAnsi="Arial" w:cs="Arial"/>
                                  <w:sz w:val="12"/>
                                </w:rPr>
                                <w:t xml:space="preserve">4GAAK3P9GMGZC2N3FZWC | Verificación: https://candelaria.sedelectronica.es/ </w:t>
                              </w:r>
                            </w:p>
                          </w:txbxContent>
                        </wps:txbx>
                        <wps:bodyPr horzOverflow="overflow" vert="horz" lIns="0" tIns="0" rIns="0" bIns="0" rtlCol="0">
                          <a:noAutofit/>
                        </wps:bodyPr>
                      </wps:wsp>
                      <wps:wsp>
                        <wps:cNvPr id="1021" name="Rectangle 1021"/>
                        <wps:cNvSpPr/>
                        <wps:spPr>
                          <a:xfrm rot="-5399999">
                            <a:off x="-2042224" y="1328796"/>
                            <a:ext cx="435007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9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7959" style="width:12.7031pt;height:280.35pt;position:absolute;mso-position-horizontal-relative:page;mso-position-horizontal:absolute;margin-left:681.958pt;mso-position-vertical-relative:page;margin-top:531.65pt;" coordsize="1613,35604">
                <v:rect id="Rectangle 102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021" style="position:absolute;width:43500;height:1132;left:-20422;top:1328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391 </w:t>
                        </w:r>
                      </w:p>
                    </w:txbxContent>
                  </v:textbox>
                </v:rect>
                <w10:wrap type="square"/>
              </v:group>
            </w:pict>
          </mc:Fallback>
        </mc:AlternateContent>
      </w:r>
      <w:r>
        <w:rPr>
          <w:rFonts w:ascii="Arial" w:eastAsia="Arial" w:hAnsi="Arial" w:cs="Arial"/>
        </w:rPr>
        <w:t xml:space="preserve"> En virtud del principio de anualidad en la ejecución del gasto al final de cada ejer</w:t>
      </w:r>
      <w:r>
        <w:rPr>
          <w:rFonts w:ascii="Arial" w:eastAsia="Arial" w:hAnsi="Arial" w:cs="Arial"/>
        </w:rPr>
        <w:t>cicio económico es necesario cerrar definitivamente las operaciones en que dicha ejecución consiste, con lo cual puede obtenerse el resultado económico del ejercicio, el Balance de Situación que refleje la estructura patrimonial de la Entidad y unas magnit</w:t>
      </w:r>
      <w:r>
        <w:rPr>
          <w:rFonts w:ascii="Arial" w:eastAsia="Arial" w:hAnsi="Arial" w:cs="Arial"/>
        </w:rPr>
        <w:t>udes presupuestarias básicas para la medición del saneamiento financiero de la Entidad.</w:t>
      </w:r>
    </w:p>
    <w:p w:rsidR="00E23B86" w:rsidRDefault="00BA7C13">
      <w:pPr>
        <w:spacing w:after="303" w:line="265" w:lineRule="auto"/>
        <w:ind w:left="10" w:right="658" w:hanging="10"/>
        <w:jc w:val="right"/>
      </w:pPr>
      <w:r>
        <w:rPr>
          <w:rFonts w:ascii="Arial" w:eastAsia="Arial" w:hAnsi="Arial" w:cs="Arial"/>
        </w:rPr>
        <w:t>Como consecuencia de la Liquidación del Presupuesto, deberán determinarse:</w:t>
      </w:r>
    </w:p>
    <w:p w:rsidR="00E23B86" w:rsidRDefault="00BA7C13">
      <w:pPr>
        <w:numPr>
          <w:ilvl w:val="0"/>
          <w:numId w:val="4"/>
        </w:numPr>
        <w:spacing w:after="28" w:line="248" w:lineRule="auto"/>
        <w:ind w:right="552" w:hanging="360"/>
        <w:jc w:val="both"/>
      </w:pPr>
      <w:r>
        <w:rPr>
          <w:rFonts w:ascii="Arial" w:eastAsia="Arial" w:hAnsi="Arial" w:cs="Arial"/>
        </w:rPr>
        <w:t>los derechos pendientes de cobro (por diferencia entre los derechos reconocidos netos menos los cobros realizados) y las obligaciones pendientes de pago (por diferencia entre las obligaciones reconocidas netas menos los pagos realizados) a 31 de diciembre,</w:t>
      </w:r>
      <w:r>
        <w:rPr>
          <w:rFonts w:ascii="Arial" w:eastAsia="Arial" w:hAnsi="Arial" w:cs="Arial"/>
        </w:rPr>
        <w:t xml:space="preserve"> que a partir del 1 de enero del ejercicio siguiente integran la agrupación de presupuestos cerrados y tendrán la consideración de operaciones de tesorería.</w:t>
      </w:r>
    </w:p>
    <w:p w:rsidR="00E23B86" w:rsidRDefault="00BA7C13">
      <w:pPr>
        <w:numPr>
          <w:ilvl w:val="0"/>
          <w:numId w:val="4"/>
        </w:numPr>
        <w:spacing w:after="10" w:line="248" w:lineRule="auto"/>
        <w:ind w:right="552" w:hanging="360"/>
        <w:jc w:val="both"/>
      </w:pPr>
      <w:r>
        <w:rPr>
          <w:rFonts w:ascii="Arial" w:eastAsia="Arial" w:hAnsi="Arial" w:cs="Arial"/>
        </w:rPr>
        <w:t>El resultado presupuestario del ejercicio.</w:t>
      </w:r>
    </w:p>
    <w:p w:rsidR="00E23B86" w:rsidRDefault="00BA7C13">
      <w:pPr>
        <w:numPr>
          <w:ilvl w:val="0"/>
          <w:numId w:val="4"/>
        </w:numPr>
        <w:spacing w:after="10" w:line="248" w:lineRule="auto"/>
        <w:ind w:right="552" w:hanging="360"/>
        <w:jc w:val="both"/>
      </w:pPr>
      <w:r>
        <w:rPr>
          <w:rFonts w:ascii="Arial" w:eastAsia="Arial" w:hAnsi="Arial" w:cs="Arial"/>
        </w:rPr>
        <w:t>Los remanentes de crédito.</w:t>
      </w:r>
    </w:p>
    <w:p w:rsidR="00E23B86" w:rsidRDefault="00BA7C13">
      <w:pPr>
        <w:numPr>
          <w:ilvl w:val="0"/>
          <w:numId w:val="4"/>
        </w:numPr>
        <w:spacing w:after="329" w:line="248" w:lineRule="auto"/>
        <w:ind w:right="552" w:hanging="360"/>
        <w:jc w:val="both"/>
      </w:pPr>
      <w:r>
        <w:rPr>
          <w:rFonts w:ascii="Arial" w:eastAsia="Arial" w:hAnsi="Arial" w:cs="Arial"/>
        </w:rPr>
        <w:t>El remanente de tesorería.</w:t>
      </w:r>
    </w:p>
    <w:p w:rsidR="00E23B86" w:rsidRDefault="00BA7C13">
      <w:pPr>
        <w:spacing w:after="485" w:line="248" w:lineRule="auto"/>
        <w:ind w:left="634" w:right="552" w:firstLine="180"/>
        <w:jc w:val="both"/>
      </w:pPr>
      <w:r>
        <w:rPr>
          <w:rFonts w:ascii="Arial" w:eastAsia="Arial" w:hAnsi="Arial" w:cs="Arial"/>
        </w:rPr>
        <w:t>Los datos oficiales de la Liquidación del Presupuesto reflejan un buen comportamiento de las variables económico financieras en el ejercicio 2019.</w:t>
      </w:r>
    </w:p>
    <w:p w:rsidR="00E23B86" w:rsidRDefault="00BA7C13">
      <w:pPr>
        <w:spacing w:after="245" w:line="248" w:lineRule="auto"/>
        <w:ind w:left="363" w:right="552" w:firstLine="360"/>
        <w:jc w:val="both"/>
      </w:pPr>
      <w:r>
        <w:rPr>
          <w:rFonts w:ascii="Arial" w:eastAsia="Arial" w:hAnsi="Arial" w:cs="Arial"/>
        </w:rPr>
        <w:t xml:space="preserve">En el </w:t>
      </w:r>
      <w:r>
        <w:rPr>
          <w:rFonts w:ascii="Arial" w:eastAsia="Arial" w:hAnsi="Arial" w:cs="Arial"/>
          <w:b/>
          <w:i/>
        </w:rPr>
        <w:t>Resultado Presupuestario</w:t>
      </w:r>
      <w:r>
        <w:rPr>
          <w:rFonts w:ascii="Arial" w:eastAsia="Arial" w:hAnsi="Arial" w:cs="Arial"/>
        </w:rPr>
        <w:t>, que se determina por la diferencia entre los derechos liquidados y las obliga</w:t>
      </w:r>
      <w:r>
        <w:rPr>
          <w:rFonts w:ascii="Arial" w:eastAsia="Arial" w:hAnsi="Arial" w:cs="Arial"/>
        </w:rPr>
        <w:t>ciones presupuestarias reconocidas, ambos en términos netos, revela en qué medida los ingresos reconocidos en el ejercicio corriente han sido suficientes o no para financiar los gastos realizados con cargo a los mismos, es decir, recoge el superávit (o exc</w:t>
      </w:r>
      <w:r>
        <w:rPr>
          <w:rFonts w:ascii="Arial" w:eastAsia="Arial" w:hAnsi="Arial" w:cs="Arial"/>
        </w:rPr>
        <w:t>eso de recursos que incrementará el Remanente de Tesorería) o déficit (que dará lugar a un Remanente de Tesorería negativo a compensar de acuerdo con lo previsto en el artículo 193 del TRLRHL) obtenido en el ejercicio por operaciones derivadas de la ejecuc</w:t>
      </w:r>
      <w:r>
        <w:rPr>
          <w:rFonts w:ascii="Arial" w:eastAsia="Arial" w:hAnsi="Arial" w:cs="Arial"/>
        </w:rPr>
        <w:t xml:space="preserve">ión del presupuesto y que </w:t>
      </w:r>
      <w:r>
        <w:rPr>
          <w:rFonts w:ascii="Arial" w:eastAsia="Arial" w:hAnsi="Arial" w:cs="Arial"/>
          <w:b/>
        </w:rPr>
        <w:t>nos va a decir si hay capacidad o necesidad de financiación</w:t>
      </w:r>
      <w:r>
        <w:rPr>
          <w:rFonts w:ascii="Arial" w:eastAsia="Arial" w:hAnsi="Arial" w:cs="Arial"/>
        </w:rPr>
        <w:t xml:space="preserve">. </w:t>
      </w:r>
    </w:p>
    <w:p w:rsidR="00E23B86" w:rsidRDefault="00BA7C13">
      <w:pPr>
        <w:spacing w:after="0" w:line="265" w:lineRule="auto"/>
        <w:ind w:left="10" w:right="551" w:hanging="10"/>
        <w:jc w:val="right"/>
      </w:pPr>
      <w:r>
        <w:rPr>
          <w:rFonts w:ascii="Arial" w:eastAsia="Arial" w:hAnsi="Arial" w:cs="Arial"/>
        </w:rPr>
        <w:t>En dicha magnitud, deberán realizarse una serie de ajustes recogidos en el artículo</w:t>
      </w:r>
    </w:p>
    <w:p w:rsidR="00E23B86" w:rsidRDefault="00BA7C13">
      <w:pPr>
        <w:spacing w:after="245" w:line="248" w:lineRule="auto"/>
        <w:ind w:left="373" w:right="552" w:hanging="10"/>
        <w:jc w:val="both"/>
      </w:pPr>
      <w:r>
        <w:rPr>
          <w:rFonts w:ascii="Arial" w:eastAsia="Arial" w:hAnsi="Arial" w:cs="Arial"/>
        </w:rPr>
        <w:t>97 del Real Decreto 500/90, de 20 de abril y Regla 347 de la Instrucción de Contabil</w:t>
      </w:r>
      <w:r>
        <w:rPr>
          <w:rFonts w:ascii="Arial" w:eastAsia="Arial" w:hAnsi="Arial" w:cs="Arial"/>
        </w:rPr>
        <w:t>idad, motivada por la existencia de desviaciones de financiación imputables en el ejercicio, bien por un exceso de recursos afectados contabilizados en el propio ejercicio, pero que financieramente, amparan obligaciones no reconocidas en el ejercicio corri</w:t>
      </w:r>
      <w:r>
        <w:rPr>
          <w:rFonts w:ascii="Arial" w:eastAsia="Arial" w:hAnsi="Arial" w:cs="Arial"/>
        </w:rPr>
        <w:t>ente, sino otras que se han realizados en ejercicios anteriores o que se devengarán con cargo a presupuestos de ejercicios posteriores, es decir, gastos realizados en el ejercicio financiados con ingresos liquidados en ejercicios distintos (desviaciones de</w:t>
      </w:r>
      <w:r>
        <w:rPr>
          <w:rFonts w:ascii="Arial" w:eastAsia="Arial" w:hAnsi="Arial" w:cs="Arial"/>
        </w:rPr>
        <w:t xml:space="preserve"> financiación de gastos con financiación afectada positivas), bien un déficit de financiación en el año que o bien ha sido compensado en ejercicios anteriores o bien se solventará en ejercicios posteriores, es decir, ingresos realizados en el ejercicio que</w:t>
      </w:r>
      <w:r>
        <w:rPr>
          <w:rFonts w:ascii="Arial" w:eastAsia="Arial" w:hAnsi="Arial" w:cs="Arial"/>
        </w:rPr>
        <w:t xml:space="preserve"> financia gastos de otros ejercicios (desviaciones de financiación de gastos con financiación afectada negativas). En definitiva, se trata de recoger los gastos e ingresos que se corresponden con el ejercicio sin usar financiación de años anteriores.</w:t>
      </w:r>
    </w:p>
    <w:p w:rsidR="00E23B86" w:rsidRDefault="00BA7C13">
      <w:pPr>
        <w:spacing w:after="245" w:line="248" w:lineRule="auto"/>
        <w:ind w:left="363" w:right="552" w:firstLine="360"/>
        <w:jc w:val="both"/>
      </w:pPr>
      <w:r>
        <w:rPr>
          <w:noProof/>
        </w:rPr>
        <mc:AlternateContent>
          <mc:Choice Requires="wpg">
            <w:drawing>
              <wp:anchor distT="0" distB="0" distL="114300" distR="114300" simplePos="0" relativeHeight="2516684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6899" name="Group 46689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098" name="Rectangle 109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099" name="Rectangle 109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6899" style="width:12.7031pt;height:280.35pt;position:absolute;mso-position-horizontal-relative:page;mso-position-horizontal:absolute;margin-left:681.958pt;mso-position-vertical-relative:page;margin-top:531.65pt;" coordsize="1613,35604">
                <v:rect id="Rectangle 109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09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391 </w:t>
                        </w:r>
                      </w:p>
                    </w:txbxContent>
                  </v:textbox>
                </v:rect>
                <w10:wrap type="square"/>
              </v:group>
            </w:pict>
          </mc:Fallback>
        </mc:AlternateContent>
      </w:r>
      <w:r>
        <w:rPr>
          <w:rFonts w:ascii="Arial" w:eastAsia="Arial" w:hAnsi="Arial" w:cs="Arial"/>
        </w:rPr>
        <w:t>Pues bien, este Resultado Presupuestario sin ajustar es positi</w:t>
      </w:r>
      <w:r>
        <w:rPr>
          <w:rFonts w:ascii="Arial" w:eastAsia="Arial" w:hAnsi="Arial" w:cs="Arial"/>
        </w:rPr>
        <w:t>vo en 5.446.291,41 Euros, frente al resultado positivo en 3.076.852,92 Euros obtenido en el año 2018, mientras que el Resultado Presupuestario ajustado asciende a un importe positivo de más de 6.485.304,29</w:t>
      </w:r>
      <w:r>
        <w:rPr>
          <w:rFonts w:ascii="Arial" w:eastAsia="Arial" w:hAnsi="Arial" w:cs="Arial"/>
          <w:b/>
        </w:rPr>
        <w:t xml:space="preserve"> </w:t>
      </w:r>
      <w:r>
        <w:rPr>
          <w:rFonts w:ascii="Arial" w:eastAsia="Arial" w:hAnsi="Arial" w:cs="Arial"/>
        </w:rPr>
        <w:t>Euros (frente al resultado también positivo de 2.2</w:t>
      </w:r>
      <w:r>
        <w:rPr>
          <w:rFonts w:ascii="Arial" w:eastAsia="Arial" w:hAnsi="Arial" w:cs="Arial"/>
        </w:rPr>
        <w:t>07.715,17 Euros, obtenido en el ejercicio precedente), lo cual implica que se ha ingresado más que lo gastado, y que con los ajustes realizados para eliminar los gastos e ingresos que han tenido una financiación específica, han permitido con ello seguir ob</w:t>
      </w:r>
      <w:r>
        <w:rPr>
          <w:rFonts w:ascii="Arial" w:eastAsia="Arial" w:hAnsi="Arial" w:cs="Arial"/>
        </w:rPr>
        <w:t xml:space="preserve">teniendo un superávit que ha determinado que haya una </w:t>
      </w:r>
      <w:r>
        <w:rPr>
          <w:rFonts w:ascii="Arial" w:eastAsia="Arial" w:hAnsi="Arial" w:cs="Arial"/>
          <w:b/>
        </w:rPr>
        <w:t>capacidad de financiación</w:t>
      </w:r>
      <w:r>
        <w:rPr>
          <w:rFonts w:ascii="Arial" w:eastAsia="Arial" w:hAnsi="Arial" w:cs="Arial"/>
        </w:rPr>
        <w:t xml:space="preserve"> en el propio ejercicio, siendo un 194 % más que en el año 2018.</w:t>
      </w:r>
    </w:p>
    <w:p w:rsidR="00E23B86" w:rsidRDefault="00BA7C13">
      <w:pPr>
        <w:spacing w:after="245" w:line="248" w:lineRule="auto"/>
        <w:ind w:left="363" w:right="552" w:firstLine="360"/>
        <w:jc w:val="both"/>
      </w:pPr>
      <w:r>
        <w:rPr>
          <w:rFonts w:ascii="Arial" w:eastAsia="Arial" w:hAnsi="Arial" w:cs="Arial"/>
        </w:rPr>
        <w:t>Destacar en este ejercicio, al igual que en los ejercicios anteriores, del ajuste realizado, por importe de 68.4</w:t>
      </w:r>
      <w:r>
        <w:rPr>
          <w:rFonts w:ascii="Arial" w:eastAsia="Arial" w:hAnsi="Arial" w:cs="Arial"/>
        </w:rPr>
        <w:t>23,74 Euros (frente a los 1.608.278,42 Euros del año anterior), en concepto de Créditos Gastados financiados con Remanente de Tesorería para Gastos Generales, si bien este recurso ha sido destinado, a diferencia de ejercicios anteriores para amortización a</w:t>
      </w:r>
      <w:r>
        <w:rPr>
          <w:rFonts w:ascii="Arial" w:eastAsia="Arial" w:hAnsi="Arial" w:cs="Arial"/>
        </w:rPr>
        <w:t>nticipada de préstamos, a Inversiones sostenibles.</w:t>
      </w:r>
    </w:p>
    <w:p w:rsidR="00E23B86" w:rsidRDefault="00BA7C13">
      <w:pPr>
        <w:spacing w:after="245" w:line="248" w:lineRule="auto"/>
        <w:ind w:left="363" w:right="552" w:firstLine="360"/>
        <w:jc w:val="both"/>
      </w:pPr>
      <w:r>
        <w:rPr>
          <w:rFonts w:ascii="Arial" w:eastAsia="Arial" w:hAnsi="Arial" w:cs="Arial"/>
        </w:rPr>
        <w:t xml:space="preserve">Por tanto, en el ejercicio 2019, el Ayuntamiento de Candelaria ha generado recursos suficientes para hacer frente a los gastos del presente ejercicio, generando una mayor capacidad de financiación, ya que </w:t>
      </w:r>
      <w:r>
        <w:rPr>
          <w:rFonts w:ascii="Arial" w:eastAsia="Arial" w:hAnsi="Arial" w:cs="Arial"/>
        </w:rPr>
        <w:t>los ingresos aumentaron en un 7,8 % y los gastos descendieron en un 1 % y que ha sido motivado por:</w:t>
      </w:r>
    </w:p>
    <w:p w:rsidR="00E23B86" w:rsidRDefault="00BA7C13">
      <w:pPr>
        <w:numPr>
          <w:ilvl w:val="0"/>
          <w:numId w:val="5"/>
        </w:numPr>
        <w:spacing w:after="244" w:line="248" w:lineRule="auto"/>
        <w:ind w:right="552" w:hanging="360"/>
        <w:jc w:val="both"/>
      </w:pPr>
      <w:r>
        <w:rPr>
          <w:rFonts w:ascii="Arial" w:eastAsia="Arial" w:hAnsi="Arial" w:cs="Arial"/>
        </w:rPr>
        <w:t>Aumento del 7,2 % de los ingresos liquidados corrientes (Capítulos I al V) en el ejercicio, frente al descenso del 4 %, del año anterior.</w:t>
      </w:r>
    </w:p>
    <w:p w:rsidR="00E23B86" w:rsidRDefault="00BA7C13">
      <w:pPr>
        <w:numPr>
          <w:ilvl w:val="0"/>
          <w:numId w:val="5"/>
        </w:numPr>
        <w:spacing w:after="244" w:line="248" w:lineRule="auto"/>
        <w:ind w:right="552" w:hanging="360"/>
        <w:jc w:val="both"/>
      </w:pPr>
      <w:r>
        <w:rPr>
          <w:rFonts w:ascii="Arial" w:eastAsia="Arial" w:hAnsi="Arial" w:cs="Arial"/>
        </w:rPr>
        <w:t>Aumento de los ing</w:t>
      </w:r>
      <w:r>
        <w:rPr>
          <w:rFonts w:ascii="Arial" w:eastAsia="Arial" w:hAnsi="Arial" w:cs="Arial"/>
        </w:rPr>
        <w:t>resos liquidados de capital no financieros (Capítulos VI y</w:t>
      </w:r>
    </w:p>
    <w:p w:rsidR="00E23B86" w:rsidRDefault="00BA7C13">
      <w:pPr>
        <w:spacing w:after="244" w:line="248" w:lineRule="auto"/>
        <w:ind w:left="1072" w:right="552" w:hanging="360"/>
        <w:jc w:val="both"/>
      </w:pPr>
      <w:r>
        <w:rPr>
          <w:rFonts w:ascii="Arial" w:eastAsia="Arial" w:hAnsi="Arial" w:cs="Arial"/>
        </w:rPr>
        <w:t>VII) en el ejercicio, de un 387 %, que había caído un 36 % en el año anterior.</w:t>
      </w:r>
    </w:p>
    <w:p w:rsidR="00E23B86" w:rsidRDefault="00BA7C13">
      <w:pPr>
        <w:numPr>
          <w:ilvl w:val="0"/>
          <w:numId w:val="5"/>
        </w:numPr>
        <w:spacing w:after="110" w:line="248" w:lineRule="auto"/>
        <w:ind w:right="552" w:hanging="360"/>
        <w:jc w:val="both"/>
      </w:pPr>
      <w:r>
        <w:rPr>
          <w:rFonts w:ascii="Arial" w:eastAsia="Arial" w:hAnsi="Arial" w:cs="Arial"/>
        </w:rPr>
        <w:t xml:space="preserve">Subida en un 1,7 % de los gastos liquidados corrientes (Capítulos I al IV) en el ejercicio, frente al aumento del 4,6 </w:t>
      </w:r>
      <w:r>
        <w:rPr>
          <w:rFonts w:ascii="Arial" w:eastAsia="Arial" w:hAnsi="Arial" w:cs="Arial"/>
        </w:rPr>
        <w:t>% del año 2018.</w:t>
      </w:r>
    </w:p>
    <w:p w:rsidR="00E23B86" w:rsidRDefault="00BA7C13">
      <w:pPr>
        <w:numPr>
          <w:ilvl w:val="0"/>
          <w:numId w:val="5"/>
        </w:numPr>
        <w:spacing w:after="244" w:line="248" w:lineRule="auto"/>
        <w:ind w:right="552" w:hanging="360"/>
        <w:jc w:val="both"/>
      </w:pPr>
      <w:r>
        <w:rPr>
          <w:rFonts w:ascii="Arial" w:eastAsia="Arial" w:hAnsi="Arial" w:cs="Arial"/>
        </w:rPr>
        <w:t>Subida importante en un 52 %, de los gastos de inversiones reales (también subió un 85,30 % en el año 2018).</w:t>
      </w:r>
    </w:p>
    <w:p w:rsidR="00E23B86" w:rsidRDefault="00BA7C13">
      <w:pPr>
        <w:numPr>
          <w:ilvl w:val="0"/>
          <w:numId w:val="5"/>
        </w:numPr>
        <w:spacing w:after="244" w:line="248" w:lineRule="auto"/>
        <w:ind w:right="552" w:hanging="360"/>
        <w:jc w:val="both"/>
      </w:pPr>
      <w:r>
        <w:rPr>
          <w:rFonts w:ascii="Arial" w:eastAsia="Arial" w:hAnsi="Arial" w:cs="Arial"/>
        </w:rPr>
        <w:t>Cae un 60 %, los gastos de amortización de deuda, que también cayó un 14,40 %, en el año anterior.</w:t>
      </w:r>
    </w:p>
    <w:p w:rsidR="00E23B86" w:rsidRDefault="00BA7C13">
      <w:pPr>
        <w:spacing w:after="245" w:line="248" w:lineRule="auto"/>
        <w:ind w:left="373" w:right="552" w:hanging="10"/>
        <w:jc w:val="both"/>
      </w:pPr>
      <w:r>
        <w:rPr>
          <w:rFonts w:ascii="Arial" w:eastAsia="Arial" w:hAnsi="Arial" w:cs="Arial"/>
        </w:rPr>
        <w:t xml:space="preserve">      Lo anterior ha supuesto un</w:t>
      </w:r>
      <w:r>
        <w:rPr>
          <w:rFonts w:ascii="Arial" w:eastAsia="Arial" w:hAnsi="Arial" w:cs="Arial"/>
        </w:rPr>
        <w:t xml:space="preserve"> superávit que asciende a 5.446.291,41 Euros, experimentando un crecimiento de 2.369.438,49 Euros, respecto al resultado presupuestario sin ajustar del ejercicio anterior.</w:t>
      </w:r>
    </w:p>
    <w:p w:rsidR="00E23B86" w:rsidRDefault="00BA7C13">
      <w:pPr>
        <w:spacing w:after="245" w:line="248" w:lineRule="auto"/>
        <w:ind w:left="373" w:right="552" w:hanging="10"/>
        <w:jc w:val="both"/>
      </w:pPr>
      <w:r>
        <w:rPr>
          <w:rFonts w:ascii="Arial" w:eastAsia="Arial" w:hAnsi="Arial" w:cs="Arial"/>
        </w:rPr>
        <w:t xml:space="preserve">           Cae un 51,5 % frente a la subida del 883,80 % del año anterior, de las Desviaciones positivas de financiación. Estas Desviaciones positivas, han dado lugar a un ajuste negativo en el resultado presupuestario y nos viene a decir que este año, res</w:t>
      </w:r>
      <w:r>
        <w:rPr>
          <w:rFonts w:ascii="Arial" w:eastAsia="Arial" w:hAnsi="Arial" w:cs="Arial"/>
        </w:rPr>
        <w:t xml:space="preserve">pecto al anterior, ha sido superior el ritmo de ejecución de determinados ingresos en relación a los proyectos de gastos a los que está vinculado, destacando, las aportaciones del Servicio Canario de Empleo para dos proyectos de Pfae, que suman 311.326,81 </w:t>
      </w:r>
      <w:r>
        <w:rPr>
          <w:rFonts w:ascii="Arial" w:eastAsia="Arial" w:hAnsi="Arial" w:cs="Arial"/>
        </w:rPr>
        <w:t>Euros cada una, así como una aportación del Cabildo Insular de 328.145,85 Euros y del Gobierno de Canarias, por importe de 151.428,00 Euros, para el área de rehabilitación de Antón guanche.</w:t>
      </w:r>
    </w:p>
    <w:p w:rsidR="00E23B86" w:rsidRDefault="00BA7C13">
      <w:pPr>
        <w:spacing w:after="245" w:line="248" w:lineRule="auto"/>
        <w:ind w:left="373" w:right="552" w:hanging="10"/>
        <w:jc w:val="both"/>
      </w:pPr>
      <w:r>
        <w:rPr>
          <w:noProof/>
        </w:rPr>
        <mc:AlternateContent>
          <mc:Choice Requires="wpg">
            <w:drawing>
              <wp:anchor distT="0" distB="0" distL="114300" distR="114300" simplePos="0" relativeHeight="2516695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9253" name="Group 47925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169" name="Rectangle 116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w:t>
                              </w:r>
                              <w:r>
                                <w:rPr>
                                  <w:rFonts w:ascii="Arial" w:eastAsia="Arial" w:hAnsi="Arial" w:cs="Arial"/>
                                  <w:sz w:val="12"/>
                                </w:rPr>
                                <w:t xml:space="preserve">s://candelaria.sedelectronica.es/ </w:t>
                              </w:r>
                            </w:p>
                          </w:txbxContent>
                        </wps:txbx>
                        <wps:bodyPr horzOverflow="overflow" vert="horz" lIns="0" tIns="0" rIns="0" bIns="0" rtlCol="0">
                          <a:noAutofit/>
                        </wps:bodyPr>
                      </wps:wsp>
                      <wps:wsp>
                        <wps:cNvPr id="1170" name="Rectangle 1170"/>
                        <wps:cNvSpPr/>
                        <wps:spPr>
                          <a:xfrm rot="-5399999">
                            <a:off x="-2066649" y="1304372"/>
                            <a:ext cx="4398923"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9253" style="width:12.7031pt;height:280.35pt;position:absolute;mso-position-horizontal-relative:page;mso-position-horizontal:absolute;margin-left:681.958pt;mso-position-vertical-relative:page;margin-top:531.65pt;" coordsize="1613,35604">
                <v:rect id="Rectangle 116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170" style="position:absolute;width:43989;height:1132;left:-20666;top:1304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391 </w:t>
                        </w:r>
                      </w:p>
                    </w:txbxContent>
                  </v:textbox>
                </v:rect>
                <w10:wrap type="square"/>
              </v:group>
            </w:pict>
          </mc:Fallback>
        </mc:AlternateContent>
      </w:r>
      <w:r>
        <w:rPr>
          <w:rFonts w:ascii="Arial" w:eastAsia="Arial" w:hAnsi="Arial" w:cs="Arial"/>
        </w:rPr>
        <w:t xml:space="preserve">           Subida de un 392 % de las Desviaciones negativas de financiación, que dan lugar a una ajuste positivo en el result</w:t>
      </w:r>
      <w:r>
        <w:rPr>
          <w:rFonts w:ascii="Arial" w:eastAsia="Arial" w:hAnsi="Arial" w:cs="Arial"/>
        </w:rPr>
        <w:t>ado presupuestario y viene motivado porque ha sido mayor, en el presente ejercicio, el ritmo de ejecución de determinados proyectos de gastos en relación a los ingresos que los financian, destacando la ejecución del depósito de igueste financiado con cargo</w:t>
      </w:r>
      <w:r>
        <w:rPr>
          <w:rFonts w:ascii="Arial" w:eastAsia="Arial" w:hAnsi="Arial" w:cs="Arial"/>
        </w:rPr>
        <w:t xml:space="preserve"> al préstamo, por importe de 330.789,29 Euros, la ejecución de varias inversiones con cargo a otro préstamo, por importe de 938.116,16 Euros y la ejecución de una subvención, por importe de 410.780,90 Euros, para un Plan de Formación FPED, cuyo ritmo de ej</w:t>
      </w:r>
      <w:r>
        <w:rPr>
          <w:rFonts w:ascii="Arial" w:eastAsia="Arial" w:hAnsi="Arial" w:cs="Arial"/>
        </w:rPr>
        <w:t>ecución del gasto es superior a los ingresos que lo financian.</w:t>
      </w:r>
    </w:p>
    <w:p w:rsidR="00E23B86" w:rsidRDefault="00BA7C13">
      <w:pPr>
        <w:spacing w:after="245" w:line="248" w:lineRule="auto"/>
        <w:ind w:left="363" w:right="552" w:firstLine="360"/>
        <w:jc w:val="both"/>
      </w:pPr>
      <w:r>
        <w:rPr>
          <w:rFonts w:ascii="Arial" w:eastAsia="Arial" w:hAnsi="Arial" w:cs="Arial"/>
        </w:rPr>
        <w:t xml:space="preserve">Asimismo, el </w:t>
      </w:r>
      <w:r>
        <w:rPr>
          <w:rFonts w:ascii="Arial" w:eastAsia="Arial" w:hAnsi="Arial" w:cs="Arial"/>
          <w:b/>
          <w:i/>
        </w:rPr>
        <w:t>Remanente de Tesorería</w:t>
      </w:r>
      <w:r>
        <w:rPr>
          <w:rFonts w:ascii="Arial" w:eastAsia="Arial" w:hAnsi="Arial" w:cs="Arial"/>
        </w:rPr>
        <w:t xml:space="preserve">, </w:t>
      </w:r>
      <w:r>
        <w:rPr>
          <w:rFonts w:ascii="Arial" w:eastAsia="Arial" w:hAnsi="Arial" w:cs="Arial"/>
          <w:b/>
        </w:rPr>
        <w:t>que es el indicador que mide la buena o mala salud de la economía del Ayuntamiento</w:t>
      </w:r>
      <w:r>
        <w:rPr>
          <w:rFonts w:ascii="Arial" w:eastAsia="Arial" w:hAnsi="Arial" w:cs="Arial"/>
        </w:rPr>
        <w:t xml:space="preserve">, </w:t>
      </w:r>
      <w:r>
        <w:rPr>
          <w:rFonts w:ascii="Arial" w:eastAsia="Arial" w:hAnsi="Arial" w:cs="Arial"/>
          <w:b/>
        </w:rPr>
        <w:t>representa la posición de liquidez o iliquidez de un Ayuntamiento o posi</w:t>
      </w:r>
      <w:r>
        <w:rPr>
          <w:rFonts w:ascii="Arial" w:eastAsia="Arial" w:hAnsi="Arial" w:cs="Arial"/>
          <w:b/>
        </w:rPr>
        <w:t>ción financiera a corto plazo</w:t>
      </w:r>
      <w:r>
        <w:rPr>
          <w:rFonts w:ascii="Arial" w:eastAsia="Arial" w:hAnsi="Arial" w:cs="Arial"/>
        </w:rPr>
        <w:t>, bajo la hipótesis que a 31 de diciembre, se recaudan todos los derechos liquidados pendientes de cobrar y se pagan todos los gastos realizados pendientes de pago, ha sido positivo en 18.219.677,27 Euros (frente a los 12.735.9</w:t>
      </w:r>
      <w:r>
        <w:rPr>
          <w:rFonts w:ascii="Arial" w:eastAsia="Arial" w:hAnsi="Arial" w:cs="Arial"/>
        </w:rPr>
        <w:t xml:space="preserve">70,86 Euros obtenidos en la Liquidación del ejercicio 2018), generando una subida de 5.483.706,41 Euros, respecto al remanente de tesorería obtenido de la liquidación anterior, que había subido 321.181,26 Euros. </w:t>
      </w:r>
    </w:p>
    <w:p w:rsidR="00E23B86" w:rsidRDefault="00BA7C13">
      <w:pPr>
        <w:spacing w:after="245" w:line="248" w:lineRule="auto"/>
        <w:ind w:left="363" w:right="552" w:firstLine="360"/>
        <w:jc w:val="both"/>
      </w:pPr>
      <w:r>
        <w:rPr>
          <w:rFonts w:ascii="Arial" w:eastAsia="Arial" w:hAnsi="Arial" w:cs="Arial"/>
        </w:rPr>
        <w:t>A través de esta magnitud, se observa que l</w:t>
      </w:r>
      <w:r>
        <w:rPr>
          <w:rFonts w:ascii="Arial" w:eastAsia="Arial" w:hAnsi="Arial" w:cs="Arial"/>
        </w:rPr>
        <w:t>os derechos pendientes de cobro, una vez descontados los saldos de dudoso cobro de esos derechos, es inferior en 1.142.144,22 Euros a las obligaciones pendientes de pago (en el ejercicio 2018, fue inferior en 156.330,36 Euros). No obstante, dado que los fo</w:t>
      </w:r>
      <w:r>
        <w:rPr>
          <w:rFonts w:ascii="Arial" w:eastAsia="Arial" w:hAnsi="Arial" w:cs="Arial"/>
        </w:rPr>
        <w:t xml:space="preserve">ndos líquidos importan la cantidad de 23.252.418,09 Euros (en 2018, se elevó a 17.188.960,10 Euros), más dichos derechos pendientes de cobro, permiten hacer frente a los 3.251.533,59 Euros de las obligaciones pendientes de pago y los 3.823.758,27 Euros de </w:t>
      </w:r>
      <w:r>
        <w:rPr>
          <w:rFonts w:ascii="Arial" w:eastAsia="Arial" w:hAnsi="Arial" w:cs="Arial"/>
        </w:rPr>
        <w:t>gastos de excesos de financiación afectada, que hay que ejecutar en los próximos ejercicios, ya que los ingresos vinculados a esos gastos afectados ya se han obtenido.</w:t>
      </w:r>
    </w:p>
    <w:p w:rsidR="00E23B86" w:rsidRDefault="00BA7C13">
      <w:pPr>
        <w:spacing w:after="245" w:line="248" w:lineRule="auto"/>
        <w:ind w:left="363" w:right="552" w:firstLine="360"/>
        <w:jc w:val="both"/>
      </w:pPr>
      <w:r>
        <w:rPr>
          <w:rFonts w:ascii="Arial" w:eastAsia="Arial" w:hAnsi="Arial" w:cs="Arial"/>
        </w:rPr>
        <w:t xml:space="preserve">Esta </w:t>
      </w:r>
      <w:r>
        <w:rPr>
          <w:rFonts w:ascii="Arial" w:eastAsia="Arial" w:hAnsi="Arial" w:cs="Arial"/>
          <w:b/>
        </w:rPr>
        <w:t>situación de liquidez</w:t>
      </w:r>
      <w:r>
        <w:rPr>
          <w:rFonts w:ascii="Arial" w:eastAsia="Arial" w:hAnsi="Arial" w:cs="Arial"/>
        </w:rPr>
        <w:t xml:space="preserve"> obtenida en la liquidación de este ejercicio 2019, va a permi</w:t>
      </w:r>
      <w:r>
        <w:rPr>
          <w:rFonts w:ascii="Arial" w:eastAsia="Arial" w:hAnsi="Arial" w:cs="Arial"/>
        </w:rPr>
        <w:t>tir al Ayuntamiento generar efectivo suficiente para hacer frente a todas las obligaciones de pago que vencerán en los ejercicios siguientes plasmados en dicha magnitud, y que viene motivado por:</w:t>
      </w:r>
    </w:p>
    <w:p w:rsidR="00E23B86" w:rsidRDefault="00BA7C13">
      <w:pPr>
        <w:numPr>
          <w:ilvl w:val="0"/>
          <w:numId w:val="6"/>
        </w:numPr>
        <w:spacing w:after="233" w:line="248" w:lineRule="auto"/>
        <w:ind w:right="552" w:hanging="360"/>
        <w:jc w:val="both"/>
      </w:pPr>
      <w:r>
        <w:rPr>
          <w:rFonts w:ascii="Arial" w:eastAsia="Arial" w:hAnsi="Arial" w:cs="Arial"/>
        </w:rPr>
        <w:t>Mantenimiento de los derechos pendientes de cobro.</w:t>
      </w:r>
    </w:p>
    <w:p w:rsidR="00E23B86" w:rsidRDefault="00BA7C13">
      <w:pPr>
        <w:numPr>
          <w:ilvl w:val="0"/>
          <w:numId w:val="6"/>
        </w:numPr>
        <w:spacing w:after="245" w:line="248" w:lineRule="auto"/>
        <w:ind w:right="552" w:hanging="360"/>
        <w:jc w:val="both"/>
      </w:pPr>
      <w:r>
        <w:rPr>
          <w:rFonts w:ascii="Arial" w:eastAsia="Arial" w:hAnsi="Arial" w:cs="Arial"/>
        </w:rPr>
        <w:t>Subida un</w:t>
      </w:r>
      <w:r>
        <w:rPr>
          <w:rFonts w:ascii="Arial" w:eastAsia="Arial" w:hAnsi="Arial" w:cs="Arial"/>
        </w:rPr>
        <w:t xml:space="preserve"> 27 % de las obligaciones pendientes de pago. En este punto destacar que, a finales de diciembre, se aprobó por Decreto, una amortización anticipada de 550.000 Euros de un préstamo, que no fue cargada por el banco, hasta enero de 2020.</w:t>
      </w:r>
    </w:p>
    <w:p w:rsidR="00E23B86" w:rsidRDefault="00BA7C13">
      <w:pPr>
        <w:numPr>
          <w:ilvl w:val="0"/>
          <w:numId w:val="6"/>
        </w:numPr>
        <w:spacing w:after="501" w:line="248" w:lineRule="auto"/>
        <w:ind w:right="552" w:hanging="360"/>
        <w:jc w:val="both"/>
      </w:pPr>
      <w:r>
        <w:rPr>
          <w:noProof/>
        </w:rPr>
        <mc:AlternateContent>
          <mc:Choice Requires="wpg">
            <w:drawing>
              <wp:anchor distT="0" distB="0" distL="114300" distR="114300" simplePos="0" relativeHeight="2516705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3264" name="Group 47326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385" name="Rectangle 138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386" name="Rectangle 1386"/>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3264" style="width:12.7031pt;height:280.35pt;position:absolute;mso-position-horizontal-relative:page;mso-position-horizontal:absolute;margin-left:681.958pt;mso-position-vertical-relative:page;margin-top:531.65pt;" coordsize="1613,35604">
                <v:rect id="Rectangle 138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386"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391 </w:t>
                        </w:r>
                      </w:p>
                    </w:txbxContent>
                  </v:textbox>
                </v:rect>
                <w10:wrap type="square"/>
              </v:group>
            </w:pict>
          </mc:Fallback>
        </mc:AlternateContent>
      </w:r>
      <w:r>
        <w:rPr>
          <w:rFonts w:ascii="Arial" w:eastAsia="Arial" w:hAnsi="Arial" w:cs="Arial"/>
        </w:rPr>
        <w:t>Aumento de un 106 % (frente a la subida de un 27 % en el ejerc</w:t>
      </w:r>
      <w:r>
        <w:rPr>
          <w:rFonts w:ascii="Arial" w:eastAsia="Arial" w:hAnsi="Arial" w:cs="Arial"/>
        </w:rPr>
        <w:t>icio anterior), de los fondos líquidos del ayuntamiento. Esa subida ha sido motivada principalmente por los mayores cobros de ejercicio corrientes, como se demuestra en el siguiente cuadro:</w:t>
      </w:r>
    </w:p>
    <w:tbl>
      <w:tblPr>
        <w:tblStyle w:val="TableGrid"/>
        <w:tblW w:w="9698" w:type="dxa"/>
        <w:tblInd w:w="389" w:type="dxa"/>
        <w:tblCellMar>
          <w:top w:w="11" w:type="dxa"/>
          <w:left w:w="11" w:type="dxa"/>
          <w:bottom w:w="0" w:type="dxa"/>
          <w:right w:w="7" w:type="dxa"/>
        </w:tblCellMar>
        <w:tblLook w:val="04A0" w:firstRow="1" w:lastRow="0" w:firstColumn="1" w:lastColumn="0" w:noHBand="0" w:noVBand="1"/>
      </w:tblPr>
      <w:tblGrid>
        <w:gridCol w:w="533"/>
        <w:gridCol w:w="1250"/>
        <w:gridCol w:w="1070"/>
        <w:gridCol w:w="1185"/>
        <w:gridCol w:w="1331"/>
        <w:gridCol w:w="1265"/>
        <w:gridCol w:w="1500"/>
        <w:gridCol w:w="1564"/>
      </w:tblGrid>
      <w:tr w:rsidR="00E23B86">
        <w:trPr>
          <w:trHeight w:val="1273"/>
        </w:trPr>
        <w:tc>
          <w:tcPr>
            <w:tcW w:w="53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b/>
              </w:rPr>
              <w:t>AÑO</w:t>
            </w:r>
          </w:p>
        </w:tc>
        <w:tc>
          <w:tcPr>
            <w:tcW w:w="12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13"/>
            </w:pPr>
            <w:r>
              <w:rPr>
                <w:rFonts w:ascii="Arial" w:eastAsia="Arial" w:hAnsi="Arial" w:cs="Arial"/>
                <w:b/>
              </w:rPr>
              <w:t>COBROS</w:t>
            </w:r>
          </w:p>
          <w:p w:rsidR="00E23B86" w:rsidRDefault="00BA7C13">
            <w:pPr>
              <w:spacing w:after="0"/>
              <w:ind w:left="113"/>
              <w:jc w:val="both"/>
            </w:pPr>
            <w:r>
              <w:rPr>
                <w:rFonts w:ascii="Arial" w:eastAsia="Arial" w:hAnsi="Arial" w:cs="Arial"/>
                <w:b/>
              </w:rPr>
              <w:t>EJERCICI</w:t>
            </w:r>
          </w:p>
          <w:p w:rsidR="00E23B86" w:rsidRDefault="00BA7C13">
            <w:pPr>
              <w:spacing w:after="0"/>
              <w:ind w:left="113"/>
            </w:pPr>
            <w:r>
              <w:rPr>
                <w:rFonts w:ascii="Arial" w:eastAsia="Arial" w:hAnsi="Arial" w:cs="Arial"/>
                <w:b/>
              </w:rPr>
              <w:t>O</w:t>
            </w:r>
          </w:p>
          <w:p w:rsidR="00E23B86" w:rsidRDefault="00BA7C13">
            <w:pPr>
              <w:spacing w:after="0"/>
              <w:ind w:left="113"/>
              <w:jc w:val="both"/>
            </w:pPr>
            <w:r>
              <w:rPr>
                <w:rFonts w:ascii="Arial" w:eastAsia="Arial" w:hAnsi="Arial" w:cs="Arial"/>
                <w:b/>
              </w:rPr>
              <w:t>CORRIEN</w:t>
            </w:r>
          </w:p>
          <w:p w:rsidR="00E23B86" w:rsidRDefault="00BA7C13">
            <w:pPr>
              <w:spacing w:after="0"/>
              <w:ind w:left="113"/>
            </w:pPr>
            <w:r>
              <w:rPr>
                <w:rFonts w:ascii="Arial" w:eastAsia="Arial" w:hAnsi="Arial" w:cs="Arial"/>
                <w:b/>
              </w:rPr>
              <w:t>TE</w:t>
            </w:r>
          </w:p>
        </w:tc>
        <w:tc>
          <w:tcPr>
            <w:tcW w:w="107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b/>
              </w:rPr>
              <w:t>COBROS</w:t>
            </w:r>
          </w:p>
          <w:p w:rsidR="00E23B86" w:rsidRDefault="00BA7C13">
            <w:pPr>
              <w:spacing w:after="0"/>
            </w:pPr>
            <w:r>
              <w:rPr>
                <w:rFonts w:ascii="Arial" w:eastAsia="Arial" w:hAnsi="Arial" w:cs="Arial"/>
                <w:b/>
              </w:rPr>
              <w:t>AÑOS</w:t>
            </w:r>
          </w:p>
          <w:p w:rsidR="00E23B86" w:rsidRDefault="00BA7C13">
            <w:pPr>
              <w:spacing w:after="0"/>
              <w:jc w:val="both"/>
            </w:pPr>
            <w:r>
              <w:rPr>
                <w:rFonts w:ascii="Arial" w:eastAsia="Arial" w:hAnsi="Arial" w:cs="Arial"/>
                <w:b/>
              </w:rPr>
              <w:t>ANTERIO</w:t>
            </w:r>
          </w:p>
          <w:p w:rsidR="00E23B86" w:rsidRDefault="00BA7C13">
            <w:pPr>
              <w:spacing w:after="0"/>
            </w:pPr>
            <w:r>
              <w:rPr>
                <w:rFonts w:ascii="Arial" w:eastAsia="Arial" w:hAnsi="Arial" w:cs="Arial"/>
                <w:b/>
              </w:rPr>
              <w:t>RES</w:t>
            </w:r>
          </w:p>
        </w:tc>
        <w:tc>
          <w:tcPr>
            <w:tcW w:w="1185"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b/>
              </w:rPr>
              <w:t>INGRESOS</w:t>
            </w:r>
          </w:p>
          <w:p w:rsidR="00E23B86" w:rsidRDefault="00BA7C13">
            <w:pPr>
              <w:spacing w:after="0"/>
            </w:pPr>
            <w:r>
              <w:rPr>
                <w:rFonts w:ascii="Arial" w:eastAsia="Arial" w:hAnsi="Arial" w:cs="Arial"/>
                <w:b/>
              </w:rPr>
              <w:t>NO</w:t>
            </w:r>
          </w:p>
          <w:p w:rsidR="00E23B86" w:rsidRDefault="00BA7C13">
            <w:pPr>
              <w:spacing w:after="0"/>
              <w:jc w:val="both"/>
            </w:pPr>
            <w:r>
              <w:rPr>
                <w:rFonts w:ascii="Arial" w:eastAsia="Arial" w:hAnsi="Arial" w:cs="Arial"/>
                <w:b/>
              </w:rPr>
              <w:t>PRESUPU</w:t>
            </w:r>
          </w:p>
          <w:p w:rsidR="00E23B86" w:rsidRDefault="00BA7C13">
            <w:pPr>
              <w:spacing w:after="0"/>
              <w:jc w:val="both"/>
            </w:pPr>
            <w:r>
              <w:rPr>
                <w:rFonts w:ascii="Arial" w:eastAsia="Arial" w:hAnsi="Arial" w:cs="Arial"/>
                <w:b/>
              </w:rPr>
              <w:t>ESTARIOS</w:t>
            </w:r>
          </w:p>
        </w:tc>
        <w:tc>
          <w:tcPr>
            <w:tcW w:w="133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b/>
              </w:rPr>
              <w:t>PAGOS DEL</w:t>
            </w:r>
          </w:p>
          <w:p w:rsidR="00E23B86" w:rsidRDefault="00BA7C13">
            <w:pPr>
              <w:spacing w:after="0"/>
            </w:pPr>
            <w:r>
              <w:rPr>
                <w:rFonts w:ascii="Arial" w:eastAsia="Arial" w:hAnsi="Arial" w:cs="Arial"/>
                <w:b/>
              </w:rPr>
              <w:t>EJERCICIO</w:t>
            </w:r>
          </w:p>
          <w:p w:rsidR="00E23B86" w:rsidRDefault="00BA7C13">
            <w:pPr>
              <w:spacing w:after="0"/>
              <w:jc w:val="both"/>
            </w:pPr>
            <w:r>
              <w:rPr>
                <w:rFonts w:ascii="Arial" w:eastAsia="Arial" w:hAnsi="Arial" w:cs="Arial"/>
                <w:b/>
              </w:rPr>
              <w:t>CORRIENTE</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b/>
              </w:rPr>
              <w:t>PAGOS DE</w:t>
            </w:r>
          </w:p>
          <w:p w:rsidR="00E23B86" w:rsidRDefault="00BA7C13">
            <w:pPr>
              <w:spacing w:after="0"/>
              <w:ind w:left="1"/>
            </w:pPr>
            <w:r>
              <w:rPr>
                <w:rFonts w:ascii="Arial" w:eastAsia="Arial" w:hAnsi="Arial" w:cs="Arial"/>
                <w:b/>
              </w:rPr>
              <w:t>AÑOS</w:t>
            </w:r>
          </w:p>
          <w:p w:rsidR="00E23B86" w:rsidRDefault="00BA7C13">
            <w:pPr>
              <w:spacing w:after="0"/>
              <w:ind w:left="1"/>
              <w:jc w:val="both"/>
            </w:pPr>
            <w:r>
              <w:rPr>
                <w:rFonts w:ascii="Arial" w:eastAsia="Arial" w:hAnsi="Arial" w:cs="Arial"/>
                <w:b/>
              </w:rPr>
              <w:t>ANTERIOR</w:t>
            </w:r>
          </w:p>
          <w:p w:rsidR="00E23B86" w:rsidRDefault="00BA7C13">
            <w:pPr>
              <w:spacing w:after="0"/>
              <w:ind w:left="1"/>
            </w:pPr>
            <w:r>
              <w:rPr>
                <w:rFonts w:ascii="Arial" w:eastAsia="Arial" w:hAnsi="Arial" w:cs="Arial"/>
                <w:b/>
              </w:rPr>
              <w:t>ES</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b/>
              </w:rPr>
              <w:t>PAGOS NO</w:t>
            </w:r>
          </w:p>
          <w:p w:rsidR="00E23B86" w:rsidRDefault="00BA7C13">
            <w:pPr>
              <w:spacing w:after="0"/>
              <w:jc w:val="both"/>
            </w:pPr>
            <w:r>
              <w:rPr>
                <w:rFonts w:ascii="Arial" w:eastAsia="Arial" w:hAnsi="Arial" w:cs="Arial"/>
                <w:b/>
              </w:rPr>
              <w:t>PRESUPUES</w:t>
            </w:r>
          </w:p>
          <w:p w:rsidR="00E23B86" w:rsidRDefault="00BA7C13">
            <w:pPr>
              <w:spacing w:after="0"/>
            </w:pPr>
            <w:r>
              <w:rPr>
                <w:rFonts w:ascii="Arial" w:eastAsia="Arial" w:hAnsi="Arial" w:cs="Arial"/>
                <w:b/>
              </w:rPr>
              <w:t>TARIOS</w:t>
            </w:r>
          </w:p>
        </w:tc>
        <w:tc>
          <w:tcPr>
            <w:tcW w:w="156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DIFERENCIA</w:t>
            </w:r>
          </w:p>
          <w:p w:rsidR="00E23B86" w:rsidRDefault="00BA7C13">
            <w:pPr>
              <w:spacing w:after="0"/>
            </w:pPr>
            <w:r>
              <w:rPr>
                <w:rFonts w:ascii="Arial" w:eastAsia="Arial" w:hAnsi="Arial" w:cs="Arial"/>
                <w:b/>
              </w:rPr>
              <w:t>ENTRE</w:t>
            </w:r>
          </w:p>
          <w:p w:rsidR="00E23B86" w:rsidRDefault="00BA7C13">
            <w:pPr>
              <w:tabs>
                <w:tab w:val="center" w:pos="1152"/>
                <w:tab w:val="right" w:pos="1546"/>
              </w:tabs>
              <w:spacing w:after="0"/>
            </w:pPr>
            <w:r>
              <w:rPr>
                <w:rFonts w:ascii="Arial" w:eastAsia="Arial" w:hAnsi="Arial" w:cs="Arial"/>
                <w:b/>
              </w:rPr>
              <w:t>COBROS</w:t>
            </w:r>
            <w:r>
              <w:rPr>
                <w:rFonts w:ascii="Arial" w:eastAsia="Arial" w:hAnsi="Arial" w:cs="Arial"/>
                <w:b/>
              </w:rPr>
              <w:tab/>
              <w:t xml:space="preserve"> </w:t>
            </w:r>
            <w:r>
              <w:rPr>
                <w:rFonts w:ascii="Arial" w:eastAsia="Arial" w:hAnsi="Arial" w:cs="Arial"/>
                <w:b/>
              </w:rPr>
              <w:tab/>
              <w:t>Y</w:t>
            </w:r>
          </w:p>
          <w:p w:rsidR="00E23B86" w:rsidRDefault="00BA7C13">
            <w:pPr>
              <w:spacing w:after="0"/>
            </w:pPr>
            <w:r>
              <w:rPr>
                <w:rFonts w:ascii="Arial" w:eastAsia="Arial" w:hAnsi="Arial" w:cs="Arial"/>
                <w:b/>
              </w:rPr>
              <w:t>PAGOS</w:t>
            </w:r>
          </w:p>
        </w:tc>
      </w:tr>
      <w:tr w:rsidR="00E23B86">
        <w:trPr>
          <w:trHeight w:val="516"/>
        </w:trPr>
        <w:tc>
          <w:tcPr>
            <w:tcW w:w="53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2019</w:t>
            </w:r>
          </w:p>
        </w:tc>
        <w:tc>
          <w:tcPr>
            <w:tcW w:w="12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29.424.835,</w:t>
            </w:r>
          </w:p>
          <w:p w:rsidR="00E23B86" w:rsidRDefault="00BA7C13">
            <w:pPr>
              <w:spacing w:after="0"/>
              <w:ind w:left="1"/>
            </w:pPr>
            <w:r>
              <w:rPr>
                <w:rFonts w:ascii="Arial" w:eastAsia="Arial" w:hAnsi="Arial" w:cs="Arial"/>
              </w:rPr>
              <w:t>67</w:t>
            </w:r>
          </w:p>
        </w:tc>
        <w:tc>
          <w:tcPr>
            <w:tcW w:w="107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556.026,6</w:t>
            </w:r>
          </w:p>
          <w:p w:rsidR="00E23B86" w:rsidRDefault="00BA7C13">
            <w:pPr>
              <w:spacing w:after="0"/>
            </w:pPr>
            <w:r>
              <w:rPr>
                <w:rFonts w:ascii="Arial" w:eastAsia="Arial" w:hAnsi="Arial" w:cs="Arial"/>
              </w:rPr>
              <w:t>8</w:t>
            </w:r>
          </w:p>
        </w:tc>
        <w:tc>
          <w:tcPr>
            <w:tcW w:w="1185"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7.461.916,5</w:t>
            </w:r>
          </w:p>
          <w:p w:rsidR="00E23B86" w:rsidRDefault="00BA7C13">
            <w:pPr>
              <w:spacing w:after="0"/>
            </w:pPr>
            <w:r>
              <w:rPr>
                <w:rFonts w:ascii="Arial" w:eastAsia="Arial" w:hAnsi="Arial" w:cs="Arial"/>
              </w:rPr>
              <w:t>1</w:t>
            </w:r>
          </w:p>
        </w:tc>
        <w:tc>
          <w:tcPr>
            <w:tcW w:w="133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22.747.251,1</w:t>
            </w:r>
          </w:p>
          <w:p w:rsidR="00E23B86" w:rsidRDefault="00BA7C13">
            <w:pPr>
              <w:spacing w:after="0"/>
            </w:pPr>
            <w:r>
              <w:rPr>
                <w:rFonts w:ascii="Arial" w:eastAsia="Arial" w:hAnsi="Arial" w:cs="Arial"/>
              </w:rPr>
              <w:t>3</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702.628,13</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7.299.830,50</w:t>
            </w:r>
          </w:p>
        </w:tc>
        <w:tc>
          <w:tcPr>
            <w:tcW w:w="156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6.693.069,10</w:t>
            </w:r>
          </w:p>
        </w:tc>
      </w:tr>
      <w:tr w:rsidR="00E23B86">
        <w:trPr>
          <w:trHeight w:val="516"/>
        </w:trPr>
        <w:tc>
          <w:tcPr>
            <w:tcW w:w="53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2018</w:t>
            </w:r>
          </w:p>
        </w:tc>
        <w:tc>
          <w:tcPr>
            <w:tcW w:w="12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26.562.407,</w:t>
            </w:r>
          </w:p>
          <w:p w:rsidR="00E23B86" w:rsidRDefault="00BA7C13">
            <w:pPr>
              <w:spacing w:after="0"/>
              <w:ind w:left="1"/>
            </w:pPr>
            <w:r>
              <w:rPr>
                <w:rFonts w:ascii="Arial" w:eastAsia="Arial" w:hAnsi="Arial" w:cs="Arial"/>
              </w:rPr>
              <w:t>83</w:t>
            </w:r>
          </w:p>
        </w:tc>
        <w:tc>
          <w:tcPr>
            <w:tcW w:w="107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581.717,8</w:t>
            </w:r>
          </w:p>
          <w:p w:rsidR="00E23B86" w:rsidRDefault="00BA7C13">
            <w:pPr>
              <w:spacing w:after="0"/>
            </w:pPr>
            <w:r>
              <w:rPr>
                <w:rFonts w:ascii="Arial" w:eastAsia="Arial" w:hAnsi="Arial" w:cs="Arial"/>
              </w:rPr>
              <w:t>7</w:t>
            </w:r>
          </w:p>
        </w:tc>
        <w:tc>
          <w:tcPr>
            <w:tcW w:w="1185"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7.757.421,6</w:t>
            </w:r>
          </w:p>
          <w:p w:rsidR="00E23B86" w:rsidRDefault="00BA7C13">
            <w:pPr>
              <w:spacing w:after="0"/>
            </w:pPr>
            <w:r>
              <w:rPr>
                <w:rFonts w:ascii="Arial" w:eastAsia="Arial" w:hAnsi="Arial" w:cs="Arial"/>
              </w:rPr>
              <w:t>0</w:t>
            </w:r>
          </w:p>
        </w:tc>
        <w:tc>
          <w:tcPr>
            <w:tcW w:w="133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23.666.939,2</w:t>
            </w:r>
          </w:p>
          <w:p w:rsidR="00E23B86" w:rsidRDefault="00BA7C13">
            <w:pPr>
              <w:spacing w:after="0"/>
            </w:pPr>
            <w:r>
              <w:rPr>
                <w:rFonts w:ascii="Arial" w:eastAsia="Arial" w:hAnsi="Arial" w:cs="Arial"/>
              </w:rPr>
              <w:t>0</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287.438,18</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7.623.822,44</w:t>
            </w:r>
          </w:p>
        </w:tc>
        <w:tc>
          <w:tcPr>
            <w:tcW w:w="156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3.323.347,48</w:t>
            </w:r>
          </w:p>
        </w:tc>
      </w:tr>
      <w:tr w:rsidR="00E23B86">
        <w:trPr>
          <w:trHeight w:val="265"/>
        </w:trPr>
        <w:tc>
          <w:tcPr>
            <w:tcW w:w="534" w:type="dxa"/>
            <w:tcBorders>
              <w:top w:val="single" w:sz="4" w:space="0" w:color="000001"/>
              <w:left w:val="single" w:sz="5" w:space="0" w:color="000001"/>
              <w:bottom w:val="single" w:sz="4" w:space="0" w:color="000001"/>
              <w:right w:val="single" w:sz="4" w:space="0" w:color="000001"/>
            </w:tcBorders>
          </w:tcPr>
          <w:p w:rsidR="00E23B86" w:rsidRDefault="00E23B86"/>
        </w:tc>
        <w:tc>
          <w:tcPr>
            <w:tcW w:w="1250" w:type="dxa"/>
            <w:tcBorders>
              <w:top w:val="single" w:sz="4" w:space="0" w:color="000001"/>
              <w:left w:val="single" w:sz="4" w:space="0" w:color="000001"/>
              <w:bottom w:val="single" w:sz="4" w:space="0" w:color="000001"/>
              <w:right w:val="single" w:sz="5" w:space="0" w:color="000001"/>
            </w:tcBorders>
          </w:tcPr>
          <w:p w:rsidR="00E23B86" w:rsidRDefault="00E23B86"/>
        </w:tc>
        <w:tc>
          <w:tcPr>
            <w:tcW w:w="1070" w:type="dxa"/>
            <w:tcBorders>
              <w:top w:val="single" w:sz="4" w:space="0" w:color="000001"/>
              <w:left w:val="single" w:sz="5" w:space="0" w:color="000001"/>
              <w:bottom w:val="single" w:sz="4" w:space="0" w:color="000001"/>
              <w:right w:val="single" w:sz="4" w:space="0" w:color="000001"/>
            </w:tcBorders>
          </w:tcPr>
          <w:p w:rsidR="00E23B86" w:rsidRDefault="00E23B86"/>
        </w:tc>
        <w:tc>
          <w:tcPr>
            <w:tcW w:w="1185" w:type="dxa"/>
            <w:tcBorders>
              <w:top w:val="single" w:sz="4" w:space="0" w:color="000001"/>
              <w:left w:val="single" w:sz="4" w:space="0" w:color="000001"/>
              <w:bottom w:val="single" w:sz="4" w:space="0" w:color="000001"/>
              <w:right w:val="single" w:sz="5" w:space="0" w:color="000001"/>
            </w:tcBorders>
          </w:tcPr>
          <w:p w:rsidR="00E23B86" w:rsidRDefault="00E23B86"/>
        </w:tc>
        <w:tc>
          <w:tcPr>
            <w:tcW w:w="1331" w:type="dxa"/>
            <w:tcBorders>
              <w:top w:val="single" w:sz="4" w:space="0" w:color="000001"/>
              <w:left w:val="single" w:sz="5" w:space="0" w:color="000001"/>
              <w:bottom w:val="single" w:sz="4" w:space="0" w:color="000001"/>
              <w:right w:val="single" w:sz="4" w:space="0" w:color="000001"/>
            </w:tcBorders>
          </w:tcPr>
          <w:p w:rsidR="00E23B86" w:rsidRDefault="00E23B86"/>
        </w:tc>
        <w:tc>
          <w:tcPr>
            <w:tcW w:w="1265" w:type="dxa"/>
            <w:tcBorders>
              <w:top w:val="single" w:sz="4" w:space="0" w:color="000001"/>
              <w:left w:val="single" w:sz="4" w:space="0" w:color="000001"/>
              <w:bottom w:val="single" w:sz="4" w:space="0" w:color="000001"/>
              <w:right w:val="single" w:sz="5" w:space="0" w:color="000001"/>
            </w:tcBorders>
          </w:tcPr>
          <w:p w:rsidR="00E23B86" w:rsidRDefault="00E23B86"/>
        </w:tc>
        <w:tc>
          <w:tcPr>
            <w:tcW w:w="1500" w:type="dxa"/>
            <w:tcBorders>
              <w:top w:val="single" w:sz="4" w:space="0" w:color="000001"/>
              <w:left w:val="single" w:sz="5" w:space="0" w:color="000001"/>
              <w:bottom w:val="single" w:sz="4" w:space="0" w:color="000001"/>
              <w:right w:val="single" w:sz="4" w:space="0" w:color="000001"/>
            </w:tcBorders>
          </w:tcPr>
          <w:p w:rsidR="00E23B86" w:rsidRDefault="00E23B86"/>
        </w:tc>
        <w:tc>
          <w:tcPr>
            <w:tcW w:w="156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3.369.721,62</w:t>
            </w:r>
          </w:p>
        </w:tc>
      </w:tr>
    </w:tbl>
    <w:p w:rsidR="00E23B86" w:rsidRDefault="00BA7C13">
      <w:pPr>
        <w:spacing w:after="245" w:line="248" w:lineRule="auto"/>
        <w:ind w:left="722" w:right="552" w:hanging="10"/>
        <w:jc w:val="both"/>
      </w:pPr>
      <w:r>
        <w:rPr>
          <w:rFonts w:ascii="Arial" w:eastAsia="Arial" w:hAnsi="Arial" w:cs="Arial"/>
        </w:rPr>
        <w:t xml:space="preserve">     Se ha generado un mayor incremento de los cobros respecto de los pagos, en 3.369.721,62 Euros, en el año 2019.</w:t>
      </w:r>
    </w:p>
    <w:p w:rsidR="00E23B86" w:rsidRDefault="00BA7C13">
      <w:pPr>
        <w:numPr>
          <w:ilvl w:val="0"/>
          <w:numId w:val="6"/>
        </w:numPr>
        <w:spacing w:after="233" w:line="248" w:lineRule="auto"/>
        <w:ind w:right="552" w:hanging="360"/>
        <w:jc w:val="both"/>
      </w:pPr>
      <w:r>
        <w:rPr>
          <w:rFonts w:ascii="Arial" w:eastAsia="Arial" w:hAnsi="Arial" w:cs="Arial"/>
        </w:rPr>
        <w:t>Aumento de los saldos de dudoso cobro en un 3,8 %.</w:t>
      </w:r>
    </w:p>
    <w:p w:rsidR="00E23B86" w:rsidRDefault="00BA7C13">
      <w:pPr>
        <w:numPr>
          <w:ilvl w:val="0"/>
          <w:numId w:val="6"/>
        </w:numPr>
        <w:spacing w:after="245" w:line="248" w:lineRule="auto"/>
        <w:ind w:right="552" w:hanging="360"/>
        <w:jc w:val="both"/>
      </w:pPr>
      <w:r>
        <w:rPr>
          <w:rFonts w:ascii="Arial" w:eastAsia="Arial" w:hAnsi="Arial" w:cs="Arial"/>
        </w:rPr>
        <w:t>Caída del remanente de tesorería para gastos con financiación afectada (también denominado, exceso de financiación afectada) en un 10,4 % (en el 2018 descendió en un 136 %), procedente de dos préstamos, po</w:t>
      </w:r>
      <w:r>
        <w:rPr>
          <w:rFonts w:ascii="Arial" w:eastAsia="Arial" w:hAnsi="Arial" w:cs="Arial"/>
        </w:rPr>
        <w:t xml:space="preserve">r importe de 1.268.905,45 Euros (queda por ejecutar un total de 1.700.103 Euros) y diferentes subvenciones. </w:t>
      </w:r>
    </w:p>
    <w:p w:rsidR="00E23B86" w:rsidRDefault="00BA7C13">
      <w:pPr>
        <w:spacing w:after="245" w:line="248" w:lineRule="auto"/>
        <w:ind w:left="373" w:right="552" w:hanging="10"/>
        <w:jc w:val="both"/>
      </w:pPr>
      <w:r>
        <w:rPr>
          <w:rFonts w:ascii="Arial" w:eastAsia="Arial" w:hAnsi="Arial" w:cs="Arial"/>
        </w:rPr>
        <w:t xml:space="preserve">       Esta magnitud representa los créditos que de forma obligatoria se van a incorporar en el ejercicio siguiente, para proceder a la contabiliza</w:t>
      </w:r>
      <w:r>
        <w:rPr>
          <w:rFonts w:ascii="Arial" w:eastAsia="Arial" w:hAnsi="Arial" w:cs="Arial"/>
        </w:rPr>
        <w:t>ción del correspondiente gasto, pero también refleja la necesidad de existencia de liquidez para el pago de los mismos, que asciende en la liquidación de este ejercicio a 3.823.758,27 Euros, importe muy inferior a los fondos líquidos disponibles al final d</w:t>
      </w:r>
      <w:r>
        <w:rPr>
          <w:rFonts w:ascii="Arial" w:eastAsia="Arial" w:hAnsi="Arial" w:cs="Arial"/>
        </w:rPr>
        <w:t xml:space="preserve">el presente ejercicio, que es de 23.252.418,09 Euros. </w:t>
      </w:r>
    </w:p>
    <w:p w:rsidR="00E23B86" w:rsidRDefault="00BA7C13">
      <w:pPr>
        <w:spacing w:after="110" w:line="248" w:lineRule="auto"/>
        <w:ind w:left="363" w:right="552" w:firstLine="360"/>
        <w:jc w:val="both"/>
      </w:pPr>
      <w:r>
        <w:rPr>
          <w:rFonts w:ascii="Arial" w:eastAsia="Arial" w:hAnsi="Arial" w:cs="Arial"/>
        </w:rPr>
        <w:t>Como consecuencia de la obtención de un Remanente de Tesorería positivo, no resulta de aplicación el artículo 193 del Real Decreto Legislativo 2/2004, de 5 de marzo, por el que se aprueba el Texto Refu</w:t>
      </w:r>
      <w:r>
        <w:rPr>
          <w:rFonts w:ascii="Arial" w:eastAsia="Arial" w:hAnsi="Arial" w:cs="Arial"/>
        </w:rPr>
        <w:t>ndido de la Ley Reguladora de Haciendas Locales.</w:t>
      </w:r>
    </w:p>
    <w:p w:rsidR="00E23B86" w:rsidRDefault="00BA7C13">
      <w:pPr>
        <w:spacing w:after="245" w:line="248" w:lineRule="auto"/>
        <w:ind w:left="363" w:right="552" w:firstLine="360"/>
        <w:jc w:val="both"/>
      </w:pPr>
      <w:r>
        <w:rPr>
          <w:rFonts w:ascii="Arial" w:eastAsia="Arial" w:hAnsi="Arial" w:cs="Arial"/>
        </w:rPr>
        <w:t>Asimismo, a través del artículo 32 de la Ley Orgánica 2/2012, de Estabilidad Presupuestaria y Sostenibilidad Financiera, regula el destino finalista del superávit presupuestario de las Entidades Locales, a l</w:t>
      </w:r>
      <w:r>
        <w:rPr>
          <w:rFonts w:ascii="Arial" w:eastAsia="Arial" w:hAnsi="Arial" w:cs="Arial"/>
        </w:rPr>
        <w:t xml:space="preserve">a amortización de la deuda. </w:t>
      </w:r>
    </w:p>
    <w:p w:rsidR="00E23B86" w:rsidRDefault="00BA7C13">
      <w:pPr>
        <w:spacing w:after="243" w:line="251" w:lineRule="auto"/>
        <w:ind w:left="345" w:right="573" w:firstLine="708"/>
        <w:jc w:val="both"/>
      </w:pPr>
      <w:r>
        <w:rPr>
          <w:rFonts w:ascii="Arial" w:eastAsia="Arial" w:hAnsi="Arial" w:cs="Arial"/>
        </w:rPr>
        <w:t>En este sentido, a través de Nota Informativa del Ministerio de Hacienda y Administraciones Públicas, sobre la aplicación del artículo 32 de la ley orgánica 2/2012, de 27 de abril, de Estabilidad Presupuestaria y Sostenibilidad</w:t>
      </w:r>
      <w:r>
        <w:rPr>
          <w:rFonts w:ascii="Arial" w:eastAsia="Arial" w:hAnsi="Arial" w:cs="Arial"/>
        </w:rPr>
        <w:t xml:space="preserve"> Financiera, se señala que “</w:t>
      </w:r>
      <w:r>
        <w:rPr>
          <w:rFonts w:ascii="Arial" w:eastAsia="Arial" w:hAnsi="Arial" w:cs="Arial"/>
          <w:i/>
        </w:rPr>
        <w:t>si una entidad local presentase capacidad de financiación en términos de contabilidad nacional (esto es, superávit presupuestario) y tuviese deuda financiera pendiente de amortizar y remanente negativo de tesorería para gastos g</w:t>
      </w:r>
      <w:r>
        <w:rPr>
          <w:rFonts w:ascii="Arial" w:eastAsia="Arial" w:hAnsi="Arial" w:cs="Arial"/>
          <w:i/>
        </w:rPr>
        <w:t xml:space="preserve">enerales no estaría obligada a reducir el nivel de deuda. </w:t>
      </w:r>
    </w:p>
    <w:p w:rsidR="00E23B86" w:rsidRDefault="00BA7C13">
      <w:pPr>
        <w:spacing w:after="271" w:line="251" w:lineRule="auto"/>
        <w:ind w:left="345" w:right="573" w:firstLine="708"/>
        <w:jc w:val="both"/>
      </w:pPr>
      <w:r>
        <w:rPr>
          <w:rFonts w:ascii="Arial" w:eastAsia="Arial" w:hAnsi="Arial" w:cs="Arial"/>
          <w:i/>
        </w:rPr>
        <w:t>Pero si una entidad local presentase capacidad de financiación en términos de contabilidad nacional y tuviese deuda financiera pendiente de amortizar y remanente de tesorería positivo para gastos g</w:t>
      </w:r>
      <w:r>
        <w:rPr>
          <w:rFonts w:ascii="Arial" w:eastAsia="Arial" w:hAnsi="Arial" w:cs="Arial"/>
          <w:i/>
        </w:rPr>
        <w:t>enerales tendría que destinar aquel superávit (hasta el límite del citado remanente) a reducir el nivel de deuda, En el artículo primero, apartado quince, de la Ley Orgánica 9/12 de 20 de diciembre, de control de la deuda comercial en el sector público, se</w:t>
      </w:r>
      <w:r>
        <w:rPr>
          <w:rFonts w:ascii="Arial" w:eastAsia="Arial" w:hAnsi="Arial" w:cs="Arial"/>
          <w:i/>
        </w:rPr>
        <w:t xml:space="preserve"> recoge una nueva disposición adicional en la LOEPSF, que sería la sexta, con el siguiente texto: </w:t>
      </w:r>
    </w:p>
    <w:p w:rsidR="00E23B86" w:rsidRDefault="00BA7C13">
      <w:pPr>
        <w:numPr>
          <w:ilvl w:val="0"/>
          <w:numId w:val="7"/>
        </w:numPr>
        <w:spacing w:after="269" w:line="251" w:lineRule="auto"/>
        <w:ind w:right="573" w:hanging="10"/>
        <w:jc w:val="both"/>
      </w:pPr>
      <w:r>
        <w:rPr>
          <w:rFonts w:ascii="Arial" w:eastAsia="Arial" w:hAnsi="Arial" w:cs="Arial"/>
          <w:i/>
        </w:rPr>
        <w:t>Será de aplicación lo dispuesto en los apartados siguientes de esta disposición adicional a las Corporaciones Locales en las que concurran estas dos circunst</w:t>
      </w:r>
      <w:r>
        <w:rPr>
          <w:rFonts w:ascii="Arial" w:eastAsia="Arial" w:hAnsi="Arial" w:cs="Arial"/>
          <w:i/>
        </w:rPr>
        <w:t>ancias:</w:t>
      </w:r>
    </w:p>
    <w:p w:rsidR="00E23B86" w:rsidRDefault="00BA7C13">
      <w:pPr>
        <w:numPr>
          <w:ilvl w:val="1"/>
          <w:numId w:val="7"/>
        </w:numPr>
        <w:spacing w:after="0" w:line="251" w:lineRule="auto"/>
        <w:ind w:right="573" w:hanging="10"/>
        <w:jc w:val="both"/>
      </w:pPr>
      <w:r>
        <w:rPr>
          <w:noProof/>
        </w:rPr>
        <mc:AlternateContent>
          <mc:Choice Requires="wpg">
            <w:drawing>
              <wp:anchor distT="0" distB="0" distL="114300" distR="114300" simplePos="0" relativeHeight="2516715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9776" name="Group 47977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465" name="Rectangle 146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466" name="Rectangle 1466"/>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13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9776" style="width:12.7031pt;height:280.35pt;position:absolute;mso-position-horizontal-relative:page;mso-position-horizontal:absolute;margin-left:681.958pt;mso-position-vertical-relative:page;margin-top:531.65pt;" coordsize="1613,35604">
                <v:rect id="Rectangle 146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466"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391 </w:t>
                        </w:r>
                      </w:p>
                    </w:txbxContent>
                  </v:textbox>
                </v:rect>
                <w10:wrap type="square"/>
              </v:group>
            </w:pict>
          </mc:Fallback>
        </mc:AlternateContent>
      </w:r>
      <w:r>
        <w:rPr>
          <w:rFonts w:ascii="Arial" w:eastAsia="Arial" w:hAnsi="Arial" w:cs="Arial"/>
          <w:i/>
        </w:rPr>
        <w:t>Cumplan o no superen los límites que fije la legislación reguladora de las Haciendas Locales en materia de autorización de operaciones de endeudamiento.</w:t>
      </w:r>
    </w:p>
    <w:p w:rsidR="00E23B86" w:rsidRDefault="00BA7C13">
      <w:pPr>
        <w:numPr>
          <w:ilvl w:val="1"/>
          <w:numId w:val="7"/>
        </w:numPr>
        <w:spacing w:after="269" w:line="251" w:lineRule="auto"/>
        <w:ind w:right="573" w:hanging="10"/>
        <w:jc w:val="both"/>
      </w:pPr>
      <w:r>
        <w:rPr>
          <w:rFonts w:ascii="Arial" w:eastAsia="Arial" w:hAnsi="Arial" w:cs="Arial"/>
          <w:i/>
        </w:rPr>
        <w:t>Que presenten en el ejercicio anterior simultáneamente superávit en términos de contabilidad nacional y</w:t>
      </w:r>
      <w:r>
        <w:rPr>
          <w:rFonts w:ascii="Arial" w:eastAsia="Arial" w:hAnsi="Arial" w:cs="Arial"/>
          <w:i/>
        </w:rPr>
        <w:t xml:space="preserve"> remanente de tesorería positivo para gastos generales, una vez descontado el efecto de las medidas especiales de financiación que se instrumenten en el marco de la disposición adicional primera de esta Ley.</w:t>
      </w:r>
    </w:p>
    <w:p w:rsidR="00E23B86" w:rsidRDefault="00BA7C13">
      <w:pPr>
        <w:numPr>
          <w:ilvl w:val="0"/>
          <w:numId w:val="7"/>
        </w:numPr>
        <w:spacing w:after="269" w:line="251" w:lineRule="auto"/>
        <w:ind w:right="573" w:hanging="10"/>
        <w:jc w:val="both"/>
      </w:pPr>
      <w:r>
        <w:rPr>
          <w:rFonts w:ascii="Arial" w:eastAsia="Arial" w:hAnsi="Arial" w:cs="Arial"/>
          <w:i/>
        </w:rPr>
        <w:t>En el año 2014, a los efectos de la aplicación d</w:t>
      </w:r>
      <w:r>
        <w:rPr>
          <w:rFonts w:ascii="Arial" w:eastAsia="Arial" w:hAnsi="Arial" w:cs="Arial"/>
          <w:i/>
        </w:rPr>
        <w:t>el artículo 32, relativo al destino del superávit presupuestario, se tendrá en cuenta lo siguiente:</w:t>
      </w:r>
    </w:p>
    <w:p w:rsidR="00E23B86" w:rsidRDefault="00BA7C13">
      <w:pPr>
        <w:numPr>
          <w:ilvl w:val="1"/>
          <w:numId w:val="7"/>
        </w:numPr>
        <w:spacing w:after="0" w:line="251" w:lineRule="auto"/>
        <w:ind w:right="573" w:hanging="10"/>
        <w:jc w:val="both"/>
      </w:pPr>
      <w:r>
        <w:rPr>
          <w:rFonts w:ascii="Arial" w:eastAsia="Arial" w:hAnsi="Arial" w:cs="Arial"/>
          <w:i/>
        </w:rPr>
        <w:t xml:space="preserve">Las Corporaciones Locales deberán destinar, en primer lugar, el superávit en contabilidad nacional o, si fuera menor, el remanente de tesorería para gastos </w:t>
      </w:r>
      <w:r>
        <w:rPr>
          <w:rFonts w:ascii="Arial" w:eastAsia="Arial" w:hAnsi="Arial" w:cs="Arial"/>
          <w:i/>
        </w:rPr>
        <w:t>generales a atender las obligaciones pendientes de aplicar a presupuesto contabilizadas a 31 de diciembre del ejercicio anterior en la cuenta de «Acreedores por operaciones pendientes de aplicar a presupuesto», o equivalentes en los términos establecidos e</w:t>
      </w:r>
      <w:r>
        <w:rPr>
          <w:rFonts w:ascii="Arial" w:eastAsia="Arial" w:hAnsi="Arial" w:cs="Arial"/>
          <w:i/>
        </w:rPr>
        <w:t>n la normativa contable y presupuestaria que resulta de aplicación, y a cancelar, con posterioridad, el resto de obligaciones pendientes de pago con proveedores, contabilizadas y aplicadas a cierre del ejercicio anterior.</w:t>
      </w:r>
    </w:p>
    <w:p w:rsidR="00E23B86" w:rsidRDefault="00BA7C13">
      <w:pPr>
        <w:numPr>
          <w:ilvl w:val="1"/>
          <w:numId w:val="7"/>
        </w:numPr>
        <w:spacing w:after="0" w:line="251" w:lineRule="auto"/>
        <w:ind w:right="573" w:hanging="10"/>
        <w:jc w:val="both"/>
      </w:pPr>
      <w:r>
        <w:rPr>
          <w:rFonts w:ascii="Arial" w:eastAsia="Arial" w:hAnsi="Arial" w:cs="Arial"/>
          <w:i/>
        </w:rPr>
        <w:t>En el caso de que, atendidas las o</w:t>
      </w:r>
      <w:r>
        <w:rPr>
          <w:rFonts w:ascii="Arial" w:eastAsia="Arial" w:hAnsi="Arial" w:cs="Arial"/>
          <w:i/>
        </w:rPr>
        <w:t>bligaciones citadas en la letra a) anterior, el importe señalado en la letra a) anterior se mantuviese con signo positivo y la Corporación Local optase a la aplicación de lo dispuesto en la letra c) siguiente, se deberá destinar, como mínimo, el porcentaje</w:t>
      </w:r>
      <w:r>
        <w:rPr>
          <w:rFonts w:ascii="Arial" w:eastAsia="Arial" w:hAnsi="Arial" w:cs="Arial"/>
          <w:i/>
        </w:rPr>
        <w:t xml:space="preserve"> de este saldo para amortizar operaciones de endeudamiento que estén vigentes que sea necesario para que la Corporación Local no incurra en déficit en términos de contabilidad nacional en dicho ejercicio 2014.</w:t>
      </w:r>
    </w:p>
    <w:p w:rsidR="00E23B86" w:rsidRDefault="00BA7C13">
      <w:pPr>
        <w:numPr>
          <w:ilvl w:val="1"/>
          <w:numId w:val="7"/>
        </w:numPr>
        <w:spacing w:after="269" w:line="251" w:lineRule="auto"/>
        <w:ind w:right="573" w:hanging="10"/>
        <w:jc w:val="both"/>
      </w:pPr>
      <w:r>
        <w:rPr>
          <w:rFonts w:ascii="Arial" w:eastAsia="Arial" w:hAnsi="Arial" w:cs="Arial"/>
          <w:i/>
        </w:rPr>
        <w:t xml:space="preserve">Si cumplido lo previsto en las letras a) y b) </w:t>
      </w:r>
      <w:r>
        <w:rPr>
          <w:rFonts w:ascii="Arial" w:eastAsia="Arial" w:hAnsi="Arial" w:cs="Arial"/>
          <w:i/>
        </w:rPr>
        <w:t>anteriores la Corporación Local tuviera un saldo positivo del importe señalado en la letra a), éste se podrá destinar a financiar inversiones siempre que a lo largo de la vida útil de la inversión ésta sea financieramente sostenible. A estos efectos la ley</w:t>
      </w:r>
      <w:r>
        <w:rPr>
          <w:rFonts w:ascii="Arial" w:eastAsia="Arial" w:hAnsi="Arial" w:cs="Arial"/>
          <w:i/>
        </w:rPr>
        <w:t xml:space="preserve"> determinará tanto los requisitos formales como los parámetros que permitan calificar una inversión como financieramente sostenible, para lo que se valorará especialmente su contribución al crecimiento económico a largo plazo.</w:t>
      </w:r>
    </w:p>
    <w:p w:rsidR="00E23B86" w:rsidRDefault="00BA7C13">
      <w:pPr>
        <w:spacing w:after="271" w:line="248" w:lineRule="auto"/>
        <w:ind w:left="373" w:right="552" w:hanging="10"/>
        <w:jc w:val="both"/>
      </w:pPr>
      <w:r>
        <w:rPr>
          <w:rFonts w:ascii="Arial" w:eastAsia="Arial" w:hAnsi="Arial" w:cs="Arial"/>
        </w:rPr>
        <w:t xml:space="preserve">         Para aplicar lo prev</w:t>
      </w:r>
      <w:r>
        <w:rPr>
          <w:rFonts w:ascii="Arial" w:eastAsia="Arial" w:hAnsi="Arial" w:cs="Arial"/>
        </w:rPr>
        <w:t>isto en el párrafo anterior, además será necesario que el período medio de pago a los proveedores de la Corporación Local, de acuerdo con los datos publicados, no supere el plazo máximo de pago previsto en la normativa sobre morosidad. En el último trimest</w:t>
      </w:r>
      <w:r>
        <w:rPr>
          <w:rFonts w:ascii="Arial" w:eastAsia="Arial" w:hAnsi="Arial" w:cs="Arial"/>
        </w:rPr>
        <w:t>re del año 2019, se elevó a 24,82 días.</w:t>
      </w:r>
    </w:p>
    <w:p w:rsidR="00E23B86" w:rsidRDefault="00BA7C13">
      <w:pPr>
        <w:spacing w:after="245" w:line="248" w:lineRule="auto"/>
        <w:ind w:left="363" w:right="552" w:firstLine="708"/>
        <w:jc w:val="both"/>
      </w:pPr>
      <w:r>
        <w:rPr>
          <w:rFonts w:ascii="Arial" w:eastAsia="Arial" w:hAnsi="Arial" w:cs="Arial"/>
        </w:rPr>
        <w:t>Hasta la fecha, está pendiente la prórroga para el ejercicio 2020, el destino del superávit presupuestario de las Corporaciones Locales para inversiones financieramente sostenibles, no así para las inversiones sosten</w:t>
      </w:r>
      <w:r>
        <w:rPr>
          <w:rFonts w:ascii="Arial" w:eastAsia="Arial" w:hAnsi="Arial" w:cs="Arial"/>
        </w:rPr>
        <w:t>ibles con cargo a la liquidación del ejercicio 2018, pendiente de la aprobación del presente expediente, para continuar su ejecución.</w:t>
      </w:r>
    </w:p>
    <w:p w:rsidR="00E23B86" w:rsidRDefault="00BA7C13">
      <w:pPr>
        <w:spacing w:after="245" w:line="248" w:lineRule="auto"/>
        <w:ind w:left="363" w:right="552" w:firstLine="708"/>
        <w:jc w:val="both"/>
      </w:pPr>
      <w:r>
        <w:rPr>
          <w:rFonts w:ascii="Arial" w:eastAsia="Arial" w:hAnsi="Arial" w:cs="Arial"/>
        </w:rPr>
        <w:t xml:space="preserve">Con la aprobación del Real Decreto que permita la prórroga, se autorizaría la inversión del superávit del ejercicio 2019, </w:t>
      </w:r>
      <w:r>
        <w:rPr>
          <w:rFonts w:ascii="Arial" w:eastAsia="Arial" w:hAnsi="Arial" w:cs="Arial"/>
        </w:rPr>
        <w:t>de las Entidades Locales.</w:t>
      </w:r>
    </w:p>
    <w:p w:rsidR="00E23B86" w:rsidRDefault="00BA7C13">
      <w:pPr>
        <w:spacing w:after="320" w:line="248" w:lineRule="auto"/>
        <w:ind w:left="363" w:right="552" w:firstLine="708"/>
        <w:jc w:val="both"/>
      </w:pPr>
      <w:r>
        <w:rPr>
          <w:noProof/>
        </w:rPr>
        <mc:AlternateContent>
          <mc:Choice Requires="wpg">
            <w:drawing>
              <wp:anchor distT="0" distB="0" distL="114300" distR="114300" simplePos="0" relativeHeight="2516725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9171" name="Group 46917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540" name="Rectangle 154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541" name="Rectangle 1541"/>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14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9171" style="width:12.7031pt;height:280.35pt;position:absolute;mso-position-horizontal-relative:page;mso-position-horizontal:absolute;margin-left:681.958pt;mso-position-vertical-relative:page;margin-top:531.65pt;" coordsize="1613,35604">
                <v:rect id="Rectangle 154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541"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391 </w:t>
                        </w:r>
                      </w:p>
                    </w:txbxContent>
                  </v:textbox>
                </v:rect>
                <w10:wrap type="square"/>
              </v:group>
            </w:pict>
          </mc:Fallback>
        </mc:AlternateContent>
      </w:r>
      <w:r>
        <w:rPr>
          <w:rFonts w:ascii="Arial" w:eastAsia="Arial" w:hAnsi="Arial" w:cs="Arial"/>
        </w:rPr>
        <w:t>Así las cosas, tras la prórroga de la D.A. 6ª de la Ley Orgánica 2/2012, de 27 de abril, existen dos posibles formas de aplicar el superávit presupuestario derivado de la liquidación del ejercicio 2019:</w:t>
      </w:r>
    </w:p>
    <w:p w:rsidR="00E23B86" w:rsidRDefault="00BA7C13">
      <w:pPr>
        <w:numPr>
          <w:ilvl w:val="0"/>
          <w:numId w:val="8"/>
        </w:numPr>
        <w:spacing w:after="12" w:line="248" w:lineRule="auto"/>
        <w:ind w:right="552" w:hanging="360"/>
        <w:jc w:val="both"/>
      </w:pPr>
      <w:r>
        <w:rPr>
          <w:rFonts w:ascii="Arial" w:eastAsia="Arial" w:hAnsi="Arial" w:cs="Arial"/>
        </w:rPr>
        <w:t>Amortización de deuda (art. 32 LOEPYSF)</w:t>
      </w:r>
    </w:p>
    <w:p w:rsidR="00E23B86" w:rsidRDefault="00BA7C13">
      <w:pPr>
        <w:numPr>
          <w:ilvl w:val="0"/>
          <w:numId w:val="8"/>
        </w:numPr>
        <w:spacing w:after="269" w:line="248" w:lineRule="auto"/>
        <w:ind w:right="552" w:hanging="360"/>
        <w:jc w:val="both"/>
      </w:pPr>
      <w:r>
        <w:rPr>
          <w:rFonts w:ascii="Arial" w:eastAsia="Arial" w:hAnsi="Arial" w:cs="Arial"/>
        </w:rPr>
        <w:t>Destinos alte</w:t>
      </w:r>
      <w:r>
        <w:rPr>
          <w:rFonts w:ascii="Arial" w:eastAsia="Arial" w:hAnsi="Arial" w:cs="Arial"/>
        </w:rPr>
        <w:t>rnativos: aplicación del saldo de la cuenta 413, realización de inversiones financieramente sostenibles, o amortización.</w:t>
      </w:r>
    </w:p>
    <w:p w:rsidR="00E23B86" w:rsidRDefault="00BA7C13">
      <w:pPr>
        <w:spacing w:after="273" w:line="248" w:lineRule="auto"/>
        <w:ind w:left="363" w:right="552" w:firstLine="682"/>
        <w:jc w:val="both"/>
      </w:pPr>
      <w:r>
        <w:rPr>
          <w:rFonts w:ascii="Arial" w:eastAsia="Arial" w:hAnsi="Arial" w:cs="Arial"/>
        </w:rPr>
        <w:t>Cabe Destacar que, de acuerdo a los datos obtenidos en la liquidación del ejercicio 2019, el Ayuntamiento de Candelaria, cumple los niv</w:t>
      </w:r>
      <w:r>
        <w:rPr>
          <w:rFonts w:ascii="Arial" w:eastAsia="Arial" w:hAnsi="Arial" w:cs="Arial"/>
        </w:rPr>
        <w:t>eles de endeudamiento y superávit en términos de contabilidad nacional y remanente de tesorería positivo para gastos generales, por lo que es posible la incorporación de remanentes de crédito en el ejercicio 2020.</w:t>
      </w:r>
    </w:p>
    <w:p w:rsidR="00E23B86" w:rsidRDefault="00BA7C13">
      <w:pPr>
        <w:spacing w:after="485" w:line="248" w:lineRule="auto"/>
        <w:ind w:left="363" w:right="552" w:firstLine="708"/>
        <w:jc w:val="both"/>
      </w:pPr>
      <w:r>
        <w:rPr>
          <w:rFonts w:ascii="Arial" w:eastAsia="Arial" w:hAnsi="Arial" w:cs="Arial"/>
        </w:rPr>
        <w:t xml:space="preserve">En la Liquidación de este ejercicio 2019, </w:t>
      </w:r>
      <w:r>
        <w:rPr>
          <w:rFonts w:ascii="Arial" w:eastAsia="Arial" w:hAnsi="Arial" w:cs="Arial"/>
        </w:rPr>
        <w:t>se han obtenido unas variables económicas financieras que han tenido una buena evolución y que se refleja en el cumplimiento de los cinco indicadores de saneamiento y condicionantes de libre disposición, que se imponen para la distribución del Fondo Canari</w:t>
      </w:r>
      <w:r>
        <w:rPr>
          <w:rFonts w:ascii="Arial" w:eastAsia="Arial" w:hAnsi="Arial" w:cs="Arial"/>
        </w:rPr>
        <w:t>o de Financiación Municipal, esto es, remanente de tesorería para gastos generales, gestión recaudatoria, endeudamiento a largo plazo, esfuerzo fiscal y el ratio de Ahorro Neto.</w:t>
      </w:r>
    </w:p>
    <w:p w:rsidR="00E23B86" w:rsidRDefault="00BA7C13">
      <w:pPr>
        <w:spacing w:after="323" w:line="248" w:lineRule="auto"/>
        <w:ind w:left="373" w:right="552" w:hanging="10"/>
        <w:jc w:val="both"/>
      </w:pPr>
      <w:r>
        <w:rPr>
          <w:rFonts w:ascii="Arial" w:eastAsia="Arial" w:hAnsi="Arial" w:cs="Arial"/>
        </w:rPr>
        <w:t xml:space="preserve"> Para el cálculo de las citados ratios, hay que determinar los derechos liquid</w:t>
      </w:r>
      <w:r>
        <w:rPr>
          <w:rFonts w:ascii="Arial" w:eastAsia="Arial" w:hAnsi="Arial" w:cs="Arial"/>
        </w:rPr>
        <w:t>ados corrientes, que importa la cantidad de 26.527.733,91 Euros, con el siguiente detalle:</w:t>
      </w:r>
    </w:p>
    <w:p w:rsidR="00E23B86" w:rsidRDefault="00BA7C13">
      <w:pPr>
        <w:numPr>
          <w:ilvl w:val="0"/>
          <w:numId w:val="8"/>
        </w:numPr>
        <w:spacing w:after="110" w:line="248" w:lineRule="auto"/>
        <w:ind w:right="552" w:hanging="360"/>
        <w:jc w:val="both"/>
      </w:pPr>
      <w:r>
        <w:rPr>
          <w:rFonts w:ascii="Arial" w:eastAsia="Arial" w:hAnsi="Arial" w:cs="Arial"/>
        </w:rPr>
        <w:t>Capítulo I de Impuestos Directos: 8.438.336,78 Euros.</w:t>
      </w:r>
    </w:p>
    <w:p w:rsidR="00E23B86" w:rsidRDefault="00BA7C13">
      <w:pPr>
        <w:numPr>
          <w:ilvl w:val="0"/>
          <w:numId w:val="8"/>
        </w:numPr>
        <w:spacing w:after="12" w:line="248" w:lineRule="auto"/>
        <w:ind w:right="552" w:hanging="360"/>
        <w:jc w:val="both"/>
      </w:pPr>
      <w:r>
        <w:rPr>
          <w:rFonts w:ascii="Arial" w:eastAsia="Arial" w:hAnsi="Arial" w:cs="Arial"/>
        </w:rPr>
        <w:t>Capítulo II de Impuestos Indirectos: 4.757.714,66 Euros.</w:t>
      </w:r>
    </w:p>
    <w:p w:rsidR="00E23B86" w:rsidRDefault="00BA7C13">
      <w:pPr>
        <w:numPr>
          <w:ilvl w:val="0"/>
          <w:numId w:val="8"/>
        </w:numPr>
        <w:spacing w:after="0" w:line="265" w:lineRule="auto"/>
        <w:ind w:right="552" w:hanging="360"/>
        <w:jc w:val="both"/>
      </w:pPr>
      <w:r>
        <w:rPr>
          <w:rFonts w:ascii="Arial" w:eastAsia="Arial" w:hAnsi="Arial" w:cs="Arial"/>
        </w:rPr>
        <w:t>Capítulo III de Tasas, Precios Públicos y Otros Ingresos: 2.497.963,94 Euros.</w:t>
      </w:r>
    </w:p>
    <w:p w:rsidR="00E23B86" w:rsidRDefault="00BA7C13">
      <w:pPr>
        <w:numPr>
          <w:ilvl w:val="0"/>
          <w:numId w:val="8"/>
        </w:numPr>
        <w:spacing w:after="12" w:line="248" w:lineRule="auto"/>
        <w:ind w:right="552" w:hanging="360"/>
        <w:jc w:val="both"/>
      </w:pPr>
      <w:r>
        <w:rPr>
          <w:rFonts w:ascii="Arial" w:eastAsia="Arial" w:hAnsi="Arial" w:cs="Arial"/>
        </w:rPr>
        <w:t>Capítulo IV de Transferencias Corrientes: 10.804.057,40 Euros.</w:t>
      </w:r>
    </w:p>
    <w:p w:rsidR="00E23B86" w:rsidRDefault="00BA7C13">
      <w:pPr>
        <w:numPr>
          <w:ilvl w:val="0"/>
          <w:numId w:val="8"/>
        </w:numPr>
        <w:spacing w:after="309" w:line="248" w:lineRule="auto"/>
        <w:ind w:right="552" w:hanging="360"/>
        <w:jc w:val="both"/>
      </w:pPr>
      <w:r>
        <w:rPr>
          <w:rFonts w:ascii="Arial" w:eastAsia="Arial" w:hAnsi="Arial" w:cs="Arial"/>
        </w:rPr>
        <w:t>Capítulo V de Ingresos Patrimoniales: 29.661,13 Euros.</w:t>
      </w:r>
    </w:p>
    <w:p w:rsidR="00E23B86" w:rsidRDefault="00BA7C13">
      <w:pPr>
        <w:spacing w:after="245" w:line="248" w:lineRule="auto"/>
        <w:ind w:left="363" w:right="552" w:firstLine="708"/>
        <w:jc w:val="both"/>
      </w:pPr>
      <w:r>
        <w:rPr>
          <w:rFonts w:ascii="Arial" w:eastAsia="Arial" w:hAnsi="Arial" w:cs="Arial"/>
        </w:rPr>
        <w:t>Para el cálculo de los Ratios del Ahorro Neto y Endeudamient</w:t>
      </w:r>
      <w:r>
        <w:rPr>
          <w:rFonts w:ascii="Arial" w:eastAsia="Arial" w:hAnsi="Arial" w:cs="Arial"/>
        </w:rPr>
        <w:t>o a Largo Plazo hay que tener en cuenta la Disposición final trigésima tercera de la Ley 17/2012, de 27 de junio, de Presupuestos Generales del Estado para el año 2013, que modifica el Real Decreto-ley 20/2011, de 30 de diciembre, de medidas urgentes en ma</w:t>
      </w:r>
      <w:r>
        <w:rPr>
          <w:rFonts w:ascii="Arial" w:eastAsia="Arial" w:hAnsi="Arial" w:cs="Arial"/>
        </w:rPr>
        <w:t>teria presupuestaria, tributaria y financiera para la corrección del déficit público”, recoge un nuevo marco normativo en materia de límite de deuda, modificando el Real Decretoley 20/2011, de 30 de diciembre, de medidas urgentes en materia presupuestaria,</w:t>
      </w:r>
      <w:r>
        <w:rPr>
          <w:rFonts w:ascii="Arial" w:eastAsia="Arial" w:hAnsi="Arial" w:cs="Arial"/>
        </w:rPr>
        <w:t xml:space="preserve"> tributaria y financiera para la corrección del déficit público, que se mantiene en el momento presente:</w:t>
      </w:r>
    </w:p>
    <w:p w:rsidR="00E23B86" w:rsidRDefault="00BA7C13">
      <w:pPr>
        <w:spacing w:after="243" w:line="251" w:lineRule="auto"/>
        <w:ind w:left="355" w:right="573" w:hanging="10"/>
        <w:jc w:val="both"/>
      </w:pPr>
      <w:r>
        <w:rPr>
          <w:rFonts w:ascii="Arial" w:eastAsia="Arial" w:hAnsi="Arial" w:cs="Arial"/>
        </w:rPr>
        <w:t>“</w:t>
      </w:r>
      <w:r>
        <w:rPr>
          <w:rFonts w:ascii="Arial" w:eastAsia="Arial" w:hAnsi="Arial" w:cs="Arial"/>
          <w:i/>
        </w:rPr>
        <w:t>Con efectos de la entrada en vigor de esta Ley y vigencia indefinida, la disposición adicional decimocuarta del Real Decreto-ley 20/2011, de 30 de dic</w:t>
      </w:r>
      <w:r>
        <w:rPr>
          <w:rFonts w:ascii="Arial" w:eastAsia="Arial" w:hAnsi="Arial" w:cs="Arial"/>
          <w:i/>
        </w:rPr>
        <w:t>iembre, de medidas urgentes en materia presupuestaria, tributaria y financiera para la corrección del déficit público, queda redactada como sigue:</w:t>
      </w:r>
    </w:p>
    <w:p w:rsidR="00E23B86" w:rsidRDefault="00BA7C13">
      <w:pPr>
        <w:spacing w:after="243" w:line="251" w:lineRule="auto"/>
        <w:ind w:left="345" w:right="573" w:firstLine="708"/>
        <w:jc w:val="both"/>
      </w:pPr>
      <w:r>
        <w:rPr>
          <w:noProof/>
        </w:rPr>
        <mc:AlternateContent>
          <mc:Choice Requires="wpg">
            <w:drawing>
              <wp:anchor distT="0" distB="0" distL="114300" distR="114300" simplePos="0" relativeHeight="2516736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9807" name="Group 46980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25" name="Rectangle 162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26" name="Rectangle 1626"/>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15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9807" style="width:12.7031pt;height:280.35pt;position:absolute;mso-position-horizontal-relative:page;mso-position-horizontal:absolute;margin-left:681.958pt;mso-position-vertical-relative:page;margin-top:531.65pt;" coordsize="1613,35604">
                <v:rect id="Rectangle 162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26"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391 </w:t>
                        </w:r>
                      </w:p>
                    </w:txbxContent>
                  </v:textbox>
                </v:rect>
                <w10:wrap type="square"/>
              </v:group>
            </w:pict>
          </mc:Fallback>
        </mc:AlternateContent>
      </w:r>
      <w:r>
        <w:rPr>
          <w:rFonts w:ascii="Arial" w:eastAsia="Arial" w:hAnsi="Arial" w:cs="Arial"/>
          <w:i/>
        </w:rPr>
        <w:t>Las Entidades Locales y sus entidades dependientes clasificadas en el sector Administraciones Públicas, de acuerdo con la definición y delimitación del Sistema Eu</w:t>
      </w:r>
      <w:r>
        <w:rPr>
          <w:rFonts w:ascii="Arial" w:eastAsia="Arial" w:hAnsi="Arial" w:cs="Arial"/>
          <w:i/>
        </w:rPr>
        <w:t xml:space="preserve">ropeo de Cuentas, que liquiden el ejercicio inmediato anterior con ahorro neto positivo, calculado en la forma que establece </w:t>
      </w:r>
      <w:r>
        <w:rPr>
          <w:rFonts w:ascii="Arial" w:eastAsia="Arial" w:hAnsi="Arial" w:cs="Arial"/>
        </w:rPr>
        <w:t xml:space="preserve">el </w:t>
      </w:r>
      <w:r>
        <w:rPr>
          <w:rFonts w:ascii="Arial" w:eastAsia="Arial" w:hAnsi="Arial" w:cs="Arial"/>
          <w:color w:val="000080"/>
          <w:u w:val="single" w:color="000080"/>
        </w:rPr>
        <w:t xml:space="preserve">artículo 53 del Texto Refundido de la Ley Reguladora de las Haciendas Locales, aprobado por Real Decreto Legislativo 2/2004, de </w:t>
      </w:r>
      <w:r>
        <w:rPr>
          <w:rFonts w:ascii="Arial" w:eastAsia="Arial" w:hAnsi="Arial" w:cs="Arial"/>
          <w:color w:val="000080"/>
          <w:u w:val="single" w:color="000080"/>
        </w:rPr>
        <w:t>5 de marzo</w:t>
      </w:r>
      <w:r>
        <w:rPr>
          <w:rFonts w:ascii="Arial" w:eastAsia="Arial" w:hAnsi="Arial" w:cs="Arial"/>
          <w:i/>
        </w:rPr>
        <w:t xml:space="preserve">, </w:t>
      </w:r>
      <w:r>
        <w:rPr>
          <w:rFonts w:ascii="Arial" w:eastAsia="Arial" w:hAnsi="Arial" w:cs="Arial"/>
          <w:b/>
          <w:i/>
        </w:rPr>
        <w:t xml:space="preserve">podrán concertar nuevas operaciones de crédito a largo plazo para la financiación de inversiones, cuando el volumen total del capital vivo no exceda del 75 % de los ingresos corrientes liquidados o devengados </w:t>
      </w:r>
      <w:r>
        <w:rPr>
          <w:rFonts w:ascii="Arial" w:eastAsia="Arial" w:hAnsi="Arial" w:cs="Arial"/>
          <w:i/>
        </w:rPr>
        <w:t>según las cifras deducidas de los e</w:t>
      </w:r>
      <w:r>
        <w:rPr>
          <w:rFonts w:ascii="Arial" w:eastAsia="Arial" w:hAnsi="Arial" w:cs="Arial"/>
          <w:i/>
        </w:rPr>
        <w:t>stados contables consolidados, con sujeción, en su caso, al Texto Refundido de la Ley Reguladora de las Haciendas Locales y a la Normativa de Estabilidad Presupuestaria.</w:t>
      </w:r>
    </w:p>
    <w:p w:rsidR="00E23B86" w:rsidRDefault="00BA7C13">
      <w:pPr>
        <w:spacing w:after="243" w:line="249" w:lineRule="auto"/>
        <w:ind w:left="337" w:right="566" w:firstLine="708"/>
        <w:jc w:val="both"/>
      </w:pPr>
      <w:r>
        <w:rPr>
          <w:rFonts w:ascii="Arial" w:eastAsia="Arial" w:hAnsi="Arial" w:cs="Arial"/>
          <w:i/>
        </w:rPr>
        <w:t xml:space="preserve">Las Entidades Locales que tengan un </w:t>
      </w:r>
      <w:r>
        <w:rPr>
          <w:rFonts w:ascii="Arial" w:eastAsia="Arial" w:hAnsi="Arial" w:cs="Arial"/>
          <w:b/>
          <w:i/>
        </w:rPr>
        <w:t>volumen de endeudamiento que, excediendo al citado</w:t>
      </w:r>
      <w:r>
        <w:rPr>
          <w:rFonts w:ascii="Arial" w:eastAsia="Arial" w:hAnsi="Arial" w:cs="Arial"/>
          <w:b/>
          <w:i/>
        </w:rPr>
        <w:t xml:space="preserve"> en el párrafo anterior, no supere al establecido (que asciende al 110 por 100) en el </w:t>
      </w:r>
      <w:r>
        <w:rPr>
          <w:rFonts w:ascii="Arial" w:eastAsia="Arial" w:hAnsi="Arial" w:cs="Arial"/>
          <w:b/>
          <w:i/>
          <w:color w:val="000080"/>
          <w:u w:val="single" w:color="000080"/>
        </w:rPr>
        <w:t>artículo 53 del Texto Refundido de la Ley Reguladora de las Haciendas Locales, aprobado por Real Decreto Legislativo 2/2004, de 5 de marzo</w:t>
      </w:r>
      <w:r>
        <w:rPr>
          <w:rFonts w:ascii="Arial" w:eastAsia="Arial" w:hAnsi="Arial" w:cs="Arial"/>
          <w:b/>
          <w:i/>
        </w:rPr>
        <w:t>, podrán concertar operaciones d</w:t>
      </w:r>
      <w:r>
        <w:rPr>
          <w:rFonts w:ascii="Arial" w:eastAsia="Arial" w:hAnsi="Arial" w:cs="Arial"/>
          <w:b/>
          <w:i/>
        </w:rPr>
        <w:t>e endeudamiento previa autorización del órgano competente que tenga atribuida la tutela financiera de las entidades locales</w:t>
      </w:r>
      <w:r>
        <w:rPr>
          <w:rFonts w:ascii="Arial" w:eastAsia="Arial" w:hAnsi="Arial" w:cs="Arial"/>
          <w:i/>
        </w:rPr>
        <w:t>.</w:t>
      </w:r>
    </w:p>
    <w:p w:rsidR="00E23B86" w:rsidRDefault="00BA7C13">
      <w:pPr>
        <w:spacing w:after="243" w:line="249" w:lineRule="auto"/>
        <w:ind w:left="337" w:right="566" w:firstLine="708"/>
        <w:jc w:val="both"/>
      </w:pPr>
      <w:r>
        <w:rPr>
          <w:rFonts w:ascii="Arial" w:eastAsia="Arial" w:hAnsi="Arial" w:cs="Arial"/>
          <w:i/>
        </w:rPr>
        <w:t xml:space="preserve">Las entidades que presenten </w:t>
      </w:r>
      <w:r>
        <w:rPr>
          <w:rFonts w:ascii="Arial" w:eastAsia="Arial" w:hAnsi="Arial" w:cs="Arial"/>
          <w:b/>
          <w:i/>
        </w:rPr>
        <w:t xml:space="preserve">ahorro neto negativo o un volumen de endeudamiento vivo superior al recogido en el </w:t>
      </w:r>
      <w:r>
        <w:rPr>
          <w:rFonts w:ascii="Arial" w:eastAsia="Arial" w:hAnsi="Arial" w:cs="Arial"/>
          <w:b/>
          <w:i/>
          <w:color w:val="000080"/>
          <w:u w:val="single" w:color="000080"/>
        </w:rPr>
        <w:t>artículo 53 del Text</w:t>
      </w:r>
      <w:r>
        <w:rPr>
          <w:rFonts w:ascii="Arial" w:eastAsia="Arial" w:hAnsi="Arial" w:cs="Arial"/>
          <w:b/>
          <w:i/>
          <w:color w:val="000080"/>
          <w:u w:val="single" w:color="000080"/>
        </w:rPr>
        <w:t>o Refundido de la Ley Reguladora de las Haciendas Locales, aprobado por Real Decreto Legislativo 2/2004, de 5 de marzo</w:t>
      </w:r>
      <w:r>
        <w:rPr>
          <w:rFonts w:ascii="Arial" w:eastAsia="Arial" w:hAnsi="Arial" w:cs="Arial"/>
          <w:b/>
          <w:i/>
        </w:rPr>
        <w:t>, no podrán concertar operaciones de crédito a largo plazo</w:t>
      </w:r>
      <w:r>
        <w:rPr>
          <w:rFonts w:ascii="Arial" w:eastAsia="Arial" w:hAnsi="Arial" w:cs="Arial"/>
          <w:i/>
        </w:rPr>
        <w:t>.</w:t>
      </w:r>
    </w:p>
    <w:p w:rsidR="00E23B86" w:rsidRDefault="00BA7C13">
      <w:pPr>
        <w:spacing w:after="110" w:line="248" w:lineRule="auto"/>
        <w:ind w:left="363" w:right="552" w:firstLine="708"/>
        <w:jc w:val="both"/>
      </w:pPr>
      <w:r>
        <w:rPr>
          <w:rFonts w:ascii="Arial" w:eastAsia="Arial" w:hAnsi="Arial" w:cs="Arial"/>
        </w:rPr>
        <w:t xml:space="preserve">Para la determinación de los ingresos corrientes a computar en el cálculo del </w:t>
      </w:r>
      <w:r>
        <w:rPr>
          <w:rFonts w:ascii="Arial" w:eastAsia="Arial" w:hAnsi="Arial" w:cs="Arial"/>
        </w:rPr>
        <w:t>ahorro neto y del nivel de endeudamiento, se deducirá el importe de los ingresos afectados a operaciones de capital y cualesquiera otros ingresos extraordinarios aplicados a los capítulos 1 a 5 que, por su afectación legal y/o carácter no recurrente, no ti</w:t>
      </w:r>
      <w:r>
        <w:rPr>
          <w:rFonts w:ascii="Arial" w:eastAsia="Arial" w:hAnsi="Arial" w:cs="Arial"/>
        </w:rPr>
        <w:t>enen la consideración de ingresos ordinarios.</w:t>
      </w:r>
    </w:p>
    <w:p w:rsidR="00E23B86" w:rsidRDefault="00BA7C13">
      <w:pPr>
        <w:spacing w:after="243" w:line="249" w:lineRule="auto"/>
        <w:ind w:left="337" w:right="566" w:firstLine="708"/>
        <w:jc w:val="both"/>
      </w:pPr>
      <w:r>
        <w:rPr>
          <w:rFonts w:ascii="Arial" w:eastAsia="Arial" w:hAnsi="Arial" w:cs="Arial"/>
          <w:b/>
          <w:i/>
        </w:rPr>
        <w:t>A efectos del cálculo del capital vivo, se considerarán todas las operaciones vigentes a 31 de diciembre del año anterior, incluido el riesgo deducido de avales, incrementado, en su caso, en los saldos de opera</w:t>
      </w:r>
      <w:r>
        <w:rPr>
          <w:rFonts w:ascii="Arial" w:eastAsia="Arial" w:hAnsi="Arial" w:cs="Arial"/>
          <w:b/>
          <w:i/>
        </w:rPr>
        <w:t>ciones formalizadas no dispuestos y en el importe de la operación proyectada. En ese importe no se incluirán los saldos que deban reintegrar las Entidades Locales derivados de las liquidaciones definitivas de la participación en tributos del Estado</w:t>
      </w:r>
      <w:r>
        <w:rPr>
          <w:rFonts w:ascii="Arial" w:eastAsia="Arial" w:hAnsi="Arial" w:cs="Arial"/>
          <w:i/>
        </w:rPr>
        <w:t>.</w:t>
      </w:r>
    </w:p>
    <w:p w:rsidR="00E23B86" w:rsidRDefault="00BA7C13">
      <w:pPr>
        <w:spacing w:after="243" w:line="251" w:lineRule="auto"/>
        <w:ind w:left="345" w:right="573" w:firstLine="360"/>
        <w:jc w:val="both"/>
      </w:pPr>
      <w:r>
        <w:rPr>
          <w:rFonts w:ascii="Arial" w:eastAsia="Arial" w:hAnsi="Arial" w:cs="Arial"/>
        </w:rPr>
        <w:t>Las En</w:t>
      </w:r>
      <w:r>
        <w:rPr>
          <w:rFonts w:ascii="Arial" w:eastAsia="Arial" w:hAnsi="Arial" w:cs="Arial"/>
        </w:rPr>
        <w:t xml:space="preserve">tidades Locales pondrán a disposición de las entidades financieras que </w:t>
      </w:r>
      <w:r>
        <w:rPr>
          <w:rFonts w:ascii="Arial" w:eastAsia="Arial" w:hAnsi="Arial" w:cs="Arial"/>
          <w:i/>
        </w:rPr>
        <w:t xml:space="preserve">participen en sus procedimientos para la concertación de operaciones de crédito, el informe de la Intervención local regulado en el apartado 2 del artículo 52 del Texto Refundido de la </w:t>
      </w:r>
      <w:r>
        <w:rPr>
          <w:rFonts w:ascii="Arial" w:eastAsia="Arial" w:hAnsi="Arial" w:cs="Arial"/>
          <w:i/>
        </w:rPr>
        <w:t>Ley reguladora de las Haciendas Locales, en el que se incluirán los cálculos que acrediten el cumplimiento de los límites citados en los párrafos anteriores y cualesquiera otros ajustes que afecten a la medición de la capacidad de pago, así como el cumplim</w:t>
      </w:r>
      <w:r>
        <w:rPr>
          <w:rFonts w:ascii="Arial" w:eastAsia="Arial" w:hAnsi="Arial" w:cs="Arial"/>
          <w:i/>
        </w:rPr>
        <w:t xml:space="preserve">iento, en los casos que resulte de aplicación, de la autorización preceptiva regulada en el artículo 53.5 de la citada norma y en el </w:t>
      </w:r>
      <w:r>
        <w:rPr>
          <w:rFonts w:ascii="Arial" w:eastAsia="Arial" w:hAnsi="Arial" w:cs="Arial"/>
          <w:i/>
          <w:color w:val="000080"/>
          <w:u w:val="single" w:color="000080"/>
        </w:rPr>
        <w:t>artículo 20 de la Ley Orgánica 2/2012, de 27 de abril, de Estabilidad Presupuestaria y Sostenibilidad Financiera</w:t>
      </w:r>
      <w:r>
        <w:rPr>
          <w:rFonts w:ascii="Arial" w:eastAsia="Arial" w:hAnsi="Arial" w:cs="Arial"/>
          <w:i/>
        </w:rPr>
        <w:t>, pudiendo las entidades financieras, en su caso, modificar o retirar sus ofertas, una vez conocido el contenido del informe.</w:t>
      </w:r>
    </w:p>
    <w:p w:rsidR="00E23B86" w:rsidRDefault="00BA7C13">
      <w:pPr>
        <w:spacing w:after="245" w:line="248" w:lineRule="auto"/>
        <w:ind w:left="363" w:right="552" w:firstLine="360"/>
        <w:jc w:val="both"/>
      </w:pPr>
      <w:r>
        <w:rPr>
          <w:noProof/>
        </w:rPr>
        <mc:AlternateContent>
          <mc:Choice Requires="wpg">
            <w:drawing>
              <wp:anchor distT="0" distB="0" distL="114300" distR="114300" simplePos="0" relativeHeight="2516746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6090" name="Group 47609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91" name="Rectangle 169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92" name="Rectangle 169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Documento firmado electróni</w:t>
                              </w:r>
                              <w:r>
                                <w:rPr>
                                  <w:rFonts w:ascii="Arial" w:eastAsia="Arial" w:hAnsi="Arial" w:cs="Arial"/>
                                  <w:sz w:val="12"/>
                                </w:rPr>
                                <w:t xml:space="preserve">camente desde la plataforma esPublico Gestiona | Página 16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6090" style="width:12.7031pt;height:280.35pt;position:absolute;mso-position-horizontal-relative:page;mso-position-horizontal:absolute;margin-left:681.958pt;mso-position-vertical-relative:page;margin-top:531.65pt;" coordsize="1613,35604">
                <v:rect id="Rectangle 169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9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391 </w:t>
                        </w:r>
                      </w:p>
                    </w:txbxContent>
                  </v:textbox>
                </v:rect>
                <w10:wrap type="square"/>
              </v:group>
            </w:pict>
          </mc:Fallback>
        </mc:AlternateContent>
      </w:r>
      <w:r>
        <w:rPr>
          <w:rFonts w:ascii="Arial" w:eastAsia="Arial" w:hAnsi="Arial" w:cs="Arial"/>
        </w:rPr>
        <w:t>En el cálculo de las ratios de ahorro neto y nivel de deuda viva, habrán de descontarse, al menos, los INGRESOS AFECTADOS A OPERACIONES DE CAPITAL que se citan a continuación, sin perjuicio</w:t>
      </w:r>
      <w:r>
        <w:rPr>
          <w:rFonts w:ascii="Arial" w:eastAsia="Arial" w:hAnsi="Arial" w:cs="Arial"/>
        </w:rPr>
        <w:t>, de otras correcciones o ajustes que, según la percepción de la Intervención local, en su condición de órgano de control, afecten a la capacidad de devolución futura de la deuda viva, incluida la operación u operaciones proyectadas:</w:t>
      </w:r>
    </w:p>
    <w:p w:rsidR="00E23B86" w:rsidRDefault="00BA7C13">
      <w:pPr>
        <w:spacing w:after="245" w:line="248" w:lineRule="auto"/>
        <w:ind w:left="373" w:right="552" w:hanging="10"/>
        <w:jc w:val="both"/>
      </w:pPr>
      <w:r>
        <w:rPr>
          <w:rFonts w:ascii="Arial" w:eastAsia="Arial" w:hAnsi="Arial" w:cs="Arial"/>
        </w:rPr>
        <w:t>1.- Ingresos por multa</w:t>
      </w:r>
      <w:r>
        <w:rPr>
          <w:rFonts w:ascii="Arial" w:eastAsia="Arial" w:hAnsi="Arial" w:cs="Arial"/>
        </w:rPr>
        <w:t>s coercitivas, o derivados de convenios urbanísticos de planeamiento, o cualesquiera otros, que expresamente hayan sido declarados como integrantes del Patrimonio Público del Suelo. No consta en la liquidación presupuestaria, derecho liquidado alguno de es</w:t>
      </w:r>
      <w:r>
        <w:rPr>
          <w:rFonts w:ascii="Arial" w:eastAsia="Arial" w:hAnsi="Arial" w:cs="Arial"/>
        </w:rPr>
        <w:t>te concepto.</w:t>
      </w:r>
    </w:p>
    <w:p w:rsidR="00E23B86" w:rsidRDefault="00BA7C13">
      <w:pPr>
        <w:spacing w:after="245" w:line="248" w:lineRule="auto"/>
        <w:ind w:left="373" w:right="552" w:hanging="10"/>
        <w:jc w:val="both"/>
      </w:pPr>
      <w:r>
        <w:rPr>
          <w:rFonts w:ascii="Arial" w:eastAsia="Arial" w:hAnsi="Arial" w:cs="Arial"/>
        </w:rPr>
        <w:t>2.- Ingresos por actuaciones de urbanización, tales como el canon de urbanización, cuotas de urbanización, o cualquier otro de este carácter. No consta en la liquidación.</w:t>
      </w:r>
    </w:p>
    <w:p w:rsidR="00E23B86" w:rsidRDefault="00BA7C13">
      <w:pPr>
        <w:spacing w:after="245" w:line="248" w:lineRule="auto"/>
        <w:ind w:left="373" w:right="552" w:hanging="10"/>
        <w:jc w:val="both"/>
      </w:pPr>
      <w:r>
        <w:rPr>
          <w:rFonts w:ascii="Arial" w:eastAsia="Arial" w:hAnsi="Arial" w:cs="Arial"/>
        </w:rPr>
        <w:t>3.- Aprovechamientos urbanísticos, y otros ingresos por aprovechamientos edificatorios distintos de los anteriores (entre otros, los aprovechamientos edificatorios en suelo rústico, regulados en el artículo 62.3 del texto refundido de las Leyes de ordenaci</w:t>
      </w:r>
      <w:r>
        <w:rPr>
          <w:rFonts w:ascii="Arial" w:eastAsia="Arial" w:hAnsi="Arial" w:cs="Arial"/>
        </w:rPr>
        <w:t>ón del territorio de Canarias y Espacios Naturales de Canarias). Consta en la liquidación presupuestaria, derechos liquidados de este concepto, por importe de 3.431,83 Euros, se corresponde con el canon por aprovechamiento en suelo rústico, pero no ha supu</w:t>
      </w:r>
      <w:r>
        <w:rPr>
          <w:rFonts w:ascii="Arial" w:eastAsia="Arial" w:hAnsi="Arial" w:cs="Arial"/>
        </w:rPr>
        <w:t>esto la obligatoria modificación presupuestaria para su afectación a gastos concretos y específico, generalmente de capital, pero que al no realizarse, no procede ajuste alguno.</w:t>
      </w:r>
    </w:p>
    <w:p w:rsidR="00E23B86" w:rsidRDefault="00BA7C13">
      <w:pPr>
        <w:spacing w:after="245" w:line="248" w:lineRule="auto"/>
        <w:ind w:left="373" w:right="552" w:hanging="10"/>
        <w:jc w:val="both"/>
      </w:pPr>
      <w:r>
        <w:rPr>
          <w:rFonts w:ascii="Arial" w:eastAsia="Arial" w:hAnsi="Arial" w:cs="Arial"/>
        </w:rPr>
        <w:t xml:space="preserve">4.- Ingresos por multas impuestas por infracciones urbanísticas, expresamente </w:t>
      </w:r>
      <w:r>
        <w:rPr>
          <w:rFonts w:ascii="Arial" w:eastAsia="Arial" w:hAnsi="Arial" w:cs="Arial"/>
        </w:rPr>
        <w:t>afectados a operaciones de igual carácter, que no hayan de integrarse en el Patrimonio Público del Suelo. No consta en la liquidación presupuestaria, derecho liquidado alguno de este concepto.</w:t>
      </w:r>
    </w:p>
    <w:p w:rsidR="00E23B86" w:rsidRDefault="00BA7C13">
      <w:pPr>
        <w:spacing w:after="110" w:line="248" w:lineRule="auto"/>
        <w:ind w:left="373" w:right="552" w:hanging="10"/>
        <w:jc w:val="both"/>
      </w:pPr>
      <w:r>
        <w:rPr>
          <w:rFonts w:ascii="Arial" w:eastAsia="Arial" w:hAnsi="Arial" w:cs="Arial"/>
        </w:rPr>
        <w:t>5.- Contribuciones especiales afectadas a operaciones de capita</w:t>
      </w:r>
      <w:r>
        <w:rPr>
          <w:rFonts w:ascii="Arial" w:eastAsia="Arial" w:hAnsi="Arial" w:cs="Arial"/>
        </w:rPr>
        <w:t>l. No consta en la liquidación presupuestaria, derecho liquidado alguno de este concepto.</w:t>
      </w:r>
    </w:p>
    <w:p w:rsidR="00E23B86" w:rsidRDefault="00BA7C13">
      <w:pPr>
        <w:spacing w:after="245" w:line="248" w:lineRule="auto"/>
        <w:ind w:left="373" w:right="552" w:hanging="10"/>
        <w:jc w:val="both"/>
      </w:pPr>
      <w:r>
        <w:rPr>
          <w:rFonts w:ascii="Arial" w:eastAsia="Arial" w:hAnsi="Arial" w:cs="Arial"/>
        </w:rPr>
        <w:t xml:space="preserve">6.- Ingresos por el canon de mejora del servicio de agua o canon de saneamiento cuando esté afectado, por la normativa sectorial, a la financiación de inversiones de </w:t>
      </w:r>
      <w:r>
        <w:rPr>
          <w:rFonts w:ascii="Arial" w:eastAsia="Arial" w:hAnsi="Arial" w:cs="Arial"/>
        </w:rPr>
        <w:t>capital relacionadas con el servicio prestado, tales como infraestructuras hidráulicas, o redes de saneamiento y depuración, entre otras. No consta en la liquidación presupuestaria, derecho liquidado alguno de este concepto.</w:t>
      </w:r>
    </w:p>
    <w:p w:rsidR="00E23B86" w:rsidRDefault="00BA7C13">
      <w:pPr>
        <w:spacing w:after="245" w:line="248" w:lineRule="auto"/>
        <w:ind w:left="373" w:right="552" w:hanging="10"/>
        <w:jc w:val="both"/>
      </w:pPr>
      <w:r>
        <w:rPr>
          <w:rFonts w:ascii="Arial" w:eastAsia="Arial" w:hAnsi="Arial" w:cs="Arial"/>
        </w:rPr>
        <w:t xml:space="preserve">7.- Aprovechamientos agrícolas </w:t>
      </w:r>
      <w:r>
        <w:rPr>
          <w:rFonts w:ascii="Arial" w:eastAsia="Arial" w:hAnsi="Arial" w:cs="Arial"/>
        </w:rPr>
        <w:t>y forestales de carácter afectado; en particular el Fondo de Mejora de Montes cuando esté afectado a la realización de inversiones, tales como la ejecución de mejoras en los montes de titularidad municipal, o la realización de mejoras de interés forestal g</w:t>
      </w:r>
      <w:r>
        <w:rPr>
          <w:rFonts w:ascii="Arial" w:eastAsia="Arial" w:hAnsi="Arial" w:cs="Arial"/>
        </w:rPr>
        <w:t>eneral de la provincia. No consta en la liquidación presupuestaria, derecho liquidado alguno de este concepto.</w:t>
      </w:r>
    </w:p>
    <w:p w:rsidR="00E23B86" w:rsidRDefault="00BA7C13">
      <w:pPr>
        <w:spacing w:after="245" w:line="248" w:lineRule="auto"/>
        <w:ind w:left="373" w:right="552" w:hanging="10"/>
        <w:jc w:val="both"/>
      </w:pPr>
      <w:r>
        <w:rPr>
          <w:rFonts w:ascii="Arial" w:eastAsia="Arial" w:hAnsi="Arial" w:cs="Arial"/>
        </w:rPr>
        <w:t>8.- Otras concesiones y aprovechamientos, afectados por la normativa aplicable a la financiación de operaciones de capital. No consta en la liqui</w:t>
      </w:r>
      <w:r>
        <w:rPr>
          <w:rFonts w:ascii="Arial" w:eastAsia="Arial" w:hAnsi="Arial" w:cs="Arial"/>
        </w:rPr>
        <w:t>dación presupuestaria, derecho liquidado alguno de este concepto.</w:t>
      </w:r>
    </w:p>
    <w:p w:rsidR="00E23B86" w:rsidRDefault="00BA7C13">
      <w:pPr>
        <w:spacing w:after="443" w:line="248" w:lineRule="auto"/>
        <w:ind w:left="373" w:right="552" w:hanging="10"/>
        <w:jc w:val="both"/>
      </w:pPr>
      <w:r>
        <w:rPr>
          <w:rFonts w:ascii="Arial" w:eastAsia="Arial" w:hAnsi="Arial" w:cs="Arial"/>
        </w:rPr>
        <w:t>9.- Otros ingresos afectados a operaciones de capital distintos de los anteriores. A diferencia del año anterior, no consta ingreso alguno.</w:t>
      </w:r>
    </w:p>
    <w:p w:rsidR="00E23B86" w:rsidRDefault="00BA7C13">
      <w:pPr>
        <w:numPr>
          <w:ilvl w:val="0"/>
          <w:numId w:val="9"/>
        </w:numPr>
        <w:spacing w:after="320" w:line="248" w:lineRule="auto"/>
        <w:ind w:right="552" w:hanging="360"/>
        <w:jc w:val="both"/>
      </w:pPr>
      <w:r>
        <w:rPr>
          <w:noProof/>
        </w:rPr>
        <mc:AlternateContent>
          <mc:Choice Requires="wpg">
            <w:drawing>
              <wp:anchor distT="0" distB="0" distL="114300" distR="114300" simplePos="0" relativeHeight="2516756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5121" name="Group 47512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764" name="Rectangle 176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w:t>
                              </w:r>
                              <w:r>
                                <w:rPr>
                                  <w:rFonts w:ascii="Arial" w:eastAsia="Arial" w:hAnsi="Arial" w:cs="Arial"/>
                                  <w:sz w:val="12"/>
                                </w:rPr>
                                <w:t xml:space="preserve">rificación: https://candelaria.sedelectronica.es/ </w:t>
                              </w:r>
                            </w:p>
                          </w:txbxContent>
                        </wps:txbx>
                        <wps:bodyPr horzOverflow="overflow" vert="horz" lIns="0" tIns="0" rIns="0" bIns="0" rtlCol="0">
                          <a:noAutofit/>
                        </wps:bodyPr>
                      </wps:wsp>
                      <wps:wsp>
                        <wps:cNvPr id="1765" name="Rectangle 1765"/>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17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5121" style="width:12.7031pt;height:280.35pt;position:absolute;mso-position-horizontal-relative:page;mso-position-horizontal:absolute;margin-left:681.958pt;mso-position-vertical-relative:page;margin-top:531.65pt;" coordsize="1613,35604">
                <v:rect id="Rectangle 176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765"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391 </w:t>
                        </w:r>
                      </w:p>
                    </w:txbxContent>
                  </v:textbox>
                </v:rect>
                <w10:wrap type="square"/>
              </v:group>
            </w:pict>
          </mc:Fallback>
        </mc:AlternateContent>
      </w:r>
      <w:r>
        <w:rPr>
          <w:rFonts w:ascii="Arial" w:eastAsia="Arial" w:hAnsi="Arial" w:cs="Arial"/>
          <w:b/>
          <w:i/>
        </w:rPr>
        <w:t>Remanente de Tesorería para Gastos Generales</w:t>
      </w:r>
      <w:r>
        <w:rPr>
          <w:rFonts w:ascii="Arial" w:eastAsia="Arial" w:hAnsi="Arial" w:cs="Arial"/>
        </w:rPr>
        <w:t>, que importa la cantidad de 18.219.677,27 Euros, se impone que s</w:t>
      </w:r>
      <w:r>
        <w:rPr>
          <w:rFonts w:ascii="Arial" w:eastAsia="Arial" w:hAnsi="Arial" w:cs="Arial"/>
        </w:rPr>
        <w:t>ea superior al 1 %, de los derechos reconocidos netos por capítulos I al V de Ingresos en la Liquidación del Presupuesto, que asciende a 26.527.733,91 Euros, sale positivo en el 68,7 % frente al 51,40 %, también con signo positivo, del ejercicio anterior.</w:t>
      </w:r>
    </w:p>
    <w:p w:rsidR="00E23B86" w:rsidRDefault="00BA7C13">
      <w:pPr>
        <w:numPr>
          <w:ilvl w:val="0"/>
          <w:numId w:val="9"/>
        </w:numPr>
        <w:spacing w:after="365" w:line="248" w:lineRule="auto"/>
        <w:ind w:right="552" w:hanging="360"/>
        <w:jc w:val="both"/>
      </w:pPr>
      <w:r>
        <w:rPr>
          <w:rFonts w:ascii="Arial" w:eastAsia="Arial" w:hAnsi="Arial" w:cs="Arial"/>
          <w:b/>
          <w:i/>
        </w:rPr>
        <w:t>Ahorro Neto,</w:t>
      </w:r>
      <w:r>
        <w:rPr>
          <w:rFonts w:ascii="Arial" w:eastAsia="Arial" w:hAnsi="Arial" w:cs="Arial"/>
        </w:rPr>
        <w:t xml:space="preserve"> es un ratio que, a diferencia del ratio de ahorro bruto que mide la capacidad de autofinanciación de las inversiones, es un ratio que nos indica la capacidad  de</w:t>
      </w:r>
      <w:r>
        <w:rPr>
          <w:rFonts w:ascii="Arial" w:eastAsia="Arial" w:hAnsi="Arial" w:cs="Arial"/>
          <w:b/>
          <w:i/>
        </w:rPr>
        <w:t xml:space="preserve"> </w:t>
      </w:r>
      <w:r>
        <w:rPr>
          <w:rFonts w:ascii="Arial" w:eastAsia="Arial" w:hAnsi="Arial" w:cs="Arial"/>
        </w:rPr>
        <w:t>endeudamiento de la entidad Local, que se establece que sea superior al 6 por 100</w:t>
      </w:r>
      <w:r>
        <w:rPr>
          <w:rFonts w:ascii="Arial" w:eastAsia="Arial" w:hAnsi="Arial" w:cs="Arial"/>
        </w:rPr>
        <w:t xml:space="preserve">  de los derechos reconocidos netos por capítulos I al V de Ingresos en la Liquidación del presupuesto, viene dado por la diferencia de los derechos reconocidos netos por los capítulos I al V de Ingresos (26.527.733,91 Euros) y las obligaciones reconocidas</w:t>
      </w:r>
      <w:r>
        <w:rPr>
          <w:rFonts w:ascii="Arial" w:eastAsia="Arial" w:hAnsi="Arial" w:cs="Arial"/>
        </w:rPr>
        <w:t xml:space="preserve"> netas por los capítulos I, II y IV (20.509.696,46 Euros) y una anualidad teórica de amortización (1.072.276,95 Euros), que incluye los capítulos III y IX. </w:t>
      </w:r>
    </w:p>
    <w:p w:rsidR="00E23B86" w:rsidRDefault="00BA7C13">
      <w:pPr>
        <w:spacing w:after="320" w:line="248" w:lineRule="auto"/>
        <w:ind w:left="712" w:right="552" w:firstLine="348"/>
        <w:jc w:val="both"/>
      </w:pPr>
      <w:r>
        <w:rPr>
          <w:rFonts w:ascii="Arial" w:eastAsia="Arial" w:hAnsi="Arial" w:cs="Arial"/>
        </w:rPr>
        <w:t>Ello nos da un Ahorro Neto positivo de 4.945.760,50 Euros (2.045.403,06 Euros en el año 2018), esto es, un porcentaje del 18,6 %, de los derechos reconocidos netos por capítulos I al V de Ingresos en la Liquidación del Presupuesto, diez puntos porcentuales</w:t>
      </w:r>
      <w:r>
        <w:rPr>
          <w:rFonts w:ascii="Arial" w:eastAsia="Arial" w:hAnsi="Arial" w:cs="Arial"/>
        </w:rPr>
        <w:t xml:space="preserve"> más que en el ejercicio anterior. </w:t>
      </w:r>
    </w:p>
    <w:p w:rsidR="00E23B86" w:rsidRDefault="00BA7C13">
      <w:pPr>
        <w:numPr>
          <w:ilvl w:val="0"/>
          <w:numId w:val="9"/>
        </w:numPr>
        <w:spacing w:after="244" w:line="248" w:lineRule="auto"/>
        <w:ind w:right="552" w:hanging="360"/>
        <w:jc w:val="both"/>
      </w:pPr>
      <w:r>
        <w:rPr>
          <w:rFonts w:ascii="Arial" w:eastAsia="Arial" w:hAnsi="Arial" w:cs="Arial"/>
          <w:b/>
          <w:i/>
        </w:rPr>
        <w:t>Endeudamiento a Largo Plazo</w:t>
      </w:r>
      <w:r>
        <w:rPr>
          <w:rFonts w:ascii="Arial" w:eastAsia="Arial" w:hAnsi="Arial" w:cs="Arial"/>
        </w:rPr>
        <w:t xml:space="preserve"> que se impone que sea inferior al 70 por 100 de los derechos reconocidos netos por capítulos I al V de Ingresos en la Liquidación del Presupuesto. </w:t>
      </w:r>
    </w:p>
    <w:p w:rsidR="00E23B86" w:rsidRDefault="00BA7C13">
      <w:pPr>
        <w:spacing w:after="0" w:line="265" w:lineRule="auto"/>
        <w:ind w:left="10" w:right="551" w:hanging="10"/>
        <w:jc w:val="right"/>
      </w:pPr>
      <w:r>
        <w:rPr>
          <w:rFonts w:ascii="Arial" w:eastAsia="Arial" w:hAnsi="Arial" w:cs="Arial"/>
        </w:rPr>
        <w:t>La deuda financiera del Ayuntamiento, a 31 d</w:t>
      </w:r>
      <w:r>
        <w:rPr>
          <w:rFonts w:ascii="Arial" w:eastAsia="Arial" w:hAnsi="Arial" w:cs="Arial"/>
        </w:rPr>
        <w:t>e diciembre de 2019, asciende a</w:t>
      </w:r>
    </w:p>
    <w:p w:rsidR="00E23B86" w:rsidRDefault="00BA7C13">
      <w:pPr>
        <w:spacing w:after="278" w:line="248" w:lineRule="auto"/>
        <w:ind w:left="722" w:right="552" w:hanging="10"/>
        <w:jc w:val="both"/>
      </w:pPr>
      <w:r>
        <w:rPr>
          <w:rFonts w:ascii="Arial" w:eastAsia="Arial" w:hAnsi="Arial" w:cs="Arial"/>
        </w:rPr>
        <w:t>2.407.332,20 Euros, procedente de:</w:t>
      </w:r>
    </w:p>
    <w:p w:rsidR="00E23B86" w:rsidRDefault="00BA7C13">
      <w:pPr>
        <w:numPr>
          <w:ilvl w:val="1"/>
          <w:numId w:val="10"/>
        </w:numPr>
        <w:spacing w:after="10" w:line="248" w:lineRule="auto"/>
        <w:ind w:right="552" w:hanging="360"/>
        <w:jc w:val="both"/>
      </w:pPr>
      <w:r>
        <w:rPr>
          <w:rFonts w:ascii="Arial" w:eastAsia="Arial" w:hAnsi="Arial" w:cs="Arial"/>
        </w:rPr>
        <w:t>Préstamo 301516-53 de La Caixa, por importe de 925.169,98 Euros.</w:t>
      </w:r>
    </w:p>
    <w:p w:rsidR="00E23B86" w:rsidRDefault="00BA7C13">
      <w:pPr>
        <w:numPr>
          <w:ilvl w:val="1"/>
          <w:numId w:val="10"/>
        </w:numPr>
        <w:spacing w:after="110" w:line="248" w:lineRule="auto"/>
        <w:ind w:right="552" w:hanging="360"/>
        <w:jc w:val="both"/>
      </w:pPr>
      <w:r>
        <w:rPr>
          <w:rFonts w:ascii="Arial" w:eastAsia="Arial" w:hAnsi="Arial" w:cs="Arial"/>
        </w:rPr>
        <w:t>Préstamo 0830003865 BBVA, por importe de 1.482.162,22 Euros.</w:t>
      </w:r>
    </w:p>
    <w:p w:rsidR="00E23B86" w:rsidRDefault="00BA7C13">
      <w:pPr>
        <w:spacing w:after="320" w:line="248" w:lineRule="auto"/>
        <w:ind w:left="363" w:right="552" w:firstLine="360"/>
        <w:jc w:val="both"/>
      </w:pPr>
      <w:r>
        <w:rPr>
          <w:rFonts w:ascii="Arial" w:eastAsia="Arial" w:hAnsi="Arial" w:cs="Arial"/>
        </w:rPr>
        <w:t xml:space="preserve">Dado que los derechos reconocidos netos por los capítulos I al </w:t>
      </w:r>
      <w:r>
        <w:rPr>
          <w:rFonts w:ascii="Arial" w:eastAsia="Arial" w:hAnsi="Arial" w:cs="Arial"/>
        </w:rPr>
        <w:t>V de Ingresos, asciende a 26.527.733,91 Euros, este Ratio importa un 9,07 %, frente al 13,70 %, obtenido en la Liquidación del presupuesto del ejercicio 2018.</w:t>
      </w:r>
    </w:p>
    <w:p w:rsidR="00E23B86" w:rsidRDefault="00BA7C13">
      <w:pPr>
        <w:numPr>
          <w:ilvl w:val="0"/>
          <w:numId w:val="9"/>
        </w:numPr>
        <w:spacing w:after="320" w:line="248" w:lineRule="auto"/>
        <w:ind w:right="552" w:hanging="360"/>
        <w:jc w:val="both"/>
      </w:pPr>
      <w:r>
        <w:rPr>
          <w:noProof/>
        </w:rPr>
        <mc:AlternateContent>
          <mc:Choice Requires="wpg">
            <w:drawing>
              <wp:anchor distT="0" distB="0" distL="114300" distR="114300" simplePos="0" relativeHeight="251676672"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477868" name="Group 47786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145" name="Rectangle 214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146" name="Rectangle 2146"/>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7868" style="width:12.7031pt;height:280.35pt;position:absolute;mso-position-horizontal-relative:page;mso-position-horizontal:absolute;margin-left:681.958pt;mso-position-vertical-relative:page;margin-top:531.65pt;" coordsize="1613,35604">
                <v:rect id="Rectangle 214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146"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391 </w:t>
                        </w:r>
                      </w:p>
                    </w:txbxContent>
                  </v:textbox>
                </v:rect>
                <w10:wrap type="topAndBottom"/>
              </v:group>
            </w:pict>
          </mc:Fallback>
        </mc:AlternateContent>
      </w:r>
      <w:r>
        <w:rPr>
          <w:rFonts w:ascii="Arial" w:eastAsia="Arial" w:hAnsi="Arial" w:cs="Arial"/>
          <w:b/>
          <w:i/>
        </w:rPr>
        <w:t>Gestión Recaudatoria</w:t>
      </w:r>
      <w:r>
        <w:rPr>
          <w:rFonts w:ascii="Arial" w:eastAsia="Arial" w:hAnsi="Arial" w:cs="Arial"/>
        </w:rPr>
        <w:t xml:space="preserve"> superior al 75 % de los derechos reconoci</w:t>
      </w:r>
      <w:r>
        <w:rPr>
          <w:rFonts w:ascii="Arial" w:eastAsia="Arial" w:hAnsi="Arial" w:cs="Arial"/>
        </w:rPr>
        <w:t xml:space="preserve">dos netos por capítulos I al III de Ingresos en la Liquidación del Presupuesto, viene dado por el cociente entre los derechos recaudados por esos capítulos de ingresos (15.025.447,80 Euros) y los derechos reconocidos netos por los mismos capítulos I, II y </w:t>
      </w:r>
      <w:r>
        <w:rPr>
          <w:rFonts w:ascii="Arial" w:eastAsia="Arial" w:hAnsi="Arial" w:cs="Arial"/>
        </w:rPr>
        <w:t xml:space="preserve">III (15.694.015,38 Euros), llega al 95,74 %, frente al 94,30 % del ejercicio 2018. </w:t>
      </w:r>
    </w:p>
    <w:p w:rsidR="00E23B86" w:rsidRDefault="00BA7C13">
      <w:pPr>
        <w:numPr>
          <w:ilvl w:val="0"/>
          <w:numId w:val="9"/>
        </w:numPr>
        <w:spacing w:after="495" w:line="248" w:lineRule="auto"/>
        <w:ind w:right="552" w:hanging="360"/>
        <w:jc w:val="both"/>
      </w:pPr>
      <w:r>
        <w:rPr>
          <w:rFonts w:ascii="Arial" w:eastAsia="Arial" w:hAnsi="Arial" w:cs="Arial"/>
          <w:b/>
          <w:i/>
        </w:rPr>
        <w:t>Esfuerzo Fiscal</w:t>
      </w:r>
      <w:r>
        <w:rPr>
          <w:rFonts w:ascii="Arial" w:eastAsia="Arial" w:hAnsi="Arial" w:cs="Arial"/>
        </w:rPr>
        <w:t>, que se exige que sea superior al 70,66 por 100, se encuentra por encima del ochenta y cinco por ciento, como en el ejercicio del 2018.</w:t>
      </w:r>
    </w:p>
    <w:p w:rsidR="00E23B86" w:rsidRDefault="00BA7C13">
      <w:pPr>
        <w:spacing w:after="362" w:line="249" w:lineRule="auto"/>
        <w:ind w:left="347" w:right="566" w:hanging="10"/>
        <w:jc w:val="both"/>
      </w:pPr>
      <w:r>
        <w:rPr>
          <w:rFonts w:ascii="Arial" w:eastAsia="Arial" w:hAnsi="Arial" w:cs="Arial"/>
          <w:b/>
          <w:i/>
        </w:rPr>
        <w:t>1.- LIQUIDACIÓN DEL PRESUPUESTO DE INGRESOS</w:t>
      </w:r>
    </w:p>
    <w:p w:rsidR="00E23B86" w:rsidRDefault="00BA7C13">
      <w:pPr>
        <w:spacing w:after="609" w:line="249" w:lineRule="auto"/>
        <w:ind w:left="634" w:right="555" w:firstLine="180"/>
      </w:pPr>
      <w:r>
        <w:rPr>
          <w:rFonts w:ascii="Arial" w:eastAsia="Arial" w:hAnsi="Arial" w:cs="Arial"/>
        </w:rPr>
        <w:t xml:space="preserve">El estado de ejecución de </w:t>
      </w:r>
      <w:r>
        <w:rPr>
          <w:rFonts w:ascii="Arial" w:eastAsia="Arial" w:hAnsi="Arial" w:cs="Arial"/>
          <w:b/>
        </w:rPr>
        <w:t>ingresos</w:t>
      </w:r>
      <w:r>
        <w:rPr>
          <w:rFonts w:ascii="Arial" w:eastAsia="Arial" w:hAnsi="Arial" w:cs="Arial"/>
        </w:rPr>
        <w:t xml:space="preserve"> en el 2018 y 2019, así como la comparativa con las previsiones presupuestarias de esos ejercicios, da lugar a los siguientes importes:</w:t>
      </w:r>
    </w:p>
    <w:tbl>
      <w:tblPr>
        <w:tblStyle w:val="TableGrid"/>
        <w:tblW w:w="9311" w:type="dxa"/>
        <w:tblInd w:w="411" w:type="dxa"/>
        <w:tblCellMar>
          <w:top w:w="11" w:type="dxa"/>
          <w:left w:w="11" w:type="dxa"/>
          <w:bottom w:w="0" w:type="dxa"/>
          <w:right w:w="8" w:type="dxa"/>
        </w:tblCellMar>
        <w:tblLook w:val="04A0" w:firstRow="1" w:lastRow="0" w:firstColumn="1" w:lastColumn="0" w:noHBand="0" w:noVBand="1"/>
      </w:tblPr>
      <w:tblGrid>
        <w:gridCol w:w="1604"/>
        <w:gridCol w:w="1695"/>
        <w:gridCol w:w="1558"/>
        <w:gridCol w:w="1642"/>
        <w:gridCol w:w="1598"/>
        <w:gridCol w:w="1214"/>
      </w:tblGrid>
      <w:tr w:rsidR="00E23B86">
        <w:trPr>
          <w:trHeight w:val="1021"/>
        </w:trPr>
        <w:tc>
          <w:tcPr>
            <w:tcW w:w="1603" w:type="dxa"/>
            <w:tcBorders>
              <w:top w:val="single" w:sz="4" w:space="0" w:color="000001"/>
              <w:left w:val="single" w:sz="4" w:space="0" w:color="000001"/>
              <w:bottom w:val="single" w:sz="4" w:space="0" w:color="000001"/>
              <w:right w:val="single" w:sz="5" w:space="0" w:color="000001"/>
            </w:tcBorders>
          </w:tcPr>
          <w:p w:rsidR="00E23B86" w:rsidRDefault="00E23B86"/>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3"/>
              <w:jc w:val="center"/>
            </w:pPr>
            <w:r>
              <w:rPr>
                <w:rFonts w:ascii="Arial" w:eastAsia="Arial" w:hAnsi="Arial" w:cs="Arial"/>
              </w:rPr>
              <w:t>Previsiones</w:t>
            </w:r>
          </w:p>
          <w:p w:rsidR="00E23B86" w:rsidRDefault="00BA7C13">
            <w:pPr>
              <w:spacing w:after="0"/>
              <w:ind w:right="5"/>
              <w:jc w:val="center"/>
            </w:pPr>
            <w:r>
              <w:rPr>
                <w:rFonts w:ascii="Arial" w:eastAsia="Arial" w:hAnsi="Arial" w:cs="Arial"/>
              </w:rPr>
              <w:t>Definitivas</w:t>
            </w:r>
          </w:p>
          <w:p w:rsidR="00E23B86" w:rsidRDefault="00BA7C13">
            <w:pPr>
              <w:spacing w:after="0"/>
              <w:ind w:right="2"/>
              <w:jc w:val="center"/>
            </w:pPr>
            <w:r>
              <w:rPr>
                <w:rFonts w:ascii="Arial" w:eastAsia="Arial" w:hAnsi="Arial" w:cs="Arial"/>
              </w:rPr>
              <w:t>Presupuesto</w:t>
            </w:r>
          </w:p>
          <w:p w:rsidR="00E23B86" w:rsidRDefault="00BA7C13">
            <w:pPr>
              <w:spacing w:after="0"/>
              <w:jc w:val="center"/>
            </w:pPr>
            <w:r>
              <w:rPr>
                <w:rFonts w:ascii="Arial" w:eastAsia="Arial" w:hAnsi="Arial" w:cs="Arial"/>
              </w:rPr>
              <w:t>2019</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Liquidación 2019</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5"/>
              <w:jc w:val="center"/>
            </w:pPr>
            <w:r>
              <w:rPr>
                <w:rFonts w:ascii="Arial" w:eastAsia="Arial" w:hAnsi="Arial" w:cs="Arial"/>
              </w:rPr>
              <w:t>Previsiones</w:t>
            </w:r>
          </w:p>
          <w:p w:rsidR="00E23B86" w:rsidRDefault="00BA7C13">
            <w:pPr>
              <w:spacing w:after="0"/>
              <w:ind w:right="3"/>
              <w:jc w:val="center"/>
            </w:pPr>
            <w:r>
              <w:rPr>
                <w:rFonts w:ascii="Arial" w:eastAsia="Arial" w:hAnsi="Arial" w:cs="Arial"/>
              </w:rPr>
              <w:t>Definitivas</w:t>
            </w:r>
          </w:p>
          <w:p w:rsidR="00E23B86" w:rsidRDefault="00BA7C13">
            <w:pPr>
              <w:spacing w:after="0"/>
              <w:ind w:left="195"/>
            </w:pPr>
            <w:r>
              <w:rPr>
                <w:rFonts w:ascii="Arial" w:eastAsia="Arial" w:hAnsi="Arial" w:cs="Arial"/>
              </w:rPr>
              <w:t>Presupuesto</w:t>
            </w:r>
          </w:p>
          <w:p w:rsidR="00E23B86" w:rsidRDefault="00BA7C13">
            <w:pPr>
              <w:spacing w:after="0"/>
              <w:ind w:right="2"/>
              <w:jc w:val="center"/>
            </w:pPr>
            <w:r>
              <w:rPr>
                <w:rFonts w:ascii="Arial" w:eastAsia="Arial" w:hAnsi="Arial" w:cs="Arial"/>
              </w:rPr>
              <w:t>2018</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514" w:hanging="282"/>
            </w:pPr>
            <w:r>
              <w:rPr>
                <w:rFonts w:ascii="Arial" w:eastAsia="Arial" w:hAnsi="Arial" w:cs="Arial"/>
              </w:rPr>
              <w:t>Liquidación  2018</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Variación</w:t>
            </w:r>
          </w:p>
          <w:p w:rsidR="00E23B86" w:rsidRDefault="00BA7C13">
            <w:pPr>
              <w:spacing w:after="0"/>
              <w:jc w:val="both"/>
            </w:pPr>
            <w:r>
              <w:rPr>
                <w:rFonts w:ascii="Arial" w:eastAsia="Arial" w:hAnsi="Arial" w:cs="Arial"/>
              </w:rPr>
              <w:t>Liquidación</w:t>
            </w:r>
          </w:p>
          <w:p w:rsidR="00E23B86" w:rsidRDefault="00BA7C13">
            <w:pPr>
              <w:spacing w:after="0"/>
            </w:pPr>
            <w:r>
              <w:rPr>
                <w:rFonts w:ascii="Arial" w:eastAsia="Arial" w:hAnsi="Arial" w:cs="Arial"/>
              </w:rPr>
              <w:t>2019/2018</w:t>
            </w:r>
          </w:p>
        </w:tc>
      </w:tr>
      <w:tr w:rsidR="00E23B86">
        <w:trPr>
          <w:trHeight w:val="516"/>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1.-Impuestos</w:t>
            </w:r>
          </w:p>
          <w:p w:rsidR="00E23B86" w:rsidRDefault="00BA7C13">
            <w:pPr>
              <w:spacing w:after="0"/>
              <w:ind w:left="1"/>
            </w:pPr>
            <w:r>
              <w:rPr>
                <w:rFonts w:ascii="Arial" w:eastAsia="Arial" w:hAnsi="Arial" w:cs="Arial"/>
              </w:rPr>
              <w:t>Directos</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8.379.385,00 Euros.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8.438.336,78 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8.379.385,00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8.509.701,62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- 1%</w:t>
            </w:r>
          </w:p>
        </w:tc>
      </w:tr>
      <w:tr w:rsidR="00E23B86">
        <w:trPr>
          <w:trHeight w:val="516"/>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2.-Impuestos</w:t>
            </w:r>
          </w:p>
          <w:p w:rsidR="00E23B86" w:rsidRDefault="00BA7C13">
            <w:pPr>
              <w:spacing w:after="0"/>
              <w:ind w:left="1"/>
            </w:pPr>
            <w:r>
              <w:rPr>
                <w:rFonts w:ascii="Arial" w:eastAsia="Arial" w:hAnsi="Arial" w:cs="Arial"/>
              </w:rPr>
              <w:t>Indirectos</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 xml:space="preserve">4.635.600,00 </w:t>
            </w:r>
            <w:r>
              <w:rPr>
                <w:rFonts w:ascii="Arial" w:eastAsia="Arial" w:hAnsi="Arial" w:cs="Arial"/>
              </w:rPr>
              <w:t>Euros.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4.757.714,66 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4.635.600,00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5.125.121,96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-7,2 %</w:t>
            </w:r>
          </w:p>
        </w:tc>
      </w:tr>
      <w:tr w:rsidR="00E23B86">
        <w:trPr>
          <w:trHeight w:val="516"/>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3.- Tasas y</w:t>
            </w:r>
          </w:p>
          <w:p w:rsidR="00E23B86" w:rsidRDefault="00BA7C13">
            <w:pPr>
              <w:spacing w:after="0"/>
              <w:ind w:left="1"/>
            </w:pPr>
            <w:r>
              <w:rPr>
                <w:rFonts w:ascii="Arial" w:eastAsia="Arial" w:hAnsi="Arial" w:cs="Arial"/>
              </w:rPr>
              <w:t>Otros Ingresos</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2.345.324,00 Euros.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2.497.963,44 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2.391159,57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2.274.712,15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9,81 %</w:t>
            </w:r>
          </w:p>
        </w:tc>
      </w:tr>
      <w:tr w:rsidR="00E23B86">
        <w:trPr>
          <w:trHeight w:val="768"/>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4.-</w:t>
            </w:r>
          </w:p>
          <w:p w:rsidR="00E23B86" w:rsidRDefault="00BA7C13">
            <w:pPr>
              <w:spacing w:after="0"/>
              <w:ind w:left="1"/>
            </w:pPr>
            <w:r>
              <w:rPr>
                <w:rFonts w:ascii="Arial" w:eastAsia="Arial" w:hAnsi="Arial" w:cs="Arial"/>
              </w:rPr>
              <w:t>Transferencias</w:t>
            </w:r>
          </w:p>
          <w:p w:rsidR="00E23B86" w:rsidRDefault="00BA7C13">
            <w:pPr>
              <w:spacing w:after="0"/>
              <w:ind w:left="1"/>
            </w:pPr>
            <w:r>
              <w:rPr>
                <w:rFonts w:ascii="Arial" w:eastAsia="Arial" w:hAnsi="Arial" w:cs="Arial"/>
              </w:rPr>
              <w:t>Corrientes</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9.832.166,78 Euros.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 xml:space="preserve">10.804.057,40 </w:t>
            </w:r>
            <w:r>
              <w:rPr>
                <w:rFonts w:ascii="Arial" w:eastAsia="Arial" w:hAnsi="Arial" w:cs="Arial"/>
              </w:rPr>
              <w:t>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10.201.686,33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8.824.131,12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22,44 %</w:t>
            </w:r>
          </w:p>
        </w:tc>
      </w:tr>
      <w:tr w:rsidR="00E23B86">
        <w:trPr>
          <w:trHeight w:val="516"/>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tabs>
                <w:tab w:val="center" w:pos="468"/>
                <w:tab w:val="right" w:pos="1584"/>
              </w:tabs>
              <w:spacing w:after="0"/>
            </w:pPr>
            <w:r>
              <w:rPr>
                <w:rFonts w:ascii="Arial" w:eastAsia="Arial" w:hAnsi="Arial" w:cs="Arial"/>
              </w:rPr>
              <w:t>5.-</w:t>
            </w:r>
            <w:r>
              <w:rPr>
                <w:rFonts w:ascii="Arial" w:eastAsia="Arial" w:hAnsi="Arial" w:cs="Arial"/>
              </w:rPr>
              <w:tab/>
              <w:t xml:space="preserve"> </w:t>
            </w:r>
            <w:r>
              <w:rPr>
                <w:rFonts w:ascii="Arial" w:eastAsia="Arial" w:hAnsi="Arial" w:cs="Arial"/>
              </w:rPr>
              <w:tab/>
              <w:t>Ingresos</w:t>
            </w:r>
          </w:p>
          <w:p w:rsidR="00E23B86" w:rsidRDefault="00BA7C13">
            <w:pPr>
              <w:spacing w:after="0"/>
              <w:ind w:left="1"/>
            </w:pPr>
            <w:r>
              <w:rPr>
                <w:rFonts w:ascii="Arial" w:eastAsia="Arial" w:hAnsi="Arial" w:cs="Arial"/>
              </w:rPr>
              <w:t>Patrimoniales</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31" w:right="33"/>
              <w:jc w:val="center"/>
            </w:pPr>
            <w:r>
              <w:rPr>
                <w:rFonts w:ascii="Arial" w:eastAsia="Arial" w:hAnsi="Arial" w:cs="Arial"/>
              </w:rPr>
              <w:t>31.500,00 Euros.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29.661,13 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35"/>
              <w:jc w:val="both"/>
            </w:pPr>
            <w:r>
              <w:rPr>
                <w:rFonts w:ascii="Arial" w:eastAsia="Arial" w:hAnsi="Arial" w:cs="Arial"/>
              </w:rPr>
              <w:t>7.955,00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42"/>
              <w:jc w:val="both"/>
            </w:pPr>
            <w:r>
              <w:rPr>
                <w:rFonts w:ascii="Arial" w:eastAsia="Arial" w:hAnsi="Arial" w:cs="Arial"/>
              </w:rPr>
              <w:t>8.534,50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247,5 %</w:t>
            </w:r>
          </w:p>
        </w:tc>
      </w:tr>
      <w:tr w:rsidR="00E23B86">
        <w:trPr>
          <w:trHeight w:val="770"/>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6.-Enajenación de</w:t>
            </w:r>
            <w:r>
              <w:rPr>
                <w:rFonts w:ascii="Arial" w:eastAsia="Arial" w:hAnsi="Arial" w:cs="Arial"/>
              </w:rPr>
              <w:tab/>
              <w:t xml:space="preserve"> </w:t>
            </w:r>
            <w:r>
              <w:rPr>
                <w:rFonts w:ascii="Arial" w:eastAsia="Arial" w:hAnsi="Arial" w:cs="Arial"/>
              </w:rPr>
              <w:tab/>
              <w:t>Inversion Reales</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0,00 Euros.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3"/>
              <w:jc w:val="center"/>
            </w:pPr>
            <w:r>
              <w:rPr>
                <w:rFonts w:ascii="Arial" w:eastAsia="Arial" w:hAnsi="Arial" w:cs="Arial"/>
              </w:rPr>
              <w:t>0,00 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4"/>
              <w:jc w:val="center"/>
            </w:pPr>
            <w:r>
              <w:rPr>
                <w:rFonts w:ascii="Arial" w:eastAsia="Arial" w:hAnsi="Arial" w:cs="Arial"/>
              </w:rPr>
              <w:t>0,00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4"/>
              <w:jc w:val="center"/>
            </w:pPr>
            <w:r>
              <w:rPr>
                <w:rFonts w:ascii="Arial" w:eastAsia="Arial" w:hAnsi="Arial" w:cs="Arial"/>
              </w:rPr>
              <w:t>0,00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0,00 %</w:t>
            </w:r>
          </w:p>
        </w:tc>
      </w:tr>
      <w:tr w:rsidR="00E23B86">
        <w:trPr>
          <w:trHeight w:val="768"/>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w:t>
            </w:r>
          </w:p>
          <w:p w:rsidR="00E23B86" w:rsidRDefault="00BA7C13">
            <w:pPr>
              <w:spacing w:after="0"/>
              <w:ind w:left="1"/>
            </w:pPr>
            <w:r>
              <w:rPr>
                <w:rFonts w:ascii="Arial" w:eastAsia="Arial" w:hAnsi="Arial" w:cs="Arial"/>
              </w:rPr>
              <w:t>Transferencias de Capital</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56"/>
              <w:jc w:val="both"/>
            </w:pPr>
            <w:r>
              <w:rPr>
                <w:rFonts w:ascii="Arial" w:eastAsia="Arial" w:hAnsi="Arial" w:cs="Arial"/>
              </w:rPr>
              <w:t>165.956,07Euro</w:t>
            </w:r>
          </w:p>
          <w:p w:rsidR="00E23B86" w:rsidRDefault="00BA7C13">
            <w:pPr>
              <w:spacing w:after="0"/>
              <w:ind w:right="4"/>
              <w:jc w:val="center"/>
            </w:pPr>
            <w:r>
              <w:rPr>
                <w:rFonts w:ascii="Arial" w:eastAsia="Arial" w:hAnsi="Arial" w:cs="Arial"/>
              </w:rPr>
              <w:t>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3.067.404,75 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4"/>
              <w:jc w:val="center"/>
            </w:pPr>
            <w:r>
              <w:rPr>
                <w:rFonts w:ascii="Arial" w:eastAsia="Arial" w:hAnsi="Arial" w:cs="Arial"/>
              </w:rPr>
              <w:t>0,00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629.770,27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387,00%</w:t>
            </w:r>
          </w:p>
        </w:tc>
      </w:tr>
      <w:tr w:rsidR="00E23B86">
        <w:trPr>
          <w:trHeight w:val="516"/>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8.-Activos</w:t>
            </w:r>
          </w:p>
          <w:p w:rsidR="00E23B86" w:rsidRDefault="00BA7C13">
            <w:pPr>
              <w:spacing w:after="0"/>
              <w:ind w:left="1"/>
            </w:pPr>
            <w:r>
              <w:rPr>
                <w:rFonts w:ascii="Arial" w:eastAsia="Arial" w:hAnsi="Arial" w:cs="Arial"/>
              </w:rPr>
              <w:t>Financieros</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3.409.822,13 Euros.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2"/>
              <w:jc w:val="center"/>
            </w:pPr>
            <w:r>
              <w:rPr>
                <w:rFonts w:ascii="Arial" w:eastAsia="Arial" w:hAnsi="Arial" w:cs="Arial"/>
              </w:rPr>
              <w:t>0,00 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4"/>
              <w:jc w:val="center"/>
            </w:pPr>
            <w:r>
              <w:rPr>
                <w:rFonts w:ascii="Arial" w:eastAsia="Arial" w:hAnsi="Arial" w:cs="Arial"/>
              </w:rPr>
              <w:t>0,00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5"/>
              <w:jc w:val="center"/>
            </w:pPr>
            <w:r>
              <w:rPr>
                <w:rFonts w:ascii="Arial" w:eastAsia="Arial" w:hAnsi="Arial" w:cs="Arial"/>
              </w:rPr>
              <w:t>0,00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w:t>
            </w:r>
          </w:p>
        </w:tc>
      </w:tr>
      <w:tr w:rsidR="00E23B86">
        <w:trPr>
          <w:trHeight w:val="516"/>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9.-Pasivos</w:t>
            </w:r>
          </w:p>
          <w:p w:rsidR="00E23B86" w:rsidRDefault="00BA7C13">
            <w:pPr>
              <w:spacing w:after="0"/>
              <w:ind w:left="1"/>
            </w:pPr>
            <w:r>
              <w:rPr>
                <w:rFonts w:ascii="Arial" w:eastAsia="Arial" w:hAnsi="Arial" w:cs="Arial"/>
              </w:rPr>
              <w:t>Financieros</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0,00 Euros.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2"/>
              <w:jc w:val="center"/>
            </w:pPr>
            <w:r>
              <w:rPr>
                <w:rFonts w:ascii="Arial" w:eastAsia="Arial" w:hAnsi="Arial" w:cs="Arial"/>
              </w:rPr>
              <w:t>0,00 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2.089.965,76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2.089.965,76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w:t>
            </w:r>
          </w:p>
        </w:tc>
      </w:tr>
      <w:tr w:rsidR="00E23B86">
        <w:trPr>
          <w:trHeight w:val="517"/>
        </w:trPr>
        <w:tc>
          <w:tcPr>
            <w:tcW w:w="1603" w:type="dxa"/>
            <w:tcBorders>
              <w:top w:val="single" w:sz="4" w:space="0" w:color="000001"/>
              <w:left w:val="single" w:sz="4" w:space="0" w:color="000001"/>
              <w:bottom w:val="single" w:sz="4" w:space="0" w:color="000001"/>
              <w:right w:val="single" w:sz="5" w:space="0" w:color="000001"/>
            </w:tcBorders>
          </w:tcPr>
          <w:p w:rsidR="00E23B86" w:rsidRDefault="00BA7C13">
            <w:pPr>
              <w:tabs>
                <w:tab w:val="center" w:pos="796"/>
              </w:tabs>
              <w:spacing w:after="0"/>
            </w:pPr>
            <w:r>
              <w:rPr>
                <w:rFonts w:ascii="Segoe UI Symbol" w:eastAsia="Segoe UI Symbol" w:hAnsi="Segoe UI Symbol" w:cs="Segoe UI Symbol"/>
              </w:rPr>
              <w:t></w:t>
            </w:r>
            <w:r>
              <w:rPr>
                <w:rFonts w:ascii="Segoe UI Symbol" w:eastAsia="Segoe UI Symbol" w:hAnsi="Segoe UI Symbol" w:cs="Segoe UI Symbol"/>
              </w:rPr>
              <w:tab/>
            </w:r>
            <w:r>
              <w:rPr>
                <w:rFonts w:ascii="Arial" w:eastAsia="Arial" w:hAnsi="Arial" w:cs="Arial"/>
                <w:b/>
              </w:rPr>
              <w:t>TOTAL</w:t>
            </w:r>
          </w:p>
        </w:tc>
        <w:tc>
          <w:tcPr>
            <w:tcW w:w="169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526" w:hanging="422"/>
            </w:pPr>
            <w:r>
              <w:rPr>
                <w:rFonts w:ascii="Arial" w:eastAsia="Arial" w:hAnsi="Arial" w:cs="Arial"/>
                <w:b/>
              </w:rPr>
              <w:t>27.569.094,57 Euros</w:t>
            </w:r>
          </w:p>
        </w:tc>
        <w:tc>
          <w:tcPr>
            <w:tcW w:w="155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b/>
              </w:rPr>
              <w:t>29.595.138,66 Euros</w:t>
            </w:r>
          </w:p>
        </w:tc>
        <w:tc>
          <w:tcPr>
            <w:tcW w:w="1642"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b/>
              </w:rPr>
              <w:t>29.621.958,95 Euros</w:t>
            </w:r>
          </w:p>
        </w:tc>
        <w:tc>
          <w:tcPr>
            <w:tcW w:w="1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b/>
              </w:rPr>
              <w:t>27.461.937,38 Euros</w:t>
            </w:r>
          </w:p>
        </w:tc>
        <w:tc>
          <w:tcPr>
            <w:tcW w:w="1214"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4"/>
              <w:jc w:val="center"/>
            </w:pPr>
            <w:r>
              <w:rPr>
                <w:rFonts w:ascii="Arial" w:eastAsia="Arial" w:hAnsi="Arial" w:cs="Arial"/>
                <w:b/>
              </w:rPr>
              <w:t>8,32 %</w:t>
            </w:r>
          </w:p>
        </w:tc>
      </w:tr>
    </w:tbl>
    <w:p w:rsidR="00E23B86" w:rsidRDefault="00BA7C13">
      <w:pPr>
        <w:spacing w:after="499" w:line="248" w:lineRule="auto"/>
        <w:ind w:left="363" w:right="552" w:firstLine="360"/>
        <w:jc w:val="both"/>
      </w:pPr>
      <w:r>
        <w:rPr>
          <w:rFonts w:ascii="Arial" w:eastAsia="Arial" w:hAnsi="Arial" w:cs="Arial"/>
        </w:rPr>
        <w:t xml:space="preserve">Del cuadro anterior, se observan algunas variaciones en los capítulos de ingresos, destacando una subida de los impuestos directos, indirectos y transferencias corrientes, mientras que disminuyen los demás capítulos de ingresos. </w:t>
      </w:r>
    </w:p>
    <w:p w:rsidR="00E23B86" w:rsidRDefault="00BA7C13">
      <w:pPr>
        <w:spacing w:after="242" w:line="249" w:lineRule="auto"/>
        <w:ind w:left="722" w:right="554" w:hanging="10"/>
        <w:jc w:val="both"/>
      </w:pPr>
      <w:r>
        <w:rPr>
          <w:rFonts w:ascii="Arial" w:eastAsia="Arial" w:hAnsi="Arial" w:cs="Arial"/>
          <w:b/>
        </w:rPr>
        <w:t xml:space="preserve">A) IMPUESTOS DIRECTOS </w:t>
      </w:r>
    </w:p>
    <w:p w:rsidR="00E23B86" w:rsidRDefault="00BA7C13">
      <w:pPr>
        <w:spacing w:after="245" w:line="248" w:lineRule="auto"/>
        <w:ind w:left="363" w:right="552" w:firstLine="360"/>
        <w:jc w:val="both"/>
      </w:pPr>
      <w:r>
        <w:rPr>
          <w:rFonts w:ascii="Arial" w:eastAsia="Arial" w:hAnsi="Arial" w:cs="Arial"/>
        </w:rPr>
        <w:t>Así, en materia de Impuestos directos, aumenta un 5,30 %, frente a la reducción de un 1,5 %, en el año 2015.</w:t>
      </w:r>
    </w:p>
    <w:p w:rsidR="00E23B86" w:rsidRDefault="00BA7C13">
      <w:pPr>
        <w:spacing w:after="3281" w:line="248" w:lineRule="auto"/>
        <w:ind w:left="363" w:right="552" w:firstLine="360"/>
        <w:jc w:val="both"/>
      </w:pPr>
      <w:r>
        <w:rPr>
          <w:noProof/>
        </w:rPr>
        <mc:AlternateContent>
          <mc:Choice Requires="wpg">
            <w:drawing>
              <wp:anchor distT="0" distB="0" distL="114300" distR="114300" simplePos="0" relativeHeight="251677696"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482462" name="Group 48246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768" name="Rectangle 276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769" name="Rectangle 276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w:t>
                              </w:r>
                              <w:r>
                                <w:rPr>
                                  <w:rFonts w:ascii="Arial" w:eastAsia="Arial" w:hAnsi="Arial" w:cs="Arial"/>
                                  <w:sz w:val="12"/>
                                </w:rPr>
                                <w:t xml:space="preserve">plataforma esPublico Gestiona | Página 19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2462" style="width:12.7031pt;height:280.35pt;position:absolute;mso-position-horizontal-relative:page;mso-position-horizontal:absolute;margin-left:681.958pt;mso-position-vertical-relative:page;margin-top:531.65pt;" coordsize="1613,35604">
                <v:rect id="Rectangle 276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76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391 </w:t>
                        </w:r>
                      </w:p>
                    </w:txbxContent>
                  </v:textbox>
                </v:rect>
                <w10:wrap type="topAndBottom"/>
              </v:group>
            </w:pict>
          </mc:Fallback>
        </mc:AlternateContent>
      </w:r>
      <w:r>
        <w:rPr>
          <w:rFonts w:ascii="Arial" w:eastAsia="Arial" w:hAnsi="Arial" w:cs="Arial"/>
        </w:rPr>
        <w:t xml:space="preserve">Por su cuantía, destaca el Impuesto de Bienes Inmuebles, que representa el 70,4 % de las cantidades liquidadas en este capítulo, creciendo un 5,5 %. </w:t>
      </w:r>
    </w:p>
    <w:p w:rsidR="00E23B86" w:rsidRDefault="00BA7C13">
      <w:pPr>
        <w:spacing w:after="248" w:line="249" w:lineRule="auto"/>
        <w:ind w:left="347" w:hanging="10"/>
      </w:pPr>
      <w:r>
        <w:rPr>
          <w:rFonts w:ascii="Arial" w:eastAsia="Arial" w:hAnsi="Arial" w:cs="Arial"/>
          <w:i/>
          <w:u w:val="single" w:color="000000"/>
        </w:rPr>
        <w:t>IBI URBANA (incluida los bienes de características espec</w:t>
      </w:r>
      <w:r>
        <w:rPr>
          <w:rFonts w:ascii="Arial" w:eastAsia="Arial" w:hAnsi="Arial" w:cs="Arial"/>
          <w:i/>
          <w:u w:val="single" w:color="000000"/>
        </w:rPr>
        <w:t>iales)</w:t>
      </w:r>
    </w:p>
    <w:tbl>
      <w:tblPr>
        <w:tblStyle w:val="TableGrid"/>
        <w:tblW w:w="9684" w:type="dxa"/>
        <w:tblInd w:w="225" w:type="dxa"/>
        <w:tblCellMar>
          <w:top w:w="10" w:type="dxa"/>
          <w:left w:w="11" w:type="dxa"/>
          <w:bottom w:w="0" w:type="dxa"/>
          <w:right w:w="20" w:type="dxa"/>
        </w:tblCellMar>
        <w:tblLook w:val="04A0" w:firstRow="1" w:lastRow="0" w:firstColumn="1" w:lastColumn="0" w:noHBand="0" w:noVBand="1"/>
      </w:tblPr>
      <w:tblGrid>
        <w:gridCol w:w="522"/>
        <w:gridCol w:w="1096"/>
        <w:gridCol w:w="495"/>
        <w:gridCol w:w="730"/>
        <w:gridCol w:w="430"/>
        <w:gridCol w:w="1164"/>
        <w:gridCol w:w="1417"/>
        <w:gridCol w:w="425"/>
        <w:gridCol w:w="1133"/>
        <w:gridCol w:w="564"/>
        <w:gridCol w:w="1135"/>
        <w:gridCol w:w="573"/>
      </w:tblGrid>
      <w:tr w:rsidR="00E23B86">
        <w:trPr>
          <w:trHeight w:val="1020"/>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AÑO</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PADRON</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Nº</w:t>
            </w:r>
          </w:p>
          <w:p w:rsidR="00E23B86" w:rsidRDefault="00BA7C13">
            <w:pPr>
              <w:spacing w:after="0"/>
              <w:ind w:left="1"/>
              <w:jc w:val="both"/>
            </w:pPr>
            <w:r>
              <w:rPr>
                <w:rFonts w:ascii="Arial" w:eastAsia="Arial" w:hAnsi="Arial" w:cs="Arial"/>
              </w:rPr>
              <w:t>RECIB</w:t>
            </w:r>
          </w:p>
          <w:p w:rsidR="00E23B86" w:rsidRDefault="00BA7C13">
            <w:pPr>
              <w:spacing w:after="0"/>
              <w:ind w:left="1"/>
            </w:pPr>
            <w:r>
              <w:rPr>
                <w:rFonts w:ascii="Arial" w:eastAsia="Arial" w:hAnsi="Arial" w:cs="Arial"/>
              </w:rPr>
              <w:t>OS</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TIPO</w:t>
            </w:r>
          </w:p>
          <w:p w:rsidR="00E23B86" w:rsidRDefault="00BA7C13">
            <w:pPr>
              <w:spacing w:after="0"/>
              <w:ind w:left="1"/>
              <w:jc w:val="both"/>
            </w:pPr>
            <w:r>
              <w:rPr>
                <w:rFonts w:ascii="Arial" w:eastAsia="Arial" w:hAnsi="Arial" w:cs="Arial"/>
              </w:rPr>
              <w:t>GRAVAME</w:t>
            </w:r>
          </w:p>
          <w:p w:rsidR="00E23B86" w:rsidRDefault="00BA7C13">
            <w:pPr>
              <w:spacing w:after="0"/>
              <w:ind w:left="1"/>
            </w:pPr>
            <w:r>
              <w:rPr>
                <w:rFonts w:ascii="Arial" w:eastAsia="Arial" w:hAnsi="Arial" w:cs="Arial"/>
              </w:rPr>
              <w:t>N</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PRESUPUES TO</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INGRESO</w:t>
            </w:r>
          </w:p>
          <w:p w:rsidR="00E23B86" w:rsidRDefault="00BA7C13">
            <w:pPr>
              <w:spacing w:after="0"/>
            </w:pPr>
            <w:r>
              <w:rPr>
                <w:rFonts w:ascii="Arial" w:eastAsia="Arial" w:hAnsi="Arial" w:cs="Arial"/>
              </w:rPr>
              <w:t>S</w:t>
            </w:r>
          </w:p>
          <w:p w:rsidR="00E23B86" w:rsidRDefault="00BA7C13">
            <w:pPr>
              <w:spacing w:after="0"/>
              <w:jc w:val="both"/>
            </w:pPr>
            <w:r>
              <w:rPr>
                <w:rFonts w:ascii="Arial" w:eastAsia="Arial" w:hAnsi="Arial" w:cs="Arial"/>
              </w:rPr>
              <w:t>LIQUIDAD</w:t>
            </w:r>
          </w:p>
          <w:p w:rsidR="00E23B86" w:rsidRDefault="00BA7C13">
            <w:pPr>
              <w:spacing w:after="0"/>
            </w:pPr>
            <w:r>
              <w:rPr>
                <w:rFonts w:ascii="Arial" w:eastAsia="Arial" w:hAnsi="Arial" w:cs="Arial"/>
              </w:rPr>
              <w:t>OS</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RECAUDA</w:t>
            </w:r>
          </w:p>
          <w:p w:rsidR="00E23B86" w:rsidRDefault="00BA7C13">
            <w:pPr>
              <w:spacing w:after="0"/>
              <w:ind w:left="1"/>
            </w:pPr>
            <w:r>
              <w:rPr>
                <w:rFonts w:ascii="Arial" w:eastAsia="Arial" w:hAnsi="Arial" w:cs="Arial"/>
              </w:rPr>
              <w:t>CIÓN</w:t>
            </w:r>
          </w:p>
          <w:p w:rsidR="00E23B86" w:rsidRDefault="00BA7C13">
            <w:pPr>
              <w:spacing w:after="0"/>
              <w:ind w:left="1"/>
            </w:pPr>
            <w:r>
              <w:rPr>
                <w:rFonts w:ascii="Arial" w:eastAsia="Arial" w:hAnsi="Arial" w:cs="Arial"/>
              </w:rPr>
              <w:t>LÍQUIDA</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r>
      <w:tr w:rsidR="00E23B86">
        <w:trPr>
          <w:trHeight w:val="516"/>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2019</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6.523.389,</w:t>
            </w:r>
          </w:p>
          <w:p w:rsidR="00E23B86" w:rsidRDefault="00BA7C13">
            <w:pPr>
              <w:spacing w:after="0"/>
              <w:ind w:left="1"/>
            </w:pPr>
            <w:r>
              <w:rPr>
                <w:rFonts w:ascii="Arial" w:eastAsia="Arial" w:hAnsi="Arial" w:cs="Arial"/>
              </w:rPr>
              <w:t>94</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21.963</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0,3</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0,53</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6.159.385,00</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6.135.598,</w:t>
            </w:r>
          </w:p>
          <w:p w:rsidR="00E23B86" w:rsidRDefault="00BA7C13">
            <w:pPr>
              <w:spacing w:after="0"/>
            </w:pPr>
            <w:r>
              <w:rPr>
                <w:rFonts w:ascii="Arial" w:eastAsia="Arial" w:hAnsi="Arial" w:cs="Arial"/>
              </w:rPr>
              <w:t>34</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7,1</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6.135.598,</w:t>
            </w:r>
          </w:p>
          <w:p w:rsidR="00E23B86" w:rsidRDefault="00BA7C13">
            <w:pPr>
              <w:spacing w:after="0"/>
              <w:ind w:left="1"/>
            </w:pPr>
            <w:r>
              <w:rPr>
                <w:rFonts w:ascii="Arial" w:eastAsia="Arial" w:hAnsi="Arial" w:cs="Arial"/>
              </w:rPr>
              <w:t>34</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5,8</w:t>
            </w:r>
          </w:p>
        </w:tc>
      </w:tr>
      <w:tr w:rsidR="00E23B86">
        <w:trPr>
          <w:trHeight w:val="516"/>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2018</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6.669.916,</w:t>
            </w:r>
          </w:p>
          <w:p w:rsidR="00E23B86" w:rsidRDefault="00BA7C13">
            <w:pPr>
              <w:spacing w:after="0"/>
              <w:ind w:left="1"/>
            </w:pPr>
            <w:r>
              <w:rPr>
                <w:rFonts w:ascii="Arial" w:eastAsia="Arial" w:hAnsi="Arial" w:cs="Arial"/>
              </w:rPr>
              <w:t>29</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3,4</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21.883</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2,3</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0,53</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6.159.385,00</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1,7</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5.725.984,</w:t>
            </w:r>
          </w:p>
          <w:p w:rsidR="00E23B86" w:rsidRDefault="00BA7C13">
            <w:pPr>
              <w:spacing w:after="0"/>
            </w:pPr>
            <w:r>
              <w:rPr>
                <w:rFonts w:ascii="Arial" w:eastAsia="Arial" w:hAnsi="Arial" w:cs="Arial"/>
              </w:rPr>
              <w:t>36</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5.725.984,</w:t>
            </w:r>
          </w:p>
          <w:p w:rsidR="00E23B86" w:rsidRDefault="00BA7C13">
            <w:pPr>
              <w:spacing w:after="0"/>
              <w:ind w:left="1"/>
            </w:pPr>
            <w:r>
              <w:rPr>
                <w:rFonts w:ascii="Arial" w:eastAsia="Arial" w:hAnsi="Arial" w:cs="Arial"/>
              </w:rPr>
              <w:t>36</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w:t>
            </w:r>
          </w:p>
        </w:tc>
      </w:tr>
      <w:tr w:rsidR="00E23B86">
        <w:trPr>
          <w:trHeight w:val="516"/>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2017</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6.444.792,</w:t>
            </w:r>
          </w:p>
          <w:p w:rsidR="00E23B86" w:rsidRDefault="00BA7C13">
            <w:pPr>
              <w:spacing w:after="0"/>
              <w:ind w:left="1"/>
            </w:pPr>
            <w:r>
              <w:rPr>
                <w:rFonts w:ascii="Arial" w:eastAsia="Arial" w:hAnsi="Arial" w:cs="Arial"/>
              </w:rPr>
              <w:t>41</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1,1</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21.375</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0,1</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0,53</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6.052.459,32</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6.156.291,</w:t>
            </w:r>
          </w:p>
          <w:p w:rsidR="00E23B86" w:rsidRDefault="00BA7C13">
            <w:pPr>
              <w:spacing w:after="0"/>
            </w:pPr>
            <w:r>
              <w:rPr>
                <w:rFonts w:ascii="Arial" w:eastAsia="Arial" w:hAnsi="Arial" w:cs="Arial"/>
              </w:rPr>
              <w:t>05</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6.156.291,</w:t>
            </w:r>
          </w:p>
          <w:p w:rsidR="00E23B86" w:rsidRDefault="00BA7C13">
            <w:pPr>
              <w:spacing w:after="0"/>
              <w:ind w:left="1"/>
            </w:pPr>
            <w:r>
              <w:rPr>
                <w:rFonts w:ascii="Arial" w:eastAsia="Arial" w:hAnsi="Arial" w:cs="Arial"/>
              </w:rPr>
              <w:t>05</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w:t>
            </w:r>
          </w:p>
        </w:tc>
      </w:tr>
      <w:tr w:rsidR="00E23B86">
        <w:trPr>
          <w:trHeight w:val="516"/>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2016</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6.370.351,</w:t>
            </w:r>
          </w:p>
          <w:p w:rsidR="00E23B86" w:rsidRDefault="00BA7C13">
            <w:pPr>
              <w:spacing w:after="0"/>
              <w:ind w:left="1"/>
            </w:pPr>
            <w:r>
              <w:rPr>
                <w:rFonts w:ascii="Arial" w:eastAsia="Arial" w:hAnsi="Arial" w:cs="Arial"/>
              </w:rPr>
              <w:t>49</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-3,4</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21.349</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-0,6</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0,53</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6.052.459,32</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13</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5.838.130,</w:t>
            </w:r>
          </w:p>
          <w:p w:rsidR="00E23B86" w:rsidRDefault="00BA7C13">
            <w:pPr>
              <w:spacing w:after="0"/>
            </w:pPr>
            <w:r>
              <w:rPr>
                <w:rFonts w:ascii="Arial" w:eastAsia="Arial" w:hAnsi="Arial" w:cs="Arial"/>
              </w:rPr>
              <w:t>83</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5.838.130,</w:t>
            </w:r>
          </w:p>
          <w:p w:rsidR="00E23B86" w:rsidRDefault="00BA7C13">
            <w:pPr>
              <w:spacing w:after="0"/>
              <w:ind w:left="1"/>
            </w:pPr>
            <w:r>
              <w:rPr>
                <w:rFonts w:ascii="Arial" w:eastAsia="Arial" w:hAnsi="Arial" w:cs="Arial"/>
              </w:rPr>
              <w:t>83</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w:t>
            </w:r>
          </w:p>
        </w:tc>
      </w:tr>
      <w:tr w:rsidR="00E23B86">
        <w:trPr>
          <w:trHeight w:val="516"/>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2015</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6.590.790,</w:t>
            </w:r>
          </w:p>
          <w:p w:rsidR="00E23B86" w:rsidRDefault="00BA7C13">
            <w:pPr>
              <w:spacing w:after="0"/>
              <w:ind w:left="1"/>
            </w:pPr>
            <w:r>
              <w:rPr>
                <w:rFonts w:ascii="Arial" w:eastAsia="Arial" w:hAnsi="Arial" w:cs="Arial"/>
              </w:rPr>
              <w:t>04</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7,7</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21.459</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0,3</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0,55</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5.366.998,93</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6.159.336,</w:t>
            </w:r>
          </w:p>
          <w:p w:rsidR="00E23B86" w:rsidRDefault="00BA7C13">
            <w:pPr>
              <w:spacing w:after="0"/>
            </w:pPr>
            <w:r>
              <w:rPr>
                <w:rFonts w:ascii="Arial" w:eastAsia="Arial" w:hAnsi="Arial" w:cs="Arial"/>
              </w:rPr>
              <w:t>62</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14</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6.159.336,</w:t>
            </w:r>
          </w:p>
          <w:p w:rsidR="00E23B86" w:rsidRDefault="00BA7C13">
            <w:pPr>
              <w:spacing w:after="0"/>
              <w:ind w:left="1"/>
            </w:pPr>
            <w:r>
              <w:rPr>
                <w:rFonts w:ascii="Arial" w:eastAsia="Arial" w:hAnsi="Arial" w:cs="Arial"/>
              </w:rPr>
              <w:t>62</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14</w:t>
            </w:r>
          </w:p>
        </w:tc>
      </w:tr>
      <w:tr w:rsidR="00E23B86">
        <w:trPr>
          <w:trHeight w:val="516"/>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2014</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6.116.765,</w:t>
            </w:r>
          </w:p>
          <w:p w:rsidR="00E23B86" w:rsidRDefault="00BA7C13">
            <w:pPr>
              <w:spacing w:after="0"/>
              <w:ind w:left="1"/>
            </w:pPr>
            <w:r>
              <w:rPr>
                <w:rFonts w:ascii="Arial" w:eastAsia="Arial" w:hAnsi="Arial" w:cs="Arial"/>
              </w:rPr>
              <w:t>94</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21.374</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1,3</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0,55</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5.112.037,93</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5.401.431,</w:t>
            </w:r>
          </w:p>
          <w:p w:rsidR="00E23B86" w:rsidRDefault="00BA7C13">
            <w:pPr>
              <w:spacing w:after="0"/>
            </w:pPr>
            <w:r>
              <w:rPr>
                <w:rFonts w:ascii="Arial" w:eastAsia="Arial" w:hAnsi="Arial" w:cs="Arial"/>
              </w:rPr>
              <w:t>00</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5,5</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5.401.431,</w:t>
            </w:r>
          </w:p>
          <w:p w:rsidR="00E23B86" w:rsidRDefault="00BA7C13">
            <w:pPr>
              <w:spacing w:after="0"/>
              <w:ind w:left="1"/>
            </w:pPr>
            <w:r>
              <w:rPr>
                <w:rFonts w:ascii="Arial" w:eastAsia="Arial" w:hAnsi="Arial" w:cs="Arial"/>
              </w:rPr>
              <w:t>00</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5,5</w:t>
            </w:r>
          </w:p>
        </w:tc>
      </w:tr>
      <w:tr w:rsidR="00E23B86">
        <w:trPr>
          <w:trHeight w:val="516"/>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2013</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5.704.104,</w:t>
            </w:r>
          </w:p>
          <w:p w:rsidR="00E23B86" w:rsidRDefault="00BA7C13">
            <w:pPr>
              <w:spacing w:after="0"/>
              <w:ind w:left="1"/>
            </w:pPr>
            <w:r>
              <w:rPr>
                <w:rFonts w:ascii="Arial" w:eastAsia="Arial" w:hAnsi="Arial" w:cs="Arial"/>
              </w:rPr>
              <w:t>81</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21.089</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0,7</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0,55</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5.112.037,93</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5.115.428,</w:t>
            </w:r>
          </w:p>
          <w:p w:rsidR="00E23B86" w:rsidRDefault="00BA7C13">
            <w:pPr>
              <w:spacing w:after="0"/>
            </w:pPr>
            <w:r>
              <w:rPr>
                <w:rFonts w:ascii="Arial" w:eastAsia="Arial" w:hAnsi="Arial" w:cs="Arial"/>
              </w:rPr>
              <w:t>36</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5.115.428,</w:t>
            </w:r>
          </w:p>
          <w:p w:rsidR="00E23B86" w:rsidRDefault="00BA7C13">
            <w:pPr>
              <w:spacing w:after="0"/>
              <w:ind w:left="1"/>
            </w:pPr>
            <w:r>
              <w:rPr>
                <w:rFonts w:ascii="Arial" w:eastAsia="Arial" w:hAnsi="Arial" w:cs="Arial"/>
              </w:rPr>
              <w:t>36</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w:t>
            </w:r>
          </w:p>
        </w:tc>
      </w:tr>
      <w:tr w:rsidR="00E23B86">
        <w:trPr>
          <w:trHeight w:val="516"/>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2012</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5.368.941,</w:t>
            </w:r>
          </w:p>
          <w:p w:rsidR="00E23B86" w:rsidRDefault="00BA7C13">
            <w:pPr>
              <w:spacing w:after="0"/>
              <w:ind w:left="1"/>
            </w:pPr>
            <w:r>
              <w:rPr>
                <w:rFonts w:ascii="Arial" w:eastAsia="Arial" w:hAnsi="Arial" w:cs="Arial"/>
              </w:rPr>
              <w:t>15</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5,7</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20.945</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1,7</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0,562</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5.112.037,93</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4.788.928,</w:t>
            </w:r>
          </w:p>
          <w:p w:rsidR="00E23B86" w:rsidRDefault="00BA7C13">
            <w:pPr>
              <w:spacing w:after="0"/>
            </w:pPr>
            <w:r>
              <w:rPr>
                <w:rFonts w:ascii="Arial" w:eastAsia="Arial" w:hAnsi="Arial" w:cs="Arial"/>
              </w:rPr>
              <w:t>29</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4.788.928,</w:t>
            </w:r>
          </w:p>
          <w:p w:rsidR="00E23B86" w:rsidRDefault="00BA7C13">
            <w:pPr>
              <w:spacing w:after="0"/>
              <w:ind w:left="1"/>
            </w:pPr>
            <w:r>
              <w:rPr>
                <w:rFonts w:ascii="Arial" w:eastAsia="Arial" w:hAnsi="Arial" w:cs="Arial"/>
              </w:rPr>
              <w:t>29</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r>
      <w:tr w:rsidR="00E23B86">
        <w:trPr>
          <w:trHeight w:val="517"/>
        </w:trPr>
        <w:tc>
          <w:tcPr>
            <w:tcW w:w="51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2011</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4.860.373,</w:t>
            </w:r>
          </w:p>
          <w:p w:rsidR="00E23B86" w:rsidRDefault="00BA7C13">
            <w:pPr>
              <w:spacing w:after="0"/>
              <w:ind w:left="1"/>
            </w:pPr>
            <w:r>
              <w:rPr>
                <w:rFonts w:ascii="Arial" w:eastAsia="Arial" w:hAnsi="Arial" w:cs="Arial"/>
              </w:rPr>
              <w:t>05</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12</w:t>
            </w:r>
          </w:p>
        </w:tc>
        <w:tc>
          <w:tcPr>
            <w:tcW w:w="73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20.587</w:t>
            </w:r>
          </w:p>
        </w:tc>
        <w:tc>
          <w:tcPr>
            <w:tcW w:w="43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0,54</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4.687.514,98</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4.797.776,</w:t>
            </w:r>
          </w:p>
          <w:p w:rsidR="00E23B86" w:rsidRDefault="00BA7C13">
            <w:pPr>
              <w:spacing w:after="0"/>
            </w:pPr>
            <w:r>
              <w:rPr>
                <w:rFonts w:ascii="Arial" w:eastAsia="Arial" w:hAnsi="Arial" w:cs="Arial"/>
              </w:rPr>
              <w:t>83</w:t>
            </w:r>
          </w:p>
        </w:tc>
        <w:tc>
          <w:tcPr>
            <w:tcW w:w="56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18</w:t>
            </w:r>
          </w:p>
        </w:tc>
        <w:tc>
          <w:tcPr>
            <w:tcW w:w="113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4.797.776,</w:t>
            </w:r>
          </w:p>
          <w:p w:rsidR="00E23B86" w:rsidRDefault="00BA7C13">
            <w:pPr>
              <w:spacing w:after="0"/>
              <w:ind w:left="1"/>
            </w:pPr>
            <w:r>
              <w:rPr>
                <w:rFonts w:ascii="Arial" w:eastAsia="Arial" w:hAnsi="Arial" w:cs="Arial"/>
              </w:rPr>
              <w:t>83</w:t>
            </w:r>
          </w:p>
        </w:tc>
        <w:tc>
          <w:tcPr>
            <w:tcW w:w="5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18</w:t>
            </w:r>
          </w:p>
        </w:tc>
      </w:tr>
      <w:tr w:rsidR="00E23B86">
        <w:trPr>
          <w:trHeight w:val="515"/>
        </w:trPr>
        <w:tc>
          <w:tcPr>
            <w:tcW w:w="519"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2010</w:t>
            </w:r>
          </w:p>
        </w:tc>
        <w:tc>
          <w:tcPr>
            <w:tcW w:w="109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4.350.880,</w:t>
            </w:r>
          </w:p>
          <w:p w:rsidR="00E23B86" w:rsidRDefault="00BA7C13">
            <w:pPr>
              <w:spacing w:after="0"/>
              <w:ind w:left="1"/>
            </w:pPr>
            <w:r>
              <w:rPr>
                <w:rFonts w:ascii="Arial" w:eastAsia="Arial" w:hAnsi="Arial" w:cs="Arial"/>
              </w:rPr>
              <w:t>79</w:t>
            </w:r>
          </w:p>
        </w:tc>
        <w:tc>
          <w:tcPr>
            <w:tcW w:w="49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26</w:t>
            </w:r>
          </w:p>
        </w:tc>
        <w:tc>
          <w:tcPr>
            <w:tcW w:w="73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19.232</w:t>
            </w:r>
          </w:p>
        </w:tc>
        <w:tc>
          <w:tcPr>
            <w:tcW w:w="43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13</w:t>
            </w:r>
          </w:p>
        </w:tc>
        <w:tc>
          <w:tcPr>
            <w:tcW w:w="11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0,55</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4.687.514,98</w:t>
            </w:r>
          </w:p>
        </w:tc>
        <w:tc>
          <w:tcPr>
            <w:tcW w:w="4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30</w:t>
            </w:r>
          </w:p>
        </w:tc>
        <w:tc>
          <w:tcPr>
            <w:tcW w:w="1133"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4.056.166,</w:t>
            </w:r>
          </w:p>
          <w:p w:rsidR="00E23B86" w:rsidRDefault="00BA7C13">
            <w:pPr>
              <w:spacing w:after="0"/>
            </w:pPr>
            <w:r>
              <w:rPr>
                <w:rFonts w:ascii="Arial" w:eastAsia="Arial" w:hAnsi="Arial" w:cs="Arial"/>
              </w:rPr>
              <w:t>60</w:t>
            </w:r>
          </w:p>
        </w:tc>
        <w:tc>
          <w:tcPr>
            <w:tcW w:w="565"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7</w:t>
            </w:r>
          </w:p>
        </w:tc>
        <w:tc>
          <w:tcPr>
            <w:tcW w:w="113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4.056.166,</w:t>
            </w:r>
          </w:p>
          <w:p w:rsidR="00E23B86" w:rsidRDefault="00BA7C13">
            <w:pPr>
              <w:spacing w:after="0"/>
            </w:pPr>
            <w:r>
              <w:rPr>
                <w:rFonts w:ascii="Arial" w:eastAsia="Arial" w:hAnsi="Arial" w:cs="Arial"/>
              </w:rPr>
              <w:t>60</w:t>
            </w:r>
          </w:p>
        </w:tc>
        <w:tc>
          <w:tcPr>
            <w:tcW w:w="574"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w:t>
            </w:r>
          </w:p>
        </w:tc>
      </w:tr>
    </w:tbl>
    <w:p w:rsidR="00E23B86" w:rsidRDefault="00BA7C13">
      <w:pPr>
        <w:spacing w:after="245" w:line="248" w:lineRule="auto"/>
        <w:ind w:left="363" w:right="552" w:firstLine="708"/>
        <w:jc w:val="both"/>
      </w:pPr>
      <w:r>
        <w:rPr>
          <w:rFonts w:ascii="Arial" w:eastAsia="Arial" w:hAnsi="Arial" w:cs="Arial"/>
        </w:rPr>
        <w:t>Decrece un 7,1 %, respecto al año anterior, manteniéndose por debajo del nivel liquidado en el ejercicio 2015.</w:t>
      </w:r>
    </w:p>
    <w:p w:rsidR="00E23B86" w:rsidRDefault="00BA7C13">
      <w:pPr>
        <w:spacing w:after="242" w:line="249" w:lineRule="auto"/>
        <w:ind w:left="347" w:hanging="10"/>
      </w:pPr>
      <w:r>
        <w:rPr>
          <w:rFonts w:ascii="Arial" w:eastAsia="Arial" w:hAnsi="Arial" w:cs="Arial"/>
          <w:i/>
          <w:u w:val="single" w:color="000000"/>
        </w:rPr>
        <w:t>IBI RUSTICA</w:t>
      </w:r>
    </w:p>
    <w:p w:rsidR="00E23B86" w:rsidRDefault="00BA7C13">
      <w:pPr>
        <w:spacing w:after="10" w:line="248" w:lineRule="auto"/>
        <w:ind w:left="1070" w:right="552" w:hanging="10"/>
        <w:jc w:val="both"/>
      </w:pPr>
      <w:r>
        <w:rPr>
          <w:noProof/>
        </w:rPr>
        <mc:AlternateContent>
          <mc:Choice Requires="wpg">
            <w:drawing>
              <wp:anchor distT="0" distB="0" distL="114300" distR="114300" simplePos="0" relativeHeight="2516787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4437" name="Group 60443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857" name="Rectangle 385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858" name="Rectangle 385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20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4437" style="width:12.7031pt;height:280.35pt;position:absolute;mso-position-horizontal-relative:page;mso-position-horizontal:absolute;margin-left:681.958pt;mso-position-vertical-relative:page;margin-top:531.65pt;" coordsize="1613,35604">
                <v:rect id="Rectangle 385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85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391 </w:t>
                        </w:r>
                      </w:p>
                    </w:txbxContent>
                  </v:textbox>
                </v:rect>
                <w10:wrap type="square"/>
              </v:group>
            </w:pict>
          </mc:Fallback>
        </mc:AlternateContent>
      </w:r>
      <w:r>
        <w:rPr>
          <w:rFonts w:ascii="Arial" w:eastAsia="Arial" w:hAnsi="Arial" w:cs="Arial"/>
        </w:rPr>
        <w:t xml:space="preserve"> A continuación, se refleja en cuadro, la evolución de este impuesto:</w:t>
      </w:r>
    </w:p>
    <w:tbl>
      <w:tblPr>
        <w:tblStyle w:val="TableGrid"/>
        <w:tblW w:w="8884" w:type="dxa"/>
        <w:tblInd w:w="237" w:type="dxa"/>
        <w:tblCellMar>
          <w:top w:w="10" w:type="dxa"/>
          <w:left w:w="11" w:type="dxa"/>
          <w:bottom w:w="0" w:type="dxa"/>
          <w:right w:w="9" w:type="dxa"/>
        </w:tblCellMar>
        <w:tblLook w:val="04A0" w:firstRow="1" w:lastRow="0" w:firstColumn="1" w:lastColumn="0" w:noHBand="0" w:noVBand="1"/>
      </w:tblPr>
      <w:tblGrid>
        <w:gridCol w:w="482"/>
        <w:gridCol w:w="891"/>
        <w:gridCol w:w="425"/>
        <w:gridCol w:w="738"/>
        <w:gridCol w:w="470"/>
        <w:gridCol w:w="914"/>
        <w:gridCol w:w="1114"/>
        <w:gridCol w:w="498"/>
        <w:gridCol w:w="1077"/>
        <w:gridCol w:w="503"/>
        <w:gridCol w:w="1134"/>
        <w:gridCol w:w="638"/>
      </w:tblGrid>
      <w:tr w:rsidR="00E23B86">
        <w:trPr>
          <w:trHeight w:val="1020"/>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AÑ O</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PADRO N</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Nº</w:t>
            </w:r>
          </w:p>
          <w:p w:rsidR="00E23B86" w:rsidRDefault="00BA7C13">
            <w:pPr>
              <w:spacing w:after="0"/>
              <w:jc w:val="both"/>
            </w:pPr>
            <w:r>
              <w:rPr>
                <w:rFonts w:ascii="Arial" w:eastAsia="Arial" w:hAnsi="Arial" w:cs="Arial"/>
              </w:rPr>
              <w:t>RECIB</w:t>
            </w:r>
          </w:p>
          <w:p w:rsidR="00E23B86" w:rsidRDefault="00BA7C13">
            <w:pPr>
              <w:spacing w:after="0"/>
            </w:pPr>
            <w:r>
              <w:rPr>
                <w:rFonts w:ascii="Arial" w:eastAsia="Arial" w:hAnsi="Arial" w:cs="Arial"/>
              </w:rPr>
              <w:t>OS</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TIPO</w:t>
            </w:r>
          </w:p>
          <w:p w:rsidR="00E23B86" w:rsidRDefault="00BA7C13">
            <w:pPr>
              <w:spacing w:after="0"/>
              <w:jc w:val="both"/>
            </w:pPr>
            <w:r>
              <w:rPr>
                <w:rFonts w:ascii="Arial" w:eastAsia="Arial" w:hAnsi="Arial" w:cs="Arial"/>
              </w:rPr>
              <w:t>GRAVA</w:t>
            </w:r>
          </w:p>
          <w:p w:rsidR="00E23B86" w:rsidRDefault="00BA7C13">
            <w:pPr>
              <w:spacing w:after="0"/>
            </w:pPr>
            <w:r>
              <w:rPr>
                <w:rFonts w:ascii="Arial" w:eastAsia="Arial" w:hAnsi="Arial" w:cs="Arial"/>
              </w:rPr>
              <w:t>MEN</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PRESUPU ESTO</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INGRESO</w:t>
            </w:r>
          </w:p>
          <w:p w:rsidR="00E23B86" w:rsidRDefault="00BA7C13">
            <w:pPr>
              <w:spacing w:after="0"/>
              <w:ind w:left="1"/>
            </w:pPr>
            <w:r>
              <w:rPr>
                <w:rFonts w:ascii="Arial" w:eastAsia="Arial" w:hAnsi="Arial" w:cs="Arial"/>
              </w:rPr>
              <w:t>S</w:t>
            </w:r>
          </w:p>
          <w:p w:rsidR="00E23B86" w:rsidRDefault="00BA7C13">
            <w:pPr>
              <w:spacing w:after="0"/>
              <w:ind w:left="1"/>
              <w:jc w:val="both"/>
            </w:pPr>
            <w:r>
              <w:rPr>
                <w:rFonts w:ascii="Arial" w:eastAsia="Arial" w:hAnsi="Arial" w:cs="Arial"/>
              </w:rPr>
              <w:t>LIQUIDAD</w:t>
            </w:r>
          </w:p>
          <w:p w:rsidR="00E23B86" w:rsidRDefault="00BA7C13">
            <w:pPr>
              <w:spacing w:after="0"/>
              <w:ind w:left="1"/>
            </w:pPr>
            <w:r>
              <w:rPr>
                <w:rFonts w:ascii="Arial" w:eastAsia="Arial" w:hAnsi="Arial" w:cs="Arial"/>
              </w:rPr>
              <w:t>OS</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RECAUDA</w:t>
            </w:r>
          </w:p>
          <w:p w:rsidR="00E23B86" w:rsidRDefault="00BA7C13">
            <w:pPr>
              <w:spacing w:after="0"/>
              <w:ind w:left="1"/>
            </w:pPr>
            <w:r>
              <w:rPr>
                <w:rFonts w:ascii="Arial" w:eastAsia="Arial" w:hAnsi="Arial" w:cs="Arial"/>
              </w:rPr>
              <w:t>CIÓN</w:t>
            </w:r>
          </w:p>
          <w:p w:rsidR="00E23B86" w:rsidRDefault="00BA7C13">
            <w:pPr>
              <w:spacing w:after="0"/>
              <w:ind w:left="1"/>
            </w:pPr>
            <w:r>
              <w:rPr>
                <w:rFonts w:ascii="Arial" w:eastAsia="Arial" w:hAnsi="Arial" w:cs="Arial"/>
              </w:rPr>
              <w:t>LÍQUIDA</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9</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126.837,</w:t>
            </w:r>
          </w:p>
          <w:p w:rsidR="00E23B86" w:rsidRDefault="00BA7C13">
            <w:pPr>
              <w:spacing w:after="0"/>
            </w:pPr>
            <w:r>
              <w:rPr>
                <w:rFonts w:ascii="Arial" w:eastAsia="Arial" w:hAnsi="Arial" w:cs="Arial"/>
              </w:rPr>
              <w:t>52</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5,1</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917</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0,7</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0,53</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108.000,0</w:t>
            </w:r>
          </w:p>
          <w:p w:rsidR="00E23B86" w:rsidRDefault="00BA7C13">
            <w:pPr>
              <w:spacing w:after="0"/>
            </w:pPr>
            <w:r>
              <w:rPr>
                <w:rFonts w:ascii="Arial" w:eastAsia="Arial" w:hAnsi="Arial" w:cs="Arial"/>
              </w:rPr>
              <w:t>0</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109.546,3</w:t>
            </w:r>
          </w:p>
          <w:p w:rsidR="00E23B86" w:rsidRDefault="00BA7C13">
            <w:pPr>
              <w:spacing w:after="0"/>
              <w:ind w:left="1"/>
            </w:pPr>
            <w:r>
              <w:rPr>
                <w:rFonts w:ascii="Arial" w:eastAsia="Arial" w:hAnsi="Arial" w:cs="Arial"/>
              </w:rPr>
              <w:t>9</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30,6</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109.546,39</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30,6</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8</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120.613,</w:t>
            </w:r>
          </w:p>
          <w:p w:rsidR="00E23B86" w:rsidRDefault="00BA7C13">
            <w:pPr>
              <w:spacing w:after="0"/>
            </w:pPr>
            <w:r>
              <w:rPr>
                <w:rFonts w:ascii="Arial" w:eastAsia="Arial" w:hAnsi="Arial" w:cs="Arial"/>
              </w:rPr>
              <w:t>08</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9</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910</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p w:rsidR="00E23B86" w:rsidRDefault="00BA7C13">
            <w:pPr>
              <w:spacing w:after="0"/>
              <w:jc w:val="both"/>
            </w:pPr>
            <w:r>
              <w:rPr>
                <w:rFonts w:ascii="Arial" w:eastAsia="Arial" w:hAnsi="Arial" w:cs="Arial"/>
              </w:rPr>
              <w:t>14,5</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0,53</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108.000,0</w:t>
            </w:r>
          </w:p>
          <w:p w:rsidR="00E23B86" w:rsidRDefault="00BA7C13">
            <w:pPr>
              <w:spacing w:after="0"/>
            </w:pPr>
            <w:r>
              <w:rPr>
                <w:rFonts w:ascii="Arial" w:eastAsia="Arial" w:hAnsi="Arial" w:cs="Arial"/>
              </w:rPr>
              <w:t>0</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42</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 xml:space="preserve">  82.512,0</w:t>
            </w:r>
          </w:p>
          <w:p w:rsidR="00E23B86" w:rsidRDefault="00BA7C13">
            <w:pPr>
              <w:spacing w:after="0"/>
              <w:ind w:left="1"/>
            </w:pPr>
            <w:r>
              <w:rPr>
                <w:rFonts w:ascii="Arial" w:eastAsia="Arial" w:hAnsi="Arial" w:cs="Arial"/>
              </w:rPr>
              <w:t>8</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p w:rsidR="00E23B86" w:rsidRDefault="00BA7C13">
            <w:pPr>
              <w:spacing w:after="0"/>
              <w:jc w:val="both"/>
            </w:pPr>
            <w:r>
              <w:rPr>
                <w:rFonts w:ascii="Arial" w:eastAsia="Arial" w:hAnsi="Arial" w:cs="Arial"/>
              </w:rPr>
              <w:t>23,5</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 xml:space="preserve">   82.512,0</w:t>
            </w:r>
          </w:p>
          <w:p w:rsidR="00E23B86" w:rsidRDefault="00BA7C13">
            <w:pPr>
              <w:spacing w:after="0"/>
              <w:ind w:left="1"/>
            </w:pPr>
            <w:r>
              <w:rPr>
                <w:rFonts w:ascii="Arial" w:eastAsia="Arial" w:hAnsi="Arial" w:cs="Arial"/>
              </w:rPr>
              <w:t>8</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-23,5</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7</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110.662,</w:t>
            </w:r>
          </w:p>
          <w:p w:rsidR="00E23B86" w:rsidRDefault="00BA7C13">
            <w:pPr>
              <w:spacing w:after="0"/>
            </w:pPr>
            <w:r>
              <w:rPr>
                <w:rFonts w:ascii="Arial" w:eastAsia="Arial" w:hAnsi="Arial" w:cs="Arial"/>
              </w:rPr>
              <w:t>27</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7,5</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1062</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8,5</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0,53</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76.032,26</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107.839,3</w:t>
            </w:r>
          </w:p>
          <w:p w:rsidR="00E23B86" w:rsidRDefault="00BA7C13">
            <w:pPr>
              <w:spacing w:after="0"/>
              <w:ind w:left="1"/>
            </w:pPr>
            <w:r>
              <w:rPr>
                <w:rFonts w:ascii="Arial" w:eastAsia="Arial" w:hAnsi="Arial" w:cs="Arial"/>
              </w:rPr>
              <w:t>1</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16</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107.839,31</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16</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6</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102.927,</w:t>
            </w:r>
          </w:p>
          <w:p w:rsidR="00E23B86" w:rsidRDefault="00BA7C13">
            <w:pPr>
              <w:spacing w:after="0"/>
            </w:pPr>
            <w:r>
              <w:rPr>
                <w:rFonts w:ascii="Arial" w:eastAsia="Arial" w:hAnsi="Arial" w:cs="Arial"/>
              </w:rPr>
              <w:t>12</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23,</w:t>
            </w:r>
          </w:p>
          <w:p w:rsidR="00E23B86" w:rsidRDefault="00BA7C13">
            <w:pPr>
              <w:spacing w:after="0"/>
              <w:ind w:left="1"/>
            </w:pPr>
            <w:r>
              <w:rPr>
                <w:rFonts w:ascii="Arial" w:eastAsia="Arial" w:hAnsi="Arial" w:cs="Arial"/>
              </w:rPr>
              <w:t>3</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979</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30</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0,53</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76.032,26</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52</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92.880,77</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37</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92.880,77</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37</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5</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83.517,4</w:t>
            </w:r>
          </w:p>
          <w:p w:rsidR="00E23B86" w:rsidRDefault="00BA7C13">
            <w:pPr>
              <w:spacing w:after="0"/>
            </w:pPr>
            <w:r>
              <w:rPr>
                <w:rFonts w:ascii="Arial" w:eastAsia="Arial" w:hAnsi="Arial" w:cs="Arial"/>
              </w:rPr>
              <w:t>4</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16,</w:t>
            </w:r>
          </w:p>
          <w:p w:rsidR="00E23B86" w:rsidRDefault="00BA7C13">
            <w:pPr>
              <w:spacing w:after="0"/>
              <w:ind w:left="1"/>
            </w:pPr>
            <w:r>
              <w:rPr>
                <w:rFonts w:ascii="Arial" w:eastAsia="Arial" w:hAnsi="Arial" w:cs="Arial"/>
              </w:rPr>
              <w:t>2</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750</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12</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0,53</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50.031,78</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44</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68.764,66</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68.764,66</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4</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71.843,4</w:t>
            </w:r>
          </w:p>
          <w:p w:rsidR="00E23B86" w:rsidRDefault="00BA7C13">
            <w:pPr>
              <w:spacing w:after="0"/>
            </w:pPr>
            <w:r>
              <w:rPr>
                <w:rFonts w:ascii="Arial" w:eastAsia="Arial" w:hAnsi="Arial" w:cs="Arial"/>
              </w:rPr>
              <w:t>5</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7,3</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669</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0,53</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34.568,93</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66.116,96</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26,4</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66.116,96</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26,4</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3</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66.935,5</w:t>
            </w:r>
          </w:p>
          <w:p w:rsidR="00E23B86" w:rsidRDefault="00BA7C13">
            <w:pPr>
              <w:spacing w:after="0"/>
            </w:pPr>
            <w:r>
              <w:rPr>
                <w:rFonts w:ascii="Arial" w:eastAsia="Arial" w:hAnsi="Arial" w:cs="Arial"/>
              </w:rPr>
              <w:t>9</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643</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1,4</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0,53</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34.568,93</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52.198,04</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11</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52.198,04</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11</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2</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63.100,6</w:t>
            </w:r>
          </w:p>
          <w:p w:rsidR="00E23B86" w:rsidRDefault="00BA7C13">
            <w:pPr>
              <w:spacing w:after="0"/>
            </w:pPr>
            <w:r>
              <w:rPr>
                <w:rFonts w:ascii="Arial" w:eastAsia="Arial" w:hAnsi="Arial" w:cs="Arial"/>
              </w:rPr>
              <w:t>8</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16</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634</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7</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0,54</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34.568,93</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p w:rsidR="00E23B86" w:rsidRDefault="00BA7C13">
            <w:pPr>
              <w:spacing w:after="0"/>
              <w:jc w:val="both"/>
            </w:pPr>
            <w:r>
              <w:rPr>
                <w:rFonts w:ascii="Arial" w:eastAsia="Arial" w:hAnsi="Arial" w:cs="Arial"/>
              </w:rPr>
              <w:t>12,4</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47.022,12</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36</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47.022,12</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36</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1</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54.354,0</w:t>
            </w:r>
          </w:p>
          <w:p w:rsidR="00E23B86" w:rsidRDefault="00BA7C13">
            <w:pPr>
              <w:spacing w:after="0"/>
            </w:pPr>
            <w:r>
              <w:rPr>
                <w:rFonts w:ascii="Arial" w:eastAsia="Arial" w:hAnsi="Arial" w:cs="Arial"/>
              </w:rPr>
              <w:t>5</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67</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592</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33</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0,54</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39.449,39</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34.568,93</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41</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34.568,93</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41</w:t>
            </w:r>
          </w:p>
        </w:tc>
      </w:tr>
      <w:tr w:rsidR="00E23B86">
        <w:trPr>
          <w:trHeight w:val="517"/>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0</w:t>
            </w:r>
          </w:p>
        </w:tc>
        <w:tc>
          <w:tcPr>
            <w:tcW w:w="891"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32.613,2</w:t>
            </w:r>
          </w:p>
          <w:p w:rsidR="00E23B86" w:rsidRDefault="00BA7C13">
            <w:pPr>
              <w:spacing w:after="0"/>
            </w:pPr>
            <w:r>
              <w:rPr>
                <w:rFonts w:ascii="Arial" w:eastAsia="Arial" w:hAnsi="Arial" w:cs="Arial"/>
              </w:rPr>
              <w:t>4</w:t>
            </w:r>
          </w:p>
        </w:tc>
        <w:tc>
          <w:tcPr>
            <w:tcW w:w="42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508</w:t>
            </w:r>
          </w:p>
        </w:tc>
        <w:tc>
          <w:tcPr>
            <w:tcW w:w="73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446</w:t>
            </w:r>
          </w:p>
        </w:tc>
        <w:tc>
          <w:tcPr>
            <w:tcW w:w="47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76</w:t>
            </w:r>
          </w:p>
        </w:tc>
        <w:tc>
          <w:tcPr>
            <w:tcW w:w="9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0,55</w:t>
            </w:r>
          </w:p>
        </w:tc>
        <w:tc>
          <w:tcPr>
            <w:tcW w:w="111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39.449,39</w:t>
            </w:r>
          </w:p>
        </w:tc>
        <w:tc>
          <w:tcPr>
            <w:tcW w:w="49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614</w:t>
            </w:r>
          </w:p>
        </w:tc>
        <w:tc>
          <w:tcPr>
            <w:tcW w:w="10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24.543,69</w:t>
            </w:r>
          </w:p>
        </w:tc>
        <w:tc>
          <w:tcPr>
            <w:tcW w:w="5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435</w:t>
            </w:r>
          </w:p>
        </w:tc>
        <w:tc>
          <w:tcPr>
            <w:tcW w:w="11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24.543,69</w:t>
            </w:r>
          </w:p>
        </w:tc>
        <w:tc>
          <w:tcPr>
            <w:tcW w:w="63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435</w:t>
            </w:r>
          </w:p>
        </w:tc>
      </w:tr>
    </w:tbl>
    <w:p w:rsidR="00E23B86" w:rsidRDefault="00BA7C13">
      <w:pPr>
        <w:spacing w:after="242" w:line="249" w:lineRule="auto"/>
        <w:ind w:left="347" w:hanging="10"/>
      </w:pPr>
      <w:r>
        <w:rPr>
          <w:rFonts w:ascii="Arial" w:eastAsia="Arial" w:hAnsi="Arial" w:cs="Arial"/>
          <w:i/>
          <w:u w:val="single" w:color="000000"/>
        </w:rPr>
        <w:t>IVTM</w:t>
      </w:r>
    </w:p>
    <w:p w:rsidR="00E23B86" w:rsidRDefault="00BA7C13">
      <w:pPr>
        <w:spacing w:after="10" w:line="248" w:lineRule="auto"/>
        <w:ind w:left="1070" w:right="552" w:hanging="10"/>
        <w:jc w:val="both"/>
      </w:pPr>
      <w:r>
        <w:rPr>
          <w:rFonts w:ascii="Arial" w:eastAsia="Arial" w:hAnsi="Arial" w:cs="Arial"/>
        </w:rPr>
        <w:t xml:space="preserve"> A continuación, se refleja en cuadro, la evolución de este impuesto:</w:t>
      </w:r>
    </w:p>
    <w:tbl>
      <w:tblPr>
        <w:tblStyle w:val="TableGrid"/>
        <w:tblW w:w="8822" w:type="dxa"/>
        <w:tblInd w:w="263" w:type="dxa"/>
        <w:tblCellMar>
          <w:top w:w="11" w:type="dxa"/>
          <w:left w:w="11" w:type="dxa"/>
          <w:bottom w:w="0" w:type="dxa"/>
          <w:right w:w="20" w:type="dxa"/>
        </w:tblCellMar>
        <w:tblLook w:val="04A0" w:firstRow="1" w:lastRow="0" w:firstColumn="1" w:lastColumn="0" w:noHBand="0" w:noVBand="1"/>
      </w:tblPr>
      <w:tblGrid>
        <w:gridCol w:w="482"/>
        <w:gridCol w:w="990"/>
        <w:gridCol w:w="340"/>
        <w:gridCol w:w="736"/>
        <w:gridCol w:w="362"/>
        <w:gridCol w:w="988"/>
        <w:gridCol w:w="1112"/>
        <w:gridCol w:w="374"/>
        <w:gridCol w:w="1010"/>
        <w:gridCol w:w="464"/>
        <w:gridCol w:w="1162"/>
        <w:gridCol w:w="802"/>
      </w:tblGrid>
      <w:tr w:rsidR="00E23B86">
        <w:trPr>
          <w:trHeight w:val="1021"/>
        </w:trPr>
        <w:tc>
          <w:tcPr>
            <w:tcW w:w="48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AÑ O</w:t>
            </w:r>
          </w:p>
        </w:tc>
        <w:tc>
          <w:tcPr>
            <w:tcW w:w="99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PADRON</w:t>
            </w:r>
          </w:p>
        </w:tc>
        <w:tc>
          <w:tcPr>
            <w:tcW w:w="34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w:t>
            </w:r>
          </w:p>
        </w:tc>
        <w:tc>
          <w:tcPr>
            <w:tcW w:w="7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Nº</w:t>
            </w:r>
          </w:p>
          <w:p w:rsidR="00E23B86" w:rsidRDefault="00BA7C13">
            <w:pPr>
              <w:spacing w:after="0"/>
              <w:jc w:val="both"/>
            </w:pPr>
            <w:r>
              <w:rPr>
                <w:rFonts w:ascii="Arial" w:eastAsia="Arial" w:hAnsi="Arial" w:cs="Arial"/>
              </w:rPr>
              <w:t>RECIB</w:t>
            </w:r>
          </w:p>
          <w:p w:rsidR="00E23B86" w:rsidRDefault="00BA7C13">
            <w:pPr>
              <w:spacing w:after="0"/>
            </w:pPr>
            <w:r>
              <w:rPr>
                <w:rFonts w:ascii="Arial" w:eastAsia="Arial" w:hAnsi="Arial" w:cs="Arial"/>
              </w:rPr>
              <w:t>OS</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w:t>
            </w:r>
          </w:p>
        </w:tc>
        <w:tc>
          <w:tcPr>
            <w:tcW w:w="98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TIPO</w:t>
            </w:r>
          </w:p>
          <w:p w:rsidR="00E23B86" w:rsidRDefault="00BA7C13">
            <w:pPr>
              <w:spacing w:after="0"/>
              <w:jc w:val="both"/>
            </w:pPr>
            <w:r>
              <w:rPr>
                <w:rFonts w:ascii="Arial" w:eastAsia="Arial" w:hAnsi="Arial" w:cs="Arial"/>
              </w:rPr>
              <w:t>GRAVAM</w:t>
            </w:r>
          </w:p>
          <w:p w:rsidR="00E23B86" w:rsidRDefault="00BA7C13">
            <w:pPr>
              <w:spacing w:after="0"/>
            </w:pPr>
            <w:r>
              <w:rPr>
                <w:rFonts w:ascii="Arial" w:eastAsia="Arial" w:hAnsi="Arial" w:cs="Arial"/>
              </w:rPr>
              <w:t>EN</w:t>
            </w:r>
          </w:p>
        </w:tc>
        <w:tc>
          <w:tcPr>
            <w:tcW w:w="111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PRESUPU ESTO</w:t>
            </w:r>
          </w:p>
        </w:tc>
        <w:tc>
          <w:tcPr>
            <w:tcW w:w="374"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w:t>
            </w:r>
          </w:p>
        </w:tc>
        <w:tc>
          <w:tcPr>
            <w:tcW w:w="10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INGRES</w:t>
            </w:r>
          </w:p>
          <w:p w:rsidR="00E23B86" w:rsidRDefault="00BA7C13">
            <w:pPr>
              <w:spacing w:after="0"/>
            </w:pPr>
            <w:r>
              <w:rPr>
                <w:rFonts w:ascii="Arial" w:eastAsia="Arial" w:hAnsi="Arial" w:cs="Arial"/>
              </w:rPr>
              <w:t>OS</w:t>
            </w:r>
          </w:p>
          <w:p w:rsidR="00E23B86" w:rsidRDefault="00BA7C13">
            <w:pPr>
              <w:spacing w:after="0"/>
              <w:jc w:val="both"/>
            </w:pPr>
            <w:r>
              <w:rPr>
                <w:rFonts w:ascii="Arial" w:eastAsia="Arial" w:hAnsi="Arial" w:cs="Arial"/>
              </w:rPr>
              <w:t>LIQUIDA</w:t>
            </w:r>
          </w:p>
          <w:p w:rsidR="00E23B86" w:rsidRDefault="00BA7C13">
            <w:pPr>
              <w:spacing w:after="0"/>
            </w:pPr>
            <w:r>
              <w:rPr>
                <w:rFonts w:ascii="Arial" w:eastAsia="Arial" w:hAnsi="Arial" w:cs="Arial"/>
              </w:rPr>
              <w:t>DOS</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RECAUDA</w:t>
            </w:r>
          </w:p>
          <w:p w:rsidR="00E23B86" w:rsidRDefault="00BA7C13">
            <w:pPr>
              <w:spacing w:after="0"/>
              <w:ind w:left="1"/>
            </w:pPr>
            <w:r>
              <w:rPr>
                <w:rFonts w:ascii="Arial" w:eastAsia="Arial" w:hAnsi="Arial" w:cs="Arial"/>
              </w:rPr>
              <w:t>CIÓN</w:t>
            </w:r>
          </w:p>
          <w:p w:rsidR="00E23B86" w:rsidRDefault="00BA7C13">
            <w:pPr>
              <w:spacing w:after="0"/>
              <w:ind w:left="1"/>
            </w:pPr>
            <w:r>
              <w:rPr>
                <w:rFonts w:ascii="Arial" w:eastAsia="Arial" w:hAnsi="Arial" w:cs="Arial"/>
              </w:rPr>
              <w:t>LÍQUIDA</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r>
      <w:tr w:rsidR="00E23B86">
        <w:trPr>
          <w:trHeight w:val="516"/>
        </w:trPr>
        <w:tc>
          <w:tcPr>
            <w:tcW w:w="48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9</w:t>
            </w:r>
          </w:p>
        </w:tc>
        <w:tc>
          <w:tcPr>
            <w:tcW w:w="99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1.075.92</w:t>
            </w:r>
          </w:p>
          <w:p w:rsidR="00E23B86" w:rsidRDefault="00BA7C13">
            <w:pPr>
              <w:spacing w:after="0"/>
            </w:pPr>
            <w:r>
              <w:rPr>
                <w:rFonts w:ascii="Arial" w:eastAsia="Arial" w:hAnsi="Arial" w:cs="Arial"/>
              </w:rPr>
              <w:t>2,73</w:t>
            </w:r>
          </w:p>
        </w:tc>
        <w:tc>
          <w:tcPr>
            <w:tcW w:w="34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2,1</w:t>
            </w:r>
          </w:p>
        </w:tc>
        <w:tc>
          <w:tcPr>
            <w:tcW w:w="736" w:type="dxa"/>
            <w:tcBorders>
              <w:top w:val="single" w:sz="4" w:space="0" w:color="000001"/>
              <w:left w:val="single" w:sz="5" w:space="0" w:color="000001"/>
              <w:bottom w:val="single" w:sz="4" w:space="0" w:color="000001"/>
              <w:right w:val="single" w:sz="5" w:space="0" w:color="000001"/>
            </w:tcBorders>
          </w:tcPr>
          <w:p w:rsidR="00E23B86" w:rsidRDefault="00E23B86"/>
        </w:tc>
        <w:tc>
          <w:tcPr>
            <w:tcW w:w="362" w:type="dxa"/>
            <w:tcBorders>
              <w:top w:val="single" w:sz="4" w:space="0" w:color="000001"/>
              <w:left w:val="single" w:sz="5" w:space="0" w:color="000001"/>
              <w:bottom w:val="single" w:sz="4" w:space="0" w:color="000001"/>
              <w:right w:val="single" w:sz="5" w:space="0" w:color="000001"/>
            </w:tcBorders>
          </w:tcPr>
          <w:p w:rsidR="00E23B86" w:rsidRDefault="00E23B86"/>
        </w:tc>
        <w:tc>
          <w:tcPr>
            <w:tcW w:w="98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1,33</w:t>
            </w:r>
          </w:p>
        </w:tc>
        <w:tc>
          <w:tcPr>
            <w:tcW w:w="111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800.000,0</w:t>
            </w:r>
          </w:p>
          <w:p w:rsidR="00E23B86" w:rsidRDefault="00BA7C13">
            <w:pPr>
              <w:spacing w:after="0"/>
            </w:pPr>
            <w:r>
              <w:rPr>
                <w:rFonts w:ascii="Arial" w:eastAsia="Arial" w:hAnsi="Arial" w:cs="Arial"/>
              </w:rPr>
              <w:t>0</w:t>
            </w:r>
          </w:p>
        </w:tc>
        <w:tc>
          <w:tcPr>
            <w:tcW w:w="374" w:type="dxa"/>
            <w:tcBorders>
              <w:top w:val="single" w:sz="4" w:space="0" w:color="000001"/>
              <w:left w:val="single" w:sz="4" w:space="0" w:color="000001"/>
              <w:bottom w:val="single" w:sz="4" w:space="0" w:color="000001"/>
              <w:right w:val="single" w:sz="4" w:space="0" w:color="000001"/>
            </w:tcBorders>
          </w:tcPr>
          <w:p w:rsidR="00E23B86" w:rsidRDefault="00E23B86"/>
        </w:tc>
        <w:tc>
          <w:tcPr>
            <w:tcW w:w="1010"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1.090.533</w:t>
            </w:r>
          </w:p>
          <w:p w:rsidR="00E23B86" w:rsidRDefault="00BA7C13">
            <w:pPr>
              <w:spacing w:after="0"/>
            </w:pPr>
            <w:r>
              <w:rPr>
                <w:rFonts w:ascii="Arial" w:eastAsia="Arial" w:hAnsi="Arial" w:cs="Arial"/>
              </w:rPr>
              <w:t>,30</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1,4</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777.288,09</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r>
      <w:tr w:rsidR="00E23B86">
        <w:trPr>
          <w:trHeight w:val="516"/>
        </w:trPr>
        <w:tc>
          <w:tcPr>
            <w:tcW w:w="48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8</w:t>
            </w:r>
          </w:p>
        </w:tc>
        <w:tc>
          <w:tcPr>
            <w:tcW w:w="99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1.053.21</w:t>
            </w:r>
          </w:p>
          <w:p w:rsidR="00E23B86" w:rsidRDefault="00BA7C13">
            <w:pPr>
              <w:spacing w:after="0"/>
            </w:pPr>
            <w:r>
              <w:rPr>
                <w:rFonts w:ascii="Arial" w:eastAsia="Arial" w:hAnsi="Arial" w:cs="Arial"/>
              </w:rPr>
              <w:t>8,27</w:t>
            </w:r>
          </w:p>
        </w:tc>
        <w:tc>
          <w:tcPr>
            <w:tcW w:w="34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2,5</w:t>
            </w:r>
          </w:p>
        </w:tc>
        <w:tc>
          <w:tcPr>
            <w:tcW w:w="736"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16.763</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2,5</w:t>
            </w:r>
          </w:p>
        </w:tc>
        <w:tc>
          <w:tcPr>
            <w:tcW w:w="98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1,33</w:t>
            </w:r>
          </w:p>
        </w:tc>
        <w:tc>
          <w:tcPr>
            <w:tcW w:w="111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800.000,0</w:t>
            </w:r>
          </w:p>
          <w:p w:rsidR="00E23B86" w:rsidRDefault="00BA7C13">
            <w:pPr>
              <w:spacing w:after="0"/>
            </w:pPr>
            <w:r>
              <w:rPr>
                <w:rFonts w:ascii="Arial" w:eastAsia="Arial" w:hAnsi="Arial" w:cs="Arial"/>
              </w:rPr>
              <w:t>0</w:t>
            </w:r>
          </w:p>
        </w:tc>
        <w:tc>
          <w:tcPr>
            <w:tcW w:w="3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10"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1.075.389</w:t>
            </w:r>
          </w:p>
          <w:p w:rsidR="00E23B86" w:rsidRDefault="00BA7C13">
            <w:pPr>
              <w:spacing w:after="0"/>
            </w:pPr>
            <w:r>
              <w:rPr>
                <w:rFonts w:ascii="Arial" w:eastAsia="Arial" w:hAnsi="Arial" w:cs="Arial"/>
              </w:rPr>
              <w:t>,38</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2,2</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776.982,02</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w:t>
            </w:r>
          </w:p>
        </w:tc>
      </w:tr>
      <w:tr w:rsidR="00E23B86">
        <w:trPr>
          <w:trHeight w:val="516"/>
        </w:trPr>
        <w:tc>
          <w:tcPr>
            <w:tcW w:w="48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7</w:t>
            </w:r>
          </w:p>
        </w:tc>
        <w:tc>
          <w:tcPr>
            <w:tcW w:w="99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1.026.92</w:t>
            </w:r>
          </w:p>
          <w:p w:rsidR="00E23B86" w:rsidRDefault="00BA7C13">
            <w:pPr>
              <w:spacing w:after="0"/>
            </w:pPr>
            <w:r>
              <w:rPr>
                <w:rFonts w:ascii="Arial" w:eastAsia="Arial" w:hAnsi="Arial" w:cs="Arial"/>
              </w:rPr>
              <w:t>1,04</w:t>
            </w:r>
          </w:p>
        </w:tc>
        <w:tc>
          <w:tcPr>
            <w:tcW w:w="34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0,7</w:t>
            </w:r>
          </w:p>
        </w:tc>
        <w:tc>
          <w:tcPr>
            <w:tcW w:w="736"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16.339</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3,5</w:t>
            </w:r>
          </w:p>
        </w:tc>
        <w:tc>
          <w:tcPr>
            <w:tcW w:w="98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1,33</w:t>
            </w:r>
          </w:p>
        </w:tc>
        <w:tc>
          <w:tcPr>
            <w:tcW w:w="111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801.206,1</w:t>
            </w:r>
          </w:p>
          <w:p w:rsidR="00E23B86" w:rsidRDefault="00BA7C13">
            <w:pPr>
              <w:spacing w:after="0"/>
            </w:pPr>
            <w:r>
              <w:rPr>
                <w:rFonts w:ascii="Arial" w:eastAsia="Arial" w:hAnsi="Arial" w:cs="Arial"/>
              </w:rPr>
              <w:t>8</w:t>
            </w:r>
          </w:p>
        </w:tc>
        <w:tc>
          <w:tcPr>
            <w:tcW w:w="3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10"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1.052.302</w:t>
            </w:r>
          </w:p>
          <w:p w:rsidR="00E23B86" w:rsidRDefault="00BA7C13">
            <w:pPr>
              <w:spacing w:after="0"/>
            </w:pPr>
            <w:r>
              <w:rPr>
                <w:rFonts w:ascii="Arial" w:eastAsia="Arial" w:hAnsi="Arial" w:cs="Arial"/>
              </w:rPr>
              <w:t>,41</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0,8</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800.154,49</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0,8</w:t>
            </w:r>
          </w:p>
        </w:tc>
      </w:tr>
      <w:tr w:rsidR="00E23B86">
        <w:trPr>
          <w:trHeight w:val="263"/>
        </w:trPr>
        <w:tc>
          <w:tcPr>
            <w:tcW w:w="48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201</w:t>
            </w:r>
          </w:p>
        </w:tc>
        <w:tc>
          <w:tcPr>
            <w:tcW w:w="99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1.019.08</w:t>
            </w:r>
          </w:p>
        </w:tc>
        <w:tc>
          <w:tcPr>
            <w:tcW w:w="34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1,7</w:t>
            </w:r>
          </w:p>
        </w:tc>
        <w:tc>
          <w:tcPr>
            <w:tcW w:w="736"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15.782</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2,6</w:t>
            </w:r>
          </w:p>
        </w:tc>
        <w:tc>
          <w:tcPr>
            <w:tcW w:w="98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1,33</w:t>
            </w:r>
          </w:p>
        </w:tc>
        <w:tc>
          <w:tcPr>
            <w:tcW w:w="111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801.206,1</w:t>
            </w:r>
          </w:p>
        </w:tc>
        <w:tc>
          <w:tcPr>
            <w:tcW w:w="374"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4,2</w:t>
            </w:r>
          </w:p>
        </w:tc>
        <w:tc>
          <w:tcPr>
            <w:tcW w:w="1010"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1.036.509</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-2,2</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793.474,22</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-22</w:t>
            </w:r>
          </w:p>
        </w:tc>
      </w:tr>
      <w:tr w:rsidR="00E23B86">
        <w:trPr>
          <w:trHeight w:val="263"/>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w:t>
            </w:r>
          </w:p>
        </w:tc>
        <w:tc>
          <w:tcPr>
            <w:tcW w:w="9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6,97</w:t>
            </w:r>
          </w:p>
        </w:tc>
        <w:tc>
          <w:tcPr>
            <w:tcW w:w="340" w:type="dxa"/>
            <w:tcBorders>
              <w:top w:val="single" w:sz="4" w:space="0" w:color="000001"/>
              <w:left w:val="single" w:sz="5" w:space="0" w:color="000001"/>
              <w:bottom w:val="single" w:sz="4" w:space="0" w:color="000001"/>
              <w:right w:val="single" w:sz="4" w:space="0" w:color="000001"/>
            </w:tcBorders>
          </w:tcPr>
          <w:p w:rsidR="00E23B86" w:rsidRDefault="00E23B86"/>
        </w:tc>
        <w:tc>
          <w:tcPr>
            <w:tcW w:w="736" w:type="dxa"/>
            <w:tcBorders>
              <w:top w:val="single" w:sz="4" w:space="0" w:color="000001"/>
              <w:left w:val="single" w:sz="4" w:space="0" w:color="000001"/>
              <w:bottom w:val="single" w:sz="4" w:space="0" w:color="000001"/>
              <w:right w:val="single" w:sz="5" w:space="0" w:color="000001"/>
            </w:tcBorders>
          </w:tcPr>
          <w:p w:rsidR="00E23B86" w:rsidRDefault="00E23B86"/>
        </w:tc>
        <w:tc>
          <w:tcPr>
            <w:tcW w:w="362" w:type="dxa"/>
            <w:tcBorders>
              <w:top w:val="single" w:sz="4" w:space="0" w:color="000001"/>
              <w:left w:val="single" w:sz="5" w:space="0" w:color="000001"/>
              <w:bottom w:val="single" w:sz="4" w:space="0" w:color="000001"/>
              <w:right w:val="single" w:sz="5" w:space="0" w:color="000001"/>
            </w:tcBorders>
          </w:tcPr>
          <w:p w:rsidR="00E23B86" w:rsidRDefault="00E23B86"/>
        </w:tc>
        <w:tc>
          <w:tcPr>
            <w:tcW w:w="988" w:type="dxa"/>
            <w:tcBorders>
              <w:top w:val="single" w:sz="4" w:space="0" w:color="000001"/>
              <w:left w:val="single" w:sz="5" w:space="0" w:color="000001"/>
              <w:bottom w:val="single" w:sz="4" w:space="0" w:color="000001"/>
              <w:right w:val="single" w:sz="4" w:space="0" w:color="000001"/>
            </w:tcBorders>
          </w:tcPr>
          <w:p w:rsidR="00E23B86" w:rsidRDefault="00E23B86"/>
        </w:tc>
        <w:tc>
          <w:tcPr>
            <w:tcW w:w="111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8</w:t>
            </w:r>
          </w:p>
        </w:tc>
        <w:tc>
          <w:tcPr>
            <w:tcW w:w="374" w:type="dxa"/>
            <w:tcBorders>
              <w:top w:val="single" w:sz="4" w:space="0" w:color="000001"/>
              <w:left w:val="single" w:sz="5" w:space="0" w:color="000001"/>
              <w:bottom w:val="single" w:sz="4" w:space="0" w:color="000001"/>
              <w:right w:val="single" w:sz="5" w:space="0" w:color="000001"/>
            </w:tcBorders>
          </w:tcPr>
          <w:p w:rsidR="00E23B86" w:rsidRDefault="00E23B86"/>
        </w:tc>
        <w:tc>
          <w:tcPr>
            <w:tcW w:w="101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,86</w:t>
            </w:r>
          </w:p>
        </w:tc>
        <w:tc>
          <w:tcPr>
            <w:tcW w:w="464" w:type="dxa"/>
            <w:tcBorders>
              <w:top w:val="single" w:sz="4" w:space="0" w:color="000001"/>
              <w:left w:val="single" w:sz="4" w:space="0" w:color="000001"/>
              <w:bottom w:val="single" w:sz="4" w:space="0" w:color="000001"/>
              <w:right w:val="single" w:sz="4" w:space="0" w:color="000001"/>
            </w:tcBorders>
          </w:tcPr>
          <w:p w:rsidR="00E23B86" w:rsidRDefault="00E23B86"/>
        </w:tc>
        <w:tc>
          <w:tcPr>
            <w:tcW w:w="1162" w:type="dxa"/>
            <w:tcBorders>
              <w:top w:val="single" w:sz="4" w:space="0" w:color="000001"/>
              <w:left w:val="single" w:sz="4" w:space="0" w:color="000001"/>
              <w:bottom w:val="single" w:sz="4" w:space="0" w:color="000001"/>
              <w:right w:val="single" w:sz="4" w:space="0" w:color="000001"/>
            </w:tcBorders>
          </w:tcPr>
          <w:p w:rsidR="00E23B86" w:rsidRDefault="00E23B86"/>
        </w:tc>
        <w:tc>
          <w:tcPr>
            <w:tcW w:w="802" w:type="dxa"/>
            <w:tcBorders>
              <w:top w:val="single" w:sz="4" w:space="0" w:color="000001"/>
              <w:left w:val="single" w:sz="4" w:space="0" w:color="000001"/>
              <w:bottom w:val="single" w:sz="4" w:space="0" w:color="000001"/>
              <w:right w:val="single" w:sz="4" w:space="0" w:color="000001"/>
            </w:tcBorders>
          </w:tcPr>
          <w:p w:rsidR="00E23B86" w:rsidRDefault="00E23B86"/>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5</w:t>
            </w:r>
          </w:p>
        </w:tc>
        <w:tc>
          <w:tcPr>
            <w:tcW w:w="9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1.001.26</w:t>
            </w:r>
          </w:p>
          <w:p w:rsidR="00E23B86" w:rsidRDefault="00BA7C13">
            <w:pPr>
              <w:spacing w:after="0"/>
            </w:pPr>
            <w:r>
              <w:rPr>
                <w:rFonts w:ascii="Arial" w:eastAsia="Arial" w:hAnsi="Arial" w:cs="Arial"/>
              </w:rPr>
              <w:t>0,84</w:t>
            </w:r>
          </w:p>
        </w:tc>
        <w:tc>
          <w:tcPr>
            <w:tcW w:w="34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w:t>
            </w:r>
          </w:p>
        </w:tc>
        <w:tc>
          <w:tcPr>
            <w:tcW w:w="73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15.382</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2,3</w:t>
            </w:r>
          </w:p>
        </w:tc>
        <w:tc>
          <w:tcPr>
            <w:tcW w:w="98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1,33</w:t>
            </w:r>
          </w:p>
        </w:tc>
        <w:tc>
          <w:tcPr>
            <w:tcW w:w="111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768.477,7</w:t>
            </w:r>
          </w:p>
          <w:p w:rsidR="00E23B86" w:rsidRDefault="00BA7C13">
            <w:pPr>
              <w:spacing w:after="0"/>
              <w:ind w:left="1"/>
            </w:pPr>
            <w:r>
              <w:rPr>
                <w:rFonts w:ascii="Arial" w:eastAsia="Arial" w:hAnsi="Arial" w:cs="Arial"/>
              </w:rPr>
              <w:t>1</w:t>
            </w:r>
          </w:p>
        </w:tc>
        <w:tc>
          <w:tcPr>
            <w:tcW w:w="374"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7,4</w:t>
            </w:r>
          </w:p>
        </w:tc>
        <w:tc>
          <w:tcPr>
            <w:tcW w:w="101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1.024.902</w:t>
            </w:r>
          </w:p>
          <w:p w:rsidR="00E23B86" w:rsidRDefault="00BA7C13">
            <w:pPr>
              <w:spacing w:after="0"/>
            </w:pPr>
            <w:r>
              <w:rPr>
                <w:rFonts w:ascii="Arial" w:eastAsia="Arial" w:hAnsi="Arial" w:cs="Arial"/>
              </w:rPr>
              <w:t>,59</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3,6</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761.228,73</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2,5</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4</w:t>
            </w:r>
          </w:p>
        </w:tc>
        <w:tc>
          <w:tcPr>
            <w:tcW w:w="9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981.202,</w:t>
            </w:r>
          </w:p>
          <w:p w:rsidR="00E23B86" w:rsidRDefault="00BA7C13">
            <w:pPr>
              <w:spacing w:after="0"/>
            </w:pPr>
            <w:r>
              <w:rPr>
                <w:rFonts w:ascii="Arial" w:eastAsia="Arial" w:hAnsi="Arial" w:cs="Arial"/>
              </w:rPr>
              <w:t>39</w:t>
            </w:r>
          </w:p>
        </w:tc>
        <w:tc>
          <w:tcPr>
            <w:tcW w:w="34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73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15.029</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0,7</w:t>
            </w:r>
          </w:p>
        </w:tc>
        <w:tc>
          <w:tcPr>
            <w:tcW w:w="98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1,33</w:t>
            </w:r>
          </w:p>
        </w:tc>
        <w:tc>
          <w:tcPr>
            <w:tcW w:w="111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715.502,9</w:t>
            </w:r>
          </w:p>
          <w:p w:rsidR="00E23B86" w:rsidRDefault="00BA7C13">
            <w:pPr>
              <w:spacing w:after="0"/>
              <w:ind w:left="1"/>
            </w:pPr>
            <w:r>
              <w:rPr>
                <w:rFonts w:ascii="Arial" w:eastAsia="Arial" w:hAnsi="Arial" w:cs="Arial"/>
              </w:rPr>
              <w:t>8</w:t>
            </w:r>
          </w:p>
        </w:tc>
        <w:tc>
          <w:tcPr>
            <w:tcW w:w="3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101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988.628,8</w:t>
            </w:r>
          </w:p>
          <w:p w:rsidR="00E23B86" w:rsidRDefault="00BA7C13">
            <w:pPr>
              <w:spacing w:after="0"/>
            </w:pPr>
            <w:r>
              <w:rPr>
                <w:rFonts w:ascii="Arial" w:eastAsia="Arial" w:hAnsi="Arial" w:cs="Arial"/>
              </w:rPr>
              <w:t>6 €</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0,2</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741.970,61</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3,3</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3</w:t>
            </w:r>
          </w:p>
        </w:tc>
        <w:tc>
          <w:tcPr>
            <w:tcW w:w="9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981.214,</w:t>
            </w:r>
          </w:p>
          <w:p w:rsidR="00E23B86" w:rsidRDefault="00BA7C13">
            <w:pPr>
              <w:spacing w:after="0"/>
            </w:pPr>
            <w:r>
              <w:rPr>
                <w:rFonts w:ascii="Arial" w:eastAsia="Arial" w:hAnsi="Arial" w:cs="Arial"/>
              </w:rPr>
              <w:t>3</w:t>
            </w:r>
          </w:p>
        </w:tc>
        <w:tc>
          <w:tcPr>
            <w:tcW w:w="34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0,6</w:t>
            </w:r>
          </w:p>
        </w:tc>
        <w:tc>
          <w:tcPr>
            <w:tcW w:w="73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14.919</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0,6</w:t>
            </w:r>
          </w:p>
        </w:tc>
        <w:tc>
          <w:tcPr>
            <w:tcW w:w="98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1,33</w:t>
            </w:r>
          </w:p>
        </w:tc>
        <w:tc>
          <w:tcPr>
            <w:tcW w:w="111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715.502,9</w:t>
            </w:r>
          </w:p>
          <w:p w:rsidR="00E23B86" w:rsidRDefault="00BA7C13">
            <w:pPr>
              <w:spacing w:after="0"/>
              <w:ind w:left="1"/>
            </w:pPr>
            <w:r>
              <w:rPr>
                <w:rFonts w:ascii="Arial" w:eastAsia="Arial" w:hAnsi="Arial" w:cs="Arial"/>
              </w:rPr>
              <w:t>8</w:t>
            </w:r>
          </w:p>
        </w:tc>
        <w:tc>
          <w:tcPr>
            <w:tcW w:w="3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101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986.326,5</w:t>
            </w:r>
          </w:p>
          <w:p w:rsidR="00E23B86" w:rsidRDefault="00BA7C13">
            <w:pPr>
              <w:spacing w:after="0"/>
            </w:pPr>
            <w:r>
              <w:rPr>
                <w:rFonts w:ascii="Arial" w:eastAsia="Arial" w:hAnsi="Arial" w:cs="Arial"/>
              </w:rPr>
              <w:t>7</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0,5</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717.900,01</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5</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2</w:t>
            </w:r>
          </w:p>
        </w:tc>
        <w:tc>
          <w:tcPr>
            <w:tcW w:w="9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974.455,</w:t>
            </w:r>
          </w:p>
          <w:p w:rsidR="00E23B86" w:rsidRDefault="00BA7C13">
            <w:pPr>
              <w:spacing w:after="0"/>
            </w:pPr>
            <w:r>
              <w:rPr>
                <w:rFonts w:ascii="Arial" w:eastAsia="Arial" w:hAnsi="Arial" w:cs="Arial"/>
              </w:rPr>
              <w:t>27</w:t>
            </w:r>
          </w:p>
        </w:tc>
        <w:tc>
          <w:tcPr>
            <w:tcW w:w="34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2,8</w:t>
            </w:r>
          </w:p>
        </w:tc>
        <w:tc>
          <w:tcPr>
            <w:tcW w:w="73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14.826</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w:t>
            </w:r>
          </w:p>
        </w:tc>
        <w:tc>
          <w:tcPr>
            <w:tcW w:w="98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1,33</w:t>
            </w:r>
          </w:p>
        </w:tc>
        <w:tc>
          <w:tcPr>
            <w:tcW w:w="111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715.502,9</w:t>
            </w:r>
          </w:p>
          <w:p w:rsidR="00E23B86" w:rsidRDefault="00BA7C13">
            <w:pPr>
              <w:spacing w:after="0"/>
              <w:ind w:left="1"/>
            </w:pPr>
            <w:r>
              <w:rPr>
                <w:rFonts w:ascii="Arial" w:eastAsia="Arial" w:hAnsi="Arial" w:cs="Arial"/>
              </w:rPr>
              <w:t>8</w:t>
            </w:r>
          </w:p>
        </w:tc>
        <w:tc>
          <w:tcPr>
            <w:tcW w:w="374"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-21</w:t>
            </w:r>
          </w:p>
        </w:tc>
        <w:tc>
          <w:tcPr>
            <w:tcW w:w="101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981.286,8</w:t>
            </w:r>
          </w:p>
          <w:p w:rsidR="00E23B86" w:rsidRDefault="00BA7C13">
            <w:pPr>
              <w:spacing w:after="0"/>
            </w:pPr>
            <w:r>
              <w:rPr>
                <w:rFonts w:ascii="Arial" w:eastAsia="Arial" w:hAnsi="Arial" w:cs="Arial"/>
              </w:rPr>
              <w:t>9</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683.101,43</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-5</w:t>
            </w:r>
          </w:p>
        </w:tc>
      </w:tr>
      <w:tr w:rsidR="00E23B86">
        <w:trPr>
          <w:trHeight w:val="516"/>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1</w:t>
            </w:r>
          </w:p>
        </w:tc>
        <w:tc>
          <w:tcPr>
            <w:tcW w:w="9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948.083,</w:t>
            </w:r>
          </w:p>
          <w:p w:rsidR="00E23B86" w:rsidRDefault="00BA7C13">
            <w:pPr>
              <w:spacing w:after="0"/>
            </w:pPr>
            <w:r>
              <w:rPr>
                <w:rFonts w:ascii="Arial" w:eastAsia="Arial" w:hAnsi="Arial" w:cs="Arial"/>
              </w:rPr>
              <w:t>29</w:t>
            </w:r>
          </w:p>
        </w:tc>
        <w:tc>
          <w:tcPr>
            <w:tcW w:w="34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w:t>
            </w:r>
          </w:p>
        </w:tc>
        <w:tc>
          <w:tcPr>
            <w:tcW w:w="73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14.356</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w:t>
            </w:r>
          </w:p>
        </w:tc>
        <w:tc>
          <w:tcPr>
            <w:tcW w:w="98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1,33</w:t>
            </w:r>
          </w:p>
        </w:tc>
        <w:tc>
          <w:tcPr>
            <w:tcW w:w="111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910.436,0</w:t>
            </w:r>
          </w:p>
          <w:p w:rsidR="00E23B86" w:rsidRDefault="00BA7C13">
            <w:pPr>
              <w:spacing w:after="0"/>
              <w:ind w:left="1"/>
            </w:pPr>
            <w:r>
              <w:rPr>
                <w:rFonts w:ascii="Arial" w:eastAsia="Arial" w:hAnsi="Arial" w:cs="Arial"/>
              </w:rPr>
              <w:t>5</w:t>
            </w:r>
          </w:p>
        </w:tc>
        <w:tc>
          <w:tcPr>
            <w:tcW w:w="3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101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960.271,8</w:t>
            </w:r>
          </w:p>
          <w:p w:rsidR="00E23B86" w:rsidRDefault="00BA7C13">
            <w:pPr>
              <w:spacing w:after="0"/>
            </w:pPr>
            <w:r>
              <w:rPr>
                <w:rFonts w:ascii="Arial" w:eastAsia="Arial" w:hAnsi="Arial" w:cs="Arial"/>
              </w:rPr>
              <w:t>4</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5</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715.502,98</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w:t>
            </w:r>
          </w:p>
        </w:tc>
      </w:tr>
      <w:tr w:rsidR="00E23B86">
        <w:trPr>
          <w:trHeight w:val="517"/>
        </w:trPr>
        <w:tc>
          <w:tcPr>
            <w:tcW w:w="48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w:t>
            </w:r>
          </w:p>
          <w:p w:rsidR="00E23B86" w:rsidRDefault="00BA7C13">
            <w:pPr>
              <w:spacing w:after="0"/>
            </w:pPr>
            <w:r>
              <w:rPr>
                <w:rFonts w:ascii="Arial" w:eastAsia="Arial" w:hAnsi="Arial" w:cs="Arial"/>
              </w:rPr>
              <w:t>0</w:t>
            </w:r>
          </w:p>
        </w:tc>
        <w:tc>
          <w:tcPr>
            <w:tcW w:w="9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900.895,</w:t>
            </w:r>
          </w:p>
          <w:p w:rsidR="00E23B86" w:rsidRDefault="00BA7C13">
            <w:pPr>
              <w:spacing w:after="0"/>
            </w:pPr>
            <w:r>
              <w:rPr>
                <w:rFonts w:ascii="Arial" w:eastAsia="Arial" w:hAnsi="Arial" w:cs="Arial"/>
              </w:rPr>
              <w:t>29</w:t>
            </w:r>
          </w:p>
        </w:tc>
        <w:tc>
          <w:tcPr>
            <w:tcW w:w="34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w:t>
            </w:r>
          </w:p>
        </w:tc>
        <w:tc>
          <w:tcPr>
            <w:tcW w:w="73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14.083</w:t>
            </w:r>
          </w:p>
        </w:tc>
        <w:tc>
          <w:tcPr>
            <w:tcW w:w="36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w:t>
            </w:r>
          </w:p>
        </w:tc>
        <w:tc>
          <w:tcPr>
            <w:tcW w:w="98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1,29</w:t>
            </w:r>
          </w:p>
        </w:tc>
        <w:tc>
          <w:tcPr>
            <w:tcW w:w="111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910.436,0</w:t>
            </w:r>
          </w:p>
          <w:p w:rsidR="00E23B86" w:rsidRDefault="00BA7C13">
            <w:pPr>
              <w:spacing w:after="0"/>
              <w:ind w:left="1"/>
            </w:pPr>
            <w:r>
              <w:rPr>
                <w:rFonts w:ascii="Arial" w:eastAsia="Arial" w:hAnsi="Arial" w:cs="Arial"/>
              </w:rPr>
              <w:t>5</w:t>
            </w:r>
          </w:p>
        </w:tc>
        <w:tc>
          <w:tcPr>
            <w:tcW w:w="3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w:t>
            </w:r>
          </w:p>
        </w:tc>
        <w:tc>
          <w:tcPr>
            <w:tcW w:w="101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916.560,0</w:t>
            </w:r>
          </w:p>
          <w:p w:rsidR="00E23B86" w:rsidRDefault="00BA7C13">
            <w:pPr>
              <w:spacing w:after="0"/>
            </w:pPr>
            <w:r>
              <w:rPr>
                <w:rFonts w:ascii="Arial" w:eastAsia="Arial" w:hAnsi="Arial" w:cs="Arial"/>
              </w:rPr>
              <w:t>9</w:t>
            </w:r>
          </w:p>
        </w:tc>
        <w:tc>
          <w:tcPr>
            <w:tcW w:w="46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1,4</w:t>
            </w:r>
          </w:p>
        </w:tc>
        <w:tc>
          <w:tcPr>
            <w:tcW w:w="11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689,275,63</w:t>
            </w:r>
          </w:p>
        </w:tc>
        <w:tc>
          <w:tcPr>
            <w:tcW w:w="80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3,5</w:t>
            </w:r>
          </w:p>
        </w:tc>
      </w:tr>
    </w:tbl>
    <w:p w:rsidR="00E23B86" w:rsidRDefault="00BA7C13">
      <w:pPr>
        <w:spacing w:after="243" w:line="248" w:lineRule="auto"/>
        <w:ind w:left="1070" w:right="552" w:hanging="10"/>
        <w:jc w:val="both"/>
      </w:pPr>
      <w:r>
        <w:rPr>
          <w:rFonts w:ascii="Arial" w:eastAsia="Arial" w:hAnsi="Arial" w:cs="Arial"/>
        </w:rPr>
        <w:t>Crece levemente un 1,4 %, dado que el padrón se incrementó en un 2,1 %.</w:t>
      </w:r>
    </w:p>
    <w:p w:rsidR="00E23B86" w:rsidRDefault="00BA7C13">
      <w:pPr>
        <w:spacing w:after="5" w:line="249" w:lineRule="auto"/>
        <w:ind w:left="347" w:hanging="10"/>
      </w:pPr>
      <w:r>
        <w:rPr>
          <w:rFonts w:ascii="Arial" w:eastAsia="Arial" w:hAnsi="Arial" w:cs="Arial"/>
          <w:i/>
          <w:u w:val="single" w:color="000000"/>
        </w:rPr>
        <w:t>IIVTNU</w:t>
      </w:r>
    </w:p>
    <w:p w:rsidR="00E23B86" w:rsidRDefault="00BA7C13">
      <w:pPr>
        <w:spacing w:after="0"/>
        <w:ind w:left="1060"/>
      </w:pPr>
      <w:r>
        <w:rPr>
          <w:rFonts w:ascii="Arial" w:eastAsia="Arial" w:hAnsi="Arial" w:cs="Arial"/>
        </w:rPr>
        <w:t xml:space="preserve"> </w:t>
      </w:r>
    </w:p>
    <w:p w:rsidR="00E23B86" w:rsidRDefault="00BA7C13">
      <w:pPr>
        <w:spacing w:after="10" w:line="248" w:lineRule="auto"/>
        <w:ind w:left="363" w:right="552" w:firstLine="708"/>
        <w:jc w:val="both"/>
      </w:pPr>
      <w:r>
        <w:rPr>
          <w:noProof/>
        </w:rPr>
        <mc:AlternateContent>
          <mc:Choice Requires="wpg">
            <w:drawing>
              <wp:anchor distT="0" distB="0" distL="114300" distR="114300" simplePos="0" relativeHeight="2516797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7869" name="Group 56786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786" name="Rectangle 478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787" name="Rectangle 4787"/>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7869" style="width:12.7031pt;height:280.35pt;position:absolute;mso-position-horizontal-relative:page;mso-position-horizontal:absolute;margin-left:681.958pt;mso-position-vertical-relative:page;margin-top:531.65pt;" coordsize="1613,35604">
                <v:rect id="Rectangle 478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787"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391 </w:t>
                        </w:r>
                      </w:p>
                    </w:txbxContent>
                  </v:textbox>
                </v:rect>
                <w10:wrap type="square"/>
              </v:group>
            </w:pict>
          </mc:Fallback>
        </mc:AlternateContent>
      </w:r>
      <w:r>
        <w:rPr>
          <w:rFonts w:ascii="Arial" w:eastAsia="Arial" w:hAnsi="Arial" w:cs="Arial"/>
        </w:rPr>
        <w:t>A continuación, se refleja en cuadro, la evolución de este impuesto de plusvalías:</w:t>
      </w:r>
    </w:p>
    <w:tbl>
      <w:tblPr>
        <w:tblStyle w:val="TableGrid"/>
        <w:tblW w:w="7226" w:type="dxa"/>
        <w:tblInd w:w="243" w:type="dxa"/>
        <w:tblCellMar>
          <w:top w:w="10" w:type="dxa"/>
          <w:left w:w="11" w:type="dxa"/>
          <w:bottom w:w="0" w:type="dxa"/>
          <w:right w:w="31" w:type="dxa"/>
        </w:tblCellMar>
        <w:tblLook w:val="04A0" w:firstRow="1" w:lastRow="0" w:firstColumn="1" w:lastColumn="0" w:noHBand="0" w:noVBand="1"/>
      </w:tblPr>
      <w:tblGrid>
        <w:gridCol w:w="573"/>
        <w:gridCol w:w="1012"/>
        <w:gridCol w:w="1150"/>
        <w:gridCol w:w="512"/>
        <w:gridCol w:w="1088"/>
        <w:gridCol w:w="600"/>
        <w:gridCol w:w="1277"/>
        <w:gridCol w:w="1014"/>
      </w:tblGrid>
      <w:tr w:rsidR="00E23B86">
        <w:trPr>
          <w:trHeight w:val="1020"/>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AÑO</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TIPO</w:t>
            </w:r>
          </w:p>
          <w:p w:rsidR="00E23B86" w:rsidRDefault="00BA7C13">
            <w:pPr>
              <w:spacing w:after="0"/>
              <w:ind w:left="1"/>
              <w:jc w:val="both"/>
            </w:pPr>
            <w:r>
              <w:rPr>
                <w:rFonts w:ascii="Arial" w:eastAsia="Arial" w:hAnsi="Arial" w:cs="Arial"/>
              </w:rPr>
              <w:t>GRAVAM</w:t>
            </w:r>
          </w:p>
          <w:p w:rsidR="00E23B86" w:rsidRDefault="00BA7C13">
            <w:pPr>
              <w:spacing w:after="0"/>
              <w:ind w:left="1"/>
            </w:pPr>
            <w:r>
              <w:rPr>
                <w:rFonts w:ascii="Arial" w:eastAsia="Arial" w:hAnsi="Arial" w:cs="Arial"/>
              </w:rPr>
              <w:t>EN</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PRESUPU ESTO</w:t>
            </w:r>
          </w:p>
        </w:tc>
        <w:tc>
          <w:tcPr>
            <w:tcW w:w="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INGRESO</w:t>
            </w:r>
          </w:p>
          <w:p w:rsidR="00E23B86" w:rsidRDefault="00BA7C13">
            <w:pPr>
              <w:spacing w:after="0"/>
            </w:pPr>
            <w:r>
              <w:rPr>
                <w:rFonts w:ascii="Arial" w:eastAsia="Arial" w:hAnsi="Arial" w:cs="Arial"/>
              </w:rPr>
              <w:t>S</w:t>
            </w:r>
          </w:p>
          <w:p w:rsidR="00E23B86" w:rsidRDefault="00BA7C13">
            <w:pPr>
              <w:spacing w:after="0"/>
              <w:jc w:val="both"/>
            </w:pPr>
            <w:r>
              <w:rPr>
                <w:rFonts w:ascii="Arial" w:eastAsia="Arial" w:hAnsi="Arial" w:cs="Arial"/>
              </w:rPr>
              <w:t>LIQUIDAD</w:t>
            </w:r>
          </w:p>
          <w:p w:rsidR="00E23B86" w:rsidRDefault="00BA7C13">
            <w:pPr>
              <w:spacing w:after="0"/>
            </w:pPr>
            <w:r>
              <w:rPr>
                <w:rFonts w:ascii="Arial" w:eastAsia="Arial" w:hAnsi="Arial" w:cs="Arial"/>
              </w:rPr>
              <w:t>OS</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RECAUDAC</w:t>
            </w:r>
          </w:p>
          <w:p w:rsidR="00E23B86" w:rsidRDefault="00BA7C13">
            <w:pPr>
              <w:spacing w:after="0"/>
            </w:pPr>
            <w:r>
              <w:rPr>
                <w:rFonts w:ascii="Arial" w:eastAsia="Arial" w:hAnsi="Arial" w:cs="Arial"/>
              </w:rPr>
              <w:t>IÓN</w:t>
            </w:r>
          </w:p>
          <w:p w:rsidR="00E23B86" w:rsidRDefault="00BA7C13">
            <w:pPr>
              <w:spacing w:after="0"/>
            </w:pPr>
            <w:r>
              <w:rPr>
                <w:rFonts w:ascii="Arial" w:eastAsia="Arial" w:hAnsi="Arial" w:cs="Arial"/>
              </w:rPr>
              <w:t>LÍQUIDA</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r>
      <w:tr w:rsidR="00E23B86">
        <w:trPr>
          <w:trHeight w:val="516"/>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2019</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542.000,00</w:t>
            </w:r>
          </w:p>
        </w:tc>
        <w:tc>
          <w:tcPr>
            <w:tcW w:w="512" w:type="dxa"/>
            <w:tcBorders>
              <w:top w:val="single" w:sz="4" w:space="0" w:color="000001"/>
              <w:left w:val="single" w:sz="5" w:space="0" w:color="000001"/>
              <w:bottom w:val="single" w:sz="4" w:space="0" w:color="000001"/>
              <w:right w:val="single" w:sz="5" w:space="0" w:color="000001"/>
            </w:tcBorders>
          </w:tcPr>
          <w:p w:rsidR="00E23B86" w:rsidRDefault="00E23B86"/>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345.114,3</w:t>
            </w:r>
          </w:p>
          <w:p w:rsidR="00E23B86" w:rsidRDefault="00BA7C13">
            <w:pPr>
              <w:spacing w:after="0"/>
            </w:pPr>
            <w:r>
              <w:rPr>
                <w:rFonts w:ascii="Arial" w:eastAsia="Arial" w:hAnsi="Arial" w:cs="Arial"/>
              </w:rPr>
              <w:t>3</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-63</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246.391,33</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-57</w:t>
            </w:r>
          </w:p>
        </w:tc>
      </w:tr>
      <w:tr w:rsidR="00E23B86">
        <w:trPr>
          <w:trHeight w:val="516"/>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2018</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542.000,00</w:t>
            </w:r>
          </w:p>
        </w:tc>
        <w:tc>
          <w:tcPr>
            <w:tcW w:w="512" w:type="dxa"/>
            <w:tcBorders>
              <w:top w:val="single" w:sz="4" w:space="0" w:color="000001"/>
              <w:left w:val="single" w:sz="5" w:space="0" w:color="000001"/>
              <w:bottom w:val="single" w:sz="4" w:space="0" w:color="000001"/>
              <w:right w:val="single" w:sz="5" w:space="0" w:color="000001"/>
            </w:tcBorders>
          </w:tcPr>
          <w:p w:rsidR="00E23B86" w:rsidRDefault="00E23B86"/>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932.586,1</w:t>
            </w:r>
          </w:p>
          <w:p w:rsidR="00E23B86" w:rsidRDefault="00BA7C13">
            <w:pPr>
              <w:spacing w:after="0"/>
            </w:pPr>
            <w:r>
              <w:rPr>
                <w:rFonts w:ascii="Arial" w:eastAsia="Arial" w:hAnsi="Arial" w:cs="Arial"/>
              </w:rPr>
              <w:t>2</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16</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570.377,67</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3,6</w:t>
            </w:r>
          </w:p>
        </w:tc>
      </w:tr>
      <w:tr w:rsidR="00E23B86">
        <w:trPr>
          <w:trHeight w:val="516"/>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2017</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300.000,00</w:t>
            </w:r>
          </w:p>
        </w:tc>
        <w:tc>
          <w:tcPr>
            <w:tcW w:w="51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9"/>
              <w:jc w:val="center"/>
            </w:pPr>
            <w:r>
              <w:rPr>
                <w:rFonts w:ascii="Arial" w:eastAsia="Arial" w:hAnsi="Arial" w:cs="Arial"/>
              </w:rPr>
              <w:t>--</w:t>
            </w:r>
          </w:p>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805.591,5</w:t>
            </w:r>
          </w:p>
          <w:p w:rsidR="00E23B86" w:rsidRDefault="00BA7C13">
            <w:pPr>
              <w:spacing w:after="0"/>
            </w:pPr>
            <w:r>
              <w:rPr>
                <w:rFonts w:ascii="Arial" w:eastAsia="Arial" w:hAnsi="Arial" w:cs="Arial"/>
              </w:rPr>
              <w:t>4</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18</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550.620,67</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19</w:t>
            </w:r>
          </w:p>
        </w:tc>
      </w:tr>
      <w:tr w:rsidR="00E23B86">
        <w:trPr>
          <w:trHeight w:val="516"/>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2016</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300.000,00</w:t>
            </w:r>
          </w:p>
        </w:tc>
        <w:tc>
          <w:tcPr>
            <w:tcW w:w="51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88"/>
              <w:jc w:val="both"/>
            </w:pPr>
            <w:r>
              <w:rPr>
                <w:rFonts w:ascii="Arial" w:eastAsia="Arial" w:hAnsi="Arial" w:cs="Arial"/>
              </w:rPr>
              <w:t>-36</w:t>
            </w:r>
          </w:p>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683.487,0</w:t>
            </w:r>
          </w:p>
          <w:p w:rsidR="00E23B86" w:rsidRDefault="00BA7C13">
            <w:pPr>
              <w:spacing w:after="0"/>
            </w:pPr>
            <w:r>
              <w:rPr>
                <w:rFonts w:ascii="Arial" w:eastAsia="Arial" w:hAnsi="Arial" w:cs="Arial"/>
              </w:rPr>
              <w:t>9</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37</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471.725,43</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62</w:t>
            </w:r>
          </w:p>
        </w:tc>
      </w:tr>
      <w:tr w:rsidR="00E23B86">
        <w:trPr>
          <w:trHeight w:val="516"/>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2015</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468.416,94</w:t>
            </w:r>
          </w:p>
        </w:tc>
        <w:tc>
          <w:tcPr>
            <w:tcW w:w="51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32"/>
              <w:jc w:val="both"/>
            </w:pPr>
            <w:r>
              <w:rPr>
                <w:rFonts w:ascii="Arial" w:eastAsia="Arial" w:hAnsi="Arial" w:cs="Arial"/>
              </w:rPr>
              <w:t>21,3</w:t>
            </w:r>
          </w:p>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499.251,3</w:t>
            </w:r>
          </w:p>
          <w:p w:rsidR="00E23B86" w:rsidRDefault="00BA7C13">
            <w:pPr>
              <w:spacing w:after="0"/>
            </w:pPr>
            <w:r>
              <w:rPr>
                <w:rFonts w:ascii="Arial" w:eastAsia="Arial" w:hAnsi="Arial" w:cs="Arial"/>
              </w:rPr>
              <w:t>2</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-15</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290.551,50</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-28</w:t>
            </w:r>
          </w:p>
        </w:tc>
      </w:tr>
      <w:tr w:rsidR="00E23B86">
        <w:trPr>
          <w:trHeight w:val="516"/>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2014</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386.106,21</w:t>
            </w:r>
          </w:p>
        </w:tc>
        <w:tc>
          <w:tcPr>
            <w:tcW w:w="51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9"/>
              <w:jc w:val="center"/>
            </w:pPr>
            <w:r>
              <w:rPr>
                <w:rFonts w:ascii="Arial" w:eastAsia="Arial" w:hAnsi="Arial" w:cs="Arial"/>
              </w:rPr>
              <w:t>--</w:t>
            </w:r>
          </w:p>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584.763,1</w:t>
            </w:r>
          </w:p>
          <w:p w:rsidR="00E23B86" w:rsidRDefault="00BA7C13">
            <w:pPr>
              <w:spacing w:after="0"/>
            </w:pPr>
            <w:r>
              <w:rPr>
                <w:rFonts w:ascii="Arial" w:eastAsia="Arial" w:hAnsi="Arial" w:cs="Arial"/>
              </w:rPr>
              <w:t>0</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-26,3</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403.583,45</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-24,4</w:t>
            </w:r>
          </w:p>
        </w:tc>
      </w:tr>
      <w:tr w:rsidR="00E23B86">
        <w:trPr>
          <w:trHeight w:val="516"/>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2013</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386.106,21</w:t>
            </w:r>
          </w:p>
        </w:tc>
        <w:tc>
          <w:tcPr>
            <w:tcW w:w="51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9"/>
              <w:jc w:val="center"/>
            </w:pPr>
            <w:r>
              <w:rPr>
                <w:rFonts w:ascii="Arial" w:eastAsia="Arial" w:hAnsi="Arial" w:cs="Arial"/>
              </w:rPr>
              <w:t>--</w:t>
            </w:r>
          </w:p>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793,380,5</w:t>
            </w:r>
          </w:p>
          <w:p w:rsidR="00E23B86" w:rsidRDefault="00BA7C13">
            <w:pPr>
              <w:spacing w:after="0"/>
            </w:pPr>
            <w:r>
              <w:rPr>
                <w:rFonts w:ascii="Arial" w:eastAsia="Arial" w:hAnsi="Arial" w:cs="Arial"/>
              </w:rPr>
              <w:t>6</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06"/>
              <w:jc w:val="both"/>
            </w:pPr>
            <w:r>
              <w:rPr>
                <w:rFonts w:ascii="Arial" w:eastAsia="Arial" w:hAnsi="Arial" w:cs="Arial"/>
              </w:rPr>
              <w:t>151</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532,082,05</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178,5</w:t>
            </w:r>
          </w:p>
        </w:tc>
      </w:tr>
      <w:tr w:rsidR="00E23B86">
        <w:trPr>
          <w:trHeight w:val="516"/>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2012</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386.106,21</w:t>
            </w:r>
          </w:p>
        </w:tc>
        <w:tc>
          <w:tcPr>
            <w:tcW w:w="51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88"/>
              <w:jc w:val="both"/>
            </w:pPr>
            <w:r>
              <w:rPr>
                <w:rFonts w:ascii="Arial" w:eastAsia="Arial" w:hAnsi="Arial" w:cs="Arial"/>
              </w:rPr>
              <w:t>-24</w:t>
            </w:r>
          </w:p>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315.541,6</w:t>
            </w:r>
          </w:p>
          <w:p w:rsidR="00E23B86" w:rsidRDefault="00BA7C13">
            <w:pPr>
              <w:spacing w:after="0"/>
            </w:pPr>
            <w:r>
              <w:rPr>
                <w:rFonts w:ascii="Arial" w:eastAsia="Arial" w:hAnsi="Arial" w:cs="Arial"/>
              </w:rPr>
              <w:t>2</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30"/>
            </w:pPr>
            <w:r>
              <w:rPr>
                <w:rFonts w:ascii="Arial" w:eastAsia="Arial" w:hAnsi="Arial" w:cs="Arial"/>
              </w:rPr>
              <w:t>-41</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191.010,84</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-51,5</w:t>
            </w:r>
          </w:p>
        </w:tc>
      </w:tr>
      <w:tr w:rsidR="00E23B86">
        <w:trPr>
          <w:trHeight w:val="516"/>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2011</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510.000,00</w:t>
            </w:r>
          </w:p>
        </w:tc>
        <w:tc>
          <w:tcPr>
            <w:tcW w:w="51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9"/>
              <w:jc w:val="center"/>
            </w:pPr>
            <w:r>
              <w:rPr>
                <w:rFonts w:ascii="Arial" w:eastAsia="Arial" w:hAnsi="Arial" w:cs="Arial"/>
              </w:rPr>
              <w:t>--</w:t>
            </w:r>
          </w:p>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532.016,4</w:t>
            </w:r>
          </w:p>
          <w:p w:rsidR="00E23B86" w:rsidRDefault="00BA7C13">
            <w:pPr>
              <w:spacing w:after="0"/>
            </w:pPr>
            <w:r>
              <w:rPr>
                <w:rFonts w:ascii="Arial" w:eastAsia="Arial" w:hAnsi="Arial" w:cs="Arial"/>
              </w:rPr>
              <w:t>0</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38"/>
              <w:jc w:val="both"/>
            </w:pPr>
            <w:r>
              <w:rPr>
                <w:rFonts w:ascii="Arial" w:eastAsia="Arial" w:hAnsi="Arial" w:cs="Arial"/>
              </w:rPr>
              <w:t>-10,5</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386.106,21</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-19</w:t>
            </w:r>
          </w:p>
        </w:tc>
      </w:tr>
      <w:tr w:rsidR="00E23B86">
        <w:trPr>
          <w:trHeight w:val="517"/>
        </w:trPr>
        <w:tc>
          <w:tcPr>
            <w:tcW w:w="573"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2010</w:t>
            </w:r>
          </w:p>
        </w:tc>
        <w:tc>
          <w:tcPr>
            <w:tcW w:w="10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27</w:t>
            </w:r>
          </w:p>
        </w:tc>
        <w:tc>
          <w:tcPr>
            <w:tcW w:w="115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510.000,00</w:t>
            </w:r>
          </w:p>
        </w:tc>
        <w:tc>
          <w:tcPr>
            <w:tcW w:w="51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24"/>
            </w:pPr>
            <w:r>
              <w:rPr>
                <w:rFonts w:ascii="Arial" w:eastAsia="Arial" w:hAnsi="Arial" w:cs="Arial"/>
              </w:rPr>
              <w:t>11</w:t>
            </w:r>
          </w:p>
        </w:tc>
        <w:tc>
          <w:tcPr>
            <w:tcW w:w="108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594.693,6</w:t>
            </w:r>
          </w:p>
          <w:p w:rsidR="00E23B86" w:rsidRDefault="00BA7C13">
            <w:pPr>
              <w:spacing w:after="0"/>
            </w:pPr>
            <w:r>
              <w:rPr>
                <w:rFonts w:ascii="Arial" w:eastAsia="Arial" w:hAnsi="Arial" w:cs="Arial"/>
              </w:rPr>
              <w:t>5</w:t>
            </w:r>
          </w:p>
        </w:tc>
        <w:tc>
          <w:tcPr>
            <w:tcW w:w="60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68"/>
            </w:pPr>
            <w:r>
              <w:rPr>
                <w:rFonts w:ascii="Arial" w:eastAsia="Arial" w:hAnsi="Arial" w:cs="Arial"/>
              </w:rPr>
              <w:t>24</w:t>
            </w:r>
          </w:p>
        </w:tc>
        <w:tc>
          <w:tcPr>
            <w:tcW w:w="127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475,237,82</w:t>
            </w:r>
          </w:p>
        </w:tc>
        <w:tc>
          <w:tcPr>
            <w:tcW w:w="101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48</w:t>
            </w:r>
          </w:p>
        </w:tc>
      </w:tr>
    </w:tbl>
    <w:p w:rsidR="00E23B86" w:rsidRDefault="00BA7C13">
      <w:pPr>
        <w:spacing w:after="243" w:line="248" w:lineRule="auto"/>
        <w:ind w:left="1070" w:right="552" w:hanging="10"/>
        <w:jc w:val="both"/>
      </w:pPr>
      <w:r>
        <w:rPr>
          <w:rFonts w:ascii="Arial" w:eastAsia="Arial" w:hAnsi="Arial" w:cs="Arial"/>
        </w:rPr>
        <w:t>Destaca un importante decrecimiento del 63 %.</w:t>
      </w:r>
    </w:p>
    <w:p w:rsidR="00E23B86" w:rsidRDefault="00BA7C13">
      <w:pPr>
        <w:spacing w:after="242" w:line="249" w:lineRule="auto"/>
        <w:ind w:left="347" w:hanging="10"/>
      </w:pPr>
      <w:r>
        <w:rPr>
          <w:rFonts w:ascii="Arial" w:eastAsia="Arial" w:hAnsi="Arial" w:cs="Arial"/>
          <w:i/>
          <w:u w:val="single" w:color="000000"/>
        </w:rPr>
        <w:t>IAE</w:t>
      </w:r>
    </w:p>
    <w:p w:rsidR="00E23B86" w:rsidRDefault="00BA7C13">
      <w:pPr>
        <w:spacing w:after="110" w:line="248" w:lineRule="auto"/>
        <w:ind w:left="1070" w:right="552" w:hanging="10"/>
        <w:jc w:val="both"/>
      </w:pPr>
      <w:r>
        <w:rPr>
          <w:rFonts w:ascii="Arial" w:eastAsia="Arial" w:hAnsi="Arial" w:cs="Arial"/>
        </w:rPr>
        <w:t>A continuación, se refleja en cuadro, la evolución de este impuesto:</w:t>
      </w:r>
    </w:p>
    <w:tbl>
      <w:tblPr>
        <w:tblStyle w:val="TableGrid"/>
        <w:tblW w:w="8782" w:type="dxa"/>
        <w:tblInd w:w="213" w:type="dxa"/>
        <w:tblCellMar>
          <w:top w:w="11" w:type="dxa"/>
          <w:left w:w="11" w:type="dxa"/>
          <w:bottom w:w="0" w:type="dxa"/>
          <w:right w:w="12" w:type="dxa"/>
        </w:tblCellMar>
        <w:tblLook w:val="04A0" w:firstRow="1" w:lastRow="0" w:firstColumn="1" w:lastColumn="0" w:noHBand="0" w:noVBand="1"/>
      </w:tblPr>
      <w:tblGrid>
        <w:gridCol w:w="461"/>
        <w:gridCol w:w="1027"/>
        <w:gridCol w:w="412"/>
        <w:gridCol w:w="765"/>
        <w:gridCol w:w="298"/>
        <w:gridCol w:w="1112"/>
        <w:gridCol w:w="488"/>
        <w:gridCol w:w="1086"/>
        <w:gridCol w:w="436"/>
        <w:gridCol w:w="1849"/>
        <w:gridCol w:w="848"/>
      </w:tblGrid>
      <w:tr w:rsidR="00E23B86">
        <w:trPr>
          <w:trHeight w:val="1021"/>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AÑ O</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MATRÍCU LA</w:t>
            </w:r>
          </w:p>
        </w:tc>
        <w:tc>
          <w:tcPr>
            <w:tcW w:w="4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w:t>
            </w:r>
          </w:p>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Nº</w:t>
            </w:r>
          </w:p>
          <w:p w:rsidR="00E23B86" w:rsidRDefault="00BA7C13">
            <w:pPr>
              <w:spacing w:after="0"/>
              <w:ind w:left="1"/>
              <w:jc w:val="both"/>
            </w:pPr>
            <w:r>
              <w:rPr>
                <w:rFonts w:ascii="Arial" w:eastAsia="Arial" w:hAnsi="Arial" w:cs="Arial"/>
              </w:rPr>
              <w:t>RECIB</w:t>
            </w:r>
          </w:p>
          <w:p w:rsidR="00E23B86" w:rsidRDefault="00BA7C13">
            <w:pPr>
              <w:spacing w:after="0"/>
              <w:ind w:left="1"/>
            </w:pPr>
            <w:r>
              <w:rPr>
                <w:rFonts w:ascii="Arial" w:eastAsia="Arial" w:hAnsi="Arial" w:cs="Arial"/>
              </w:rPr>
              <w:t>OS</w:t>
            </w:r>
          </w:p>
        </w:tc>
        <w:tc>
          <w:tcPr>
            <w:tcW w:w="29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w:t>
            </w:r>
          </w:p>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PRESUPU ESTO</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INGRESO</w:t>
            </w:r>
          </w:p>
          <w:p w:rsidR="00E23B86" w:rsidRDefault="00BA7C13">
            <w:pPr>
              <w:spacing w:after="0"/>
            </w:pPr>
            <w:r>
              <w:rPr>
                <w:rFonts w:ascii="Arial" w:eastAsia="Arial" w:hAnsi="Arial" w:cs="Arial"/>
              </w:rPr>
              <w:t>S</w:t>
            </w:r>
          </w:p>
          <w:p w:rsidR="00E23B86" w:rsidRDefault="00BA7C13">
            <w:pPr>
              <w:spacing w:after="0"/>
              <w:jc w:val="both"/>
            </w:pPr>
            <w:r>
              <w:rPr>
                <w:rFonts w:ascii="Arial" w:eastAsia="Arial" w:hAnsi="Arial" w:cs="Arial"/>
              </w:rPr>
              <w:t>LIQUIDAD</w:t>
            </w:r>
          </w:p>
          <w:p w:rsidR="00E23B86" w:rsidRDefault="00BA7C13">
            <w:pPr>
              <w:spacing w:after="0"/>
            </w:pPr>
            <w:r>
              <w:rPr>
                <w:rFonts w:ascii="Arial" w:eastAsia="Arial" w:hAnsi="Arial" w:cs="Arial"/>
              </w:rPr>
              <w:t>OS</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RECAUDACIÓN LÍQUIDA</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r>
      <w:tr w:rsidR="00E23B86">
        <w:trPr>
          <w:trHeight w:val="516"/>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9</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567.262,3</w:t>
            </w:r>
          </w:p>
          <w:p w:rsidR="00E23B86" w:rsidRDefault="00BA7C13">
            <w:pPr>
              <w:spacing w:after="0"/>
              <w:ind w:left="1"/>
            </w:pPr>
            <w:r>
              <w:rPr>
                <w:rFonts w:ascii="Arial" w:eastAsia="Arial" w:hAnsi="Arial" w:cs="Arial"/>
              </w:rPr>
              <w:t>8</w:t>
            </w:r>
          </w:p>
        </w:tc>
        <w:tc>
          <w:tcPr>
            <w:tcW w:w="412" w:type="dxa"/>
            <w:tcBorders>
              <w:top w:val="single" w:sz="4" w:space="0" w:color="000001"/>
              <w:left w:val="single" w:sz="4" w:space="0" w:color="000001"/>
              <w:bottom w:val="single" w:sz="4" w:space="0" w:color="000001"/>
              <w:right w:val="single" w:sz="4" w:space="0" w:color="000001"/>
            </w:tcBorders>
            <w:vAlign w:val="bottom"/>
          </w:tcPr>
          <w:p w:rsidR="00E23B86" w:rsidRDefault="00E23B86"/>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448</w:t>
            </w:r>
          </w:p>
        </w:tc>
        <w:tc>
          <w:tcPr>
            <w:tcW w:w="298" w:type="dxa"/>
            <w:tcBorders>
              <w:top w:val="single" w:sz="4" w:space="0" w:color="000001"/>
              <w:left w:val="single" w:sz="5" w:space="0" w:color="000001"/>
              <w:bottom w:val="single" w:sz="4" w:space="0" w:color="000001"/>
              <w:right w:val="single" w:sz="4" w:space="0" w:color="000001"/>
            </w:tcBorders>
          </w:tcPr>
          <w:p w:rsidR="00E23B86" w:rsidRDefault="00E23B86"/>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770.000,0</w:t>
            </w:r>
          </w:p>
          <w:p w:rsidR="00E23B86" w:rsidRDefault="00BA7C13">
            <w:pPr>
              <w:spacing w:after="0"/>
            </w:pPr>
            <w:r>
              <w:rPr>
                <w:rFonts w:ascii="Arial" w:eastAsia="Arial" w:hAnsi="Arial" w:cs="Arial"/>
              </w:rPr>
              <w:t>0</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757.544,4</w:t>
            </w:r>
          </w:p>
          <w:p w:rsidR="00E23B86" w:rsidRDefault="00BA7C13">
            <w:pPr>
              <w:spacing w:after="0"/>
            </w:pPr>
            <w:r>
              <w:rPr>
                <w:rFonts w:ascii="Arial" w:eastAsia="Arial" w:hAnsi="Arial" w:cs="Arial"/>
              </w:rPr>
              <w:t>2</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1,1</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757.544,42</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1,1</w:t>
            </w:r>
          </w:p>
        </w:tc>
      </w:tr>
      <w:tr w:rsidR="00E23B86">
        <w:trPr>
          <w:trHeight w:val="516"/>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8</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575.530,6</w:t>
            </w:r>
          </w:p>
          <w:p w:rsidR="00E23B86" w:rsidRDefault="00BA7C13">
            <w:pPr>
              <w:spacing w:after="0"/>
              <w:ind w:left="1"/>
            </w:pPr>
            <w:r>
              <w:rPr>
                <w:rFonts w:ascii="Arial" w:eastAsia="Arial" w:hAnsi="Arial" w:cs="Arial"/>
              </w:rPr>
              <w:t>1</w:t>
            </w:r>
          </w:p>
        </w:tc>
        <w:tc>
          <w:tcPr>
            <w:tcW w:w="412" w:type="dxa"/>
            <w:tcBorders>
              <w:top w:val="single" w:sz="4" w:space="0" w:color="000001"/>
              <w:left w:val="single" w:sz="4" w:space="0" w:color="000001"/>
              <w:bottom w:val="single" w:sz="4" w:space="0" w:color="000001"/>
              <w:right w:val="single" w:sz="4" w:space="0" w:color="000001"/>
            </w:tcBorders>
          </w:tcPr>
          <w:p w:rsidR="00E23B86" w:rsidRDefault="00E23B86"/>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430</w:t>
            </w:r>
          </w:p>
        </w:tc>
        <w:tc>
          <w:tcPr>
            <w:tcW w:w="298" w:type="dxa"/>
            <w:tcBorders>
              <w:top w:val="single" w:sz="4" w:space="0" w:color="000001"/>
              <w:left w:val="single" w:sz="5" w:space="0" w:color="000001"/>
              <w:bottom w:val="single" w:sz="4" w:space="0" w:color="000001"/>
              <w:right w:val="single" w:sz="4" w:space="0" w:color="000001"/>
            </w:tcBorders>
          </w:tcPr>
          <w:p w:rsidR="00E23B86" w:rsidRDefault="00E23B86"/>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770.000,0</w:t>
            </w:r>
          </w:p>
          <w:p w:rsidR="00E23B86" w:rsidRDefault="00BA7C13">
            <w:pPr>
              <w:spacing w:after="0"/>
            </w:pPr>
            <w:r>
              <w:rPr>
                <w:rFonts w:ascii="Arial" w:eastAsia="Arial" w:hAnsi="Arial" w:cs="Arial"/>
              </w:rPr>
              <w:t>0</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p w:rsidR="00E23B86" w:rsidRDefault="00BA7C13">
            <w:pPr>
              <w:spacing w:after="0"/>
              <w:jc w:val="both"/>
            </w:pPr>
            <w:r>
              <w:rPr>
                <w:rFonts w:ascii="Arial" w:eastAsia="Arial" w:hAnsi="Arial" w:cs="Arial"/>
              </w:rPr>
              <w:t>11,5</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693.229,6</w:t>
            </w:r>
          </w:p>
          <w:p w:rsidR="00E23B86" w:rsidRDefault="00BA7C13">
            <w:pPr>
              <w:spacing w:after="0"/>
            </w:pPr>
            <w:r>
              <w:rPr>
                <w:rFonts w:ascii="Arial" w:eastAsia="Arial" w:hAnsi="Arial" w:cs="Arial"/>
              </w:rPr>
              <w:t>8</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-10</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693.229,68</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w:t>
            </w:r>
          </w:p>
        </w:tc>
      </w:tr>
      <w:tr w:rsidR="00E23B86">
        <w:trPr>
          <w:trHeight w:val="516"/>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7</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455.188,9</w:t>
            </w:r>
          </w:p>
          <w:p w:rsidR="00E23B86" w:rsidRDefault="00BA7C13">
            <w:pPr>
              <w:spacing w:after="0"/>
              <w:ind w:left="1"/>
            </w:pPr>
            <w:r>
              <w:rPr>
                <w:rFonts w:ascii="Arial" w:eastAsia="Arial" w:hAnsi="Arial" w:cs="Arial"/>
              </w:rPr>
              <w:t>3</w:t>
            </w:r>
          </w:p>
        </w:tc>
        <w:tc>
          <w:tcPr>
            <w:tcW w:w="4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1,4</w:t>
            </w:r>
          </w:p>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203</w:t>
            </w:r>
          </w:p>
        </w:tc>
        <w:tc>
          <w:tcPr>
            <w:tcW w:w="298" w:type="dxa"/>
            <w:tcBorders>
              <w:top w:val="single" w:sz="4" w:space="0" w:color="000001"/>
              <w:left w:val="single" w:sz="5" w:space="0" w:color="000001"/>
              <w:bottom w:val="single" w:sz="4" w:space="0" w:color="000001"/>
              <w:right w:val="single" w:sz="4" w:space="0" w:color="000001"/>
            </w:tcBorders>
          </w:tcPr>
          <w:p w:rsidR="00E23B86" w:rsidRDefault="00E23B86"/>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869255,36</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769.749,3</w:t>
            </w:r>
          </w:p>
          <w:p w:rsidR="00E23B86" w:rsidRDefault="00BA7C13">
            <w:pPr>
              <w:spacing w:after="0"/>
            </w:pPr>
            <w:r>
              <w:rPr>
                <w:rFonts w:ascii="Arial" w:eastAsia="Arial" w:hAnsi="Arial" w:cs="Arial"/>
              </w:rPr>
              <w:t>9</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-2,5</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769.749,39</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-2,5</w:t>
            </w:r>
          </w:p>
        </w:tc>
      </w:tr>
      <w:tr w:rsidR="00E23B86">
        <w:trPr>
          <w:trHeight w:val="516"/>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6</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448.548,0</w:t>
            </w:r>
          </w:p>
          <w:p w:rsidR="00E23B86" w:rsidRDefault="00BA7C13">
            <w:pPr>
              <w:spacing w:after="0"/>
              <w:ind w:left="1"/>
            </w:pPr>
            <w:r>
              <w:rPr>
                <w:rFonts w:ascii="Arial" w:eastAsia="Arial" w:hAnsi="Arial" w:cs="Arial"/>
              </w:rPr>
              <w:t>5</w:t>
            </w:r>
          </w:p>
        </w:tc>
        <w:tc>
          <w:tcPr>
            <w:tcW w:w="4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w:t>
            </w:r>
          </w:p>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202</w:t>
            </w:r>
          </w:p>
        </w:tc>
        <w:tc>
          <w:tcPr>
            <w:tcW w:w="298" w:type="dxa"/>
            <w:tcBorders>
              <w:top w:val="single" w:sz="4" w:space="0" w:color="000001"/>
              <w:left w:val="single" w:sz="5" w:space="0" w:color="000001"/>
              <w:bottom w:val="single" w:sz="4" w:space="0" w:color="000001"/>
              <w:right w:val="single" w:sz="4" w:space="0" w:color="000001"/>
            </w:tcBorders>
          </w:tcPr>
          <w:p w:rsidR="00E23B86" w:rsidRDefault="00E23B86"/>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869.255,3</w:t>
            </w:r>
          </w:p>
          <w:p w:rsidR="00E23B86" w:rsidRDefault="00BA7C13">
            <w:pPr>
              <w:spacing w:after="0"/>
            </w:pPr>
            <w:r>
              <w:rPr>
                <w:rFonts w:ascii="Arial" w:eastAsia="Arial" w:hAnsi="Arial" w:cs="Arial"/>
              </w:rPr>
              <w:t>6</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25,4</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788.629,4</w:t>
            </w:r>
          </w:p>
          <w:p w:rsidR="00E23B86" w:rsidRDefault="00BA7C13">
            <w:pPr>
              <w:spacing w:after="0"/>
            </w:pPr>
            <w:r>
              <w:rPr>
                <w:rFonts w:ascii="Arial" w:eastAsia="Arial" w:hAnsi="Arial" w:cs="Arial"/>
              </w:rPr>
              <w:t>5</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-2,7</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788.629,45</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-2,7</w:t>
            </w:r>
          </w:p>
        </w:tc>
      </w:tr>
      <w:tr w:rsidR="00E23B86">
        <w:trPr>
          <w:trHeight w:val="516"/>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5</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561.586,0</w:t>
            </w:r>
          </w:p>
          <w:p w:rsidR="00E23B86" w:rsidRDefault="00BA7C13">
            <w:pPr>
              <w:spacing w:after="0"/>
              <w:ind w:left="1"/>
            </w:pPr>
            <w:r>
              <w:rPr>
                <w:rFonts w:ascii="Arial" w:eastAsia="Arial" w:hAnsi="Arial" w:cs="Arial"/>
              </w:rPr>
              <w:t>9</w:t>
            </w:r>
          </w:p>
        </w:tc>
        <w:tc>
          <w:tcPr>
            <w:tcW w:w="4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w:t>
            </w:r>
          </w:p>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205</w:t>
            </w:r>
          </w:p>
        </w:tc>
        <w:tc>
          <w:tcPr>
            <w:tcW w:w="298" w:type="dxa"/>
            <w:tcBorders>
              <w:top w:val="single" w:sz="4" w:space="0" w:color="000001"/>
              <w:left w:val="single" w:sz="5" w:space="0" w:color="000001"/>
              <w:bottom w:val="single" w:sz="4" w:space="0" w:color="000001"/>
              <w:right w:val="single" w:sz="4" w:space="0" w:color="000001"/>
            </w:tcBorders>
          </w:tcPr>
          <w:p w:rsidR="00E23B86" w:rsidRDefault="00E23B86"/>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692.933,5</w:t>
            </w:r>
          </w:p>
          <w:p w:rsidR="00E23B86" w:rsidRDefault="00BA7C13">
            <w:pPr>
              <w:spacing w:after="0"/>
            </w:pPr>
            <w:r>
              <w:rPr>
                <w:rFonts w:ascii="Arial" w:eastAsia="Arial" w:hAnsi="Arial" w:cs="Arial"/>
              </w:rPr>
              <w:t>0</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6,5</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810.545,8</w:t>
            </w:r>
          </w:p>
          <w:p w:rsidR="00E23B86" w:rsidRDefault="00BA7C13">
            <w:pPr>
              <w:spacing w:after="0"/>
            </w:pPr>
            <w:r>
              <w:rPr>
                <w:rFonts w:ascii="Arial" w:eastAsia="Arial" w:hAnsi="Arial" w:cs="Arial"/>
              </w:rPr>
              <w:t>4</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3,2</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810.545,84</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3,2</w:t>
            </w:r>
          </w:p>
        </w:tc>
      </w:tr>
      <w:tr w:rsidR="00E23B86">
        <w:trPr>
          <w:trHeight w:val="516"/>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4</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540.575,5</w:t>
            </w:r>
          </w:p>
          <w:p w:rsidR="00E23B86" w:rsidRDefault="00BA7C13">
            <w:pPr>
              <w:spacing w:after="0"/>
              <w:ind w:left="1"/>
            </w:pPr>
            <w:r>
              <w:rPr>
                <w:rFonts w:ascii="Arial" w:eastAsia="Arial" w:hAnsi="Arial" w:cs="Arial"/>
              </w:rPr>
              <w:t>3</w:t>
            </w:r>
          </w:p>
        </w:tc>
        <w:tc>
          <w:tcPr>
            <w:tcW w:w="4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-7,5</w:t>
            </w:r>
          </w:p>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190</w:t>
            </w:r>
          </w:p>
        </w:tc>
        <w:tc>
          <w:tcPr>
            <w:tcW w:w="29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w:t>
            </w:r>
          </w:p>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650.282,8</w:t>
            </w:r>
          </w:p>
          <w:p w:rsidR="00E23B86" w:rsidRDefault="00BA7C13">
            <w:pPr>
              <w:spacing w:after="0"/>
            </w:pPr>
            <w:r>
              <w:rPr>
                <w:rFonts w:ascii="Arial" w:eastAsia="Arial" w:hAnsi="Arial" w:cs="Arial"/>
              </w:rPr>
              <w:t>2</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785.009,8</w:t>
            </w:r>
          </w:p>
          <w:p w:rsidR="00E23B86" w:rsidRDefault="00BA7C13">
            <w:pPr>
              <w:spacing w:after="0"/>
            </w:pPr>
            <w:r>
              <w:rPr>
                <w:rFonts w:ascii="Arial" w:eastAsia="Arial" w:hAnsi="Arial" w:cs="Arial"/>
              </w:rPr>
              <w:t>2</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-24</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785.009,82</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-24,3</w:t>
            </w:r>
          </w:p>
        </w:tc>
      </w:tr>
      <w:tr w:rsidR="00E23B86">
        <w:trPr>
          <w:trHeight w:val="516"/>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3</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585.078,8</w:t>
            </w:r>
          </w:p>
          <w:p w:rsidR="00E23B86" w:rsidRDefault="00BA7C13">
            <w:pPr>
              <w:spacing w:after="0"/>
              <w:ind w:left="1"/>
            </w:pPr>
            <w:r>
              <w:rPr>
                <w:rFonts w:ascii="Arial" w:eastAsia="Arial" w:hAnsi="Arial" w:cs="Arial"/>
              </w:rPr>
              <w:t>5</w:t>
            </w:r>
          </w:p>
        </w:tc>
        <w:tc>
          <w:tcPr>
            <w:tcW w:w="4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2,5</w:t>
            </w:r>
          </w:p>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193</w:t>
            </w:r>
          </w:p>
        </w:tc>
        <w:tc>
          <w:tcPr>
            <w:tcW w:w="29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w:t>
            </w:r>
          </w:p>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650.282,8</w:t>
            </w:r>
          </w:p>
          <w:p w:rsidR="00E23B86" w:rsidRDefault="00BA7C13">
            <w:pPr>
              <w:spacing w:after="0"/>
            </w:pPr>
            <w:r>
              <w:rPr>
                <w:rFonts w:ascii="Arial" w:eastAsia="Arial" w:hAnsi="Arial" w:cs="Arial"/>
              </w:rPr>
              <w:t>2</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1.041.948,</w:t>
            </w:r>
          </w:p>
          <w:p w:rsidR="00E23B86" w:rsidRDefault="00BA7C13">
            <w:pPr>
              <w:spacing w:after="0"/>
            </w:pPr>
            <w:r>
              <w:rPr>
                <w:rFonts w:ascii="Arial" w:eastAsia="Arial" w:hAnsi="Arial" w:cs="Arial"/>
              </w:rPr>
              <w:t>58</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50</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1.041.948,58</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50</w:t>
            </w:r>
          </w:p>
        </w:tc>
      </w:tr>
      <w:tr w:rsidR="00E23B86">
        <w:trPr>
          <w:trHeight w:val="516"/>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2</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570.772,4</w:t>
            </w:r>
          </w:p>
          <w:p w:rsidR="00E23B86" w:rsidRDefault="00BA7C13">
            <w:pPr>
              <w:spacing w:after="0"/>
              <w:ind w:left="1"/>
            </w:pPr>
            <w:r>
              <w:rPr>
                <w:rFonts w:ascii="Arial" w:eastAsia="Arial" w:hAnsi="Arial" w:cs="Arial"/>
              </w:rPr>
              <w:t>1</w:t>
            </w:r>
          </w:p>
        </w:tc>
        <w:tc>
          <w:tcPr>
            <w:tcW w:w="4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w:t>
            </w:r>
          </w:p>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195</w:t>
            </w:r>
          </w:p>
        </w:tc>
        <w:tc>
          <w:tcPr>
            <w:tcW w:w="29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-6</w:t>
            </w:r>
          </w:p>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650.282,8</w:t>
            </w:r>
          </w:p>
          <w:p w:rsidR="00E23B86" w:rsidRDefault="00BA7C13">
            <w:pPr>
              <w:spacing w:after="0"/>
            </w:pPr>
            <w:r>
              <w:rPr>
                <w:rFonts w:ascii="Arial" w:eastAsia="Arial" w:hAnsi="Arial" w:cs="Arial"/>
              </w:rPr>
              <w:t>2</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42</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693517,32</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7,5</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629.191,21</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-2,5</w:t>
            </w:r>
          </w:p>
        </w:tc>
      </w:tr>
      <w:tr w:rsidR="00E23B86">
        <w:trPr>
          <w:trHeight w:val="516"/>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1</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581.902,6</w:t>
            </w:r>
          </w:p>
          <w:p w:rsidR="00E23B86" w:rsidRDefault="00BA7C13">
            <w:pPr>
              <w:spacing w:after="0"/>
              <w:ind w:left="1"/>
            </w:pPr>
            <w:r>
              <w:rPr>
                <w:rFonts w:ascii="Arial" w:eastAsia="Arial" w:hAnsi="Arial" w:cs="Arial"/>
              </w:rPr>
              <w:t>3</w:t>
            </w:r>
          </w:p>
        </w:tc>
        <w:tc>
          <w:tcPr>
            <w:tcW w:w="4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6</w:t>
            </w:r>
          </w:p>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207</w:t>
            </w:r>
          </w:p>
        </w:tc>
        <w:tc>
          <w:tcPr>
            <w:tcW w:w="29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11</w:t>
            </w:r>
          </w:p>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458.000,0</w:t>
            </w:r>
          </w:p>
          <w:p w:rsidR="00E23B86" w:rsidRDefault="00BA7C13">
            <w:pPr>
              <w:spacing w:after="0"/>
            </w:pPr>
            <w:r>
              <w:rPr>
                <w:rFonts w:ascii="Arial" w:eastAsia="Arial" w:hAnsi="Arial" w:cs="Arial"/>
              </w:rPr>
              <w:t>0</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645.009,5</w:t>
            </w:r>
          </w:p>
          <w:p w:rsidR="00E23B86" w:rsidRDefault="00BA7C13">
            <w:pPr>
              <w:spacing w:after="0"/>
            </w:pPr>
            <w:r>
              <w:rPr>
                <w:rFonts w:ascii="Arial" w:eastAsia="Arial" w:hAnsi="Arial" w:cs="Arial"/>
              </w:rPr>
              <w:t>1</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-22</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645.009,51</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w:t>
            </w:r>
          </w:p>
        </w:tc>
      </w:tr>
      <w:tr w:rsidR="00E23B86">
        <w:trPr>
          <w:trHeight w:val="517"/>
        </w:trPr>
        <w:tc>
          <w:tcPr>
            <w:tcW w:w="4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w:t>
            </w:r>
          </w:p>
          <w:p w:rsidR="00E23B86" w:rsidRDefault="00BA7C13">
            <w:pPr>
              <w:spacing w:after="0"/>
              <w:ind w:left="1"/>
            </w:pPr>
            <w:r>
              <w:rPr>
                <w:rFonts w:ascii="Arial" w:eastAsia="Arial" w:hAnsi="Arial" w:cs="Arial"/>
              </w:rPr>
              <w:t>0</w:t>
            </w:r>
          </w:p>
        </w:tc>
        <w:tc>
          <w:tcPr>
            <w:tcW w:w="102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548934,6</w:t>
            </w:r>
          </w:p>
          <w:p w:rsidR="00E23B86" w:rsidRDefault="00BA7C13">
            <w:pPr>
              <w:spacing w:after="0"/>
              <w:ind w:left="1"/>
            </w:pPr>
            <w:r>
              <w:rPr>
                <w:rFonts w:ascii="Arial" w:eastAsia="Arial" w:hAnsi="Arial" w:cs="Arial"/>
              </w:rPr>
              <w:t>1</w:t>
            </w:r>
          </w:p>
        </w:tc>
        <w:tc>
          <w:tcPr>
            <w:tcW w:w="4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3</w:t>
            </w:r>
          </w:p>
        </w:tc>
        <w:tc>
          <w:tcPr>
            <w:tcW w:w="7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187</w:t>
            </w:r>
          </w:p>
        </w:tc>
        <w:tc>
          <w:tcPr>
            <w:tcW w:w="29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1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458.000,0</w:t>
            </w:r>
          </w:p>
          <w:p w:rsidR="00E23B86" w:rsidRDefault="00BA7C13">
            <w:pPr>
              <w:spacing w:after="0"/>
            </w:pPr>
            <w:r>
              <w:rPr>
                <w:rFonts w:ascii="Arial" w:eastAsia="Arial" w:hAnsi="Arial" w:cs="Arial"/>
              </w:rPr>
              <w:t>0</w:t>
            </w:r>
          </w:p>
        </w:tc>
        <w:tc>
          <w:tcPr>
            <w:tcW w:w="4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-11</w:t>
            </w:r>
          </w:p>
        </w:tc>
        <w:tc>
          <w:tcPr>
            <w:tcW w:w="1086"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830350,44</w:t>
            </w:r>
          </w:p>
        </w:tc>
        <w:tc>
          <w:tcPr>
            <w:tcW w:w="4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94</w:t>
            </w:r>
          </w:p>
        </w:tc>
        <w:tc>
          <w:tcPr>
            <w:tcW w:w="185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821251,97</w:t>
            </w:r>
          </w:p>
        </w:tc>
        <w:tc>
          <w:tcPr>
            <w:tcW w:w="8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94</w:t>
            </w:r>
          </w:p>
        </w:tc>
      </w:tr>
    </w:tbl>
    <w:p w:rsidR="00E23B86" w:rsidRDefault="00BA7C13">
      <w:pPr>
        <w:spacing w:after="497" w:line="248" w:lineRule="auto"/>
        <w:ind w:left="373" w:right="552" w:hanging="10"/>
        <w:jc w:val="both"/>
      </w:pPr>
      <w:r>
        <w:rPr>
          <w:rFonts w:ascii="Arial" w:eastAsia="Arial" w:hAnsi="Arial" w:cs="Arial"/>
        </w:rPr>
        <w:t>Hay que destacar que, en este concepto, se incluyen los ingresos que realiza la Hacienda estatal en concepto de compensación por la eliminación en el pago de la cuota del impuesto a los contribuyentes que tengan un importe neto de la cifra de negocios infe</w:t>
      </w:r>
      <w:r>
        <w:rPr>
          <w:rFonts w:ascii="Arial" w:eastAsia="Arial" w:hAnsi="Arial" w:cs="Arial"/>
        </w:rPr>
        <w:t>rior a un millón de euros, y que en el ejercicio 2019, ascendió a 223.428,36 Euros (218.468,22 Euros en el año anterior). Igualmente hay que incluir las cuotas nacionales y provinciales, que, en el ejercicio anterior, ascendió a 112.916,95 euros (130.516,4</w:t>
      </w:r>
      <w:r>
        <w:rPr>
          <w:rFonts w:ascii="Arial" w:eastAsia="Arial" w:hAnsi="Arial" w:cs="Arial"/>
        </w:rPr>
        <w:t xml:space="preserve">7 Euros en 2018). La recaudación del Consorcio de Tributos de este impuesto fue de 421.199,11 Euros (344.244,99 Euros en 2018). </w:t>
      </w:r>
    </w:p>
    <w:p w:rsidR="00E23B86" w:rsidRDefault="00BA7C13">
      <w:pPr>
        <w:spacing w:after="242" w:line="249" w:lineRule="auto"/>
        <w:ind w:left="355" w:right="554" w:hanging="10"/>
        <w:jc w:val="both"/>
      </w:pPr>
      <w:r>
        <w:rPr>
          <w:rFonts w:ascii="Arial" w:eastAsia="Arial" w:hAnsi="Arial" w:cs="Arial"/>
          <w:b/>
        </w:rPr>
        <w:t>B) IMPUESTOS INDIRECTOS</w:t>
      </w:r>
    </w:p>
    <w:p w:rsidR="00E23B86" w:rsidRDefault="00BA7C13">
      <w:pPr>
        <w:spacing w:after="245" w:line="248" w:lineRule="auto"/>
        <w:ind w:left="363" w:right="552" w:firstLine="708"/>
        <w:jc w:val="both"/>
      </w:pPr>
      <w:r>
        <w:rPr>
          <w:noProof/>
        </w:rPr>
        <mc:AlternateContent>
          <mc:Choice Requires="wpg">
            <w:drawing>
              <wp:anchor distT="0" distB="0" distL="114300" distR="114300" simplePos="0" relativeHeight="2516807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2378" name="Group 48237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48" name="Rectangle 544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449" name="Rectangle 544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2378" style="width:12.7031pt;height:280.35pt;position:absolute;mso-position-horizontal-relative:page;mso-position-horizontal:absolute;margin-left:681.958pt;mso-position-vertical-relative:page;margin-top:531.65pt;" coordsize="1613,35604">
                <v:rect id="Rectangle 544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44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391 </w:t>
                        </w:r>
                      </w:p>
                    </w:txbxContent>
                  </v:textbox>
                </v:rect>
                <w10:wrap type="square"/>
              </v:group>
            </w:pict>
          </mc:Fallback>
        </mc:AlternateContent>
      </w:r>
      <w:r>
        <w:rPr>
          <w:rFonts w:ascii="Arial" w:eastAsia="Arial" w:hAnsi="Arial" w:cs="Arial"/>
        </w:rPr>
        <w:t>Este capítulo experimenta una caída del 7,2 %, frente al 10,60 % de incremento del año 2018, e incluye, además del Impuesto de Construcciones, Instalaciones y Obr</w:t>
      </w:r>
      <w:r>
        <w:rPr>
          <w:rFonts w:ascii="Arial" w:eastAsia="Arial" w:hAnsi="Arial" w:cs="Arial"/>
        </w:rPr>
        <w:t>as, los recursos del Régimen Económico Fiscal: Arbitrios sobre la Importación y Entregas de Mercancías en Canarias (AIEM), el Impuesto de Matriculación y el Impuesto General Indirecto Canario (IGIC).</w:t>
      </w:r>
    </w:p>
    <w:p w:rsidR="00E23B86" w:rsidRDefault="00BA7C13">
      <w:pPr>
        <w:spacing w:after="244" w:line="248" w:lineRule="auto"/>
        <w:ind w:left="363" w:right="552" w:firstLine="708"/>
        <w:jc w:val="both"/>
      </w:pPr>
      <w:r>
        <w:rPr>
          <w:rFonts w:ascii="Arial" w:eastAsia="Arial" w:hAnsi="Arial" w:cs="Arial"/>
        </w:rPr>
        <w:t xml:space="preserve"> Los recursos del REF se reparten los municipios en los </w:t>
      </w:r>
      <w:r>
        <w:rPr>
          <w:rFonts w:ascii="Arial" w:eastAsia="Arial" w:hAnsi="Arial" w:cs="Arial"/>
        </w:rPr>
        <w:t>siguientes porcentajes: un sesenta por ciento los Cabildos y un cuarenta por ciento, los Ayuntamientos, distribuyéndose, de conformidad con los porcentajes de reparto establecidos por el Cabildo Insular de Tenerife: un 89,31 por 100 para el Impuesto Genera</w:t>
      </w:r>
      <w:r>
        <w:rPr>
          <w:rFonts w:ascii="Arial" w:eastAsia="Arial" w:hAnsi="Arial" w:cs="Arial"/>
        </w:rPr>
        <w:t xml:space="preserve">l Indirecto Canario (IGIC); un 9,92 por 100 para los Arbitrios sobre la Importación y Entregas de Mercancías en Canarias (AIEM) y un 0,77 por 100, para el Impuesto de Matriculación. Estos recursos han generado unos ingresos en el año 2019, de 4.556.596,05 </w:t>
      </w:r>
      <w:r>
        <w:rPr>
          <w:rFonts w:ascii="Arial" w:eastAsia="Arial" w:hAnsi="Arial" w:cs="Arial"/>
        </w:rPr>
        <w:t>Euros, frente a los 4.871.397,26 Euros del ejercicio anterior, un 6,5 % menos, respecto al año anterior, cuya subida había sido del 15 %.</w:t>
      </w:r>
    </w:p>
    <w:p w:rsidR="00E23B86" w:rsidRDefault="00BA7C13">
      <w:pPr>
        <w:spacing w:after="5" w:line="249" w:lineRule="auto"/>
        <w:ind w:left="347" w:hanging="10"/>
      </w:pPr>
      <w:r>
        <w:rPr>
          <w:noProof/>
        </w:rPr>
        <mc:AlternateContent>
          <mc:Choice Requires="wpg">
            <w:drawing>
              <wp:anchor distT="0" distB="0" distL="114300" distR="114300" simplePos="0" relativeHeight="251681792"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63872" name="Group 56387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6287" name="Rectangle 628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6288" name="Rectangle 628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Documento firma</w:t>
                              </w:r>
                              <w:r>
                                <w:rPr>
                                  <w:rFonts w:ascii="Arial" w:eastAsia="Arial" w:hAnsi="Arial" w:cs="Arial"/>
                                  <w:sz w:val="12"/>
                                </w:rPr>
                                <w:t xml:space="preserve">do electrónicamente desde la plataforma esPublico Gestiona | Página 23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3872" style="width:12.7031pt;height:280.35pt;position:absolute;mso-position-horizontal-relative:page;mso-position-horizontal:absolute;margin-left:681.958pt;mso-position-vertical-relative:page;margin-top:531.65pt;" coordsize="1613,35604">
                <v:rect id="Rectangle 628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628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391 </w:t>
                        </w:r>
                      </w:p>
                    </w:txbxContent>
                  </v:textbox>
                </v:rect>
                <w10:wrap type="topAndBottom"/>
              </v:group>
            </w:pict>
          </mc:Fallback>
        </mc:AlternateContent>
      </w:r>
      <w:r>
        <w:rPr>
          <w:rFonts w:ascii="Arial" w:eastAsia="Arial" w:hAnsi="Arial" w:cs="Arial"/>
          <w:i/>
          <w:u w:val="single" w:color="000000"/>
        </w:rPr>
        <w:t>ICIO</w:t>
      </w:r>
    </w:p>
    <w:tbl>
      <w:tblPr>
        <w:tblStyle w:val="TableGrid"/>
        <w:tblW w:w="8700" w:type="dxa"/>
        <w:tblInd w:w="187" w:type="dxa"/>
        <w:tblCellMar>
          <w:top w:w="11" w:type="dxa"/>
          <w:left w:w="11" w:type="dxa"/>
          <w:bottom w:w="0" w:type="dxa"/>
          <w:right w:w="12" w:type="dxa"/>
        </w:tblCellMar>
        <w:tblLook w:val="04A0" w:firstRow="1" w:lastRow="0" w:firstColumn="1" w:lastColumn="0" w:noHBand="0" w:noVBand="1"/>
      </w:tblPr>
      <w:tblGrid>
        <w:gridCol w:w="770"/>
        <w:gridCol w:w="846"/>
        <w:gridCol w:w="846"/>
        <w:gridCol w:w="1186"/>
        <w:gridCol w:w="496"/>
        <w:gridCol w:w="1358"/>
        <w:gridCol w:w="560"/>
        <w:gridCol w:w="1420"/>
        <w:gridCol w:w="1218"/>
      </w:tblGrid>
      <w:tr w:rsidR="00E23B86">
        <w:trPr>
          <w:trHeight w:val="767"/>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AÑO</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TIPO</w:t>
            </w:r>
          </w:p>
          <w:p w:rsidR="00E23B86" w:rsidRDefault="00BA7C13">
            <w:pPr>
              <w:spacing w:after="0"/>
              <w:jc w:val="both"/>
            </w:pPr>
            <w:r>
              <w:rPr>
                <w:rFonts w:ascii="Arial" w:eastAsia="Arial" w:hAnsi="Arial" w:cs="Arial"/>
              </w:rPr>
              <w:t>GRAVA</w:t>
            </w:r>
          </w:p>
          <w:p w:rsidR="00E23B86" w:rsidRDefault="00BA7C13">
            <w:pPr>
              <w:spacing w:after="0"/>
            </w:pPr>
            <w:r>
              <w:rPr>
                <w:rFonts w:ascii="Arial" w:eastAsia="Arial" w:hAnsi="Arial" w:cs="Arial"/>
              </w:rPr>
              <w:t>MEN</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PRESUPU ESTO</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INGRESOS</w:t>
            </w:r>
          </w:p>
          <w:p w:rsidR="00E23B86" w:rsidRDefault="00BA7C13">
            <w:pPr>
              <w:spacing w:after="0"/>
              <w:ind w:left="1"/>
            </w:pPr>
            <w:r>
              <w:rPr>
                <w:rFonts w:ascii="Arial" w:eastAsia="Arial" w:hAnsi="Arial" w:cs="Arial"/>
              </w:rPr>
              <w:t>LIQUIDADO</w:t>
            </w:r>
          </w:p>
          <w:p w:rsidR="00E23B86" w:rsidRDefault="00BA7C13">
            <w:pPr>
              <w:spacing w:after="0"/>
              <w:ind w:left="1"/>
            </w:pPr>
            <w:r>
              <w:rPr>
                <w:rFonts w:ascii="Arial" w:eastAsia="Arial" w:hAnsi="Arial" w:cs="Arial"/>
              </w:rPr>
              <w:t>S</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RECAUDACI ÓN LÍQUIDA</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r>
      <w:tr w:rsidR="00E23B86">
        <w:trPr>
          <w:trHeight w:val="264"/>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2019</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160.000,00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201.118,61</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-21</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193.274,47</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-21</w:t>
            </w:r>
          </w:p>
        </w:tc>
      </w:tr>
      <w:tr w:rsidR="00E23B86">
        <w:trPr>
          <w:trHeight w:val="262"/>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2018</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160.000,00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60</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253.724,70</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50,7</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243.631,68</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51</w:t>
            </w:r>
          </w:p>
        </w:tc>
      </w:tr>
      <w:tr w:rsidR="00E23B86">
        <w:trPr>
          <w:trHeight w:val="264"/>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2017</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100.000,00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168.297,80</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-45</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161.313,15</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-21</w:t>
            </w:r>
          </w:p>
        </w:tc>
      </w:tr>
      <w:tr w:rsidR="00E23B86">
        <w:trPr>
          <w:trHeight w:val="262"/>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2016</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100.000,00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305.051,30</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214</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204.508,93</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-21</w:t>
            </w:r>
          </w:p>
        </w:tc>
      </w:tr>
      <w:tr w:rsidR="00E23B86">
        <w:trPr>
          <w:trHeight w:val="264"/>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2015</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100.000,00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96.937,14</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-30</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90.442,15</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-4,9</w:t>
            </w:r>
          </w:p>
        </w:tc>
      </w:tr>
      <w:tr w:rsidR="00E23B86">
        <w:trPr>
          <w:trHeight w:val="262"/>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2014</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100.000,00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138.622,82</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29,6</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95.059,35</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-6,5</w:t>
            </w:r>
          </w:p>
        </w:tc>
      </w:tr>
      <w:tr w:rsidR="00E23B86">
        <w:trPr>
          <w:trHeight w:val="264"/>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2013</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100.000,00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106.931,04</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-14,5</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101.656,86</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w:t>
            </w:r>
          </w:p>
        </w:tc>
      </w:tr>
      <w:tr w:rsidR="00E23B86">
        <w:trPr>
          <w:trHeight w:val="262"/>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2012</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100.000,00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-82</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124.929,25</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-15</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108.127,53</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109,5</w:t>
            </w:r>
          </w:p>
        </w:tc>
      </w:tr>
      <w:tr w:rsidR="00E23B86">
        <w:trPr>
          <w:trHeight w:val="516"/>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2011</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1.250.000,0</w:t>
            </w:r>
          </w:p>
          <w:p w:rsidR="00E23B86" w:rsidRDefault="00BA7C13">
            <w:pPr>
              <w:spacing w:after="0"/>
            </w:pPr>
            <w:r>
              <w:rPr>
                <w:rFonts w:ascii="Arial" w:eastAsia="Arial" w:hAnsi="Arial" w:cs="Arial"/>
              </w:rPr>
              <w:t>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146.388,09</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-88,5</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51.636,61</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-57</w:t>
            </w:r>
          </w:p>
        </w:tc>
      </w:tr>
      <w:tr w:rsidR="00E23B86">
        <w:trPr>
          <w:trHeight w:val="517"/>
        </w:trPr>
        <w:tc>
          <w:tcPr>
            <w:tcW w:w="76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2010</w:t>
            </w:r>
          </w:p>
        </w:tc>
        <w:tc>
          <w:tcPr>
            <w:tcW w:w="846" w:type="dxa"/>
            <w:tcBorders>
              <w:top w:val="single" w:sz="4" w:space="0" w:color="000001"/>
              <w:left w:val="single" w:sz="4" w:space="0" w:color="000001"/>
              <w:bottom w:val="single" w:sz="4" w:space="0" w:color="000001"/>
              <w:right w:val="single" w:sz="4" w:space="0" w:color="000001"/>
            </w:tcBorders>
          </w:tcPr>
          <w:p w:rsidR="00E23B86" w:rsidRDefault="00E23B86"/>
        </w:tc>
        <w:tc>
          <w:tcPr>
            <w:tcW w:w="84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w:t>
            </w:r>
          </w:p>
        </w:tc>
        <w:tc>
          <w:tcPr>
            <w:tcW w:w="1186"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1.250.000,0</w:t>
            </w:r>
          </w:p>
          <w:p w:rsidR="00E23B86" w:rsidRDefault="00BA7C13">
            <w:pPr>
              <w:spacing w:after="0"/>
            </w:pPr>
            <w:r>
              <w:rPr>
                <w:rFonts w:ascii="Arial" w:eastAsia="Arial" w:hAnsi="Arial" w:cs="Arial"/>
              </w:rPr>
              <w:t>0</w:t>
            </w:r>
          </w:p>
        </w:tc>
        <w:tc>
          <w:tcPr>
            <w:tcW w:w="49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w:t>
            </w:r>
          </w:p>
        </w:tc>
        <w:tc>
          <w:tcPr>
            <w:tcW w:w="135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1.262.498,62</w:t>
            </w:r>
          </w:p>
        </w:tc>
        <w:tc>
          <w:tcPr>
            <w:tcW w:w="56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213</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120.235,51</w:t>
            </w:r>
          </w:p>
        </w:tc>
        <w:tc>
          <w:tcPr>
            <w:tcW w:w="12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279</w:t>
            </w:r>
          </w:p>
        </w:tc>
      </w:tr>
    </w:tbl>
    <w:p w:rsidR="00E23B86" w:rsidRDefault="00BA7C13">
      <w:pPr>
        <w:spacing w:after="499" w:line="248" w:lineRule="auto"/>
        <w:ind w:left="363" w:right="552" w:firstLine="708"/>
        <w:jc w:val="both"/>
      </w:pPr>
      <w:r>
        <w:rPr>
          <w:rFonts w:ascii="Arial" w:eastAsia="Arial" w:hAnsi="Arial" w:cs="Arial"/>
        </w:rPr>
        <w:t>Destaca una bajada del 21 %, respecto al año anterior, que había experimentado el mayor crecimiento desde el año 2012.</w:t>
      </w:r>
    </w:p>
    <w:p w:rsidR="00E23B86" w:rsidRDefault="00BA7C13">
      <w:pPr>
        <w:spacing w:after="242" w:line="249" w:lineRule="auto"/>
        <w:ind w:left="355" w:right="554" w:hanging="10"/>
        <w:jc w:val="both"/>
      </w:pPr>
      <w:r>
        <w:rPr>
          <w:rFonts w:ascii="Arial" w:eastAsia="Arial" w:hAnsi="Arial" w:cs="Arial"/>
          <w:b/>
        </w:rPr>
        <w:t>C) TASAS, PRECIOS PÚBLICOS Y OTROS INGRESOS</w:t>
      </w:r>
    </w:p>
    <w:p w:rsidR="00E23B86" w:rsidRDefault="00BA7C13">
      <w:pPr>
        <w:spacing w:after="10" w:line="248" w:lineRule="auto"/>
        <w:ind w:left="363" w:right="552" w:firstLine="708"/>
        <w:jc w:val="both"/>
      </w:pPr>
      <w:r>
        <w:rPr>
          <w:rFonts w:ascii="Arial" w:eastAsia="Arial" w:hAnsi="Arial" w:cs="Arial"/>
        </w:rPr>
        <w:t>A continuación, se refleja en cuadro, la evolución de este capítulo de Tasas, que aumenta un 9,8 %, frente a la caída de un 36 %, en el ejercicio anterior:</w:t>
      </w:r>
    </w:p>
    <w:tbl>
      <w:tblPr>
        <w:tblStyle w:val="TableGrid"/>
        <w:tblW w:w="6515" w:type="dxa"/>
        <w:tblInd w:w="383" w:type="dxa"/>
        <w:tblCellMar>
          <w:top w:w="10" w:type="dxa"/>
          <w:left w:w="11" w:type="dxa"/>
          <w:bottom w:w="0" w:type="dxa"/>
          <w:right w:w="13" w:type="dxa"/>
        </w:tblCellMar>
        <w:tblLook w:val="04A0" w:firstRow="1" w:lastRow="0" w:firstColumn="1" w:lastColumn="0" w:noHBand="0" w:noVBand="1"/>
      </w:tblPr>
      <w:tblGrid>
        <w:gridCol w:w="691"/>
        <w:gridCol w:w="1188"/>
        <w:gridCol w:w="572"/>
        <w:gridCol w:w="1226"/>
        <w:gridCol w:w="600"/>
        <w:gridCol w:w="1293"/>
        <w:gridCol w:w="945"/>
      </w:tblGrid>
      <w:tr w:rsidR="00E23B86">
        <w:trPr>
          <w:trHeight w:val="768"/>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AÑO</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PRESUPU ESTO</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INGRESOS</w:t>
            </w:r>
          </w:p>
          <w:p w:rsidR="00E23B86" w:rsidRDefault="00BA7C13">
            <w:pPr>
              <w:spacing w:after="0"/>
            </w:pPr>
            <w:r>
              <w:rPr>
                <w:rFonts w:ascii="Arial" w:eastAsia="Arial" w:hAnsi="Arial" w:cs="Arial"/>
              </w:rPr>
              <w:t>LIQUIDAD</w:t>
            </w:r>
          </w:p>
          <w:p w:rsidR="00E23B86" w:rsidRDefault="00BA7C13">
            <w:pPr>
              <w:spacing w:after="0"/>
            </w:pPr>
            <w:r>
              <w:rPr>
                <w:rFonts w:ascii="Arial" w:eastAsia="Arial" w:hAnsi="Arial" w:cs="Arial"/>
              </w:rPr>
              <w:t>OS</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RECAUDAC</w:t>
            </w:r>
          </w:p>
          <w:p w:rsidR="00E23B86" w:rsidRDefault="00BA7C13">
            <w:pPr>
              <w:spacing w:after="0"/>
            </w:pPr>
            <w:r>
              <w:rPr>
                <w:rFonts w:ascii="Arial" w:eastAsia="Arial" w:hAnsi="Arial" w:cs="Arial"/>
              </w:rPr>
              <w:t>IÓN</w:t>
            </w:r>
          </w:p>
          <w:p w:rsidR="00E23B86" w:rsidRDefault="00BA7C13">
            <w:pPr>
              <w:spacing w:after="0"/>
            </w:pPr>
            <w:r>
              <w:rPr>
                <w:rFonts w:ascii="Arial" w:eastAsia="Arial" w:hAnsi="Arial" w:cs="Arial"/>
              </w:rPr>
              <w:t>LÍQUIDA</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r>
      <w:tr w:rsidR="00E23B86">
        <w:trPr>
          <w:trHeight w:val="516"/>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2019</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2.345.324,0</w:t>
            </w:r>
          </w:p>
          <w:p w:rsidR="00E23B86" w:rsidRDefault="00BA7C13">
            <w:pPr>
              <w:spacing w:after="0"/>
              <w:ind w:left="1"/>
            </w:pPr>
            <w:r>
              <w:rPr>
                <w:rFonts w:ascii="Arial" w:eastAsia="Arial" w:hAnsi="Arial" w:cs="Arial"/>
              </w:rPr>
              <w:t>0</w:t>
            </w:r>
          </w:p>
        </w:tc>
        <w:tc>
          <w:tcPr>
            <w:tcW w:w="572" w:type="dxa"/>
            <w:tcBorders>
              <w:top w:val="single" w:sz="4" w:space="0" w:color="000001"/>
              <w:left w:val="single" w:sz="5" w:space="0" w:color="000001"/>
              <w:bottom w:val="single" w:sz="4" w:space="0" w:color="000001"/>
              <w:right w:val="single" w:sz="4" w:space="0" w:color="000001"/>
            </w:tcBorders>
          </w:tcPr>
          <w:p w:rsidR="00E23B86" w:rsidRDefault="00E23B86"/>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2.497.963,9</w:t>
            </w:r>
          </w:p>
          <w:p w:rsidR="00E23B86" w:rsidRDefault="00BA7C13">
            <w:pPr>
              <w:spacing w:after="0"/>
            </w:pPr>
            <w:r>
              <w:rPr>
                <w:rFonts w:ascii="Arial" w:eastAsia="Arial" w:hAnsi="Arial" w:cs="Arial"/>
              </w:rPr>
              <w:t>4</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9,8</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2.248.778,7</w:t>
            </w:r>
          </w:p>
          <w:p w:rsidR="00E23B86" w:rsidRDefault="00BA7C13">
            <w:pPr>
              <w:spacing w:after="0"/>
            </w:pPr>
            <w:r>
              <w:rPr>
                <w:rFonts w:ascii="Arial" w:eastAsia="Arial" w:hAnsi="Arial" w:cs="Arial"/>
              </w:rPr>
              <w:t>1</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9,9</w:t>
            </w:r>
          </w:p>
        </w:tc>
      </w:tr>
      <w:tr w:rsidR="00E23B86">
        <w:trPr>
          <w:trHeight w:val="516"/>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2018</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2.391.159,5</w:t>
            </w:r>
          </w:p>
          <w:p w:rsidR="00E23B86" w:rsidRDefault="00BA7C13">
            <w:pPr>
              <w:spacing w:after="0"/>
              <w:ind w:left="1"/>
            </w:pPr>
            <w:r>
              <w:rPr>
                <w:rFonts w:ascii="Arial" w:eastAsia="Arial" w:hAnsi="Arial" w:cs="Arial"/>
              </w:rPr>
              <w:t>7</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7,4</w:t>
            </w:r>
          </w:p>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2.274.712,1</w:t>
            </w:r>
          </w:p>
          <w:p w:rsidR="00E23B86" w:rsidRDefault="00BA7C13">
            <w:pPr>
              <w:spacing w:after="0"/>
            </w:pPr>
            <w:r>
              <w:rPr>
                <w:rFonts w:ascii="Arial" w:eastAsia="Arial" w:hAnsi="Arial" w:cs="Arial"/>
              </w:rPr>
              <w:t>5</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-36,4</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2.045.681,9</w:t>
            </w:r>
          </w:p>
          <w:p w:rsidR="00E23B86" w:rsidRDefault="00BA7C13">
            <w:pPr>
              <w:spacing w:after="0"/>
            </w:pPr>
            <w:r>
              <w:rPr>
                <w:rFonts w:ascii="Arial" w:eastAsia="Arial" w:hAnsi="Arial" w:cs="Arial"/>
              </w:rPr>
              <w:t>9</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-26</w:t>
            </w:r>
          </w:p>
        </w:tc>
      </w:tr>
      <w:tr w:rsidR="00E23B86">
        <w:trPr>
          <w:trHeight w:val="516"/>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2017</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2.225.157,8</w:t>
            </w:r>
          </w:p>
          <w:p w:rsidR="00E23B86" w:rsidRDefault="00BA7C13">
            <w:pPr>
              <w:spacing w:after="0"/>
              <w:ind w:left="1"/>
            </w:pPr>
            <w:r>
              <w:rPr>
                <w:rFonts w:ascii="Arial" w:eastAsia="Arial" w:hAnsi="Arial" w:cs="Arial"/>
              </w:rPr>
              <w:t>9</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3.571.910,3</w:t>
            </w:r>
          </w:p>
          <w:p w:rsidR="00E23B86" w:rsidRDefault="00BA7C13">
            <w:pPr>
              <w:spacing w:after="0"/>
            </w:pPr>
            <w:r>
              <w:rPr>
                <w:rFonts w:ascii="Arial" w:eastAsia="Arial" w:hAnsi="Arial" w:cs="Arial"/>
              </w:rPr>
              <w:t>0</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45</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2.765.740,9</w:t>
            </w:r>
          </w:p>
          <w:p w:rsidR="00E23B86" w:rsidRDefault="00BA7C13">
            <w:pPr>
              <w:spacing w:after="0"/>
            </w:pPr>
            <w:r>
              <w:rPr>
                <w:rFonts w:ascii="Arial" w:eastAsia="Arial" w:hAnsi="Arial" w:cs="Arial"/>
              </w:rPr>
              <w:t>9</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16</w:t>
            </w:r>
          </w:p>
        </w:tc>
      </w:tr>
      <w:tr w:rsidR="00E23B86">
        <w:trPr>
          <w:trHeight w:val="516"/>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2016</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2.225.157,8</w:t>
            </w:r>
          </w:p>
          <w:p w:rsidR="00E23B86" w:rsidRDefault="00BA7C13">
            <w:pPr>
              <w:spacing w:after="0"/>
              <w:ind w:left="1"/>
            </w:pPr>
            <w:r>
              <w:rPr>
                <w:rFonts w:ascii="Arial" w:eastAsia="Arial" w:hAnsi="Arial" w:cs="Arial"/>
              </w:rPr>
              <w:t>9</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8,4</w:t>
            </w:r>
          </w:p>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2.464.831,8</w:t>
            </w:r>
          </w:p>
          <w:p w:rsidR="00E23B86" w:rsidRDefault="00BA7C13">
            <w:pPr>
              <w:spacing w:after="0"/>
            </w:pPr>
            <w:r>
              <w:rPr>
                <w:rFonts w:ascii="Arial" w:eastAsia="Arial" w:hAnsi="Arial" w:cs="Arial"/>
              </w:rPr>
              <w:t>4</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0,8</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2.380.899,7</w:t>
            </w:r>
          </w:p>
          <w:p w:rsidR="00E23B86" w:rsidRDefault="00BA7C13">
            <w:pPr>
              <w:spacing w:after="0"/>
            </w:pPr>
            <w:r>
              <w:rPr>
                <w:rFonts w:ascii="Arial" w:eastAsia="Arial" w:hAnsi="Arial" w:cs="Arial"/>
              </w:rPr>
              <w:t>1</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w:t>
            </w:r>
          </w:p>
        </w:tc>
      </w:tr>
      <w:tr w:rsidR="00E23B86">
        <w:trPr>
          <w:trHeight w:val="516"/>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2015</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2.052.358,0</w:t>
            </w:r>
          </w:p>
          <w:p w:rsidR="00E23B86" w:rsidRDefault="00BA7C13">
            <w:pPr>
              <w:spacing w:after="0"/>
              <w:ind w:left="1"/>
            </w:pPr>
            <w:r>
              <w:rPr>
                <w:rFonts w:ascii="Arial" w:eastAsia="Arial" w:hAnsi="Arial" w:cs="Arial"/>
              </w:rPr>
              <w:t>0</w:t>
            </w:r>
          </w:p>
        </w:tc>
        <w:tc>
          <w:tcPr>
            <w:tcW w:w="572" w:type="dxa"/>
            <w:tcBorders>
              <w:top w:val="single" w:sz="4" w:space="0" w:color="000001"/>
              <w:left w:val="single" w:sz="5" w:space="0" w:color="000001"/>
              <w:bottom w:val="single" w:sz="4" w:space="0" w:color="000001"/>
              <w:right w:val="single" w:sz="4" w:space="0" w:color="000001"/>
            </w:tcBorders>
          </w:tcPr>
          <w:p w:rsidR="00E23B86" w:rsidRDefault="00E23B86"/>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2.443.729,4</w:t>
            </w:r>
          </w:p>
          <w:p w:rsidR="00E23B86" w:rsidRDefault="00BA7C13">
            <w:pPr>
              <w:spacing w:after="0"/>
            </w:pPr>
            <w:r>
              <w:rPr>
                <w:rFonts w:ascii="Arial" w:eastAsia="Arial" w:hAnsi="Arial" w:cs="Arial"/>
              </w:rPr>
              <w:t>0</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-14,7</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2.311.316,7</w:t>
            </w:r>
          </w:p>
          <w:p w:rsidR="00E23B86" w:rsidRDefault="00BA7C13">
            <w:pPr>
              <w:spacing w:after="0"/>
            </w:pPr>
            <w:r>
              <w:rPr>
                <w:rFonts w:ascii="Arial" w:eastAsia="Arial" w:hAnsi="Arial" w:cs="Arial"/>
              </w:rPr>
              <w:t>6</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-16</w:t>
            </w:r>
          </w:p>
        </w:tc>
      </w:tr>
      <w:tr w:rsidR="00E23B86">
        <w:trPr>
          <w:trHeight w:val="516"/>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2014</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2055452,24</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2.862.250,3</w:t>
            </w:r>
          </w:p>
          <w:p w:rsidR="00E23B86" w:rsidRDefault="00BA7C13">
            <w:pPr>
              <w:spacing w:after="0"/>
            </w:pPr>
            <w:r>
              <w:rPr>
                <w:rFonts w:ascii="Arial" w:eastAsia="Arial" w:hAnsi="Arial" w:cs="Arial"/>
              </w:rPr>
              <w:t>4</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19</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2.742.083,6</w:t>
            </w:r>
          </w:p>
          <w:p w:rsidR="00E23B86" w:rsidRDefault="00BA7C13">
            <w:pPr>
              <w:spacing w:after="0"/>
            </w:pPr>
            <w:r>
              <w:rPr>
                <w:rFonts w:ascii="Arial" w:eastAsia="Arial" w:hAnsi="Arial" w:cs="Arial"/>
              </w:rPr>
              <w:t>2 €</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21</w:t>
            </w:r>
          </w:p>
        </w:tc>
      </w:tr>
      <w:tr w:rsidR="00E23B86">
        <w:trPr>
          <w:trHeight w:val="516"/>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2013</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2055452,24</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2,393,440,5</w:t>
            </w:r>
          </w:p>
          <w:p w:rsidR="00E23B86" w:rsidRDefault="00BA7C13">
            <w:pPr>
              <w:spacing w:after="0"/>
            </w:pPr>
            <w:r>
              <w:rPr>
                <w:rFonts w:ascii="Arial" w:eastAsia="Arial" w:hAnsi="Arial" w:cs="Arial"/>
              </w:rPr>
              <w:t>9</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-2,3</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2,193,183,9</w:t>
            </w:r>
          </w:p>
          <w:p w:rsidR="00E23B86" w:rsidRDefault="00BA7C13">
            <w:pPr>
              <w:spacing w:after="0"/>
            </w:pPr>
            <w:r>
              <w:rPr>
                <w:rFonts w:ascii="Arial" w:eastAsia="Arial" w:hAnsi="Arial" w:cs="Arial"/>
              </w:rPr>
              <w:t>7</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4,3</w:t>
            </w:r>
          </w:p>
        </w:tc>
      </w:tr>
      <w:tr w:rsidR="00E23B86">
        <w:trPr>
          <w:trHeight w:val="516"/>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2012</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2.055.452,2</w:t>
            </w:r>
          </w:p>
          <w:p w:rsidR="00E23B86" w:rsidRDefault="00BA7C13">
            <w:pPr>
              <w:spacing w:after="0"/>
              <w:ind w:left="1"/>
            </w:pPr>
            <w:r>
              <w:rPr>
                <w:rFonts w:ascii="Arial" w:eastAsia="Arial" w:hAnsi="Arial" w:cs="Arial"/>
              </w:rPr>
              <w:t>4</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-17</w:t>
            </w:r>
          </w:p>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2,447,705,1</w:t>
            </w:r>
          </w:p>
          <w:p w:rsidR="00E23B86" w:rsidRDefault="00BA7C13">
            <w:pPr>
              <w:spacing w:after="0"/>
            </w:pPr>
            <w:r>
              <w:rPr>
                <w:rFonts w:ascii="Arial" w:eastAsia="Arial" w:hAnsi="Arial" w:cs="Arial"/>
              </w:rPr>
              <w:t>1</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0,8</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2,102,416,2</w:t>
            </w:r>
          </w:p>
          <w:p w:rsidR="00E23B86" w:rsidRDefault="00BA7C13">
            <w:pPr>
              <w:spacing w:after="0"/>
            </w:pPr>
            <w:r>
              <w:rPr>
                <w:rFonts w:ascii="Arial" w:eastAsia="Arial" w:hAnsi="Arial" w:cs="Arial"/>
              </w:rPr>
              <w:t>3</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0,3</w:t>
            </w:r>
          </w:p>
        </w:tc>
      </w:tr>
      <w:tr w:rsidR="00E23B86">
        <w:trPr>
          <w:trHeight w:val="516"/>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2011</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2.473.226,0</w:t>
            </w:r>
          </w:p>
          <w:p w:rsidR="00E23B86" w:rsidRDefault="00BA7C13">
            <w:pPr>
              <w:spacing w:after="0"/>
              <w:ind w:left="1"/>
            </w:pPr>
            <w:r>
              <w:rPr>
                <w:rFonts w:ascii="Arial" w:eastAsia="Arial" w:hAnsi="Arial" w:cs="Arial"/>
              </w:rPr>
              <w:t>2</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2.427.709,5</w:t>
            </w:r>
          </w:p>
          <w:p w:rsidR="00E23B86" w:rsidRDefault="00BA7C13">
            <w:pPr>
              <w:spacing w:after="0"/>
            </w:pPr>
            <w:r>
              <w:rPr>
                <w:rFonts w:ascii="Arial" w:eastAsia="Arial" w:hAnsi="Arial" w:cs="Arial"/>
              </w:rPr>
              <w:t>7</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-29</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2.096.365,5</w:t>
            </w:r>
          </w:p>
          <w:p w:rsidR="00E23B86" w:rsidRDefault="00BA7C13">
            <w:pPr>
              <w:spacing w:after="0"/>
            </w:pPr>
            <w:r>
              <w:rPr>
                <w:rFonts w:ascii="Arial" w:eastAsia="Arial" w:hAnsi="Arial" w:cs="Arial"/>
              </w:rPr>
              <w:t>6</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-28</w:t>
            </w:r>
          </w:p>
        </w:tc>
      </w:tr>
      <w:tr w:rsidR="00E23B86">
        <w:trPr>
          <w:trHeight w:val="263"/>
        </w:trPr>
        <w:tc>
          <w:tcPr>
            <w:tcW w:w="69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2010</w:t>
            </w:r>
          </w:p>
        </w:tc>
        <w:tc>
          <w:tcPr>
            <w:tcW w:w="118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2.473.226,0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22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3.412.507,2</w:t>
            </w:r>
          </w:p>
        </w:tc>
        <w:tc>
          <w:tcPr>
            <w:tcW w:w="60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150</w:t>
            </w:r>
          </w:p>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2.925.219,7</w:t>
            </w:r>
          </w:p>
        </w:tc>
        <w:tc>
          <w:tcPr>
            <w:tcW w:w="94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170</w:t>
            </w:r>
          </w:p>
        </w:tc>
      </w:tr>
      <w:tr w:rsidR="00E23B86">
        <w:trPr>
          <w:trHeight w:val="263"/>
        </w:trPr>
        <w:tc>
          <w:tcPr>
            <w:tcW w:w="692" w:type="dxa"/>
            <w:tcBorders>
              <w:top w:val="single" w:sz="4" w:space="0" w:color="000001"/>
              <w:left w:val="single" w:sz="4" w:space="0" w:color="000001"/>
              <w:bottom w:val="single" w:sz="4" w:space="0" w:color="000001"/>
              <w:right w:val="single" w:sz="5" w:space="0" w:color="000001"/>
            </w:tcBorders>
          </w:tcPr>
          <w:p w:rsidR="00E23B86" w:rsidRDefault="00E23B86"/>
        </w:tc>
        <w:tc>
          <w:tcPr>
            <w:tcW w:w="1187"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w:t>
            </w:r>
          </w:p>
        </w:tc>
        <w:tc>
          <w:tcPr>
            <w:tcW w:w="572" w:type="dxa"/>
            <w:tcBorders>
              <w:top w:val="single" w:sz="4" w:space="0" w:color="000001"/>
              <w:left w:val="single" w:sz="5" w:space="0" w:color="000001"/>
              <w:bottom w:val="single" w:sz="4" w:space="0" w:color="000001"/>
              <w:right w:val="single" w:sz="5" w:space="0" w:color="000001"/>
            </w:tcBorders>
          </w:tcPr>
          <w:p w:rsidR="00E23B86" w:rsidRDefault="00E23B86"/>
        </w:tc>
        <w:tc>
          <w:tcPr>
            <w:tcW w:w="122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w:t>
            </w:r>
          </w:p>
        </w:tc>
        <w:tc>
          <w:tcPr>
            <w:tcW w:w="600" w:type="dxa"/>
            <w:tcBorders>
              <w:top w:val="single" w:sz="4" w:space="0" w:color="000001"/>
              <w:left w:val="single" w:sz="5" w:space="0" w:color="000001"/>
              <w:bottom w:val="single" w:sz="4" w:space="0" w:color="000001"/>
              <w:right w:val="single" w:sz="4" w:space="0" w:color="000001"/>
            </w:tcBorders>
          </w:tcPr>
          <w:p w:rsidR="00E23B86" w:rsidRDefault="00E23B86"/>
        </w:tc>
        <w:tc>
          <w:tcPr>
            <w:tcW w:w="12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9</w:t>
            </w:r>
          </w:p>
        </w:tc>
        <w:tc>
          <w:tcPr>
            <w:tcW w:w="946" w:type="dxa"/>
            <w:tcBorders>
              <w:top w:val="single" w:sz="4" w:space="0" w:color="000001"/>
              <w:left w:val="single" w:sz="5" w:space="0" w:color="000001"/>
              <w:bottom w:val="single" w:sz="4" w:space="0" w:color="000001"/>
              <w:right w:val="single" w:sz="5" w:space="0" w:color="000001"/>
            </w:tcBorders>
          </w:tcPr>
          <w:p w:rsidR="00E23B86" w:rsidRDefault="00E23B86"/>
        </w:tc>
      </w:tr>
    </w:tbl>
    <w:p w:rsidR="00E23B86" w:rsidRDefault="00BA7C13">
      <w:pPr>
        <w:spacing w:after="245" w:line="248" w:lineRule="auto"/>
        <w:ind w:left="363" w:right="552" w:firstLine="708"/>
        <w:jc w:val="both"/>
      </w:pPr>
      <w:r>
        <w:rPr>
          <w:rFonts w:ascii="Arial" w:eastAsia="Arial" w:hAnsi="Arial" w:cs="Arial"/>
        </w:rPr>
        <w:t>En el lado de las Tasas por prestación de servicios o realización de actividades de competencia municipal, destaca el aumento de la liquidación de la tasa por recogida de residuos, en un 9,2 %, hasta llegar a los 1.152.219,82 Euros (representa esta tasa el</w:t>
      </w:r>
      <w:r>
        <w:rPr>
          <w:rFonts w:ascii="Arial" w:eastAsia="Arial" w:hAnsi="Arial" w:cs="Arial"/>
        </w:rPr>
        <w:t xml:space="preserve"> 49,7 %, frente 51 %, en el ejercicio anterior, de este capítulo de ingresos, que importó 1.054.797,97). </w:t>
      </w:r>
    </w:p>
    <w:p w:rsidR="00E23B86" w:rsidRDefault="00BA7C13">
      <w:pPr>
        <w:spacing w:after="245" w:line="248" w:lineRule="auto"/>
        <w:ind w:left="363" w:right="552" w:firstLine="708"/>
        <w:jc w:val="both"/>
      </w:pPr>
      <w:r>
        <w:rPr>
          <w:rFonts w:ascii="Arial" w:eastAsia="Arial" w:hAnsi="Arial" w:cs="Arial"/>
        </w:rPr>
        <w:t>Sube la liquidación de tasas por enseñanzas especiales un 110 % y la tasa por utilización privativa por empresas de telecomunicaciones, un 19 %.</w:t>
      </w:r>
    </w:p>
    <w:p w:rsidR="00E23B86" w:rsidRDefault="00BA7C13">
      <w:pPr>
        <w:spacing w:after="245" w:line="248" w:lineRule="auto"/>
        <w:ind w:left="363" w:right="552" w:firstLine="708"/>
        <w:jc w:val="both"/>
      </w:pPr>
      <w:r>
        <w:rPr>
          <w:rFonts w:ascii="Arial" w:eastAsia="Arial" w:hAnsi="Arial" w:cs="Arial"/>
        </w:rPr>
        <w:t xml:space="preserve">Caen </w:t>
      </w:r>
      <w:r>
        <w:rPr>
          <w:rFonts w:ascii="Arial" w:eastAsia="Arial" w:hAnsi="Arial" w:cs="Arial"/>
        </w:rPr>
        <w:t>la liquidación de multas por infracción de la ordenanza de tráfico en un 55 %, al igual, que en el ejercicio anterior, que descendió un 23 %.</w:t>
      </w:r>
    </w:p>
    <w:p w:rsidR="00E23B86" w:rsidRDefault="00BA7C13">
      <w:pPr>
        <w:spacing w:after="245" w:line="248" w:lineRule="auto"/>
        <w:ind w:left="363" w:right="552" w:firstLine="708"/>
        <w:jc w:val="both"/>
      </w:pPr>
      <w:r>
        <w:rPr>
          <w:rFonts w:ascii="Arial" w:eastAsia="Arial" w:hAnsi="Arial" w:cs="Arial"/>
        </w:rPr>
        <w:t>Los Precios públicos, representan el 0,6 % del total liquidado en este capítulo, cayendo punto y medio, respecto d</w:t>
      </w:r>
      <w:r>
        <w:rPr>
          <w:rFonts w:ascii="Arial" w:eastAsia="Arial" w:hAnsi="Arial" w:cs="Arial"/>
        </w:rPr>
        <w:t>el año anterior.</w:t>
      </w:r>
    </w:p>
    <w:p w:rsidR="00E23B86" w:rsidRDefault="00BA7C13">
      <w:pPr>
        <w:spacing w:after="497" w:line="248" w:lineRule="auto"/>
        <w:ind w:left="1070" w:right="552" w:hanging="10"/>
        <w:jc w:val="both"/>
      </w:pPr>
      <w:r>
        <w:rPr>
          <w:rFonts w:ascii="Arial" w:eastAsia="Arial" w:hAnsi="Arial" w:cs="Arial"/>
        </w:rPr>
        <w:t>En cuanto a las ventas, representa un porcentaje nulo dentro del capítulo III.</w:t>
      </w:r>
    </w:p>
    <w:p w:rsidR="00E23B86" w:rsidRDefault="00BA7C13">
      <w:pPr>
        <w:spacing w:after="242" w:line="249" w:lineRule="auto"/>
        <w:ind w:left="355" w:right="554" w:hanging="10"/>
        <w:jc w:val="both"/>
      </w:pPr>
      <w:r>
        <w:rPr>
          <w:rFonts w:ascii="Arial" w:eastAsia="Arial" w:hAnsi="Arial" w:cs="Arial"/>
          <w:b/>
        </w:rPr>
        <w:t>D) TRANSFERENCIAS CORRIENTES</w:t>
      </w:r>
    </w:p>
    <w:p w:rsidR="00E23B86" w:rsidRDefault="00BA7C13">
      <w:pPr>
        <w:spacing w:after="10" w:line="248" w:lineRule="auto"/>
        <w:ind w:left="363" w:right="552" w:firstLine="708"/>
        <w:jc w:val="both"/>
      </w:pPr>
      <w:r>
        <w:rPr>
          <w:noProof/>
        </w:rPr>
        <mc:AlternateContent>
          <mc:Choice Requires="wpg">
            <w:drawing>
              <wp:anchor distT="0" distB="0" distL="114300" distR="114300" simplePos="0" relativeHeight="2516828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8250" name="Group 52825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6784" name="Rectangle 678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6785" name="Rectangle 6785"/>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8250" style="width:12.7031pt;height:280.35pt;position:absolute;mso-position-horizontal-relative:page;mso-position-horizontal:absolute;margin-left:681.958pt;mso-position-vertical-relative:page;margin-top:531.65pt;" coordsize="1613,35604">
                <v:rect id="Rectangle 678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6785"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391 </w:t>
                        </w:r>
                      </w:p>
                    </w:txbxContent>
                  </v:textbox>
                </v:rect>
                <w10:wrap type="square"/>
              </v:group>
            </w:pict>
          </mc:Fallback>
        </mc:AlternateContent>
      </w:r>
      <w:r>
        <w:rPr>
          <w:rFonts w:ascii="Arial" w:eastAsia="Arial" w:hAnsi="Arial" w:cs="Arial"/>
        </w:rPr>
        <w:t>En materia de Transferencias Corrientes, sube un 1,7 %, frente a la subida de un 15,50 % en año anterior.</w:t>
      </w:r>
    </w:p>
    <w:tbl>
      <w:tblPr>
        <w:tblStyle w:val="TableGrid"/>
        <w:tblW w:w="5967" w:type="dxa"/>
        <w:tblInd w:w="371" w:type="dxa"/>
        <w:tblCellMar>
          <w:top w:w="11" w:type="dxa"/>
          <w:left w:w="11" w:type="dxa"/>
          <w:bottom w:w="0" w:type="dxa"/>
          <w:right w:w="15" w:type="dxa"/>
        </w:tblCellMar>
        <w:tblLook w:val="04A0" w:firstRow="1" w:lastRow="0" w:firstColumn="1" w:lastColumn="0" w:noHBand="0" w:noVBand="1"/>
      </w:tblPr>
      <w:tblGrid>
        <w:gridCol w:w="598"/>
        <w:gridCol w:w="1085"/>
        <w:gridCol w:w="455"/>
        <w:gridCol w:w="1384"/>
        <w:gridCol w:w="494"/>
        <w:gridCol w:w="1148"/>
        <w:gridCol w:w="803"/>
      </w:tblGrid>
      <w:tr w:rsidR="00E23B86">
        <w:trPr>
          <w:trHeight w:val="769"/>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AÑO</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PRESUP UESTO</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INGRESOS LIQUIDADOS</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RECAUDA</w:t>
            </w:r>
          </w:p>
          <w:p w:rsidR="00E23B86" w:rsidRDefault="00BA7C13">
            <w:pPr>
              <w:spacing w:after="0"/>
            </w:pPr>
            <w:r>
              <w:rPr>
                <w:rFonts w:ascii="Arial" w:eastAsia="Arial" w:hAnsi="Arial" w:cs="Arial"/>
              </w:rPr>
              <w:t>CIÓN</w:t>
            </w:r>
          </w:p>
          <w:p w:rsidR="00E23B86" w:rsidRDefault="00BA7C13">
            <w:pPr>
              <w:spacing w:after="0"/>
            </w:pPr>
            <w:r>
              <w:rPr>
                <w:rFonts w:ascii="Arial" w:eastAsia="Arial" w:hAnsi="Arial" w:cs="Arial"/>
              </w:rPr>
              <w:t>LÍQUIDA</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r>
      <w:tr w:rsidR="00E23B86">
        <w:trPr>
          <w:trHeight w:val="516"/>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2019</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9.780.509,</w:t>
            </w:r>
          </w:p>
          <w:p w:rsidR="00E23B86" w:rsidRDefault="00BA7C13">
            <w:pPr>
              <w:spacing w:after="0"/>
              <w:ind w:left="1"/>
            </w:pPr>
            <w:r>
              <w:rPr>
                <w:rFonts w:ascii="Arial" w:eastAsia="Arial" w:hAnsi="Arial" w:cs="Arial"/>
              </w:rPr>
              <w:t>42</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10.804.057,4</w:t>
            </w:r>
          </w:p>
          <w:p w:rsidR="00E23B86" w:rsidRDefault="00BA7C13">
            <w:pPr>
              <w:spacing w:after="0"/>
              <w:ind w:left="1"/>
            </w:pPr>
            <w:r>
              <w:rPr>
                <w:rFonts w:ascii="Arial" w:eastAsia="Arial" w:hAnsi="Arial" w:cs="Arial"/>
              </w:rPr>
              <w:t>0</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22,4</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10.804.057</w:t>
            </w:r>
          </w:p>
          <w:p w:rsidR="00E23B86" w:rsidRDefault="00BA7C13">
            <w:pPr>
              <w:spacing w:after="0"/>
            </w:pPr>
            <w:r>
              <w:rPr>
                <w:rFonts w:ascii="Arial" w:eastAsia="Arial" w:hAnsi="Arial" w:cs="Arial"/>
              </w:rPr>
              <w:t>,40</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22,4</w:t>
            </w:r>
          </w:p>
        </w:tc>
      </w:tr>
      <w:tr w:rsidR="00E23B86">
        <w:trPr>
          <w:trHeight w:val="516"/>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2018</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10.201.68</w:t>
            </w:r>
          </w:p>
          <w:p w:rsidR="00E23B86" w:rsidRDefault="00BA7C13">
            <w:pPr>
              <w:spacing w:after="0"/>
              <w:ind w:left="1"/>
            </w:pPr>
            <w:r>
              <w:rPr>
                <w:rFonts w:ascii="Arial" w:eastAsia="Arial" w:hAnsi="Arial" w:cs="Arial"/>
              </w:rPr>
              <w:t>6,33</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38</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8.824.131,12</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1,7</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8.824.131,</w:t>
            </w:r>
          </w:p>
          <w:p w:rsidR="00E23B86" w:rsidRDefault="00BA7C13">
            <w:pPr>
              <w:spacing w:after="0"/>
            </w:pPr>
            <w:r>
              <w:rPr>
                <w:rFonts w:ascii="Arial" w:eastAsia="Arial" w:hAnsi="Arial" w:cs="Arial"/>
              </w:rPr>
              <w:t>12</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1,7</w:t>
            </w:r>
          </w:p>
        </w:tc>
      </w:tr>
      <w:tr w:rsidR="00E23B86">
        <w:trPr>
          <w:trHeight w:val="516"/>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2017</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7.378.138,</w:t>
            </w:r>
          </w:p>
          <w:p w:rsidR="00E23B86" w:rsidRDefault="00BA7C13">
            <w:pPr>
              <w:spacing w:after="0"/>
              <w:ind w:left="1"/>
            </w:pPr>
            <w:r>
              <w:rPr>
                <w:rFonts w:ascii="Arial" w:eastAsia="Arial" w:hAnsi="Arial" w:cs="Arial"/>
              </w:rPr>
              <w:t>16</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8.673.846,56</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15,5</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8.574.042,</w:t>
            </w:r>
          </w:p>
          <w:p w:rsidR="00E23B86" w:rsidRDefault="00BA7C13">
            <w:pPr>
              <w:spacing w:after="0"/>
            </w:pPr>
            <w:r>
              <w:rPr>
                <w:rFonts w:ascii="Arial" w:eastAsia="Arial" w:hAnsi="Arial" w:cs="Arial"/>
              </w:rPr>
              <w:t>50</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15,5</w:t>
            </w:r>
          </w:p>
        </w:tc>
      </w:tr>
      <w:tr w:rsidR="00E23B86">
        <w:trPr>
          <w:trHeight w:val="516"/>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2016</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7.3780.13</w:t>
            </w:r>
          </w:p>
          <w:p w:rsidR="00E23B86" w:rsidRDefault="00BA7C13">
            <w:pPr>
              <w:spacing w:after="0"/>
              <w:ind w:left="1"/>
            </w:pPr>
            <w:r>
              <w:rPr>
                <w:rFonts w:ascii="Arial" w:eastAsia="Arial" w:hAnsi="Arial" w:cs="Arial"/>
              </w:rPr>
              <w:t>8,16</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7.420.663,79</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-4,5</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7.420.663,</w:t>
            </w:r>
          </w:p>
          <w:p w:rsidR="00E23B86" w:rsidRDefault="00BA7C13">
            <w:pPr>
              <w:spacing w:after="0"/>
            </w:pPr>
            <w:r>
              <w:rPr>
                <w:rFonts w:ascii="Arial" w:eastAsia="Arial" w:hAnsi="Arial" w:cs="Arial"/>
              </w:rPr>
              <w:t>79</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-4,5</w:t>
            </w:r>
          </w:p>
        </w:tc>
      </w:tr>
      <w:tr w:rsidR="00E23B86">
        <w:trPr>
          <w:trHeight w:val="516"/>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2015</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7.218.852,</w:t>
            </w:r>
          </w:p>
          <w:p w:rsidR="00E23B86" w:rsidRDefault="00BA7C13">
            <w:pPr>
              <w:spacing w:after="0"/>
              <w:ind w:left="1"/>
            </w:pPr>
            <w:r>
              <w:rPr>
                <w:rFonts w:ascii="Arial" w:eastAsia="Arial" w:hAnsi="Arial" w:cs="Arial"/>
              </w:rPr>
              <w:t>52</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4,7</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7.775.578,61</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13,4</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7.775.578,</w:t>
            </w:r>
          </w:p>
          <w:p w:rsidR="00E23B86" w:rsidRDefault="00BA7C13">
            <w:pPr>
              <w:spacing w:after="0"/>
            </w:pPr>
            <w:r>
              <w:rPr>
                <w:rFonts w:ascii="Arial" w:eastAsia="Arial" w:hAnsi="Arial" w:cs="Arial"/>
              </w:rPr>
              <w:t>61</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13,4</w:t>
            </w:r>
          </w:p>
        </w:tc>
      </w:tr>
      <w:tr w:rsidR="00E23B86">
        <w:trPr>
          <w:trHeight w:val="516"/>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2014</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6892464,9</w:t>
            </w:r>
          </w:p>
          <w:p w:rsidR="00E23B86" w:rsidRDefault="00BA7C13">
            <w:pPr>
              <w:spacing w:after="0"/>
              <w:ind w:left="1"/>
            </w:pPr>
            <w:r>
              <w:rPr>
                <w:rFonts w:ascii="Arial" w:eastAsia="Arial" w:hAnsi="Arial" w:cs="Arial"/>
              </w:rPr>
              <w:t>4</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6.854.036,58</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-3,5</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6.854.036,</w:t>
            </w:r>
          </w:p>
          <w:p w:rsidR="00E23B86" w:rsidRDefault="00BA7C13">
            <w:pPr>
              <w:spacing w:after="0"/>
            </w:pPr>
            <w:r>
              <w:rPr>
                <w:rFonts w:ascii="Arial" w:eastAsia="Arial" w:hAnsi="Arial" w:cs="Arial"/>
              </w:rPr>
              <w:t>58 €</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-3,5</w:t>
            </w:r>
          </w:p>
        </w:tc>
      </w:tr>
      <w:tr w:rsidR="00E23B86">
        <w:trPr>
          <w:trHeight w:val="516"/>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2013</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6892464,9</w:t>
            </w:r>
          </w:p>
          <w:p w:rsidR="00E23B86" w:rsidRDefault="00BA7C13">
            <w:pPr>
              <w:spacing w:after="0"/>
              <w:ind w:left="1"/>
            </w:pPr>
            <w:r>
              <w:rPr>
                <w:rFonts w:ascii="Arial" w:eastAsia="Arial" w:hAnsi="Arial" w:cs="Arial"/>
              </w:rPr>
              <w:t>4</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7.098.299,33</w:t>
            </w:r>
          </w:p>
          <w:p w:rsidR="00E23B86" w:rsidRDefault="00BA7C13">
            <w:pPr>
              <w:spacing w:after="0"/>
              <w:ind w:left="1"/>
            </w:pPr>
            <w:r>
              <w:rPr>
                <w:rFonts w:ascii="Arial" w:eastAsia="Arial" w:hAnsi="Arial" w:cs="Arial"/>
              </w:rPr>
              <w:t>€</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175</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7.098.299,</w:t>
            </w:r>
          </w:p>
          <w:p w:rsidR="00E23B86" w:rsidRDefault="00BA7C13">
            <w:pPr>
              <w:spacing w:after="0"/>
            </w:pPr>
            <w:r>
              <w:rPr>
                <w:rFonts w:ascii="Arial" w:eastAsia="Arial" w:hAnsi="Arial" w:cs="Arial"/>
              </w:rPr>
              <w:t>33</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175</w:t>
            </w:r>
          </w:p>
        </w:tc>
      </w:tr>
      <w:tr w:rsidR="00E23B86">
        <w:trPr>
          <w:trHeight w:val="516"/>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2012</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6.892.464,</w:t>
            </w:r>
          </w:p>
          <w:p w:rsidR="00E23B86" w:rsidRDefault="00BA7C13">
            <w:pPr>
              <w:spacing w:after="0"/>
              <w:ind w:left="1"/>
            </w:pPr>
            <w:r>
              <w:rPr>
                <w:rFonts w:ascii="Arial" w:eastAsia="Arial" w:hAnsi="Arial" w:cs="Arial"/>
              </w:rPr>
              <w:t>94</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3.837.875,79</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w:t>
            </w:r>
          </w:p>
          <w:p w:rsidR="00E23B86" w:rsidRDefault="00BA7C13">
            <w:pPr>
              <w:spacing w:after="0"/>
              <w:ind w:left="1"/>
              <w:jc w:val="both"/>
            </w:pPr>
            <w:r>
              <w:rPr>
                <w:rFonts w:ascii="Arial" w:eastAsia="Arial" w:hAnsi="Arial" w:cs="Arial"/>
              </w:rPr>
              <w:t>50,5</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3.837.875,</w:t>
            </w:r>
          </w:p>
          <w:p w:rsidR="00E23B86" w:rsidRDefault="00BA7C13">
            <w:pPr>
              <w:spacing w:after="0"/>
            </w:pPr>
            <w:r>
              <w:rPr>
                <w:rFonts w:ascii="Arial" w:eastAsia="Arial" w:hAnsi="Arial" w:cs="Arial"/>
              </w:rPr>
              <w:t>79</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-50,5</w:t>
            </w:r>
          </w:p>
        </w:tc>
      </w:tr>
      <w:tr w:rsidR="00E23B86">
        <w:trPr>
          <w:trHeight w:val="516"/>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2011</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6.441.905,</w:t>
            </w:r>
          </w:p>
          <w:p w:rsidR="00E23B86" w:rsidRDefault="00BA7C13">
            <w:pPr>
              <w:spacing w:after="0"/>
              <w:ind w:left="1"/>
            </w:pPr>
            <w:r>
              <w:rPr>
                <w:rFonts w:ascii="Arial" w:eastAsia="Arial" w:hAnsi="Arial" w:cs="Arial"/>
              </w:rPr>
              <w:t>15</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7.741.820,13</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-6,4</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7.741.820,</w:t>
            </w:r>
          </w:p>
          <w:p w:rsidR="00E23B86" w:rsidRDefault="00BA7C13">
            <w:pPr>
              <w:spacing w:after="0"/>
            </w:pPr>
            <w:r>
              <w:rPr>
                <w:rFonts w:ascii="Arial" w:eastAsia="Arial" w:hAnsi="Arial" w:cs="Arial"/>
              </w:rPr>
              <w:t>13</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-6,4</w:t>
            </w:r>
          </w:p>
        </w:tc>
      </w:tr>
      <w:tr w:rsidR="00E23B86">
        <w:trPr>
          <w:trHeight w:val="517"/>
        </w:trPr>
        <w:tc>
          <w:tcPr>
            <w:tcW w:w="59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2010</w:t>
            </w:r>
          </w:p>
        </w:tc>
        <w:tc>
          <w:tcPr>
            <w:tcW w:w="108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6.441.905,</w:t>
            </w:r>
          </w:p>
          <w:p w:rsidR="00E23B86" w:rsidRDefault="00BA7C13">
            <w:pPr>
              <w:spacing w:after="0"/>
              <w:ind w:left="1"/>
            </w:pPr>
            <w:r>
              <w:rPr>
                <w:rFonts w:ascii="Arial" w:eastAsia="Arial" w:hAnsi="Arial" w:cs="Arial"/>
              </w:rPr>
              <w:t>15</w:t>
            </w:r>
          </w:p>
        </w:tc>
        <w:tc>
          <w:tcPr>
            <w:tcW w:w="45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- 34</w:t>
            </w:r>
          </w:p>
        </w:tc>
        <w:tc>
          <w:tcPr>
            <w:tcW w:w="138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8.264.727,18</w:t>
            </w:r>
          </w:p>
        </w:tc>
        <w:tc>
          <w:tcPr>
            <w:tcW w:w="49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-29</w:t>
            </w:r>
          </w:p>
        </w:tc>
        <w:tc>
          <w:tcPr>
            <w:tcW w:w="114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both"/>
            </w:pPr>
            <w:r>
              <w:rPr>
                <w:rFonts w:ascii="Arial" w:eastAsia="Arial" w:hAnsi="Arial" w:cs="Arial"/>
              </w:rPr>
              <w:t>8.264.727,</w:t>
            </w:r>
          </w:p>
          <w:p w:rsidR="00E23B86" w:rsidRDefault="00BA7C13">
            <w:pPr>
              <w:spacing w:after="0"/>
            </w:pPr>
            <w:r>
              <w:rPr>
                <w:rFonts w:ascii="Arial" w:eastAsia="Arial" w:hAnsi="Arial" w:cs="Arial"/>
              </w:rPr>
              <w:t>18</w:t>
            </w:r>
          </w:p>
        </w:tc>
        <w:tc>
          <w:tcPr>
            <w:tcW w:w="8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-29</w:t>
            </w:r>
          </w:p>
        </w:tc>
      </w:tr>
    </w:tbl>
    <w:p w:rsidR="00E23B86" w:rsidRDefault="00BA7C13">
      <w:pPr>
        <w:spacing w:after="3" w:line="249" w:lineRule="auto"/>
        <w:ind w:left="337" w:right="555" w:firstLine="708"/>
      </w:pPr>
      <w:r>
        <w:rPr>
          <w:rFonts w:ascii="Arial" w:eastAsia="Arial" w:hAnsi="Arial" w:cs="Arial"/>
        </w:rPr>
        <w:t>En este capítulo se han liquidado a 22,4 % más, destacando la subida de un 82 % del Fondo Canario (en el ejercicio anterior, no se ingresó más que un 35 % del total, ingresándose el resto, en enero de 2019).</w:t>
      </w:r>
    </w:p>
    <w:p w:rsidR="00E23B86" w:rsidRDefault="00BA7C13">
      <w:pPr>
        <w:spacing w:after="245" w:line="248" w:lineRule="auto"/>
        <w:ind w:left="363" w:right="552" w:firstLine="708"/>
        <w:jc w:val="both"/>
      </w:pPr>
      <w:r>
        <w:rPr>
          <w:rFonts w:ascii="Arial" w:eastAsia="Arial" w:hAnsi="Arial" w:cs="Arial"/>
        </w:rPr>
        <w:t xml:space="preserve">Destaca por su cuantía, la Participación de los </w:t>
      </w:r>
      <w:r>
        <w:rPr>
          <w:rFonts w:ascii="Arial" w:eastAsia="Arial" w:hAnsi="Arial" w:cs="Arial"/>
        </w:rPr>
        <w:t>Tributos del Estado, que asciende a 5.362.014,54 Euros, un 7,4 % más que las previsiones del último presupuesto aprobado, liquidándose en el 2018, por importe de 5.217.328,86 Euros, un 2,9 % más.</w:t>
      </w:r>
    </w:p>
    <w:p w:rsidR="00E23B86" w:rsidRDefault="00BA7C13">
      <w:pPr>
        <w:spacing w:after="245" w:line="248" w:lineRule="auto"/>
        <w:ind w:left="363" w:right="552" w:firstLine="708"/>
        <w:jc w:val="both"/>
      </w:pPr>
      <w:r>
        <w:rPr>
          <w:rFonts w:ascii="Arial" w:eastAsia="Arial" w:hAnsi="Arial" w:cs="Arial"/>
        </w:rPr>
        <w:t>Los ingresos del Cabildo Insular ascendieron a 339.041,21 Eu</w:t>
      </w:r>
      <w:r>
        <w:rPr>
          <w:rFonts w:ascii="Arial" w:eastAsia="Arial" w:hAnsi="Arial" w:cs="Arial"/>
        </w:rPr>
        <w:t>ros, frente a los 304.768,18 Euros del año anterior, destacando el ingreso del IASS, por importe de 116.119,12 Euros para el Plan Concertado y 140.560,00 para un Skatepark.</w:t>
      </w:r>
    </w:p>
    <w:p w:rsidR="00E23B86" w:rsidRDefault="00BA7C13">
      <w:pPr>
        <w:spacing w:after="245" w:line="248" w:lineRule="auto"/>
        <w:ind w:left="363" w:right="552" w:firstLine="708"/>
        <w:jc w:val="both"/>
      </w:pPr>
      <w:r>
        <w:rPr>
          <w:rFonts w:ascii="Arial" w:eastAsia="Arial" w:hAnsi="Arial" w:cs="Arial"/>
        </w:rPr>
        <w:t>Las transferencias de empresas se elevaron a 134.899,71 Euros (132.506,36 Euros en 2018), destacando 84.899,71 Euros de las empresas que gestionan la recogida selectiva y de Ideco, para las fiestas de la virgen, por importe de 50.000,00 Euros.</w:t>
      </w:r>
    </w:p>
    <w:p w:rsidR="00E23B86" w:rsidRDefault="00BA7C13">
      <w:pPr>
        <w:numPr>
          <w:ilvl w:val="0"/>
          <w:numId w:val="11"/>
        </w:numPr>
        <w:spacing w:after="242" w:line="249" w:lineRule="auto"/>
        <w:ind w:right="554" w:hanging="306"/>
        <w:jc w:val="both"/>
      </w:pPr>
      <w:r>
        <w:rPr>
          <w:rFonts w:ascii="Arial" w:eastAsia="Arial" w:hAnsi="Arial" w:cs="Arial"/>
          <w:b/>
        </w:rPr>
        <w:t>INGRESOS PAT</w:t>
      </w:r>
      <w:r>
        <w:rPr>
          <w:rFonts w:ascii="Arial" w:eastAsia="Arial" w:hAnsi="Arial" w:cs="Arial"/>
          <w:b/>
        </w:rPr>
        <w:t>RIMONIALES</w:t>
      </w:r>
    </w:p>
    <w:p w:rsidR="00E23B86" w:rsidRDefault="00BA7C13">
      <w:pPr>
        <w:spacing w:after="10" w:line="248" w:lineRule="auto"/>
        <w:ind w:left="363" w:right="552" w:firstLine="708"/>
        <w:jc w:val="both"/>
      </w:pPr>
      <w:r>
        <w:rPr>
          <w:noProof/>
        </w:rPr>
        <mc:AlternateContent>
          <mc:Choice Requires="wpg">
            <w:drawing>
              <wp:anchor distT="0" distB="0" distL="114300" distR="114300" simplePos="0" relativeHeight="2516838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8491" name="Group 52849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7244" name="Rectangle 724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7245" name="Rectangle 7245"/>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8491" style="width:12.7031pt;height:280.35pt;position:absolute;mso-position-horizontal-relative:page;mso-position-horizontal:absolute;margin-left:681.958pt;mso-position-vertical-relative:page;margin-top:531.65pt;" coordsize="1613,35604">
                <v:rect id="Rectangle 724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7245"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391 </w:t>
                        </w:r>
                      </w:p>
                    </w:txbxContent>
                  </v:textbox>
                </v:rect>
                <w10:wrap type="square"/>
              </v:group>
            </w:pict>
          </mc:Fallback>
        </mc:AlternateContent>
      </w:r>
      <w:r>
        <w:rPr>
          <w:rFonts w:ascii="Arial" w:eastAsia="Arial" w:hAnsi="Arial" w:cs="Arial"/>
        </w:rPr>
        <w:t>Los ingresos Patrimoniales han experimentado un aumento del 251 %, de lo que un 66 %, procede del canon de la concesión del Kiosco de la playa.</w:t>
      </w:r>
    </w:p>
    <w:tbl>
      <w:tblPr>
        <w:tblStyle w:val="TableGrid"/>
        <w:tblW w:w="6845" w:type="dxa"/>
        <w:tblInd w:w="386" w:type="dxa"/>
        <w:tblCellMar>
          <w:top w:w="11" w:type="dxa"/>
          <w:left w:w="11" w:type="dxa"/>
          <w:bottom w:w="0" w:type="dxa"/>
          <w:right w:w="10" w:type="dxa"/>
        </w:tblCellMar>
        <w:tblLook w:val="04A0" w:firstRow="1" w:lastRow="0" w:firstColumn="1" w:lastColumn="0" w:noHBand="0" w:noVBand="1"/>
      </w:tblPr>
      <w:tblGrid>
        <w:gridCol w:w="909"/>
        <w:gridCol w:w="1217"/>
        <w:gridCol w:w="572"/>
        <w:gridCol w:w="1110"/>
        <w:gridCol w:w="574"/>
        <w:gridCol w:w="1573"/>
        <w:gridCol w:w="890"/>
      </w:tblGrid>
      <w:tr w:rsidR="00E23B86">
        <w:trPr>
          <w:trHeight w:val="1021"/>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AÑO</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PRESUPU ESTO</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INGRESO</w:t>
            </w:r>
          </w:p>
          <w:p w:rsidR="00E23B86" w:rsidRDefault="00BA7C13">
            <w:pPr>
              <w:spacing w:after="0"/>
            </w:pPr>
            <w:r>
              <w:rPr>
                <w:rFonts w:ascii="Arial" w:eastAsia="Arial" w:hAnsi="Arial" w:cs="Arial"/>
              </w:rPr>
              <w:t>S</w:t>
            </w:r>
          </w:p>
          <w:p w:rsidR="00E23B86" w:rsidRDefault="00BA7C13">
            <w:pPr>
              <w:spacing w:after="0"/>
              <w:jc w:val="both"/>
            </w:pPr>
            <w:r>
              <w:rPr>
                <w:rFonts w:ascii="Arial" w:eastAsia="Arial" w:hAnsi="Arial" w:cs="Arial"/>
              </w:rPr>
              <w:t>LIQUIDAD</w:t>
            </w:r>
          </w:p>
          <w:p w:rsidR="00E23B86" w:rsidRDefault="00BA7C13">
            <w:pPr>
              <w:spacing w:after="0"/>
            </w:pPr>
            <w:r>
              <w:rPr>
                <w:rFonts w:ascii="Arial" w:eastAsia="Arial" w:hAnsi="Arial" w:cs="Arial"/>
              </w:rPr>
              <w:t>OS</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RECAUDACIÓ N LÍQUIDA</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r>
      <w:tr w:rsidR="00E23B86">
        <w:trPr>
          <w:trHeight w:val="262"/>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2019</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7.955,00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29.961,13</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251</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29.961,13</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251</w:t>
            </w:r>
          </w:p>
        </w:tc>
      </w:tr>
      <w:tr w:rsidR="00E23B86">
        <w:trPr>
          <w:trHeight w:val="264"/>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2018</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7.955,00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-75</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8.534,50</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-52</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8.534,50</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-52</w:t>
            </w:r>
          </w:p>
        </w:tc>
      </w:tr>
      <w:tr w:rsidR="00E23B86">
        <w:trPr>
          <w:trHeight w:val="262"/>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2017</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31.500,00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0,00</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17.643,89</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51,50</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17.643,89</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51,5</w:t>
            </w:r>
          </w:p>
        </w:tc>
      </w:tr>
      <w:tr w:rsidR="00E23B86">
        <w:trPr>
          <w:trHeight w:val="264"/>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2016</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31.500,00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-70,6</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11.642,60</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-75</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11.642,60</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-75</w:t>
            </w:r>
          </w:p>
        </w:tc>
      </w:tr>
      <w:tr w:rsidR="00E23B86">
        <w:trPr>
          <w:trHeight w:val="262"/>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2015</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107.000,00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137,2</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46.531,52</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-60</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46.531,52</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-60</w:t>
            </w:r>
          </w:p>
        </w:tc>
      </w:tr>
      <w:tr w:rsidR="00E23B86">
        <w:trPr>
          <w:trHeight w:val="516"/>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2014</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45.100,00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117.015,7</w:t>
            </w:r>
          </w:p>
          <w:p w:rsidR="00E23B86" w:rsidRDefault="00BA7C13">
            <w:pPr>
              <w:spacing w:after="0"/>
            </w:pPr>
            <w:r>
              <w:rPr>
                <w:rFonts w:ascii="Arial" w:eastAsia="Arial" w:hAnsi="Arial" w:cs="Arial"/>
              </w:rPr>
              <w:t>1</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41,9</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117.015,71</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41,9</w:t>
            </w:r>
          </w:p>
        </w:tc>
      </w:tr>
      <w:tr w:rsidR="00E23B86">
        <w:trPr>
          <w:trHeight w:val="264"/>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2013</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45.100,00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82.427,14</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40</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82.427,14</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40</w:t>
            </w:r>
          </w:p>
        </w:tc>
      </w:tr>
      <w:tr w:rsidR="00E23B86">
        <w:trPr>
          <w:trHeight w:val="262"/>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2012</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45.100,00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-73</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58.709,87</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47,5</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58.709,87</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47,5</w:t>
            </w:r>
          </w:p>
        </w:tc>
      </w:tr>
      <w:tr w:rsidR="00E23B86">
        <w:trPr>
          <w:trHeight w:val="264"/>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2011</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168.400,00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39.814,88</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-35</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39.814,88</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-35</w:t>
            </w:r>
          </w:p>
        </w:tc>
      </w:tr>
      <w:tr w:rsidR="00E23B86">
        <w:trPr>
          <w:trHeight w:val="263"/>
        </w:trPr>
        <w:tc>
          <w:tcPr>
            <w:tcW w:w="910"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2010</w:t>
            </w:r>
          </w:p>
        </w:tc>
        <w:tc>
          <w:tcPr>
            <w:tcW w:w="12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168.400,00</w:t>
            </w:r>
          </w:p>
        </w:tc>
        <w:tc>
          <w:tcPr>
            <w:tcW w:w="57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- 11</w:t>
            </w:r>
          </w:p>
        </w:tc>
        <w:tc>
          <w:tcPr>
            <w:tcW w:w="1110"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61.455,25</w:t>
            </w:r>
          </w:p>
        </w:tc>
        <w:tc>
          <w:tcPr>
            <w:tcW w:w="57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-60</w:t>
            </w:r>
          </w:p>
        </w:tc>
        <w:tc>
          <w:tcPr>
            <w:tcW w:w="157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61.455,25</w:t>
            </w:r>
          </w:p>
        </w:tc>
        <w:tc>
          <w:tcPr>
            <w:tcW w:w="8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-60</w:t>
            </w:r>
          </w:p>
        </w:tc>
      </w:tr>
    </w:tbl>
    <w:p w:rsidR="00E23B86" w:rsidRDefault="00BA7C13">
      <w:pPr>
        <w:numPr>
          <w:ilvl w:val="0"/>
          <w:numId w:val="11"/>
        </w:numPr>
        <w:spacing w:after="242" w:line="249" w:lineRule="auto"/>
        <w:ind w:right="554" w:hanging="306"/>
        <w:jc w:val="both"/>
      </w:pPr>
      <w:r>
        <w:rPr>
          <w:rFonts w:ascii="Arial" w:eastAsia="Arial" w:hAnsi="Arial" w:cs="Arial"/>
          <w:b/>
        </w:rPr>
        <w:t>TRANSFERENCIAS DE CAPITAL</w:t>
      </w:r>
    </w:p>
    <w:p w:rsidR="00E23B86" w:rsidRDefault="00BA7C13">
      <w:pPr>
        <w:spacing w:after="245" w:line="248" w:lineRule="auto"/>
        <w:ind w:left="363" w:right="552" w:firstLine="708"/>
        <w:jc w:val="both"/>
      </w:pPr>
      <w:r>
        <w:rPr>
          <w:rFonts w:ascii="Arial" w:eastAsia="Arial" w:hAnsi="Arial" w:cs="Arial"/>
        </w:rPr>
        <w:t xml:space="preserve">En las Transferencias de capital, se ha generado un incremento del 387 %, procedente, principalmente, del Fondo Canario de Financiación Municipal, destacando una subvención del cabildo insular para el Ari Antón guanche. </w:t>
      </w:r>
    </w:p>
    <w:p w:rsidR="00E23B86" w:rsidRDefault="00BA7C13">
      <w:pPr>
        <w:numPr>
          <w:ilvl w:val="0"/>
          <w:numId w:val="11"/>
        </w:numPr>
        <w:spacing w:after="242" w:line="249" w:lineRule="auto"/>
        <w:ind w:right="554" w:hanging="306"/>
        <w:jc w:val="both"/>
      </w:pPr>
      <w:r>
        <w:rPr>
          <w:rFonts w:ascii="Arial" w:eastAsia="Arial" w:hAnsi="Arial" w:cs="Arial"/>
          <w:b/>
        </w:rPr>
        <w:t>ACTIVOS FINANCIEROS</w:t>
      </w:r>
    </w:p>
    <w:p w:rsidR="00E23B86" w:rsidRDefault="00BA7C13">
      <w:pPr>
        <w:spacing w:after="243" w:line="248" w:lineRule="auto"/>
        <w:ind w:left="1070" w:right="552" w:hanging="10"/>
        <w:jc w:val="both"/>
      </w:pPr>
      <w:r>
        <w:rPr>
          <w:rFonts w:ascii="Arial" w:eastAsia="Arial" w:hAnsi="Arial" w:cs="Arial"/>
        </w:rPr>
        <w:t xml:space="preserve">En los activos </w:t>
      </w:r>
      <w:r>
        <w:rPr>
          <w:rFonts w:ascii="Arial" w:eastAsia="Arial" w:hAnsi="Arial" w:cs="Arial"/>
        </w:rPr>
        <w:t>financieros no se ha realizado ingreso alguno.</w:t>
      </w:r>
    </w:p>
    <w:p w:rsidR="00E23B86" w:rsidRDefault="00BA7C13">
      <w:pPr>
        <w:numPr>
          <w:ilvl w:val="0"/>
          <w:numId w:val="11"/>
        </w:numPr>
        <w:spacing w:after="242" w:line="249" w:lineRule="auto"/>
        <w:ind w:right="554" w:hanging="306"/>
        <w:jc w:val="both"/>
      </w:pPr>
      <w:r>
        <w:rPr>
          <w:rFonts w:ascii="Arial" w:eastAsia="Arial" w:hAnsi="Arial" w:cs="Arial"/>
          <w:b/>
        </w:rPr>
        <w:t>PASIVOS FINANCIEROS</w:t>
      </w:r>
    </w:p>
    <w:p w:rsidR="00E23B86" w:rsidRDefault="00BA7C13">
      <w:pPr>
        <w:spacing w:after="10" w:line="248" w:lineRule="auto"/>
        <w:ind w:left="1070" w:right="552" w:hanging="10"/>
        <w:jc w:val="both"/>
      </w:pPr>
      <w:r>
        <w:rPr>
          <w:rFonts w:ascii="Arial" w:eastAsia="Arial" w:hAnsi="Arial" w:cs="Arial"/>
        </w:rPr>
        <w:t>En el presente año no se ha formalizado ningún préstamo.</w:t>
      </w:r>
    </w:p>
    <w:p w:rsidR="00E23B86" w:rsidRDefault="00BA7C13">
      <w:pPr>
        <w:spacing w:after="0"/>
        <w:ind w:left="1060"/>
      </w:pPr>
      <w:r>
        <w:rPr>
          <w:rFonts w:ascii="Arial" w:eastAsia="Arial" w:hAnsi="Arial" w:cs="Arial"/>
        </w:rPr>
        <w:t xml:space="preserve"> </w:t>
      </w:r>
    </w:p>
    <w:p w:rsidR="00E23B86" w:rsidRDefault="00BA7C13">
      <w:pPr>
        <w:spacing w:after="246" w:line="248" w:lineRule="auto"/>
        <w:ind w:left="363" w:right="552" w:firstLine="708"/>
        <w:jc w:val="both"/>
      </w:pPr>
      <w:r>
        <w:rPr>
          <w:rFonts w:ascii="Arial" w:eastAsia="Arial" w:hAnsi="Arial" w:cs="Arial"/>
        </w:rPr>
        <w:t>En cuanto al nivel de ejecución del Presupuesto, llega al 83 % (frente al año anterior que fue del 97 %), aunque el nivel de ejecu</w:t>
      </w:r>
      <w:r>
        <w:rPr>
          <w:rFonts w:ascii="Arial" w:eastAsia="Arial" w:hAnsi="Arial" w:cs="Arial"/>
        </w:rPr>
        <w:t xml:space="preserve">ción, podría haber sido mucho mayor, de 93 %, si no fuera por la incorporación en el ejercicio 2018 de expedientes de incorporación de remanentes de créditos afectados y generales, que no generan derechos reconocidos, pero sí obligaciones reconocidas, por </w:t>
      </w:r>
      <w:r>
        <w:rPr>
          <w:rFonts w:ascii="Arial" w:eastAsia="Arial" w:hAnsi="Arial" w:cs="Arial"/>
        </w:rPr>
        <w:t>un importe aproximado de casi tres millones cuatrocientos mil.</w:t>
      </w:r>
    </w:p>
    <w:p w:rsidR="00E23B86" w:rsidRDefault="00BA7C13">
      <w:pPr>
        <w:spacing w:after="10" w:line="248" w:lineRule="auto"/>
        <w:ind w:left="363" w:right="552" w:firstLine="708"/>
        <w:jc w:val="both"/>
      </w:pPr>
      <w:r>
        <w:rPr>
          <w:noProof/>
        </w:rPr>
        <mc:AlternateContent>
          <mc:Choice Requires="wpg">
            <w:drawing>
              <wp:anchor distT="0" distB="0" distL="114300" distR="114300" simplePos="0" relativeHeight="2516848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6798" name="Group 57679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7755" name="Rectangle 775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7756" name="Rectangle 7756"/>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6798" style="width:12.7031pt;height:280.35pt;position:absolute;mso-position-horizontal-relative:page;mso-position-horizontal:absolute;margin-left:681.958pt;mso-position-vertical-relative:page;margin-top:531.65pt;" coordsize="1613,35604">
                <v:rect id="Rectangle 775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7756"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391 </w:t>
                        </w:r>
                      </w:p>
                    </w:txbxContent>
                  </v:textbox>
                </v:rect>
                <w10:wrap type="square"/>
              </v:group>
            </w:pict>
          </mc:Fallback>
        </mc:AlternateContent>
      </w:r>
      <w:r>
        <w:rPr>
          <w:rFonts w:ascii="Arial" w:eastAsia="Arial" w:hAnsi="Arial" w:cs="Arial"/>
        </w:rPr>
        <w:t>En cuanto al nivel de cobranza, llega al 96,70 %, frente al 95,08 % del año anterior.</w:t>
      </w:r>
    </w:p>
    <w:tbl>
      <w:tblPr>
        <w:tblStyle w:val="TableGrid"/>
        <w:tblW w:w="9450" w:type="dxa"/>
        <w:tblInd w:w="411" w:type="dxa"/>
        <w:tblCellMar>
          <w:top w:w="10" w:type="dxa"/>
          <w:left w:w="11" w:type="dxa"/>
          <w:bottom w:w="0" w:type="dxa"/>
          <w:right w:w="28" w:type="dxa"/>
        </w:tblCellMar>
        <w:tblLook w:val="04A0" w:firstRow="1" w:lastRow="0" w:firstColumn="1" w:lastColumn="0" w:noHBand="0" w:noVBand="1"/>
      </w:tblPr>
      <w:tblGrid>
        <w:gridCol w:w="2994"/>
        <w:gridCol w:w="1498"/>
        <w:gridCol w:w="1498"/>
        <w:gridCol w:w="1684"/>
        <w:gridCol w:w="1776"/>
      </w:tblGrid>
      <w:tr w:rsidR="00E23B86">
        <w:trPr>
          <w:trHeight w:val="768"/>
        </w:trPr>
        <w:tc>
          <w:tcPr>
            <w:tcW w:w="2994" w:type="dxa"/>
            <w:tcBorders>
              <w:top w:val="single" w:sz="4" w:space="0" w:color="000001"/>
              <w:left w:val="single" w:sz="5" w:space="0" w:color="000001"/>
              <w:bottom w:val="single" w:sz="4" w:space="0" w:color="000001"/>
              <w:right w:val="single" w:sz="5" w:space="0" w:color="000001"/>
            </w:tcBorders>
          </w:tcPr>
          <w:p w:rsidR="00E23B86" w:rsidRDefault="00E23B86"/>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2"/>
              <w:jc w:val="center"/>
            </w:pPr>
            <w:r>
              <w:rPr>
                <w:rFonts w:ascii="Arial" w:eastAsia="Arial" w:hAnsi="Arial" w:cs="Arial"/>
                <w:b/>
              </w:rPr>
              <w:t>%</w:t>
            </w:r>
          </w:p>
          <w:p w:rsidR="00E23B86" w:rsidRDefault="00BA7C13">
            <w:pPr>
              <w:spacing w:after="0"/>
              <w:ind w:left="122"/>
            </w:pPr>
            <w:r>
              <w:rPr>
                <w:rFonts w:ascii="Arial" w:eastAsia="Arial" w:hAnsi="Arial" w:cs="Arial"/>
                <w:b/>
              </w:rPr>
              <w:t>Liquidación</w:t>
            </w:r>
          </w:p>
          <w:p w:rsidR="00E23B86" w:rsidRDefault="00BA7C13">
            <w:pPr>
              <w:spacing w:after="0"/>
              <w:ind w:left="19"/>
              <w:jc w:val="center"/>
            </w:pPr>
            <w:r>
              <w:rPr>
                <w:rFonts w:ascii="Arial" w:eastAsia="Arial" w:hAnsi="Arial" w:cs="Arial"/>
                <w:b/>
              </w:rPr>
              <w:t>2019</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22"/>
              <w:jc w:val="center"/>
            </w:pPr>
            <w:r>
              <w:rPr>
                <w:rFonts w:ascii="Arial" w:eastAsia="Arial" w:hAnsi="Arial" w:cs="Arial"/>
                <w:b/>
              </w:rPr>
              <w:t>%</w:t>
            </w:r>
          </w:p>
          <w:p w:rsidR="00E23B86" w:rsidRDefault="00BA7C13">
            <w:pPr>
              <w:spacing w:after="0"/>
              <w:ind w:left="122"/>
            </w:pPr>
            <w:r>
              <w:rPr>
                <w:rFonts w:ascii="Arial" w:eastAsia="Arial" w:hAnsi="Arial" w:cs="Arial"/>
                <w:b/>
              </w:rPr>
              <w:t>Liquidación</w:t>
            </w:r>
          </w:p>
          <w:p w:rsidR="00E23B86" w:rsidRDefault="00BA7C13">
            <w:pPr>
              <w:spacing w:after="0"/>
              <w:ind w:left="19"/>
              <w:jc w:val="center"/>
            </w:pPr>
            <w:r>
              <w:rPr>
                <w:rFonts w:ascii="Arial" w:eastAsia="Arial" w:hAnsi="Arial" w:cs="Arial"/>
                <w:b/>
              </w:rPr>
              <w:t>2018</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b/>
              </w:rPr>
              <w:t>% Recaudación 2019</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b/>
              </w:rPr>
              <w:t>% Recaudación 2018</w:t>
            </w:r>
          </w:p>
        </w:tc>
      </w:tr>
      <w:tr w:rsidR="00E23B86">
        <w:trPr>
          <w:trHeight w:val="262"/>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1.-Impuestos Directos</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rPr>
              <w:t>100,7</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20"/>
              <w:jc w:val="center"/>
            </w:pPr>
            <w:r>
              <w:rPr>
                <w:rFonts w:ascii="Arial" w:eastAsia="Arial" w:hAnsi="Arial" w:cs="Arial"/>
              </w:rPr>
              <w:t>101,5</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rPr>
              <w:t>95</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21"/>
              <w:jc w:val="center"/>
            </w:pPr>
            <w:r>
              <w:rPr>
                <w:rFonts w:ascii="Arial" w:eastAsia="Arial" w:hAnsi="Arial" w:cs="Arial"/>
              </w:rPr>
              <w:t>92,2</w:t>
            </w:r>
          </w:p>
        </w:tc>
      </w:tr>
      <w:tr w:rsidR="00E23B86">
        <w:trPr>
          <w:trHeight w:val="264"/>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2.-Impuestos Indirectos</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rPr>
              <w:t>102,6</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20"/>
              <w:jc w:val="center"/>
            </w:pPr>
            <w:r>
              <w:rPr>
                <w:rFonts w:ascii="Arial" w:eastAsia="Arial" w:hAnsi="Arial" w:cs="Arial"/>
              </w:rPr>
              <w:t>110,5</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rPr>
              <w:t>99,8</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21"/>
              <w:jc w:val="center"/>
            </w:pPr>
            <w:r>
              <w:rPr>
                <w:rFonts w:ascii="Arial" w:eastAsia="Arial" w:hAnsi="Arial" w:cs="Arial"/>
              </w:rPr>
              <w:t>99,8</w:t>
            </w:r>
          </w:p>
        </w:tc>
      </w:tr>
      <w:tr w:rsidR="00E23B86">
        <w:trPr>
          <w:trHeight w:val="262"/>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3.- Tasas y Otros Ingresos</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rPr>
              <w:t>107,7</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22"/>
              <w:jc w:val="center"/>
            </w:pPr>
            <w:r>
              <w:rPr>
                <w:rFonts w:ascii="Arial" w:eastAsia="Arial" w:hAnsi="Arial" w:cs="Arial"/>
              </w:rPr>
              <w:t>95,1</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rPr>
              <w:t>90</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21"/>
              <w:jc w:val="center"/>
            </w:pPr>
            <w:r>
              <w:rPr>
                <w:rFonts w:ascii="Arial" w:eastAsia="Arial" w:hAnsi="Arial" w:cs="Arial"/>
              </w:rPr>
              <w:t>89,9</w:t>
            </w:r>
          </w:p>
        </w:tc>
      </w:tr>
      <w:tr w:rsidR="00E23B86">
        <w:trPr>
          <w:trHeight w:val="516"/>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4.-Transferencias</w:t>
            </w:r>
          </w:p>
          <w:p w:rsidR="00E23B86" w:rsidRDefault="00BA7C13">
            <w:pPr>
              <w:spacing w:after="0"/>
            </w:pPr>
            <w:r>
              <w:rPr>
                <w:rFonts w:ascii="Arial" w:eastAsia="Arial" w:hAnsi="Arial" w:cs="Arial"/>
                <w:b/>
              </w:rPr>
              <w:t>Corrientes</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rPr>
              <w:t>110,5</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22"/>
              <w:jc w:val="center"/>
            </w:pPr>
            <w:r>
              <w:rPr>
                <w:rFonts w:ascii="Arial" w:eastAsia="Arial" w:hAnsi="Arial" w:cs="Arial"/>
              </w:rPr>
              <w:t>86,4</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2"/>
              <w:jc w:val="center"/>
            </w:pPr>
            <w:r>
              <w:rPr>
                <w:rFonts w:ascii="Arial" w:eastAsia="Arial" w:hAnsi="Arial" w:cs="Arial"/>
              </w:rPr>
              <w:t>100</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9"/>
              <w:jc w:val="center"/>
            </w:pPr>
            <w:r>
              <w:rPr>
                <w:rFonts w:ascii="Arial" w:eastAsia="Arial" w:hAnsi="Arial" w:cs="Arial"/>
              </w:rPr>
              <w:t>100</w:t>
            </w:r>
          </w:p>
        </w:tc>
      </w:tr>
      <w:tr w:rsidR="00E23B86">
        <w:trPr>
          <w:trHeight w:val="264"/>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5.- Ingresos Patrimoniales</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rPr>
              <w:t>376,4</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20"/>
              <w:jc w:val="center"/>
            </w:pPr>
            <w:r>
              <w:rPr>
                <w:rFonts w:ascii="Arial" w:eastAsia="Arial" w:hAnsi="Arial" w:cs="Arial"/>
              </w:rPr>
              <w:t>107,2</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2"/>
              <w:jc w:val="center"/>
            </w:pPr>
            <w:r>
              <w:rPr>
                <w:rFonts w:ascii="Arial" w:eastAsia="Arial" w:hAnsi="Arial" w:cs="Arial"/>
              </w:rPr>
              <w:t>100</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9"/>
              <w:jc w:val="center"/>
            </w:pPr>
            <w:r>
              <w:rPr>
                <w:rFonts w:ascii="Arial" w:eastAsia="Arial" w:hAnsi="Arial" w:cs="Arial"/>
              </w:rPr>
              <w:t>100</w:t>
            </w:r>
          </w:p>
        </w:tc>
      </w:tr>
      <w:tr w:rsidR="00E23B86">
        <w:trPr>
          <w:trHeight w:val="262"/>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6.-Enajenación Inv. Reales</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44"/>
              <w:jc w:val="center"/>
            </w:pPr>
            <w:r>
              <w:rPr>
                <w:rFonts w:ascii="Arial" w:eastAsia="Arial" w:hAnsi="Arial" w:cs="Arial"/>
              </w:rPr>
              <w:t xml:space="preserve">------ </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44"/>
              <w:jc w:val="center"/>
            </w:pPr>
            <w:r>
              <w:rPr>
                <w:rFonts w:ascii="Arial" w:eastAsia="Arial" w:hAnsi="Arial" w:cs="Arial"/>
              </w:rPr>
              <w:t xml:space="preserve">------ </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42"/>
              <w:jc w:val="center"/>
            </w:pPr>
            <w:r>
              <w:rPr>
                <w:rFonts w:ascii="Arial" w:eastAsia="Arial" w:hAnsi="Arial" w:cs="Arial"/>
              </w:rPr>
              <w:t xml:space="preserve">------ </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40"/>
              <w:jc w:val="center"/>
            </w:pPr>
            <w:r>
              <w:rPr>
                <w:rFonts w:ascii="Arial" w:eastAsia="Arial" w:hAnsi="Arial" w:cs="Arial"/>
              </w:rPr>
              <w:t xml:space="preserve">------ </w:t>
            </w:r>
          </w:p>
        </w:tc>
      </w:tr>
      <w:tr w:rsidR="00E23B86">
        <w:trPr>
          <w:trHeight w:val="264"/>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b/>
              </w:rPr>
              <w:t>7.-Transferencias de Capital</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rPr>
              <w:t>250,3</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22"/>
              <w:jc w:val="center"/>
            </w:pPr>
            <w:r>
              <w:rPr>
                <w:rFonts w:ascii="Arial" w:eastAsia="Arial" w:hAnsi="Arial" w:cs="Arial"/>
              </w:rPr>
              <w:t>32,8</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2"/>
              <w:jc w:val="center"/>
            </w:pPr>
            <w:r>
              <w:rPr>
                <w:rFonts w:ascii="Arial" w:eastAsia="Arial" w:hAnsi="Arial" w:cs="Arial"/>
              </w:rPr>
              <w:t>100</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9"/>
              <w:jc w:val="center"/>
            </w:pPr>
            <w:r>
              <w:rPr>
                <w:rFonts w:ascii="Arial" w:eastAsia="Arial" w:hAnsi="Arial" w:cs="Arial"/>
              </w:rPr>
              <w:t>100</w:t>
            </w:r>
          </w:p>
        </w:tc>
      </w:tr>
      <w:tr w:rsidR="00E23B86">
        <w:trPr>
          <w:trHeight w:val="262"/>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8.-Activos Financieros</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1"/>
              <w:jc w:val="center"/>
            </w:pPr>
            <w:r>
              <w:rPr>
                <w:rFonts w:ascii="Arial" w:eastAsia="Arial" w:hAnsi="Arial" w:cs="Arial"/>
              </w:rPr>
              <w:t>--</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21"/>
              <w:jc w:val="center"/>
            </w:pPr>
            <w:r>
              <w:rPr>
                <w:rFonts w:ascii="Arial" w:eastAsia="Arial" w:hAnsi="Arial" w:cs="Arial"/>
              </w:rPr>
              <w:t>--</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3"/>
              <w:jc w:val="center"/>
            </w:pPr>
            <w:r>
              <w:rPr>
                <w:rFonts w:ascii="Arial" w:eastAsia="Arial" w:hAnsi="Arial" w:cs="Arial"/>
              </w:rPr>
              <w:t>--</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8"/>
              <w:jc w:val="center"/>
            </w:pPr>
            <w:r>
              <w:rPr>
                <w:rFonts w:ascii="Arial" w:eastAsia="Arial" w:hAnsi="Arial" w:cs="Arial"/>
              </w:rPr>
              <w:t>--</w:t>
            </w:r>
          </w:p>
        </w:tc>
      </w:tr>
      <w:tr w:rsidR="00E23B86">
        <w:trPr>
          <w:trHeight w:val="264"/>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9.-Pasivos Financieros</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1"/>
              <w:jc w:val="center"/>
            </w:pPr>
            <w:r>
              <w:rPr>
                <w:rFonts w:ascii="Arial" w:eastAsia="Arial" w:hAnsi="Arial" w:cs="Arial"/>
              </w:rPr>
              <w:t>--</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8"/>
              <w:jc w:val="center"/>
            </w:pPr>
            <w:r>
              <w:rPr>
                <w:rFonts w:ascii="Arial" w:eastAsia="Arial" w:hAnsi="Arial" w:cs="Arial"/>
              </w:rPr>
              <w:t>100,00</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3"/>
              <w:jc w:val="center"/>
            </w:pPr>
            <w:r>
              <w:rPr>
                <w:rFonts w:ascii="Arial" w:eastAsia="Arial" w:hAnsi="Arial" w:cs="Arial"/>
              </w:rPr>
              <w:t>--</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21"/>
              <w:jc w:val="center"/>
            </w:pPr>
            <w:r>
              <w:rPr>
                <w:rFonts w:ascii="Arial" w:eastAsia="Arial" w:hAnsi="Arial" w:cs="Arial"/>
              </w:rPr>
              <w:t>100,00</w:t>
            </w:r>
          </w:p>
        </w:tc>
      </w:tr>
      <w:tr w:rsidR="00E23B86">
        <w:trPr>
          <w:trHeight w:val="281"/>
        </w:trPr>
        <w:tc>
          <w:tcPr>
            <w:tcW w:w="2994" w:type="dxa"/>
            <w:tcBorders>
              <w:top w:val="single" w:sz="4" w:space="0" w:color="000001"/>
              <w:left w:val="single" w:sz="5" w:space="0" w:color="000001"/>
              <w:bottom w:val="single" w:sz="4" w:space="0" w:color="000001"/>
              <w:right w:val="single" w:sz="5" w:space="0" w:color="000001"/>
            </w:tcBorders>
          </w:tcPr>
          <w:p w:rsidR="00E23B86" w:rsidRDefault="00BA7C13">
            <w:pPr>
              <w:tabs>
                <w:tab w:val="center" w:pos="796"/>
              </w:tabs>
              <w:spacing w:after="0"/>
            </w:pPr>
            <w:r>
              <w:rPr>
                <w:rFonts w:ascii="Segoe UI Symbol" w:eastAsia="Segoe UI Symbol" w:hAnsi="Segoe UI Symbol" w:cs="Segoe UI Symbol"/>
              </w:rPr>
              <w:t></w:t>
            </w:r>
            <w:r>
              <w:rPr>
                <w:rFonts w:ascii="Segoe UI Symbol" w:eastAsia="Segoe UI Symbol" w:hAnsi="Segoe UI Symbol" w:cs="Segoe UI Symbol"/>
              </w:rPr>
              <w:tab/>
            </w:r>
            <w:r>
              <w:rPr>
                <w:rFonts w:ascii="Arial" w:eastAsia="Arial" w:hAnsi="Arial" w:cs="Arial"/>
                <w:b/>
              </w:rPr>
              <w:t>TOTAL</w:t>
            </w:r>
          </w:p>
        </w:tc>
        <w:tc>
          <w:tcPr>
            <w:tcW w:w="149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0"/>
              <w:jc w:val="center"/>
            </w:pPr>
            <w:r>
              <w:rPr>
                <w:rFonts w:ascii="Arial" w:eastAsia="Arial" w:hAnsi="Arial" w:cs="Arial"/>
                <w:b/>
              </w:rPr>
              <w:t>97,15</w:t>
            </w:r>
          </w:p>
        </w:tc>
        <w:tc>
          <w:tcPr>
            <w:tcW w:w="149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8"/>
              <w:jc w:val="center"/>
            </w:pPr>
            <w:r>
              <w:rPr>
                <w:rFonts w:ascii="Arial" w:eastAsia="Arial" w:hAnsi="Arial" w:cs="Arial"/>
                <w:b/>
              </w:rPr>
              <w:t>83</w:t>
            </w:r>
          </w:p>
        </w:tc>
        <w:tc>
          <w:tcPr>
            <w:tcW w:w="1684"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22"/>
              <w:jc w:val="center"/>
            </w:pPr>
            <w:r>
              <w:rPr>
                <w:rFonts w:ascii="Arial" w:eastAsia="Arial" w:hAnsi="Arial" w:cs="Arial"/>
                <w:b/>
              </w:rPr>
              <w:t>95,08</w:t>
            </w:r>
          </w:p>
        </w:tc>
        <w:tc>
          <w:tcPr>
            <w:tcW w:w="17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21"/>
              <w:jc w:val="center"/>
            </w:pPr>
            <w:r>
              <w:rPr>
                <w:rFonts w:ascii="Arial" w:eastAsia="Arial" w:hAnsi="Arial" w:cs="Arial"/>
                <w:b/>
              </w:rPr>
              <w:t>96,7</w:t>
            </w:r>
          </w:p>
        </w:tc>
      </w:tr>
    </w:tbl>
    <w:p w:rsidR="00E23B86" w:rsidRDefault="00BA7C13">
      <w:pPr>
        <w:spacing w:after="10" w:line="248" w:lineRule="auto"/>
        <w:ind w:left="363" w:right="552" w:firstLine="708"/>
        <w:jc w:val="both"/>
      </w:pPr>
      <w:r>
        <w:rPr>
          <w:rFonts w:ascii="Arial" w:eastAsia="Arial" w:hAnsi="Arial" w:cs="Arial"/>
        </w:rPr>
        <w:t>En ejercicios Cerrados, se han realizado cobros por importe de 556.026,68 Euros, frente a los cobros por importe de 581.717,87 Euros, obtenidos en el ejercicio anterior, siendo los ingresos obtenidos procedentes del año 2018, el 55,35 % del total:</w:t>
      </w:r>
    </w:p>
    <w:tbl>
      <w:tblPr>
        <w:tblStyle w:val="TableGrid"/>
        <w:tblW w:w="8939" w:type="dxa"/>
        <w:tblInd w:w="321" w:type="dxa"/>
        <w:tblCellMar>
          <w:top w:w="10" w:type="dxa"/>
          <w:left w:w="371" w:type="dxa"/>
          <w:bottom w:w="0" w:type="dxa"/>
          <w:right w:w="67" w:type="dxa"/>
        </w:tblCellMar>
        <w:tblLook w:val="04A0" w:firstRow="1" w:lastRow="0" w:firstColumn="1" w:lastColumn="0" w:noHBand="0" w:noVBand="1"/>
      </w:tblPr>
      <w:tblGrid>
        <w:gridCol w:w="2712"/>
        <w:gridCol w:w="2235"/>
        <w:gridCol w:w="3992"/>
      </w:tblGrid>
      <w:tr w:rsidR="00E23B86">
        <w:trPr>
          <w:trHeight w:val="280"/>
        </w:trPr>
        <w:tc>
          <w:tcPr>
            <w:tcW w:w="27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b/>
              </w:rPr>
              <w:t>CAPÍTULO</w:t>
            </w:r>
            <w:r>
              <w:rPr>
                <w:rFonts w:ascii="Arial" w:eastAsia="Arial" w:hAnsi="Arial" w:cs="Arial"/>
                <w:b/>
              </w:rPr>
              <w:t>S</w:t>
            </w:r>
          </w:p>
        </w:tc>
        <w:tc>
          <w:tcPr>
            <w:tcW w:w="2235"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COBROS</w:t>
            </w:r>
          </w:p>
        </w:tc>
        <w:tc>
          <w:tcPr>
            <w:tcW w:w="399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DERECHOS PTES DE COBRO</w:t>
            </w:r>
          </w:p>
        </w:tc>
      </w:tr>
      <w:tr w:rsidR="00E23B86">
        <w:trPr>
          <w:trHeight w:val="262"/>
        </w:trPr>
        <w:tc>
          <w:tcPr>
            <w:tcW w:w="27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391"/>
              <w:jc w:val="center"/>
            </w:pPr>
            <w:r>
              <w:rPr>
                <w:rFonts w:ascii="Arial" w:eastAsia="Arial" w:hAnsi="Arial" w:cs="Arial"/>
              </w:rPr>
              <w:t>Impuestos Directos</w:t>
            </w:r>
          </w:p>
        </w:tc>
        <w:tc>
          <w:tcPr>
            <w:tcW w:w="2235"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383.607,12 €</w:t>
            </w:r>
          </w:p>
        </w:tc>
        <w:tc>
          <w:tcPr>
            <w:tcW w:w="399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3.268.981,47 €</w:t>
            </w:r>
          </w:p>
        </w:tc>
      </w:tr>
      <w:tr w:rsidR="00E23B86">
        <w:trPr>
          <w:trHeight w:val="264"/>
        </w:trPr>
        <w:tc>
          <w:tcPr>
            <w:tcW w:w="271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243"/>
              <w:jc w:val="center"/>
            </w:pPr>
            <w:r>
              <w:rPr>
                <w:rFonts w:ascii="Arial" w:eastAsia="Arial" w:hAnsi="Arial" w:cs="Arial"/>
              </w:rPr>
              <w:t>Impuestos Indirectos</w:t>
            </w:r>
          </w:p>
        </w:tc>
        <w:tc>
          <w:tcPr>
            <w:tcW w:w="2235"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4.029,47 €</w:t>
            </w:r>
          </w:p>
        </w:tc>
        <w:tc>
          <w:tcPr>
            <w:tcW w:w="399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2.270.425,81 €</w:t>
            </w:r>
          </w:p>
        </w:tc>
      </w:tr>
      <w:tr w:rsidR="00E23B86">
        <w:trPr>
          <w:trHeight w:val="263"/>
        </w:trPr>
        <w:tc>
          <w:tcPr>
            <w:tcW w:w="271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right"/>
            </w:pPr>
            <w:r>
              <w:rPr>
                <w:rFonts w:ascii="Arial" w:eastAsia="Arial" w:hAnsi="Arial" w:cs="Arial"/>
              </w:rPr>
              <w:t>Tasas y Otros Ingresos</w:t>
            </w:r>
          </w:p>
        </w:tc>
        <w:tc>
          <w:tcPr>
            <w:tcW w:w="2235"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168.390,09 €</w:t>
            </w:r>
          </w:p>
        </w:tc>
        <w:tc>
          <w:tcPr>
            <w:tcW w:w="399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2.640.719,53 €</w:t>
            </w:r>
          </w:p>
        </w:tc>
      </w:tr>
    </w:tbl>
    <w:p w:rsidR="00E23B86" w:rsidRDefault="00BA7C13">
      <w:pPr>
        <w:spacing w:after="362" w:line="249" w:lineRule="auto"/>
        <w:ind w:left="347" w:right="566" w:hanging="10"/>
        <w:jc w:val="both"/>
      </w:pPr>
      <w:r>
        <w:rPr>
          <w:rFonts w:ascii="Arial" w:eastAsia="Arial" w:hAnsi="Arial" w:cs="Arial"/>
          <w:b/>
          <w:i/>
        </w:rPr>
        <w:t>2.- LIQUIDACIÓN DEL PRESUPUESTO DE GASTOS</w:t>
      </w:r>
    </w:p>
    <w:p w:rsidR="00E23B86" w:rsidRDefault="00BA7C13">
      <w:pPr>
        <w:spacing w:after="10" w:line="248" w:lineRule="auto"/>
        <w:ind w:left="363" w:right="552" w:firstLine="708"/>
        <w:jc w:val="both"/>
      </w:pPr>
      <w:r>
        <w:rPr>
          <w:rFonts w:ascii="Arial" w:eastAsia="Arial" w:hAnsi="Arial" w:cs="Arial"/>
        </w:rPr>
        <w:t>En cuanto a la ejecución de gastos en los ejercicios 2019 y 2018, importan las siguientes cantidades:</w:t>
      </w:r>
    </w:p>
    <w:tbl>
      <w:tblPr>
        <w:tblStyle w:val="TableGrid"/>
        <w:tblW w:w="9072" w:type="dxa"/>
        <w:tblInd w:w="411" w:type="dxa"/>
        <w:tblCellMar>
          <w:top w:w="10" w:type="dxa"/>
          <w:left w:w="11" w:type="dxa"/>
          <w:bottom w:w="0" w:type="dxa"/>
          <w:right w:w="7" w:type="dxa"/>
        </w:tblCellMar>
        <w:tblLook w:val="04A0" w:firstRow="1" w:lastRow="0" w:firstColumn="1" w:lastColumn="0" w:noHBand="0" w:noVBand="1"/>
      </w:tblPr>
      <w:tblGrid>
        <w:gridCol w:w="1799"/>
        <w:gridCol w:w="1622"/>
        <w:gridCol w:w="1438"/>
        <w:gridCol w:w="1622"/>
        <w:gridCol w:w="1315"/>
        <w:gridCol w:w="1276"/>
      </w:tblGrid>
      <w:tr w:rsidR="00E23B86">
        <w:trPr>
          <w:trHeight w:val="1021"/>
        </w:trPr>
        <w:tc>
          <w:tcPr>
            <w:tcW w:w="1798" w:type="dxa"/>
            <w:tcBorders>
              <w:top w:val="single" w:sz="4" w:space="0" w:color="000001"/>
              <w:left w:val="single" w:sz="4" w:space="0" w:color="000001"/>
              <w:bottom w:val="single" w:sz="4" w:space="0" w:color="000001"/>
              <w:right w:val="single" w:sz="4" w:space="0" w:color="000001"/>
            </w:tcBorders>
          </w:tcPr>
          <w:p w:rsidR="00E23B86" w:rsidRDefault="00E23B86"/>
        </w:tc>
        <w:tc>
          <w:tcPr>
            <w:tcW w:w="162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84"/>
            </w:pPr>
            <w:r>
              <w:rPr>
                <w:rFonts w:ascii="Arial" w:eastAsia="Arial" w:hAnsi="Arial" w:cs="Arial"/>
                <w:b/>
              </w:rPr>
              <w:t>Previsiones</w:t>
            </w:r>
          </w:p>
          <w:p w:rsidR="00E23B86" w:rsidRDefault="00BA7C13">
            <w:pPr>
              <w:spacing w:after="0"/>
              <w:ind w:right="6"/>
              <w:jc w:val="center"/>
            </w:pPr>
            <w:r>
              <w:rPr>
                <w:rFonts w:ascii="Arial" w:eastAsia="Arial" w:hAnsi="Arial" w:cs="Arial"/>
                <w:b/>
              </w:rPr>
              <w:t>Definitivas</w:t>
            </w:r>
          </w:p>
          <w:p w:rsidR="00E23B86" w:rsidRDefault="00BA7C13">
            <w:pPr>
              <w:spacing w:after="0"/>
              <w:ind w:left="136"/>
            </w:pPr>
            <w:r>
              <w:rPr>
                <w:rFonts w:ascii="Arial" w:eastAsia="Arial" w:hAnsi="Arial" w:cs="Arial"/>
                <w:b/>
              </w:rPr>
              <w:t>Presupuesto</w:t>
            </w:r>
          </w:p>
          <w:p w:rsidR="00E23B86" w:rsidRDefault="00BA7C13">
            <w:pPr>
              <w:spacing w:after="0"/>
              <w:ind w:right="3"/>
              <w:jc w:val="center"/>
            </w:pPr>
            <w:r>
              <w:rPr>
                <w:rFonts w:ascii="Arial" w:eastAsia="Arial" w:hAnsi="Arial" w:cs="Arial"/>
                <w:b/>
              </w:rPr>
              <w:t>2019</w:t>
            </w:r>
          </w:p>
        </w:tc>
        <w:tc>
          <w:tcPr>
            <w:tcW w:w="143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b/>
              </w:rPr>
              <w:t>Liquidación 2019</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83"/>
            </w:pPr>
            <w:r>
              <w:rPr>
                <w:rFonts w:ascii="Arial" w:eastAsia="Arial" w:hAnsi="Arial" w:cs="Arial"/>
                <w:b/>
              </w:rPr>
              <w:t>Previsiones</w:t>
            </w:r>
          </w:p>
          <w:p w:rsidR="00E23B86" w:rsidRDefault="00BA7C13">
            <w:pPr>
              <w:spacing w:after="0"/>
              <w:ind w:right="7"/>
              <w:jc w:val="center"/>
            </w:pPr>
            <w:r>
              <w:rPr>
                <w:rFonts w:ascii="Arial" w:eastAsia="Arial" w:hAnsi="Arial" w:cs="Arial"/>
                <w:b/>
              </w:rPr>
              <w:t>Definitivas</w:t>
            </w:r>
          </w:p>
          <w:p w:rsidR="00E23B86" w:rsidRDefault="00BA7C13">
            <w:pPr>
              <w:spacing w:after="0"/>
              <w:ind w:left="135"/>
            </w:pPr>
            <w:r>
              <w:rPr>
                <w:rFonts w:ascii="Arial" w:eastAsia="Arial" w:hAnsi="Arial" w:cs="Arial"/>
                <w:b/>
              </w:rPr>
              <w:t>Presupuesto</w:t>
            </w:r>
          </w:p>
          <w:p w:rsidR="00E23B86" w:rsidRDefault="00BA7C13">
            <w:pPr>
              <w:spacing w:after="0"/>
              <w:ind w:right="4"/>
              <w:jc w:val="center"/>
            </w:pPr>
            <w:r>
              <w:rPr>
                <w:rFonts w:ascii="Arial" w:eastAsia="Arial" w:hAnsi="Arial" w:cs="Arial"/>
                <w:b/>
              </w:rPr>
              <w:t>2018</w:t>
            </w:r>
          </w:p>
        </w:tc>
        <w:tc>
          <w:tcPr>
            <w:tcW w:w="131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372" w:hanging="342"/>
            </w:pPr>
            <w:r>
              <w:rPr>
                <w:rFonts w:ascii="Arial" w:eastAsia="Arial" w:hAnsi="Arial" w:cs="Arial"/>
                <w:b/>
              </w:rPr>
              <w:t>Liquidación  2018</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b/>
              </w:rPr>
              <w:t>Variación</w:t>
            </w:r>
          </w:p>
          <w:p w:rsidR="00E23B86" w:rsidRDefault="00BA7C13">
            <w:pPr>
              <w:spacing w:after="0"/>
              <w:jc w:val="both"/>
            </w:pPr>
            <w:r>
              <w:rPr>
                <w:rFonts w:ascii="Arial" w:eastAsia="Arial" w:hAnsi="Arial" w:cs="Arial"/>
                <w:b/>
              </w:rPr>
              <w:t>Liquidación</w:t>
            </w:r>
          </w:p>
          <w:p w:rsidR="00E23B86" w:rsidRDefault="00BA7C13">
            <w:pPr>
              <w:spacing w:after="0"/>
            </w:pPr>
            <w:r>
              <w:rPr>
                <w:rFonts w:ascii="Arial" w:eastAsia="Arial" w:hAnsi="Arial" w:cs="Arial"/>
                <w:b/>
              </w:rPr>
              <w:t>2019/2018</w:t>
            </w:r>
          </w:p>
        </w:tc>
      </w:tr>
      <w:tr w:rsidR="00E23B86">
        <w:trPr>
          <w:trHeight w:val="516"/>
        </w:trPr>
        <w:tc>
          <w:tcPr>
            <w:tcW w:w="1798" w:type="dxa"/>
            <w:tcBorders>
              <w:top w:val="single" w:sz="4" w:space="0" w:color="000001"/>
              <w:left w:val="single" w:sz="4" w:space="0" w:color="000001"/>
              <w:bottom w:val="single" w:sz="4" w:space="0" w:color="000001"/>
              <w:right w:val="single" w:sz="4" w:space="0" w:color="000001"/>
            </w:tcBorders>
          </w:tcPr>
          <w:p w:rsidR="00E23B86" w:rsidRDefault="00BA7C13">
            <w:pPr>
              <w:tabs>
                <w:tab w:val="center" w:pos="1231"/>
                <w:tab w:val="right" w:pos="1780"/>
              </w:tabs>
              <w:spacing w:after="0"/>
            </w:pPr>
            <w:r>
              <w:rPr>
                <w:rFonts w:ascii="Arial" w:eastAsia="Arial" w:hAnsi="Arial" w:cs="Arial"/>
                <w:b/>
              </w:rPr>
              <w:t>1.-Gastos</w:t>
            </w:r>
            <w:r>
              <w:rPr>
                <w:rFonts w:ascii="Arial" w:eastAsia="Arial" w:hAnsi="Arial" w:cs="Arial"/>
                <w:b/>
              </w:rPr>
              <w:tab/>
              <w:t xml:space="preserve"> </w:t>
            </w:r>
            <w:r>
              <w:rPr>
                <w:rFonts w:ascii="Arial" w:eastAsia="Arial" w:hAnsi="Arial" w:cs="Arial"/>
                <w:b/>
              </w:rPr>
              <w:tab/>
              <w:t>de</w:t>
            </w:r>
          </w:p>
          <w:p w:rsidR="00E23B86" w:rsidRDefault="00BA7C13">
            <w:pPr>
              <w:spacing w:after="0"/>
            </w:pPr>
            <w:r>
              <w:rPr>
                <w:rFonts w:ascii="Arial" w:eastAsia="Arial" w:hAnsi="Arial" w:cs="Arial"/>
                <w:b/>
              </w:rPr>
              <w:t>Personal</w:t>
            </w:r>
          </w:p>
        </w:tc>
        <w:tc>
          <w:tcPr>
            <w:tcW w:w="162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10.865.981,89 Euros.</w:t>
            </w:r>
          </w:p>
        </w:tc>
        <w:tc>
          <w:tcPr>
            <w:tcW w:w="143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9.494.404,18 Euros.</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10.909.495,73 Euros.</w:t>
            </w:r>
          </w:p>
        </w:tc>
        <w:tc>
          <w:tcPr>
            <w:tcW w:w="131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9.069.195,97 Euros.</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4"/>
              <w:jc w:val="center"/>
            </w:pPr>
            <w:r>
              <w:rPr>
                <w:rFonts w:ascii="Arial" w:eastAsia="Arial" w:hAnsi="Arial" w:cs="Arial"/>
              </w:rPr>
              <w:t>4,7 %</w:t>
            </w:r>
          </w:p>
        </w:tc>
      </w:tr>
      <w:tr w:rsidR="00E23B86">
        <w:trPr>
          <w:trHeight w:val="1022"/>
        </w:trPr>
        <w:tc>
          <w:tcPr>
            <w:tcW w:w="1798" w:type="dxa"/>
            <w:tcBorders>
              <w:top w:val="single" w:sz="4" w:space="0" w:color="000001"/>
              <w:left w:val="single" w:sz="4" w:space="0" w:color="000001"/>
              <w:bottom w:val="single" w:sz="4" w:space="0" w:color="000001"/>
              <w:right w:val="single" w:sz="4" w:space="0" w:color="000001"/>
            </w:tcBorders>
          </w:tcPr>
          <w:p w:rsidR="00E23B86" w:rsidRDefault="00BA7C13">
            <w:pPr>
              <w:spacing w:after="0" w:line="247" w:lineRule="auto"/>
            </w:pPr>
            <w:r>
              <w:rPr>
                <w:rFonts w:ascii="Arial" w:eastAsia="Arial" w:hAnsi="Arial" w:cs="Arial"/>
                <w:b/>
              </w:rPr>
              <w:t>2.-Gastos</w:t>
            </w:r>
            <w:r>
              <w:rPr>
                <w:rFonts w:ascii="Arial" w:eastAsia="Arial" w:hAnsi="Arial" w:cs="Arial"/>
                <w:b/>
              </w:rPr>
              <w:tab/>
              <w:t xml:space="preserve"> </w:t>
            </w:r>
            <w:r>
              <w:rPr>
                <w:rFonts w:ascii="Arial" w:eastAsia="Arial" w:hAnsi="Arial" w:cs="Arial"/>
                <w:b/>
              </w:rPr>
              <w:tab/>
              <w:t>en Bienes</w:t>
            </w:r>
          </w:p>
          <w:p w:rsidR="00E23B86" w:rsidRDefault="00BA7C13">
            <w:pPr>
              <w:tabs>
                <w:tab w:val="center" w:pos="1347"/>
                <w:tab w:val="right" w:pos="1780"/>
              </w:tabs>
              <w:spacing w:after="0"/>
            </w:pPr>
            <w:r>
              <w:rPr>
                <w:rFonts w:ascii="Arial" w:eastAsia="Arial" w:hAnsi="Arial" w:cs="Arial"/>
                <w:b/>
              </w:rPr>
              <w:t>Corrientes</w:t>
            </w:r>
            <w:r>
              <w:rPr>
                <w:rFonts w:ascii="Arial" w:eastAsia="Arial" w:hAnsi="Arial" w:cs="Arial"/>
                <w:b/>
              </w:rPr>
              <w:tab/>
              <w:t xml:space="preserve"> </w:t>
            </w:r>
            <w:r>
              <w:rPr>
                <w:rFonts w:ascii="Arial" w:eastAsia="Arial" w:hAnsi="Arial" w:cs="Arial"/>
                <w:b/>
              </w:rPr>
              <w:tab/>
              <w:t>y</w:t>
            </w:r>
          </w:p>
          <w:p w:rsidR="00E23B86" w:rsidRDefault="00BA7C13">
            <w:pPr>
              <w:spacing w:after="0"/>
            </w:pPr>
            <w:r>
              <w:rPr>
                <w:rFonts w:ascii="Arial" w:eastAsia="Arial" w:hAnsi="Arial" w:cs="Arial"/>
                <w:b/>
              </w:rPr>
              <w:t>Servicios</w:t>
            </w:r>
          </w:p>
        </w:tc>
        <w:tc>
          <w:tcPr>
            <w:tcW w:w="162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9.348.092,07 Euros.</w:t>
            </w:r>
          </w:p>
        </w:tc>
        <w:tc>
          <w:tcPr>
            <w:tcW w:w="143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8.316.780,37 Euros.</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9.690.061,04 Euros.</w:t>
            </w:r>
          </w:p>
        </w:tc>
        <w:tc>
          <w:tcPr>
            <w:tcW w:w="131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8.117.362,18 Euros.</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2,45 %</w:t>
            </w:r>
          </w:p>
        </w:tc>
      </w:tr>
      <w:tr w:rsidR="00E23B86">
        <w:trPr>
          <w:trHeight w:val="516"/>
        </w:trPr>
        <w:tc>
          <w:tcPr>
            <w:tcW w:w="1798" w:type="dxa"/>
            <w:tcBorders>
              <w:top w:val="single" w:sz="4" w:space="0" w:color="000001"/>
              <w:left w:val="single" w:sz="4" w:space="0" w:color="000001"/>
              <w:bottom w:val="single" w:sz="4" w:space="0" w:color="000001"/>
              <w:right w:val="single" w:sz="4" w:space="0" w:color="000001"/>
            </w:tcBorders>
          </w:tcPr>
          <w:p w:rsidR="00E23B86" w:rsidRDefault="00BA7C13">
            <w:pPr>
              <w:tabs>
                <w:tab w:val="center" w:pos="616"/>
                <w:tab w:val="right" w:pos="1780"/>
              </w:tabs>
              <w:spacing w:after="0"/>
            </w:pPr>
            <w:r>
              <w:rPr>
                <w:rFonts w:ascii="Arial" w:eastAsia="Arial" w:hAnsi="Arial" w:cs="Arial"/>
                <w:b/>
              </w:rPr>
              <w:t>3.-</w:t>
            </w:r>
            <w:r>
              <w:rPr>
                <w:rFonts w:ascii="Arial" w:eastAsia="Arial" w:hAnsi="Arial" w:cs="Arial"/>
                <w:b/>
              </w:rPr>
              <w:tab/>
              <w:t xml:space="preserve"> </w:t>
            </w:r>
            <w:r>
              <w:rPr>
                <w:rFonts w:ascii="Arial" w:eastAsia="Arial" w:hAnsi="Arial" w:cs="Arial"/>
                <w:b/>
              </w:rPr>
              <w:tab/>
              <w:t>Gastos</w:t>
            </w:r>
          </w:p>
          <w:p w:rsidR="00E23B86" w:rsidRDefault="00BA7C13">
            <w:pPr>
              <w:spacing w:after="0"/>
            </w:pPr>
            <w:r>
              <w:rPr>
                <w:rFonts w:ascii="Arial" w:eastAsia="Arial" w:hAnsi="Arial" w:cs="Arial"/>
                <w:b/>
              </w:rPr>
              <w:t>Financieros</w:t>
            </w:r>
          </w:p>
        </w:tc>
        <w:tc>
          <w:tcPr>
            <w:tcW w:w="162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305.245,00 Euros</w:t>
            </w:r>
          </w:p>
        </w:tc>
        <w:tc>
          <w:tcPr>
            <w:tcW w:w="1438"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84.827,05 Euros</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355.245,00 Euros.</w:t>
            </w:r>
          </w:p>
        </w:tc>
        <w:tc>
          <w:tcPr>
            <w:tcW w:w="131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355.168,82 Euros.</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3"/>
              <w:jc w:val="center"/>
            </w:pPr>
            <w:r>
              <w:rPr>
                <w:rFonts w:ascii="Arial" w:eastAsia="Arial" w:hAnsi="Arial" w:cs="Arial"/>
              </w:rPr>
              <w:t>- 76,2 %</w:t>
            </w:r>
          </w:p>
        </w:tc>
      </w:tr>
      <w:tr w:rsidR="00E23B86">
        <w:trPr>
          <w:trHeight w:val="517"/>
        </w:trPr>
        <w:tc>
          <w:tcPr>
            <w:tcW w:w="179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b/>
              </w:rPr>
              <w:t>4.-</w:t>
            </w:r>
          </w:p>
          <w:p w:rsidR="00E23B86" w:rsidRDefault="00BA7C13">
            <w:pPr>
              <w:spacing w:after="0"/>
            </w:pPr>
            <w:r>
              <w:rPr>
                <w:rFonts w:ascii="Arial" w:eastAsia="Arial" w:hAnsi="Arial" w:cs="Arial"/>
                <w:b/>
              </w:rPr>
              <w:t>Transferencias</w:t>
            </w:r>
          </w:p>
        </w:tc>
        <w:tc>
          <w:tcPr>
            <w:tcW w:w="162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452" w:hanging="294"/>
            </w:pPr>
            <w:r>
              <w:rPr>
                <w:rFonts w:ascii="Arial" w:eastAsia="Arial" w:hAnsi="Arial" w:cs="Arial"/>
              </w:rPr>
              <w:t>3.025.576,31  Euros.</w:t>
            </w:r>
          </w:p>
        </w:tc>
        <w:tc>
          <w:tcPr>
            <w:tcW w:w="1438"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360" w:hanging="294"/>
            </w:pPr>
            <w:r>
              <w:rPr>
                <w:rFonts w:ascii="Arial" w:eastAsia="Arial" w:hAnsi="Arial" w:cs="Arial"/>
              </w:rPr>
              <w:t>2.698.511,91  Euros.</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3.042.257,65 Euros.</w:t>
            </w:r>
          </w:p>
        </w:tc>
        <w:tc>
          <w:tcPr>
            <w:tcW w:w="131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2.703.794,48 Euros.</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3"/>
              <w:jc w:val="center"/>
            </w:pPr>
            <w:r>
              <w:rPr>
                <w:rFonts w:ascii="Arial" w:eastAsia="Arial" w:hAnsi="Arial" w:cs="Arial"/>
              </w:rPr>
              <w:t>-- %</w:t>
            </w:r>
          </w:p>
        </w:tc>
      </w:tr>
      <w:tr w:rsidR="00E23B86">
        <w:trPr>
          <w:trHeight w:val="262"/>
        </w:trPr>
        <w:tc>
          <w:tcPr>
            <w:tcW w:w="179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Corrientes</w:t>
            </w:r>
          </w:p>
        </w:tc>
        <w:tc>
          <w:tcPr>
            <w:tcW w:w="1622" w:type="dxa"/>
            <w:tcBorders>
              <w:top w:val="single" w:sz="4" w:space="0" w:color="000001"/>
              <w:left w:val="single" w:sz="5" w:space="0" w:color="000001"/>
              <w:bottom w:val="single" w:sz="4" w:space="0" w:color="000001"/>
              <w:right w:val="single" w:sz="5" w:space="0" w:color="000001"/>
            </w:tcBorders>
          </w:tcPr>
          <w:p w:rsidR="00E23B86" w:rsidRDefault="00E23B86"/>
        </w:tc>
        <w:tc>
          <w:tcPr>
            <w:tcW w:w="1438" w:type="dxa"/>
            <w:tcBorders>
              <w:top w:val="single" w:sz="4" w:space="0" w:color="000001"/>
              <w:left w:val="single" w:sz="5" w:space="0" w:color="000001"/>
              <w:bottom w:val="single" w:sz="4" w:space="0" w:color="000001"/>
              <w:right w:val="single" w:sz="4" w:space="0" w:color="000001"/>
            </w:tcBorders>
          </w:tcPr>
          <w:p w:rsidR="00E23B86" w:rsidRDefault="00E23B86"/>
        </w:tc>
        <w:tc>
          <w:tcPr>
            <w:tcW w:w="1622" w:type="dxa"/>
            <w:tcBorders>
              <w:top w:val="single" w:sz="4" w:space="0" w:color="000001"/>
              <w:left w:val="single" w:sz="4" w:space="0" w:color="000001"/>
              <w:bottom w:val="single" w:sz="4" w:space="0" w:color="000001"/>
              <w:right w:val="single" w:sz="5" w:space="0" w:color="000001"/>
            </w:tcBorders>
          </w:tcPr>
          <w:p w:rsidR="00E23B86" w:rsidRDefault="00E23B86"/>
        </w:tc>
        <w:tc>
          <w:tcPr>
            <w:tcW w:w="1315" w:type="dxa"/>
            <w:tcBorders>
              <w:top w:val="single" w:sz="4" w:space="0" w:color="000001"/>
              <w:left w:val="single" w:sz="5" w:space="0" w:color="000001"/>
              <w:bottom w:val="single" w:sz="4" w:space="0" w:color="000001"/>
              <w:right w:val="single" w:sz="5" w:space="0" w:color="000001"/>
            </w:tcBorders>
          </w:tcPr>
          <w:p w:rsidR="00E23B86" w:rsidRDefault="00E23B86"/>
        </w:tc>
        <w:tc>
          <w:tcPr>
            <w:tcW w:w="1276" w:type="dxa"/>
            <w:tcBorders>
              <w:top w:val="single" w:sz="4" w:space="0" w:color="000001"/>
              <w:left w:val="single" w:sz="5" w:space="0" w:color="000001"/>
              <w:bottom w:val="single" w:sz="4" w:space="0" w:color="000001"/>
              <w:right w:val="single" w:sz="5" w:space="0" w:color="000001"/>
            </w:tcBorders>
          </w:tcPr>
          <w:p w:rsidR="00E23B86" w:rsidRDefault="00E23B86"/>
        </w:tc>
      </w:tr>
      <w:tr w:rsidR="00E23B86">
        <w:trPr>
          <w:trHeight w:val="516"/>
        </w:trPr>
        <w:tc>
          <w:tcPr>
            <w:tcW w:w="179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6.-Inversiones</w:t>
            </w:r>
          </w:p>
          <w:p w:rsidR="00E23B86" w:rsidRDefault="00BA7C13">
            <w:pPr>
              <w:spacing w:after="0"/>
            </w:pPr>
            <w:r>
              <w:rPr>
                <w:rFonts w:ascii="Arial" w:eastAsia="Arial" w:hAnsi="Arial" w:cs="Arial"/>
                <w:b/>
              </w:rPr>
              <w:t>Reales</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8.288.771,46 Euros.</w:t>
            </w:r>
          </w:p>
        </w:tc>
        <w:tc>
          <w:tcPr>
            <w:tcW w:w="143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2.566.873,84 Euros.</w:t>
            </w:r>
          </w:p>
        </w:tc>
        <w:tc>
          <w:tcPr>
            <w:tcW w:w="1622"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6.084.060,13 Euros.</w:t>
            </w:r>
          </w:p>
        </w:tc>
        <w:tc>
          <w:tcPr>
            <w:tcW w:w="1315"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1.622.142,27 Euros</w:t>
            </w:r>
          </w:p>
        </w:tc>
        <w:tc>
          <w:tcPr>
            <w:tcW w:w="127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6"/>
              <w:jc w:val="center"/>
            </w:pPr>
            <w:r>
              <w:rPr>
                <w:rFonts w:ascii="Arial" w:eastAsia="Arial" w:hAnsi="Arial" w:cs="Arial"/>
              </w:rPr>
              <w:t>58,2 %</w:t>
            </w:r>
          </w:p>
        </w:tc>
      </w:tr>
      <w:tr w:rsidR="00E23B86">
        <w:trPr>
          <w:trHeight w:val="768"/>
        </w:trPr>
        <w:tc>
          <w:tcPr>
            <w:tcW w:w="179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7.-</w:t>
            </w:r>
          </w:p>
          <w:p w:rsidR="00E23B86" w:rsidRDefault="00BA7C13">
            <w:pPr>
              <w:spacing w:after="0"/>
            </w:pPr>
            <w:r>
              <w:rPr>
                <w:rFonts w:ascii="Arial" w:eastAsia="Arial" w:hAnsi="Arial" w:cs="Arial"/>
                <w:b/>
              </w:rPr>
              <w:t>Transferencias de Capital</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906.248,51 Euros.</w:t>
            </w:r>
          </w:p>
        </w:tc>
        <w:tc>
          <w:tcPr>
            <w:tcW w:w="143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146"/>
            </w:pPr>
            <w:r>
              <w:rPr>
                <w:rFonts w:ascii="Arial" w:eastAsia="Arial" w:hAnsi="Arial" w:cs="Arial"/>
              </w:rPr>
              <w:t>0,00 Euros.</w:t>
            </w:r>
          </w:p>
        </w:tc>
        <w:tc>
          <w:tcPr>
            <w:tcW w:w="1622"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321.060,56 Euros.</w:t>
            </w:r>
          </w:p>
        </w:tc>
        <w:tc>
          <w:tcPr>
            <w:tcW w:w="1315"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66.143,90 Euros</w:t>
            </w:r>
          </w:p>
        </w:tc>
        <w:tc>
          <w:tcPr>
            <w:tcW w:w="127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3"/>
              <w:jc w:val="center"/>
            </w:pPr>
            <w:r>
              <w:rPr>
                <w:rFonts w:ascii="Arial" w:eastAsia="Arial" w:hAnsi="Arial" w:cs="Arial"/>
              </w:rPr>
              <w:t>-- %</w:t>
            </w:r>
          </w:p>
        </w:tc>
      </w:tr>
      <w:tr w:rsidR="00E23B86">
        <w:trPr>
          <w:trHeight w:val="516"/>
        </w:trPr>
        <w:tc>
          <w:tcPr>
            <w:tcW w:w="179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8.-Activos</w:t>
            </w:r>
          </w:p>
          <w:p w:rsidR="00E23B86" w:rsidRDefault="00BA7C13">
            <w:pPr>
              <w:spacing w:after="0"/>
            </w:pPr>
            <w:r>
              <w:rPr>
                <w:rFonts w:ascii="Arial" w:eastAsia="Arial" w:hAnsi="Arial" w:cs="Arial"/>
                <w:b/>
              </w:rPr>
              <w:t>Financieros</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0,00 Euros.</w:t>
            </w:r>
          </w:p>
        </w:tc>
        <w:tc>
          <w:tcPr>
            <w:tcW w:w="143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146"/>
            </w:pPr>
            <w:r>
              <w:rPr>
                <w:rFonts w:ascii="Arial" w:eastAsia="Arial" w:hAnsi="Arial" w:cs="Arial"/>
              </w:rPr>
              <w:t>0,00 Euros.</w:t>
            </w:r>
          </w:p>
        </w:tc>
        <w:tc>
          <w:tcPr>
            <w:tcW w:w="162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78"/>
            </w:pPr>
            <w:r>
              <w:rPr>
                <w:rFonts w:ascii="Arial" w:eastAsia="Arial" w:hAnsi="Arial" w:cs="Arial"/>
              </w:rPr>
              <w:t>00,00 Euros.</w:t>
            </w:r>
          </w:p>
        </w:tc>
        <w:tc>
          <w:tcPr>
            <w:tcW w:w="1315"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6"/>
            </w:pPr>
            <w:r>
              <w:rPr>
                <w:rFonts w:ascii="Arial" w:eastAsia="Arial" w:hAnsi="Arial" w:cs="Arial"/>
              </w:rPr>
              <w:t>0,00 Euros</w:t>
            </w:r>
          </w:p>
        </w:tc>
        <w:tc>
          <w:tcPr>
            <w:tcW w:w="127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4"/>
              <w:jc w:val="center"/>
            </w:pPr>
            <w:r>
              <w:rPr>
                <w:rFonts w:ascii="Arial" w:eastAsia="Arial" w:hAnsi="Arial" w:cs="Arial"/>
              </w:rPr>
              <w:t>0,00%</w:t>
            </w:r>
          </w:p>
        </w:tc>
      </w:tr>
      <w:tr w:rsidR="00E23B86">
        <w:trPr>
          <w:trHeight w:val="516"/>
        </w:trPr>
        <w:tc>
          <w:tcPr>
            <w:tcW w:w="179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9.-Pasivos</w:t>
            </w:r>
          </w:p>
          <w:p w:rsidR="00E23B86" w:rsidRDefault="00BA7C13">
            <w:pPr>
              <w:spacing w:after="0"/>
            </w:pPr>
            <w:r>
              <w:rPr>
                <w:rFonts w:ascii="Arial" w:eastAsia="Arial" w:hAnsi="Arial" w:cs="Arial"/>
                <w:b/>
              </w:rPr>
              <w:t>Financieros</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991.730,15 Euros.</w:t>
            </w:r>
          </w:p>
        </w:tc>
        <w:tc>
          <w:tcPr>
            <w:tcW w:w="143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987.449,90 Euros.</w:t>
            </w:r>
          </w:p>
        </w:tc>
        <w:tc>
          <w:tcPr>
            <w:tcW w:w="1622"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2.600.008,57 Euros.</w:t>
            </w:r>
          </w:p>
        </w:tc>
        <w:tc>
          <w:tcPr>
            <w:tcW w:w="1315"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2.451.276,84 Euros</w:t>
            </w:r>
          </w:p>
        </w:tc>
        <w:tc>
          <w:tcPr>
            <w:tcW w:w="127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2"/>
              <w:jc w:val="center"/>
            </w:pPr>
            <w:r>
              <w:rPr>
                <w:rFonts w:ascii="Arial" w:eastAsia="Arial" w:hAnsi="Arial" w:cs="Arial"/>
              </w:rPr>
              <w:t>-60 %</w:t>
            </w:r>
          </w:p>
        </w:tc>
      </w:tr>
      <w:tr w:rsidR="00E23B86">
        <w:trPr>
          <w:trHeight w:val="517"/>
        </w:trPr>
        <w:tc>
          <w:tcPr>
            <w:tcW w:w="179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TOTAL</w:t>
            </w:r>
          </w:p>
        </w:tc>
        <w:tc>
          <w:tcPr>
            <w:tcW w:w="162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b/>
              </w:rPr>
              <w:t>33.781.645,39 Euros.</w:t>
            </w:r>
          </w:p>
        </w:tc>
        <w:tc>
          <w:tcPr>
            <w:tcW w:w="143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b/>
              </w:rPr>
              <w:t>24.148.847,25 Euros</w:t>
            </w:r>
          </w:p>
        </w:tc>
        <w:tc>
          <w:tcPr>
            <w:tcW w:w="162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428" w:hanging="330"/>
            </w:pPr>
            <w:r>
              <w:rPr>
                <w:rFonts w:ascii="Arial" w:eastAsia="Arial" w:hAnsi="Arial" w:cs="Arial"/>
                <w:b/>
              </w:rPr>
              <w:t xml:space="preserve">33.002.188,68 </w:t>
            </w:r>
            <w:r>
              <w:rPr>
                <w:rFonts w:ascii="Arial" w:eastAsia="Arial" w:hAnsi="Arial" w:cs="Arial"/>
              </w:rPr>
              <w:t xml:space="preserve"> </w:t>
            </w:r>
            <w:r>
              <w:rPr>
                <w:rFonts w:ascii="Arial" w:eastAsia="Arial" w:hAnsi="Arial" w:cs="Arial"/>
                <w:b/>
              </w:rPr>
              <w:t>Euros</w:t>
            </w:r>
            <w:r>
              <w:rPr>
                <w:rFonts w:ascii="Arial" w:eastAsia="Arial" w:hAnsi="Arial" w:cs="Arial"/>
              </w:rPr>
              <w:t>.</w:t>
            </w:r>
          </w:p>
        </w:tc>
        <w:tc>
          <w:tcPr>
            <w:tcW w:w="1315"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center"/>
            </w:pPr>
            <w:r>
              <w:rPr>
                <w:rFonts w:ascii="Arial" w:eastAsia="Arial" w:hAnsi="Arial" w:cs="Arial"/>
                <w:b/>
              </w:rPr>
              <w:t>24.385.084,4 6 Euros</w:t>
            </w:r>
          </w:p>
        </w:tc>
        <w:tc>
          <w:tcPr>
            <w:tcW w:w="127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56"/>
              <w:jc w:val="center"/>
            </w:pPr>
            <w:r>
              <w:rPr>
                <w:rFonts w:ascii="Arial" w:eastAsia="Arial" w:hAnsi="Arial" w:cs="Arial"/>
                <w:b/>
              </w:rPr>
              <w:t xml:space="preserve">-1 </w:t>
            </w:r>
          </w:p>
        </w:tc>
      </w:tr>
    </w:tbl>
    <w:p w:rsidR="00E23B86" w:rsidRDefault="00BA7C13">
      <w:pPr>
        <w:spacing w:after="243" w:line="248" w:lineRule="auto"/>
        <w:ind w:left="722" w:right="552" w:hanging="10"/>
        <w:jc w:val="both"/>
      </w:pPr>
      <w:r>
        <w:rPr>
          <w:rFonts w:ascii="Arial" w:eastAsia="Arial" w:hAnsi="Arial" w:cs="Arial"/>
        </w:rPr>
        <w:t>Desarrollando dicho cuadro de gastos, por capítulos, tenemos:</w:t>
      </w:r>
    </w:p>
    <w:p w:rsidR="00E23B86" w:rsidRDefault="00BA7C13">
      <w:pPr>
        <w:spacing w:after="243" w:line="249" w:lineRule="auto"/>
        <w:ind w:left="1070" w:right="566" w:hanging="10"/>
        <w:jc w:val="both"/>
      </w:pPr>
      <w:r>
        <w:rPr>
          <w:rFonts w:ascii="Arial" w:eastAsia="Arial" w:hAnsi="Arial" w:cs="Arial"/>
          <w:b/>
          <w:i/>
        </w:rPr>
        <w:t>A) GASTOS DE PERSONAL</w:t>
      </w:r>
    </w:p>
    <w:p w:rsidR="00E23B86" w:rsidRDefault="00BA7C13">
      <w:pPr>
        <w:spacing w:after="10" w:line="248" w:lineRule="auto"/>
        <w:ind w:left="363" w:right="552" w:firstLine="708"/>
        <w:jc w:val="both"/>
      </w:pPr>
      <w:r>
        <w:rPr>
          <w:noProof/>
        </w:rPr>
        <mc:AlternateContent>
          <mc:Choice Requires="wpg">
            <w:drawing>
              <wp:anchor distT="0" distB="0" distL="114300" distR="114300" simplePos="0" relativeHeight="2516858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1733" name="Group 60173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8469" name="Rectangle 846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8470" name="Rectangle 8470"/>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1733" style="width:12.7031pt;height:280.35pt;position:absolute;mso-position-horizontal-relative:page;mso-position-horizontal:absolute;margin-left:681.958pt;mso-position-vertical-relative:page;margin-top:531.65pt;" coordsize="1613,35604">
                <v:rect id="Rectangle 846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8470"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391 </w:t>
                        </w:r>
                      </w:p>
                    </w:txbxContent>
                  </v:textbox>
                </v:rect>
                <w10:wrap type="square"/>
              </v:group>
            </w:pict>
          </mc:Fallback>
        </mc:AlternateContent>
      </w:r>
      <w:r>
        <w:rPr>
          <w:rFonts w:ascii="Arial" w:eastAsia="Arial" w:hAnsi="Arial" w:cs="Arial"/>
        </w:rPr>
        <w:t>A continuación, se detalla la evolución de los gastos de personal ejecutados en los últimos ejercicios:</w:t>
      </w:r>
    </w:p>
    <w:tbl>
      <w:tblPr>
        <w:tblStyle w:val="TableGrid"/>
        <w:tblW w:w="9402" w:type="dxa"/>
        <w:tblInd w:w="335" w:type="dxa"/>
        <w:tblCellMar>
          <w:top w:w="11" w:type="dxa"/>
          <w:left w:w="11" w:type="dxa"/>
          <w:bottom w:w="0" w:type="dxa"/>
          <w:right w:w="22" w:type="dxa"/>
        </w:tblCellMar>
        <w:tblLook w:val="04A0" w:firstRow="1" w:lastRow="0" w:firstColumn="1" w:lastColumn="0" w:noHBand="0" w:noVBand="1"/>
      </w:tblPr>
      <w:tblGrid>
        <w:gridCol w:w="569"/>
        <w:gridCol w:w="1276"/>
        <w:gridCol w:w="593"/>
        <w:gridCol w:w="1344"/>
        <w:gridCol w:w="638"/>
        <w:gridCol w:w="1342"/>
        <w:gridCol w:w="822"/>
        <w:gridCol w:w="1852"/>
        <w:gridCol w:w="966"/>
      </w:tblGrid>
      <w:tr w:rsidR="00E23B86">
        <w:trPr>
          <w:trHeight w:val="769"/>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 xml:space="preserve">AÑO </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PRESUPUE STO</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CAPÍTULO PERSONAL</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PERSONAL</w:t>
            </w:r>
          </w:p>
          <w:p w:rsidR="00E23B86" w:rsidRDefault="00BA7C13">
            <w:pPr>
              <w:spacing w:after="0"/>
              <w:jc w:val="both"/>
            </w:pPr>
            <w:r>
              <w:rPr>
                <w:rFonts w:ascii="Arial" w:eastAsia="Arial" w:hAnsi="Arial" w:cs="Arial"/>
              </w:rPr>
              <w:t>FUNCIONAR</w:t>
            </w:r>
          </w:p>
          <w:p w:rsidR="00E23B86" w:rsidRDefault="00BA7C13">
            <w:pPr>
              <w:spacing w:after="0"/>
            </w:pPr>
            <w:r>
              <w:rPr>
                <w:rFonts w:ascii="Arial" w:eastAsia="Arial" w:hAnsi="Arial" w:cs="Arial"/>
              </w:rPr>
              <w:t>IO</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PERSONAL</w:t>
            </w:r>
          </w:p>
          <w:p w:rsidR="00E23B86" w:rsidRDefault="00BA7C13">
            <w:pPr>
              <w:spacing w:after="0"/>
            </w:pPr>
            <w:r>
              <w:rPr>
                <w:rFonts w:ascii="Arial" w:eastAsia="Arial" w:hAnsi="Arial" w:cs="Arial"/>
              </w:rPr>
              <w:t>LABORAL</w:t>
            </w:r>
          </w:p>
          <w:p w:rsidR="00E23B86" w:rsidRDefault="00BA7C13">
            <w:pPr>
              <w:spacing w:after="0"/>
            </w:pPr>
            <w:r>
              <w:rPr>
                <w:rFonts w:ascii="Arial" w:eastAsia="Arial" w:hAnsi="Arial" w:cs="Arial"/>
              </w:rPr>
              <w:t>TEMPORAL</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r>
      <w:tr w:rsidR="00E23B86">
        <w:trPr>
          <w:trHeight w:val="516"/>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2019</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24.148.847,</w:t>
            </w:r>
          </w:p>
          <w:p w:rsidR="00E23B86" w:rsidRDefault="00BA7C13">
            <w:pPr>
              <w:spacing w:after="0"/>
              <w:ind w:left="1"/>
            </w:pPr>
            <w:r>
              <w:rPr>
                <w:rFonts w:ascii="Arial" w:eastAsia="Arial" w:hAnsi="Arial" w:cs="Arial"/>
              </w:rPr>
              <w:t>25</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9.494.404,18</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4,7</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1.526.804,38</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-6,4</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3.402.797,08</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1,7</w:t>
            </w:r>
          </w:p>
        </w:tc>
      </w:tr>
      <w:tr w:rsidR="00E23B86">
        <w:trPr>
          <w:trHeight w:val="516"/>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2018</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24.385.084,</w:t>
            </w:r>
          </w:p>
          <w:p w:rsidR="00E23B86" w:rsidRDefault="00BA7C13">
            <w:pPr>
              <w:spacing w:after="0"/>
              <w:ind w:left="1"/>
            </w:pPr>
            <w:r>
              <w:rPr>
                <w:rFonts w:ascii="Arial" w:eastAsia="Arial" w:hAnsi="Arial" w:cs="Arial"/>
              </w:rPr>
              <w:t>40</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16,4</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9.069.195,97</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1,9</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1.630.748,64</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3.346.125,54</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-5,3</w:t>
            </w:r>
          </w:p>
        </w:tc>
      </w:tr>
      <w:tr w:rsidR="00E23B86">
        <w:trPr>
          <w:trHeight w:val="516"/>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2017</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21.524.662,</w:t>
            </w:r>
          </w:p>
          <w:p w:rsidR="00E23B86" w:rsidRDefault="00BA7C13">
            <w:pPr>
              <w:spacing w:after="0"/>
              <w:ind w:left="1"/>
            </w:pPr>
            <w:r>
              <w:rPr>
                <w:rFonts w:ascii="Arial" w:eastAsia="Arial" w:hAnsi="Arial" w:cs="Arial"/>
              </w:rPr>
              <w:t>25</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0,00</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8.892.896,76</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4,40</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1.598.336,00</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-2,30</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3.532.798,19</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4,80</w:t>
            </w:r>
          </w:p>
        </w:tc>
      </w:tr>
      <w:tr w:rsidR="00E23B86">
        <w:trPr>
          <w:trHeight w:val="516"/>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2016</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21.524.662,</w:t>
            </w:r>
          </w:p>
          <w:p w:rsidR="00E23B86" w:rsidRDefault="00BA7C13">
            <w:pPr>
              <w:spacing w:after="0"/>
              <w:ind w:left="1"/>
            </w:pPr>
            <w:r>
              <w:rPr>
                <w:rFonts w:ascii="Arial" w:eastAsia="Arial" w:hAnsi="Arial" w:cs="Arial"/>
              </w:rPr>
              <w:t>25</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5,1</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8.515.487,63</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15,2</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1.636.553,02</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4,1</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3.372.258,11</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10,5</w:t>
            </w:r>
          </w:p>
        </w:tc>
      </w:tr>
      <w:tr w:rsidR="00E23B86">
        <w:trPr>
          <w:trHeight w:val="516"/>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2015</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20.441.469,</w:t>
            </w:r>
          </w:p>
          <w:p w:rsidR="00E23B86" w:rsidRDefault="00BA7C13">
            <w:pPr>
              <w:spacing w:after="0"/>
              <w:ind w:left="1"/>
            </w:pPr>
            <w:r>
              <w:rPr>
                <w:rFonts w:ascii="Arial" w:eastAsia="Arial" w:hAnsi="Arial" w:cs="Arial"/>
              </w:rPr>
              <w:t>98</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11</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7.385.912,51</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-0,5</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1.570.738,36</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-5,7</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3.050.675,04</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22,4</w:t>
            </w:r>
          </w:p>
        </w:tc>
      </w:tr>
      <w:tr w:rsidR="00E23B86">
        <w:trPr>
          <w:trHeight w:val="516"/>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2014</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18.340.507,</w:t>
            </w:r>
          </w:p>
          <w:p w:rsidR="00E23B86" w:rsidRDefault="00BA7C13">
            <w:pPr>
              <w:spacing w:after="0"/>
              <w:ind w:left="1"/>
            </w:pPr>
            <w:r>
              <w:rPr>
                <w:rFonts w:ascii="Arial" w:eastAsia="Arial" w:hAnsi="Arial" w:cs="Arial"/>
              </w:rPr>
              <w:t>76</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7.415.753,38</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1.664.436,19</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-30</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2.491.054,90</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166</w:t>
            </w:r>
          </w:p>
        </w:tc>
      </w:tr>
      <w:tr w:rsidR="00E23B86">
        <w:trPr>
          <w:trHeight w:val="516"/>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2013</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18.340.507,</w:t>
            </w:r>
          </w:p>
          <w:p w:rsidR="00E23B86" w:rsidRDefault="00BA7C13">
            <w:pPr>
              <w:spacing w:after="0"/>
              <w:ind w:left="1"/>
            </w:pPr>
            <w:r>
              <w:rPr>
                <w:rFonts w:ascii="Arial" w:eastAsia="Arial" w:hAnsi="Arial" w:cs="Arial"/>
              </w:rPr>
              <w:t>76</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-0,1</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7.069.460,56</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9</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2.372.182,18</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933.232,37</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w:t>
            </w:r>
          </w:p>
        </w:tc>
      </w:tr>
      <w:tr w:rsidR="00E23B86">
        <w:trPr>
          <w:trHeight w:val="516"/>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2012</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18.354.424,</w:t>
            </w:r>
          </w:p>
          <w:p w:rsidR="00E23B86" w:rsidRDefault="00BA7C13">
            <w:pPr>
              <w:spacing w:after="0"/>
              <w:ind w:left="1"/>
            </w:pPr>
            <w:r>
              <w:rPr>
                <w:rFonts w:ascii="Arial" w:eastAsia="Arial" w:hAnsi="Arial" w:cs="Arial"/>
              </w:rPr>
              <w:t>05</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-4</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6.473.959,52</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-27</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2335648,11</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-6</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762.258,39</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-71</w:t>
            </w:r>
          </w:p>
        </w:tc>
      </w:tr>
      <w:tr w:rsidR="00E23B86">
        <w:trPr>
          <w:trHeight w:val="516"/>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2011</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18.934.008,</w:t>
            </w:r>
          </w:p>
          <w:p w:rsidR="00E23B86" w:rsidRDefault="00BA7C13">
            <w:pPr>
              <w:spacing w:after="0"/>
              <w:ind w:left="1"/>
            </w:pPr>
            <w:r>
              <w:rPr>
                <w:rFonts w:ascii="Arial" w:eastAsia="Arial" w:hAnsi="Arial" w:cs="Arial"/>
              </w:rPr>
              <w:t>91</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8.798.227,74</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5</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2.458.853,68</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-9</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2.545.404,38</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41</w:t>
            </w:r>
          </w:p>
        </w:tc>
      </w:tr>
      <w:tr w:rsidR="00E23B86">
        <w:trPr>
          <w:trHeight w:val="517"/>
        </w:trPr>
        <w:tc>
          <w:tcPr>
            <w:tcW w:w="569"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2010</w:t>
            </w:r>
          </w:p>
        </w:tc>
        <w:tc>
          <w:tcPr>
            <w:tcW w:w="1276"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jc w:val="both"/>
            </w:pPr>
            <w:r>
              <w:rPr>
                <w:rFonts w:ascii="Arial" w:eastAsia="Arial" w:hAnsi="Arial" w:cs="Arial"/>
              </w:rPr>
              <w:t>18.934.008,</w:t>
            </w:r>
          </w:p>
          <w:p w:rsidR="00E23B86" w:rsidRDefault="00BA7C13">
            <w:pPr>
              <w:spacing w:after="0"/>
              <w:ind w:left="1"/>
            </w:pPr>
            <w:r>
              <w:rPr>
                <w:rFonts w:ascii="Arial" w:eastAsia="Arial" w:hAnsi="Arial" w:cs="Arial"/>
              </w:rPr>
              <w:t>91</w:t>
            </w:r>
          </w:p>
        </w:tc>
        <w:tc>
          <w:tcPr>
            <w:tcW w:w="59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- 4</w:t>
            </w:r>
          </w:p>
        </w:tc>
        <w:tc>
          <w:tcPr>
            <w:tcW w:w="1344"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8.385.228,61</w:t>
            </w:r>
          </w:p>
        </w:tc>
        <w:tc>
          <w:tcPr>
            <w:tcW w:w="6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- 8,5</w:t>
            </w:r>
          </w:p>
        </w:tc>
        <w:tc>
          <w:tcPr>
            <w:tcW w:w="1342"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2.695.670,92</w:t>
            </w:r>
          </w:p>
        </w:tc>
        <w:tc>
          <w:tcPr>
            <w:tcW w:w="822"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68,5</w:t>
            </w:r>
          </w:p>
        </w:tc>
        <w:tc>
          <w:tcPr>
            <w:tcW w:w="18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1.801.734,60</w:t>
            </w:r>
          </w:p>
        </w:tc>
        <w:tc>
          <w:tcPr>
            <w:tcW w:w="96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-55</w:t>
            </w:r>
          </w:p>
        </w:tc>
      </w:tr>
    </w:tbl>
    <w:p w:rsidR="00E23B86" w:rsidRDefault="00BA7C13">
      <w:pPr>
        <w:spacing w:after="0" w:line="248" w:lineRule="auto"/>
        <w:ind w:left="363" w:right="552" w:firstLine="282"/>
        <w:jc w:val="both"/>
      </w:pPr>
      <w:r>
        <w:rPr>
          <w:rFonts w:ascii="Arial" w:eastAsia="Arial" w:hAnsi="Arial" w:cs="Arial"/>
        </w:rPr>
        <w:t xml:space="preserve">Este capítulo representa un 39,23 % (en ejercicio anterior fue del 37,10 %) del gasto total liquidado siendo cuantitativamente el más importante, destacando la subida del gasto en personal laboral temporal, </w:t>
      </w:r>
    </w:p>
    <w:p w:rsidR="00E23B86" w:rsidRDefault="00BA7C13">
      <w:pPr>
        <w:spacing w:after="243" w:line="248" w:lineRule="auto"/>
        <w:ind w:left="1070" w:right="552" w:hanging="10"/>
        <w:jc w:val="both"/>
      </w:pPr>
      <w:r>
        <w:rPr>
          <w:rFonts w:ascii="Arial" w:eastAsia="Arial" w:hAnsi="Arial" w:cs="Arial"/>
        </w:rPr>
        <w:t>Dentro de esta subida del 4,7 %, se destacan los siguientes hechos:</w:t>
      </w:r>
    </w:p>
    <w:p w:rsidR="00E23B86" w:rsidRDefault="00BA7C13">
      <w:pPr>
        <w:spacing w:after="110" w:line="248" w:lineRule="auto"/>
        <w:ind w:left="373" w:right="552" w:hanging="10"/>
        <w:jc w:val="both"/>
      </w:pPr>
      <w:r>
        <w:rPr>
          <w:rFonts w:ascii="Arial" w:eastAsia="Arial" w:hAnsi="Arial" w:cs="Arial"/>
        </w:rPr>
        <w:t>1.- Aplicación del incremento retributivo del 2,5 % establecido mediante Real Decreto Legislativo para el 2019.</w:t>
      </w:r>
    </w:p>
    <w:p w:rsidR="00E23B86" w:rsidRDefault="00BA7C13">
      <w:pPr>
        <w:spacing w:after="110" w:line="248" w:lineRule="auto"/>
        <w:ind w:left="373" w:right="552" w:hanging="10"/>
        <w:jc w:val="both"/>
      </w:pPr>
      <w:r>
        <w:rPr>
          <w:rFonts w:ascii="Arial" w:eastAsia="Arial" w:hAnsi="Arial" w:cs="Arial"/>
        </w:rPr>
        <w:t>2.- Aumento del gasto de personal de Convenios en 7 %, financiados por el Se</w:t>
      </w:r>
      <w:r>
        <w:rPr>
          <w:rFonts w:ascii="Arial" w:eastAsia="Arial" w:hAnsi="Arial" w:cs="Arial"/>
        </w:rPr>
        <w:t>rvicio Canario de Empleo (ya en el ejercicio anterior creció un 24,5 %).</w:t>
      </w:r>
    </w:p>
    <w:p w:rsidR="00E23B86" w:rsidRDefault="00BA7C13">
      <w:pPr>
        <w:spacing w:after="110" w:line="248" w:lineRule="auto"/>
        <w:ind w:left="373" w:right="552" w:hanging="10"/>
        <w:jc w:val="both"/>
      </w:pPr>
      <w:r>
        <w:rPr>
          <w:rFonts w:ascii="Arial" w:eastAsia="Arial" w:hAnsi="Arial" w:cs="Arial"/>
        </w:rPr>
        <w:t>3.- Aumento de un 59,45 % de gratificaciones y productividad, principalmente policía.</w:t>
      </w:r>
    </w:p>
    <w:p w:rsidR="00E23B86" w:rsidRDefault="00BA7C13">
      <w:pPr>
        <w:spacing w:after="110" w:line="248" w:lineRule="auto"/>
        <w:ind w:left="373" w:right="552" w:hanging="10"/>
        <w:jc w:val="both"/>
      </w:pPr>
      <w:r>
        <w:rPr>
          <w:rFonts w:ascii="Arial" w:eastAsia="Arial" w:hAnsi="Arial" w:cs="Arial"/>
        </w:rPr>
        <w:t>4.- Subida en un 26 % en las retribuciones de los órganos de gobierno.</w:t>
      </w:r>
    </w:p>
    <w:p w:rsidR="00E23B86" w:rsidRDefault="00BA7C13">
      <w:pPr>
        <w:spacing w:after="363" w:line="248" w:lineRule="auto"/>
        <w:ind w:left="373" w:right="552" w:hanging="10"/>
        <w:jc w:val="both"/>
      </w:pPr>
      <w:r>
        <w:rPr>
          <w:rFonts w:ascii="Arial" w:eastAsia="Arial" w:hAnsi="Arial" w:cs="Arial"/>
        </w:rPr>
        <w:t>5.- Incremento de un 7 % l</w:t>
      </w:r>
      <w:r>
        <w:rPr>
          <w:rFonts w:ascii="Arial" w:eastAsia="Arial" w:hAnsi="Arial" w:cs="Arial"/>
        </w:rPr>
        <w:t>os gastos en seguridad social.</w:t>
      </w:r>
    </w:p>
    <w:p w:rsidR="00E23B86" w:rsidRDefault="00BA7C13">
      <w:pPr>
        <w:spacing w:after="243" w:line="249" w:lineRule="auto"/>
        <w:ind w:left="710" w:right="566" w:hanging="10"/>
        <w:jc w:val="both"/>
      </w:pPr>
      <w:r>
        <w:rPr>
          <w:rFonts w:ascii="Arial" w:eastAsia="Arial" w:hAnsi="Arial" w:cs="Arial"/>
          <w:b/>
          <w:i/>
        </w:rPr>
        <w:t>B) GASTOS DE BIENES CORRIENTES Y DE SERVICIOS</w:t>
      </w:r>
    </w:p>
    <w:p w:rsidR="00E23B86" w:rsidRDefault="00BA7C13">
      <w:pPr>
        <w:spacing w:after="245" w:line="248" w:lineRule="auto"/>
        <w:ind w:left="363" w:right="552" w:firstLine="360"/>
        <w:jc w:val="both"/>
      </w:pPr>
      <w:r>
        <w:rPr>
          <w:rFonts w:ascii="Arial" w:eastAsia="Arial" w:hAnsi="Arial" w:cs="Arial"/>
        </w:rPr>
        <w:t>Los gastos de bienes y de servicios corrientes, que representan un 34,4 % del gasto total frente al 33 % del año anterior, experimentan un aumento del 2,45 %, más concretamente de</w:t>
      </w:r>
      <w:r>
        <w:rPr>
          <w:rFonts w:ascii="Arial" w:eastAsia="Arial" w:hAnsi="Arial" w:cs="Arial"/>
        </w:rPr>
        <w:t xml:space="preserve"> 199.418,19 Euros. </w:t>
      </w:r>
    </w:p>
    <w:p w:rsidR="00E23B86" w:rsidRDefault="00BA7C13">
      <w:pPr>
        <w:spacing w:after="245" w:line="248" w:lineRule="auto"/>
        <w:ind w:left="363" w:right="552" w:firstLine="360"/>
        <w:jc w:val="both"/>
      </w:pPr>
      <w:r>
        <w:rPr>
          <w:rFonts w:ascii="Arial" w:eastAsia="Arial" w:hAnsi="Arial" w:cs="Arial"/>
        </w:rPr>
        <w:t>Las incidencias más importantes operadas en este capítulo II, se detallan a continuación:</w:t>
      </w:r>
    </w:p>
    <w:p w:rsidR="00E23B86" w:rsidRDefault="00BA7C13">
      <w:pPr>
        <w:spacing w:after="245" w:line="248" w:lineRule="auto"/>
        <w:ind w:left="373" w:right="552" w:hanging="10"/>
        <w:jc w:val="both"/>
      </w:pPr>
      <w:r>
        <w:rPr>
          <w:rFonts w:ascii="Arial" w:eastAsia="Arial" w:hAnsi="Arial" w:cs="Arial"/>
        </w:rPr>
        <w:t>1.-  Se mantiene prácticamente igual los gastos de arrendamientos, de los que un 44 % son arrendamientos de maquinaria y un 26,6 %, de edificios.</w:t>
      </w:r>
    </w:p>
    <w:p w:rsidR="00E23B86" w:rsidRDefault="00BA7C13">
      <w:pPr>
        <w:spacing w:after="245" w:line="248" w:lineRule="auto"/>
        <w:ind w:left="373" w:right="552" w:hanging="10"/>
        <w:jc w:val="both"/>
      </w:pPr>
      <w:r>
        <w:rPr>
          <w:rFonts w:ascii="Arial" w:eastAsia="Arial" w:hAnsi="Arial" w:cs="Arial"/>
        </w:rPr>
        <w:t>2.- Caída de los gastos de conservación, mantenimiento y reparación, de infraestructuras municipales y edificios municipales, que se incrementa un 24,5 %, representando el 9 % del gasto de este capítulo.</w:t>
      </w:r>
    </w:p>
    <w:p w:rsidR="00E23B86" w:rsidRDefault="00BA7C13">
      <w:pPr>
        <w:spacing w:after="243" w:line="248" w:lineRule="auto"/>
        <w:ind w:left="373" w:right="552" w:hanging="10"/>
        <w:jc w:val="both"/>
      </w:pPr>
      <w:r>
        <w:rPr>
          <w:rFonts w:ascii="Arial" w:eastAsia="Arial" w:hAnsi="Arial" w:cs="Arial"/>
        </w:rPr>
        <w:t>3.-  Sube un 112 % el gasto en material de oficina n</w:t>
      </w:r>
      <w:r>
        <w:rPr>
          <w:rFonts w:ascii="Arial" w:eastAsia="Arial" w:hAnsi="Arial" w:cs="Arial"/>
        </w:rPr>
        <w:t>o inventariable.</w:t>
      </w:r>
    </w:p>
    <w:p w:rsidR="00E23B86" w:rsidRDefault="00BA7C13">
      <w:pPr>
        <w:spacing w:after="243" w:line="248" w:lineRule="auto"/>
        <w:ind w:left="373" w:right="552" w:hanging="10"/>
        <w:jc w:val="both"/>
      </w:pPr>
      <w:r>
        <w:rPr>
          <w:noProof/>
        </w:rPr>
        <mc:AlternateContent>
          <mc:Choice Requires="wpg">
            <w:drawing>
              <wp:anchor distT="0" distB="0" distL="114300" distR="114300" simplePos="0" relativeHeight="2516869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67350" name="Group 46735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8628" name="Rectangle 862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8629" name="Rectangle 862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28 de 391 </w:t>
                              </w:r>
                            </w:p>
                          </w:txbxContent>
                        </wps:txbx>
                        <wps:bodyPr horzOverflow="overflow" vert="horz" lIns="0" tIns="0" rIns="0" bIns="0" rtlCol="0">
                          <a:noAutofit/>
                        </wps:bodyPr>
                      </wps:wsp>
                    </wpg:wgp>
                  </a:graphicData>
                </a:graphic>
              </wp:anchor>
            </w:drawing>
          </mc:Choice>
          <mc:Fallback xmlns:a="http://schemas.openxmlformats.org/drawingml/2006/main">
            <w:pict>
              <v:group id="Group 467350" style="width:12.7031pt;height:280.35pt;position:absolute;mso-position-horizontal-relative:page;mso-position-horizontal:absolute;margin-left:681.958pt;mso-position-vertical-relative:page;margin-top:531.65pt;" coordsize="1613,35604">
                <v:rect id="Rectangle 862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862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391 </w:t>
                        </w:r>
                      </w:p>
                    </w:txbxContent>
                  </v:textbox>
                </v:rect>
                <w10:wrap type="square"/>
              </v:group>
            </w:pict>
          </mc:Fallback>
        </mc:AlternateContent>
      </w:r>
      <w:r>
        <w:rPr>
          <w:rFonts w:ascii="Arial" w:eastAsia="Arial" w:hAnsi="Arial" w:cs="Arial"/>
        </w:rPr>
        <w:t>4.- Cae un 22 % el gasto en prensa, revist</w:t>
      </w:r>
      <w:r>
        <w:rPr>
          <w:rFonts w:ascii="Arial" w:eastAsia="Arial" w:hAnsi="Arial" w:cs="Arial"/>
        </w:rPr>
        <w:t>as y otras publicaciones.</w:t>
      </w:r>
    </w:p>
    <w:p w:rsidR="00E23B86" w:rsidRDefault="00BA7C13">
      <w:pPr>
        <w:spacing w:after="243" w:line="248" w:lineRule="auto"/>
        <w:ind w:left="373" w:right="552" w:hanging="10"/>
        <w:jc w:val="both"/>
      </w:pPr>
      <w:r>
        <w:rPr>
          <w:rFonts w:ascii="Arial" w:eastAsia="Arial" w:hAnsi="Arial" w:cs="Arial"/>
        </w:rPr>
        <w:t>5.- Incremento del 1,8 %, del consumo de energía eléctrica.</w:t>
      </w:r>
    </w:p>
    <w:p w:rsidR="00E23B86" w:rsidRDefault="00BA7C13">
      <w:pPr>
        <w:spacing w:after="243" w:line="248" w:lineRule="auto"/>
        <w:ind w:left="373" w:right="552" w:hanging="10"/>
        <w:jc w:val="both"/>
      </w:pPr>
      <w:r>
        <w:rPr>
          <w:rFonts w:ascii="Arial" w:eastAsia="Arial" w:hAnsi="Arial" w:cs="Arial"/>
        </w:rPr>
        <w:t>6.- Sube un 7 % el gasto en combustibles y carburantes.</w:t>
      </w:r>
    </w:p>
    <w:p w:rsidR="00E23B86" w:rsidRDefault="00BA7C13">
      <w:pPr>
        <w:spacing w:after="243" w:line="248" w:lineRule="auto"/>
        <w:ind w:left="373" w:right="552" w:hanging="10"/>
        <w:jc w:val="both"/>
      </w:pPr>
      <w:r>
        <w:rPr>
          <w:rFonts w:ascii="Arial" w:eastAsia="Arial" w:hAnsi="Arial" w:cs="Arial"/>
        </w:rPr>
        <w:t>7.- Disminuye el gasto en vestuario en un 17,5 %.</w:t>
      </w:r>
    </w:p>
    <w:p w:rsidR="00E23B86" w:rsidRDefault="00BA7C13">
      <w:pPr>
        <w:spacing w:after="0" w:line="480" w:lineRule="auto"/>
        <w:ind w:left="373" w:right="3778" w:hanging="10"/>
        <w:jc w:val="both"/>
      </w:pPr>
      <w:r>
        <w:rPr>
          <w:rFonts w:ascii="Arial" w:eastAsia="Arial" w:hAnsi="Arial" w:cs="Arial"/>
        </w:rPr>
        <w:t>8.- Cae un 93 % el gasto en productos alimenticios. 9.- Cae el g</w:t>
      </w:r>
      <w:r>
        <w:rPr>
          <w:rFonts w:ascii="Arial" w:eastAsia="Arial" w:hAnsi="Arial" w:cs="Arial"/>
        </w:rPr>
        <w:t xml:space="preserve">asto en telecomunicaciones en un 8 %. </w:t>
      </w:r>
    </w:p>
    <w:p w:rsidR="00E23B86" w:rsidRDefault="00BA7C13">
      <w:pPr>
        <w:spacing w:after="243" w:line="248" w:lineRule="auto"/>
        <w:ind w:left="373" w:right="552" w:hanging="10"/>
        <w:jc w:val="both"/>
      </w:pPr>
      <w:r>
        <w:rPr>
          <w:rFonts w:ascii="Arial" w:eastAsia="Arial" w:hAnsi="Arial" w:cs="Arial"/>
        </w:rPr>
        <w:t>10.- Se incrementa en un 11 % los gastos en primas de seguros.</w:t>
      </w:r>
    </w:p>
    <w:p w:rsidR="00E23B86" w:rsidRDefault="00BA7C13">
      <w:pPr>
        <w:spacing w:after="243" w:line="248" w:lineRule="auto"/>
        <w:ind w:left="373" w:right="552" w:hanging="10"/>
        <w:jc w:val="both"/>
      </w:pPr>
      <w:r>
        <w:rPr>
          <w:rFonts w:ascii="Arial" w:eastAsia="Arial" w:hAnsi="Arial" w:cs="Arial"/>
        </w:rPr>
        <w:t>11.- Disminuye el 27 %, de los gastos en publicidad y propaganda.</w:t>
      </w:r>
    </w:p>
    <w:p w:rsidR="00E23B86" w:rsidRDefault="00BA7C13">
      <w:pPr>
        <w:spacing w:after="243" w:line="248" w:lineRule="auto"/>
        <w:ind w:left="373" w:right="552" w:hanging="10"/>
        <w:jc w:val="both"/>
      </w:pPr>
      <w:r>
        <w:rPr>
          <w:rFonts w:ascii="Arial" w:eastAsia="Arial" w:hAnsi="Arial" w:cs="Arial"/>
        </w:rPr>
        <w:t>12.- Disminuye un 16 % los gastos jurídicos.</w:t>
      </w:r>
    </w:p>
    <w:p w:rsidR="00E23B86" w:rsidRDefault="00BA7C13">
      <w:pPr>
        <w:spacing w:after="243" w:line="248" w:lineRule="auto"/>
        <w:ind w:left="373" w:right="552" w:hanging="10"/>
        <w:jc w:val="both"/>
      </w:pPr>
      <w:r>
        <w:rPr>
          <w:rFonts w:ascii="Arial" w:eastAsia="Arial" w:hAnsi="Arial" w:cs="Arial"/>
        </w:rPr>
        <w:t>13.- Caída del 33 %, de los gastos en feste</w:t>
      </w:r>
      <w:r>
        <w:rPr>
          <w:rFonts w:ascii="Arial" w:eastAsia="Arial" w:hAnsi="Arial" w:cs="Arial"/>
        </w:rPr>
        <w:t>jos.</w:t>
      </w:r>
    </w:p>
    <w:p w:rsidR="00E23B86" w:rsidRDefault="00BA7C13">
      <w:pPr>
        <w:spacing w:after="243" w:line="248" w:lineRule="auto"/>
        <w:ind w:left="373" w:right="552" w:hanging="10"/>
        <w:jc w:val="both"/>
      </w:pPr>
      <w:r>
        <w:rPr>
          <w:rFonts w:ascii="Arial" w:eastAsia="Arial" w:hAnsi="Arial" w:cs="Arial"/>
        </w:rPr>
        <w:t>14.- Sube el 3 %, de los gastos en Cultura.</w:t>
      </w:r>
    </w:p>
    <w:p w:rsidR="00E23B86" w:rsidRDefault="00BA7C13">
      <w:pPr>
        <w:spacing w:after="497" w:line="248" w:lineRule="auto"/>
        <w:ind w:left="373" w:right="552" w:hanging="10"/>
        <w:jc w:val="both"/>
      </w:pPr>
      <w:r>
        <w:rPr>
          <w:rFonts w:ascii="Arial" w:eastAsia="Arial" w:hAnsi="Arial" w:cs="Arial"/>
        </w:rPr>
        <w:t>15.- Subida del 16,5 % en actividades deportivas.</w:t>
      </w:r>
    </w:p>
    <w:p w:rsidR="00E23B86" w:rsidRDefault="00BA7C13">
      <w:pPr>
        <w:spacing w:after="110" w:line="248" w:lineRule="auto"/>
        <w:ind w:left="363" w:right="552" w:firstLine="708"/>
        <w:jc w:val="both"/>
      </w:pPr>
      <w:r>
        <w:rPr>
          <w:rFonts w:ascii="Arial" w:eastAsia="Arial" w:hAnsi="Arial" w:cs="Arial"/>
        </w:rPr>
        <w:t>En el siguiente cuadro, se pone de manifiesto, la evolución de los gastos en este capítulo, y las previsiones definitivas:</w:t>
      </w:r>
    </w:p>
    <w:tbl>
      <w:tblPr>
        <w:tblStyle w:val="TableGrid"/>
        <w:tblW w:w="5040" w:type="dxa"/>
        <w:tblInd w:w="411" w:type="dxa"/>
        <w:tblCellMar>
          <w:top w:w="11" w:type="dxa"/>
          <w:left w:w="11" w:type="dxa"/>
          <w:bottom w:w="0" w:type="dxa"/>
          <w:right w:w="8" w:type="dxa"/>
        </w:tblCellMar>
        <w:tblLook w:val="04A0" w:firstRow="1" w:lastRow="0" w:firstColumn="1" w:lastColumn="0" w:noHBand="0" w:noVBand="1"/>
      </w:tblPr>
      <w:tblGrid>
        <w:gridCol w:w="598"/>
        <w:gridCol w:w="1989"/>
        <w:gridCol w:w="2453"/>
      </w:tblGrid>
      <w:tr w:rsidR="00E23B86">
        <w:trPr>
          <w:trHeight w:val="1273"/>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 xml:space="preserve">AÑO </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PREVISIONES</w:t>
            </w:r>
          </w:p>
          <w:p w:rsidR="00E23B86" w:rsidRDefault="00BA7C13">
            <w:pPr>
              <w:spacing w:after="0" w:line="241" w:lineRule="auto"/>
            </w:pPr>
            <w:r>
              <w:rPr>
                <w:rFonts w:ascii="Arial" w:eastAsia="Arial" w:hAnsi="Arial" w:cs="Arial"/>
              </w:rPr>
              <w:t>DEFINITIVAS DEL CAPÍTULO</w:t>
            </w:r>
          </w:p>
          <w:p w:rsidR="00E23B86" w:rsidRDefault="00BA7C13">
            <w:pPr>
              <w:spacing w:after="0"/>
              <w:jc w:val="both"/>
            </w:pPr>
            <w:r>
              <w:rPr>
                <w:rFonts w:ascii="Arial" w:eastAsia="Arial" w:hAnsi="Arial" w:cs="Arial"/>
              </w:rPr>
              <w:t>GASTOS CTES Y</w:t>
            </w:r>
          </w:p>
          <w:p w:rsidR="00E23B86" w:rsidRDefault="00BA7C13">
            <w:pPr>
              <w:spacing w:after="0"/>
            </w:pPr>
            <w:r>
              <w:rPr>
                <w:rFonts w:ascii="Arial" w:eastAsia="Arial" w:hAnsi="Arial" w:cs="Arial"/>
              </w:rPr>
              <w:t>SERVICIOS</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GASTOS REALIZADOS</w:t>
            </w:r>
          </w:p>
          <w:p w:rsidR="00E23B86" w:rsidRDefault="00BA7C13">
            <w:pPr>
              <w:spacing w:after="0" w:line="241" w:lineRule="auto"/>
              <w:ind w:left="1"/>
              <w:jc w:val="both"/>
            </w:pPr>
            <w:r>
              <w:rPr>
                <w:rFonts w:ascii="Arial" w:eastAsia="Arial" w:hAnsi="Arial" w:cs="Arial"/>
              </w:rPr>
              <w:t>DEL CAPÍTULO GASTOS CTES Y</w:t>
            </w:r>
          </w:p>
          <w:p w:rsidR="00E23B86" w:rsidRDefault="00BA7C13">
            <w:pPr>
              <w:spacing w:after="0"/>
              <w:ind w:left="1"/>
            </w:pPr>
            <w:r>
              <w:rPr>
                <w:rFonts w:ascii="Arial" w:eastAsia="Arial" w:hAnsi="Arial" w:cs="Arial"/>
              </w:rPr>
              <w:t>SERVICIOS</w:t>
            </w:r>
          </w:p>
        </w:tc>
      </w:tr>
      <w:tr w:rsidR="00E23B86">
        <w:trPr>
          <w:trHeight w:val="264"/>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2019</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9.348.092,07</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8.316.780,37</w:t>
            </w:r>
          </w:p>
        </w:tc>
      </w:tr>
      <w:tr w:rsidR="00E23B86">
        <w:trPr>
          <w:trHeight w:val="262"/>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2018</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9.690.061,04</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8.117.362,18</w:t>
            </w:r>
          </w:p>
        </w:tc>
      </w:tr>
      <w:tr w:rsidR="00E23B86">
        <w:trPr>
          <w:trHeight w:val="264"/>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2017</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8.200.745,56</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7.590.557,06</w:t>
            </w:r>
          </w:p>
        </w:tc>
      </w:tr>
      <w:tr w:rsidR="00E23B86">
        <w:trPr>
          <w:trHeight w:val="262"/>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2016</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7.665.742,78</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6.900.078,04</w:t>
            </w:r>
          </w:p>
        </w:tc>
      </w:tr>
      <w:tr w:rsidR="00E23B86">
        <w:trPr>
          <w:trHeight w:val="264"/>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2015</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6.949.294,48</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6034104,2</w:t>
            </w:r>
          </w:p>
        </w:tc>
      </w:tr>
      <w:tr w:rsidR="00E23B86">
        <w:trPr>
          <w:trHeight w:val="262"/>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2014</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7.984.189,47</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7.471.120,37</w:t>
            </w:r>
          </w:p>
        </w:tc>
      </w:tr>
      <w:tr w:rsidR="00E23B86">
        <w:trPr>
          <w:trHeight w:val="264"/>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2013</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6.348.969,39</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5.474.398,91</w:t>
            </w:r>
          </w:p>
        </w:tc>
      </w:tr>
      <w:tr w:rsidR="00E23B86">
        <w:trPr>
          <w:trHeight w:val="262"/>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2012</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6.512.074,96</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5.783.911,09</w:t>
            </w:r>
          </w:p>
        </w:tc>
      </w:tr>
      <w:tr w:rsidR="00E23B86">
        <w:trPr>
          <w:trHeight w:val="264"/>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2011</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6.833.125,76</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5.777.862,38</w:t>
            </w:r>
          </w:p>
        </w:tc>
      </w:tr>
      <w:tr w:rsidR="00E23B86">
        <w:trPr>
          <w:trHeight w:val="263"/>
        </w:trPr>
        <w:tc>
          <w:tcPr>
            <w:tcW w:w="598"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2010</w:t>
            </w:r>
          </w:p>
        </w:tc>
        <w:tc>
          <w:tcPr>
            <w:tcW w:w="1989"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7.507.737,46</w:t>
            </w:r>
          </w:p>
        </w:tc>
        <w:tc>
          <w:tcPr>
            <w:tcW w:w="2453"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6.474.267,23</w:t>
            </w:r>
          </w:p>
        </w:tc>
      </w:tr>
    </w:tbl>
    <w:p w:rsidR="00E23B86" w:rsidRDefault="00BA7C13">
      <w:pPr>
        <w:numPr>
          <w:ilvl w:val="0"/>
          <w:numId w:val="12"/>
        </w:numPr>
        <w:spacing w:after="243" w:line="249" w:lineRule="auto"/>
        <w:ind w:right="566" w:hanging="293"/>
        <w:jc w:val="both"/>
      </w:pPr>
      <w:r>
        <w:rPr>
          <w:rFonts w:ascii="Arial" w:eastAsia="Arial" w:hAnsi="Arial" w:cs="Arial"/>
          <w:b/>
          <w:i/>
        </w:rPr>
        <w:t>GASTOS FINANCIEROS</w:t>
      </w:r>
    </w:p>
    <w:p w:rsidR="00E23B86" w:rsidRDefault="00BA7C13">
      <w:pPr>
        <w:spacing w:after="497" w:line="248" w:lineRule="auto"/>
        <w:ind w:left="363" w:right="552" w:firstLine="708"/>
        <w:jc w:val="both"/>
      </w:pPr>
      <w:r>
        <w:rPr>
          <w:rFonts w:ascii="Arial" w:eastAsia="Arial" w:hAnsi="Arial" w:cs="Arial"/>
        </w:rPr>
        <w:t>Los gastos financieros cayeron un 76 %, motivado por menor gasto de los intereses de demora, que cayeron en casi doscientos setenta mil euros.</w:t>
      </w:r>
    </w:p>
    <w:p w:rsidR="00E23B86" w:rsidRDefault="00BA7C13">
      <w:pPr>
        <w:numPr>
          <w:ilvl w:val="0"/>
          <w:numId w:val="12"/>
        </w:numPr>
        <w:spacing w:after="243" w:line="249" w:lineRule="auto"/>
        <w:ind w:right="566" w:hanging="293"/>
        <w:jc w:val="both"/>
      </w:pPr>
      <w:r>
        <w:rPr>
          <w:rFonts w:ascii="Arial" w:eastAsia="Arial" w:hAnsi="Arial" w:cs="Arial"/>
          <w:b/>
          <w:i/>
        </w:rPr>
        <w:t>TRANSFERENCIAS CORRIENTES</w:t>
      </w:r>
    </w:p>
    <w:p w:rsidR="00E23B86" w:rsidRDefault="00BA7C13">
      <w:pPr>
        <w:spacing w:after="3" w:line="249" w:lineRule="auto"/>
        <w:ind w:left="337" w:right="555" w:firstLine="708"/>
      </w:pPr>
      <w:r>
        <w:rPr>
          <w:rFonts w:ascii="Arial" w:eastAsia="Arial" w:hAnsi="Arial" w:cs="Arial"/>
        </w:rPr>
        <w:t>En materia de transferencias corrientes, prácticamente se ha mantenido igual el nivel d</w:t>
      </w:r>
      <w:r>
        <w:rPr>
          <w:rFonts w:ascii="Arial" w:eastAsia="Arial" w:hAnsi="Arial" w:cs="Arial"/>
        </w:rPr>
        <w:t>e gasto, siendo el tercer componente de gasto más importante cuantitativamente, por los siguientes motivos:</w:t>
      </w:r>
    </w:p>
    <w:p w:rsidR="00E23B86" w:rsidRDefault="00BA7C13">
      <w:pPr>
        <w:numPr>
          <w:ilvl w:val="0"/>
          <w:numId w:val="13"/>
        </w:numPr>
        <w:spacing w:after="10" w:line="248" w:lineRule="auto"/>
        <w:ind w:right="552" w:hanging="900"/>
        <w:jc w:val="both"/>
      </w:pPr>
      <w:r>
        <w:rPr>
          <w:rFonts w:ascii="Arial" w:eastAsia="Arial" w:hAnsi="Arial" w:cs="Arial"/>
        </w:rPr>
        <w:t>Se mantiene las transferencias a los entes instrumentales municipales.</w:t>
      </w:r>
    </w:p>
    <w:p w:rsidR="00E23B86" w:rsidRDefault="00BA7C13">
      <w:pPr>
        <w:numPr>
          <w:ilvl w:val="0"/>
          <w:numId w:val="13"/>
        </w:numPr>
        <w:spacing w:after="0" w:line="248" w:lineRule="auto"/>
        <w:ind w:right="552" w:hanging="900"/>
        <w:jc w:val="both"/>
      </w:pPr>
      <w:r>
        <w:rPr>
          <w:noProof/>
        </w:rPr>
        <mc:AlternateContent>
          <mc:Choice Requires="wpg">
            <w:drawing>
              <wp:anchor distT="0" distB="0" distL="114300" distR="114300" simplePos="0" relativeHeight="2516879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3202" name="Group 53320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8901" name="Rectangle 890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8902" name="Rectangle 890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3202" style="width:12.7031pt;height:280.35pt;position:absolute;mso-position-horizontal-relative:page;mso-position-horizontal:absolute;margin-left:681.958pt;mso-position-vertical-relative:page;margin-top:531.65pt;" coordsize="1613,35604">
                <v:rect id="Rectangle 890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890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391 </w:t>
                        </w:r>
                      </w:p>
                    </w:txbxContent>
                  </v:textbox>
                </v:rect>
                <w10:wrap type="square"/>
              </v:group>
            </w:pict>
          </mc:Fallback>
        </mc:AlternateContent>
      </w:r>
      <w:r>
        <w:rPr>
          <w:rFonts w:ascii="Arial" w:eastAsia="Arial" w:hAnsi="Arial" w:cs="Arial"/>
        </w:rPr>
        <w:t>Subida del 16,2 % de las aportaciones al Consorcio de Tributos por la gestión de recursos municipales.</w:t>
      </w:r>
    </w:p>
    <w:p w:rsidR="00E23B86" w:rsidRDefault="00BA7C13">
      <w:pPr>
        <w:numPr>
          <w:ilvl w:val="0"/>
          <w:numId w:val="13"/>
        </w:numPr>
        <w:spacing w:after="10" w:line="248" w:lineRule="auto"/>
        <w:ind w:right="552" w:hanging="900"/>
        <w:jc w:val="both"/>
      </w:pPr>
      <w:r>
        <w:rPr>
          <w:rFonts w:ascii="Arial" w:eastAsia="Arial" w:hAnsi="Arial" w:cs="Arial"/>
        </w:rPr>
        <w:t>Sube las aportaciones en un 1 %, al Consorcio de Incendios.</w:t>
      </w:r>
    </w:p>
    <w:p w:rsidR="00E23B86" w:rsidRDefault="00BA7C13">
      <w:pPr>
        <w:numPr>
          <w:ilvl w:val="0"/>
          <w:numId w:val="13"/>
        </w:numPr>
        <w:spacing w:after="0" w:line="248" w:lineRule="auto"/>
        <w:ind w:right="552" w:hanging="900"/>
        <w:jc w:val="both"/>
      </w:pPr>
      <w:r>
        <w:rPr>
          <w:rFonts w:ascii="Arial" w:eastAsia="Arial" w:hAnsi="Arial" w:cs="Arial"/>
        </w:rPr>
        <w:t>Disminuye el 7 % las subvenciones concedidas por la Concejalía de Servicios Sociales.</w:t>
      </w:r>
    </w:p>
    <w:p w:rsidR="00E23B86" w:rsidRDefault="00BA7C13">
      <w:pPr>
        <w:numPr>
          <w:ilvl w:val="0"/>
          <w:numId w:val="13"/>
        </w:numPr>
        <w:spacing w:after="0" w:line="248" w:lineRule="auto"/>
        <w:ind w:right="552" w:hanging="900"/>
        <w:jc w:val="both"/>
      </w:pPr>
      <w:r>
        <w:rPr>
          <w:rFonts w:ascii="Arial" w:eastAsia="Arial" w:hAnsi="Arial" w:cs="Arial"/>
        </w:rPr>
        <w:t>Caída d</w:t>
      </w:r>
      <w:r>
        <w:rPr>
          <w:rFonts w:ascii="Arial" w:eastAsia="Arial" w:hAnsi="Arial" w:cs="Arial"/>
        </w:rPr>
        <w:t>el 0,5 % de las subvenciones concedidas para Cultura, que en 2018, la caída fue del 59 %).</w:t>
      </w:r>
    </w:p>
    <w:p w:rsidR="00E23B86" w:rsidRDefault="00BA7C13">
      <w:pPr>
        <w:numPr>
          <w:ilvl w:val="0"/>
          <w:numId w:val="13"/>
        </w:numPr>
        <w:spacing w:after="499" w:line="248" w:lineRule="auto"/>
        <w:ind w:right="552" w:hanging="900"/>
        <w:jc w:val="both"/>
      </w:pPr>
      <w:r>
        <w:rPr>
          <w:rFonts w:ascii="Arial" w:eastAsia="Arial" w:hAnsi="Arial" w:cs="Arial"/>
        </w:rPr>
        <w:t>Caída del 0,6 % de las subvenciones concedidas para Deportes, con una caída en 2018, del 47 %.</w:t>
      </w:r>
    </w:p>
    <w:p w:rsidR="00E23B86" w:rsidRDefault="00BA7C13">
      <w:pPr>
        <w:spacing w:after="756" w:line="248" w:lineRule="auto"/>
        <w:ind w:left="363" w:right="552" w:firstLine="708"/>
        <w:jc w:val="both"/>
      </w:pPr>
      <w:r>
        <w:rPr>
          <w:rFonts w:ascii="Arial" w:eastAsia="Arial" w:hAnsi="Arial" w:cs="Arial"/>
        </w:rPr>
        <w:t>A continuación, se detalla, la evolución de los gastos en este capítul</w:t>
      </w:r>
      <w:r>
        <w:rPr>
          <w:rFonts w:ascii="Arial" w:eastAsia="Arial" w:hAnsi="Arial" w:cs="Arial"/>
        </w:rPr>
        <w:t>o IV de Transferencias corrientes:</w:t>
      </w:r>
    </w:p>
    <w:tbl>
      <w:tblPr>
        <w:tblStyle w:val="TableGrid"/>
        <w:tblW w:w="8604" w:type="dxa"/>
        <w:tblInd w:w="323" w:type="dxa"/>
        <w:tblCellMar>
          <w:top w:w="10" w:type="dxa"/>
          <w:left w:w="32" w:type="dxa"/>
          <w:bottom w:w="0" w:type="dxa"/>
          <w:right w:w="31" w:type="dxa"/>
        </w:tblCellMar>
        <w:tblLook w:val="04A0" w:firstRow="1" w:lastRow="0" w:firstColumn="1" w:lastColumn="0" w:noHBand="0" w:noVBand="1"/>
      </w:tblPr>
      <w:tblGrid>
        <w:gridCol w:w="572"/>
        <w:gridCol w:w="3964"/>
        <w:gridCol w:w="4068"/>
      </w:tblGrid>
      <w:tr w:rsidR="00E23B86">
        <w:trPr>
          <w:trHeight w:val="766"/>
        </w:trPr>
        <w:tc>
          <w:tcPr>
            <w:tcW w:w="571"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17"/>
              <w:jc w:val="both"/>
            </w:pPr>
            <w:r>
              <w:rPr>
                <w:rFonts w:ascii="Arial" w:eastAsia="Arial" w:hAnsi="Arial" w:cs="Arial"/>
              </w:rPr>
              <w:t>AÑO</w:t>
            </w:r>
          </w:p>
        </w:tc>
        <w:tc>
          <w:tcPr>
            <w:tcW w:w="39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2"/>
              <w:jc w:val="center"/>
            </w:pPr>
            <w:r>
              <w:rPr>
                <w:rFonts w:ascii="Arial" w:eastAsia="Arial" w:hAnsi="Arial" w:cs="Arial"/>
              </w:rPr>
              <w:t>PREVISIONES DEFINITIVAS DEL</w:t>
            </w:r>
          </w:p>
          <w:p w:rsidR="00E23B86" w:rsidRDefault="00BA7C13">
            <w:pPr>
              <w:spacing w:after="0"/>
              <w:ind w:left="186"/>
            </w:pPr>
            <w:r>
              <w:rPr>
                <w:rFonts w:ascii="Arial" w:eastAsia="Arial" w:hAnsi="Arial" w:cs="Arial"/>
              </w:rPr>
              <w:t>CAPÍTULO DE TRANSFERENCIAS</w:t>
            </w:r>
          </w:p>
          <w:p w:rsidR="00E23B86" w:rsidRDefault="00BA7C13">
            <w:pPr>
              <w:spacing w:after="0"/>
              <w:ind w:left="4"/>
              <w:jc w:val="center"/>
            </w:pPr>
            <w:r>
              <w:rPr>
                <w:rFonts w:ascii="Arial" w:eastAsia="Arial" w:hAnsi="Arial" w:cs="Arial"/>
              </w:rPr>
              <w:t>CORRIENTES</w:t>
            </w:r>
          </w:p>
        </w:tc>
        <w:tc>
          <w:tcPr>
            <w:tcW w:w="406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GASTOS DEFINITIVOS DEL CAPÍTULO TRANSFERENCIAS CORRIENTES</w:t>
            </w:r>
          </w:p>
        </w:tc>
      </w:tr>
      <w:tr w:rsidR="00E23B86">
        <w:trPr>
          <w:trHeight w:val="264"/>
        </w:trPr>
        <w:tc>
          <w:tcPr>
            <w:tcW w:w="571"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11"/>
              <w:jc w:val="both"/>
            </w:pPr>
            <w:r>
              <w:rPr>
                <w:rFonts w:ascii="Arial" w:eastAsia="Arial" w:hAnsi="Arial" w:cs="Arial"/>
              </w:rPr>
              <w:t>2019</w:t>
            </w:r>
          </w:p>
        </w:tc>
        <w:tc>
          <w:tcPr>
            <w:tcW w:w="39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3"/>
              <w:jc w:val="center"/>
            </w:pPr>
            <w:r>
              <w:rPr>
                <w:rFonts w:ascii="Arial" w:eastAsia="Arial" w:hAnsi="Arial" w:cs="Arial"/>
              </w:rPr>
              <w:t>3.025.576,31</w:t>
            </w:r>
          </w:p>
        </w:tc>
        <w:tc>
          <w:tcPr>
            <w:tcW w:w="406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3"/>
              <w:jc w:val="center"/>
            </w:pPr>
            <w:r>
              <w:rPr>
                <w:rFonts w:ascii="Arial" w:eastAsia="Arial" w:hAnsi="Arial" w:cs="Arial"/>
              </w:rPr>
              <w:t>2.698.511,91</w:t>
            </w:r>
          </w:p>
        </w:tc>
      </w:tr>
      <w:tr w:rsidR="00E23B86">
        <w:trPr>
          <w:trHeight w:val="263"/>
        </w:trPr>
        <w:tc>
          <w:tcPr>
            <w:tcW w:w="571"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11"/>
              <w:jc w:val="both"/>
            </w:pPr>
            <w:r>
              <w:rPr>
                <w:rFonts w:ascii="Arial" w:eastAsia="Arial" w:hAnsi="Arial" w:cs="Arial"/>
              </w:rPr>
              <w:t>2018</w:t>
            </w:r>
          </w:p>
        </w:tc>
        <w:tc>
          <w:tcPr>
            <w:tcW w:w="396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3"/>
              <w:jc w:val="center"/>
            </w:pPr>
            <w:r>
              <w:rPr>
                <w:rFonts w:ascii="Arial" w:eastAsia="Arial" w:hAnsi="Arial" w:cs="Arial"/>
              </w:rPr>
              <w:t>3.042.257,65</w:t>
            </w:r>
          </w:p>
        </w:tc>
        <w:tc>
          <w:tcPr>
            <w:tcW w:w="406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3"/>
              <w:jc w:val="center"/>
            </w:pPr>
            <w:r>
              <w:rPr>
                <w:rFonts w:ascii="Arial" w:eastAsia="Arial" w:hAnsi="Arial" w:cs="Arial"/>
              </w:rPr>
              <w:t>2.703.794,48</w:t>
            </w:r>
          </w:p>
        </w:tc>
      </w:tr>
      <w:tr w:rsidR="00E23B86">
        <w:trPr>
          <w:trHeight w:val="262"/>
        </w:trPr>
        <w:tc>
          <w:tcPr>
            <w:tcW w:w="571"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2017</w:t>
            </w:r>
          </w:p>
        </w:tc>
        <w:tc>
          <w:tcPr>
            <w:tcW w:w="3964"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2.649.048,69</w:t>
            </w:r>
          </w:p>
        </w:tc>
        <w:tc>
          <w:tcPr>
            <w:tcW w:w="406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2.534.776,78</w:t>
            </w:r>
          </w:p>
        </w:tc>
      </w:tr>
      <w:tr w:rsidR="00E23B86">
        <w:trPr>
          <w:trHeight w:val="262"/>
        </w:trPr>
        <w:tc>
          <w:tcPr>
            <w:tcW w:w="571"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2016</w:t>
            </w:r>
          </w:p>
        </w:tc>
        <w:tc>
          <w:tcPr>
            <w:tcW w:w="3964"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2.746.068,40</w:t>
            </w:r>
          </w:p>
        </w:tc>
        <w:tc>
          <w:tcPr>
            <w:tcW w:w="406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2.503.198,30</w:t>
            </w:r>
          </w:p>
        </w:tc>
      </w:tr>
      <w:tr w:rsidR="00E23B86">
        <w:trPr>
          <w:trHeight w:val="264"/>
        </w:trPr>
        <w:tc>
          <w:tcPr>
            <w:tcW w:w="571"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2015</w:t>
            </w:r>
          </w:p>
        </w:tc>
        <w:tc>
          <w:tcPr>
            <w:tcW w:w="3964"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2.530.827,81</w:t>
            </w:r>
          </w:p>
        </w:tc>
        <w:tc>
          <w:tcPr>
            <w:tcW w:w="406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2.422.620,61</w:t>
            </w:r>
          </w:p>
        </w:tc>
      </w:tr>
      <w:tr w:rsidR="00E23B86">
        <w:trPr>
          <w:trHeight w:val="262"/>
        </w:trPr>
        <w:tc>
          <w:tcPr>
            <w:tcW w:w="571"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2014</w:t>
            </w:r>
          </w:p>
        </w:tc>
        <w:tc>
          <w:tcPr>
            <w:tcW w:w="3964"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2.462.601,75</w:t>
            </w:r>
          </w:p>
        </w:tc>
        <w:tc>
          <w:tcPr>
            <w:tcW w:w="406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2.371.151,71</w:t>
            </w:r>
          </w:p>
        </w:tc>
      </w:tr>
      <w:tr w:rsidR="00E23B86">
        <w:trPr>
          <w:trHeight w:val="264"/>
        </w:trPr>
        <w:tc>
          <w:tcPr>
            <w:tcW w:w="571"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2013</w:t>
            </w:r>
          </w:p>
        </w:tc>
        <w:tc>
          <w:tcPr>
            <w:tcW w:w="3964"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2.735.232,96</w:t>
            </w:r>
          </w:p>
        </w:tc>
        <w:tc>
          <w:tcPr>
            <w:tcW w:w="406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2.299.765,59</w:t>
            </w:r>
          </w:p>
        </w:tc>
      </w:tr>
      <w:tr w:rsidR="00E23B86">
        <w:trPr>
          <w:trHeight w:val="262"/>
        </w:trPr>
        <w:tc>
          <w:tcPr>
            <w:tcW w:w="571"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2012</w:t>
            </w:r>
          </w:p>
        </w:tc>
        <w:tc>
          <w:tcPr>
            <w:tcW w:w="3964"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2.564.572,21</w:t>
            </w:r>
          </w:p>
        </w:tc>
        <w:tc>
          <w:tcPr>
            <w:tcW w:w="406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2.455.614,40</w:t>
            </w:r>
          </w:p>
        </w:tc>
      </w:tr>
      <w:tr w:rsidR="00E23B86">
        <w:trPr>
          <w:trHeight w:val="264"/>
        </w:trPr>
        <w:tc>
          <w:tcPr>
            <w:tcW w:w="571"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2011</w:t>
            </w:r>
          </w:p>
        </w:tc>
        <w:tc>
          <w:tcPr>
            <w:tcW w:w="3964"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2.876.122,34</w:t>
            </w:r>
          </w:p>
        </w:tc>
        <w:tc>
          <w:tcPr>
            <w:tcW w:w="406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2.593.691,52</w:t>
            </w:r>
          </w:p>
        </w:tc>
      </w:tr>
      <w:tr w:rsidR="00E23B86">
        <w:trPr>
          <w:trHeight w:val="263"/>
        </w:trPr>
        <w:tc>
          <w:tcPr>
            <w:tcW w:w="571"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2010</w:t>
            </w:r>
          </w:p>
        </w:tc>
        <w:tc>
          <w:tcPr>
            <w:tcW w:w="3964"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2.198.073,24</w:t>
            </w:r>
          </w:p>
        </w:tc>
        <w:tc>
          <w:tcPr>
            <w:tcW w:w="4068"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2.431.163,95</w:t>
            </w:r>
          </w:p>
        </w:tc>
      </w:tr>
    </w:tbl>
    <w:p w:rsidR="00E23B86" w:rsidRDefault="00BA7C13">
      <w:pPr>
        <w:spacing w:after="243" w:line="249" w:lineRule="auto"/>
        <w:ind w:left="722" w:right="566" w:hanging="10"/>
        <w:jc w:val="both"/>
      </w:pPr>
      <w:r>
        <w:rPr>
          <w:rFonts w:ascii="Arial" w:eastAsia="Arial" w:hAnsi="Arial" w:cs="Arial"/>
          <w:b/>
          <w:i/>
        </w:rPr>
        <w:t>E)  INVERSIONES REALES</w:t>
      </w:r>
    </w:p>
    <w:p w:rsidR="00E23B86" w:rsidRDefault="00BA7C13">
      <w:pPr>
        <w:spacing w:after="245" w:line="248" w:lineRule="auto"/>
        <w:ind w:left="373" w:right="552" w:hanging="10"/>
        <w:jc w:val="both"/>
      </w:pPr>
      <w:r>
        <w:rPr>
          <w:rFonts w:ascii="Arial" w:eastAsia="Arial" w:hAnsi="Arial" w:cs="Arial"/>
        </w:rPr>
        <w:t xml:space="preserve">    En cuanto a las inversiones reales, experimenta un incremento importante, del 58 %, lo cual supone un mayor gasto en inversión de 944.731,57 Euros, frente a la caída de 937.410,02 Euros, en el ejercicio 2017, destacando las inversiones más importantes:</w:t>
      </w:r>
    </w:p>
    <w:p w:rsidR="00E23B86" w:rsidRDefault="00BA7C13">
      <w:pPr>
        <w:spacing w:after="10" w:line="248" w:lineRule="auto"/>
        <w:ind w:left="373" w:right="552" w:hanging="10"/>
        <w:jc w:val="both"/>
      </w:pPr>
      <w:r>
        <w:rPr>
          <w:rFonts w:ascii="Arial" w:eastAsia="Arial" w:hAnsi="Arial" w:cs="Arial"/>
        </w:rPr>
        <w:t>1.- Depósito de Agua Potable en Igueste, por importe de 407.935,54 Euros.</w:t>
      </w:r>
    </w:p>
    <w:p w:rsidR="00E23B86" w:rsidRDefault="00BA7C13">
      <w:pPr>
        <w:spacing w:after="0" w:line="248" w:lineRule="auto"/>
        <w:ind w:left="373" w:right="1281" w:hanging="10"/>
        <w:jc w:val="both"/>
      </w:pPr>
      <w:r>
        <w:rPr>
          <w:rFonts w:ascii="Arial" w:eastAsia="Arial" w:hAnsi="Arial" w:cs="Arial"/>
        </w:rPr>
        <w:t>2.- Equipos de Seguridad y vigilancia con cámaras, por importe de 43.526,85 3.- Parque multiaventura, por importe de 82.380,94 Euros.</w:t>
      </w:r>
    </w:p>
    <w:p w:rsidR="00E23B86" w:rsidRDefault="00BA7C13">
      <w:pPr>
        <w:spacing w:after="10" w:line="248" w:lineRule="auto"/>
        <w:ind w:left="373" w:right="552" w:hanging="10"/>
        <w:jc w:val="both"/>
      </w:pPr>
      <w:r>
        <w:rPr>
          <w:rFonts w:ascii="Arial" w:eastAsia="Arial" w:hAnsi="Arial" w:cs="Arial"/>
        </w:rPr>
        <w:t>4.- Zona Esparcimiento y acceso CEIP Igueste, p</w:t>
      </w:r>
      <w:r>
        <w:rPr>
          <w:rFonts w:ascii="Arial" w:eastAsia="Arial" w:hAnsi="Arial" w:cs="Arial"/>
        </w:rPr>
        <w:t>or importe de 64.065,13 Euros.</w:t>
      </w:r>
    </w:p>
    <w:p w:rsidR="00E23B86" w:rsidRDefault="00BA7C13">
      <w:pPr>
        <w:spacing w:after="10" w:line="248" w:lineRule="auto"/>
        <w:ind w:left="373" w:right="552" w:hanging="10"/>
        <w:jc w:val="both"/>
      </w:pPr>
      <w:r>
        <w:rPr>
          <w:rFonts w:ascii="Arial" w:eastAsia="Arial" w:hAnsi="Arial" w:cs="Arial"/>
        </w:rPr>
        <w:t>4.- Cubiertas Textiles Parques Infantiles, por importe de 171.816,33 Euros.</w:t>
      </w:r>
    </w:p>
    <w:p w:rsidR="00E23B86" w:rsidRDefault="00BA7C13">
      <w:pPr>
        <w:spacing w:after="10" w:line="248" w:lineRule="auto"/>
        <w:ind w:left="373" w:right="552" w:hanging="10"/>
        <w:jc w:val="both"/>
      </w:pPr>
      <w:r>
        <w:rPr>
          <w:rFonts w:ascii="Arial" w:eastAsia="Arial" w:hAnsi="Arial" w:cs="Arial"/>
        </w:rPr>
        <w:t>5.- Pavimentación varias Vías, por importe de 545.537,94 Euros.</w:t>
      </w:r>
    </w:p>
    <w:p w:rsidR="00E23B86" w:rsidRDefault="00BA7C13">
      <w:pPr>
        <w:spacing w:after="495" w:line="248" w:lineRule="auto"/>
        <w:ind w:left="373" w:right="552" w:hanging="10"/>
        <w:jc w:val="both"/>
      </w:pPr>
      <w:r>
        <w:rPr>
          <w:rFonts w:ascii="Arial" w:eastAsia="Arial" w:hAnsi="Arial" w:cs="Arial"/>
        </w:rPr>
        <w:t>6.- Accesibilidad Ayuntamiento viejo, por importe de 149.656,71 Euros.</w:t>
      </w:r>
    </w:p>
    <w:p w:rsidR="00E23B86" w:rsidRDefault="00BA7C13">
      <w:pPr>
        <w:spacing w:after="10" w:line="248" w:lineRule="auto"/>
        <w:ind w:left="1534" w:right="552" w:hanging="10"/>
        <w:jc w:val="both"/>
      </w:pPr>
      <w:r>
        <w:rPr>
          <w:noProof/>
        </w:rPr>
        <mc:AlternateContent>
          <mc:Choice Requires="wpg">
            <w:drawing>
              <wp:anchor distT="0" distB="0" distL="114300" distR="114300" simplePos="0" relativeHeight="2516889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6198" name="Group 54619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9187" name="Rectangle 918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9188" name="Rectangle 918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6198" style="width:12.7031pt;height:280.35pt;position:absolute;mso-position-horizontal-relative:page;mso-position-horizontal:absolute;margin-left:681.958pt;mso-position-vertical-relative:page;margin-top:531.65pt;" coordsize="1613,35604">
                <v:rect id="Rectangle 918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918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391 </w:t>
                        </w:r>
                      </w:p>
                    </w:txbxContent>
                  </v:textbox>
                </v:rect>
                <w10:wrap type="square"/>
              </v:group>
            </w:pict>
          </mc:Fallback>
        </mc:AlternateContent>
      </w:r>
      <w:r>
        <w:rPr>
          <w:rFonts w:ascii="Arial" w:eastAsia="Arial" w:hAnsi="Arial" w:cs="Arial"/>
        </w:rPr>
        <w:t>Se detalla, la evolución de los gastos en este capítulo:</w:t>
      </w:r>
    </w:p>
    <w:tbl>
      <w:tblPr>
        <w:tblStyle w:val="TableGrid"/>
        <w:tblW w:w="6284" w:type="dxa"/>
        <w:tblInd w:w="243" w:type="dxa"/>
        <w:tblCellMar>
          <w:top w:w="10" w:type="dxa"/>
          <w:left w:w="11" w:type="dxa"/>
          <w:bottom w:w="0" w:type="dxa"/>
          <w:right w:w="9" w:type="dxa"/>
        </w:tblCellMar>
        <w:tblLook w:val="04A0" w:firstRow="1" w:lastRow="0" w:firstColumn="1" w:lastColumn="0" w:noHBand="0" w:noVBand="1"/>
      </w:tblPr>
      <w:tblGrid>
        <w:gridCol w:w="690"/>
        <w:gridCol w:w="2608"/>
        <w:gridCol w:w="2986"/>
      </w:tblGrid>
      <w:tr w:rsidR="00E23B86">
        <w:trPr>
          <w:trHeight w:val="1020"/>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AÑO </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PREVISIONES</w:t>
            </w:r>
          </w:p>
          <w:p w:rsidR="00E23B86" w:rsidRDefault="00BA7C13">
            <w:pPr>
              <w:tabs>
                <w:tab w:val="center" w:pos="1729"/>
                <w:tab w:val="right" w:pos="2587"/>
              </w:tabs>
              <w:spacing w:after="0"/>
            </w:pPr>
            <w:r>
              <w:rPr>
                <w:rFonts w:ascii="Arial" w:eastAsia="Arial" w:hAnsi="Arial" w:cs="Arial"/>
              </w:rPr>
              <w:t>DEFINITIVAS</w:t>
            </w:r>
            <w:r>
              <w:rPr>
                <w:rFonts w:ascii="Arial" w:eastAsia="Arial" w:hAnsi="Arial" w:cs="Arial"/>
              </w:rPr>
              <w:tab/>
              <w:t xml:space="preserve"> </w:t>
            </w:r>
            <w:r>
              <w:rPr>
                <w:rFonts w:ascii="Arial" w:eastAsia="Arial" w:hAnsi="Arial" w:cs="Arial"/>
              </w:rPr>
              <w:tab/>
              <w:t>DEL</w:t>
            </w:r>
          </w:p>
          <w:p w:rsidR="00E23B86" w:rsidRDefault="00BA7C13">
            <w:pPr>
              <w:spacing w:after="0"/>
            </w:pPr>
            <w:r>
              <w:rPr>
                <w:rFonts w:ascii="Arial" w:eastAsia="Arial" w:hAnsi="Arial" w:cs="Arial"/>
              </w:rPr>
              <w:t>CAPÍTULO</w:t>
            </w:r>
          </w:p>
          <w:p w:rsidR="00E23B86" w:rsidRDefault="00BA7C13">
            <w:pPr>
              <w:spacing w:after="0"/>
            </w:pPr>
            <w:r>
              <w:rPr>
                <w:rFonts w:ascii="Arial" w:eastAsia="Arial" w:hAnsi="Arial" w:cs="Arial"/>
              </w:rPr>
              <w:t>INVERSIONES REALES</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line="241" w:lineRule="auto"/>
              <w:jc w:val="both"/>
            </w:pPr>
            <w:r>
              <w:rPr>
                <w:rFonts w:ascii="Arial" w:eastAsia="Arial" w:hAnsi="Arial" w:cs="Arial"/>
              </w:rPr>
              <w:t>GASTOS DEFINITIVOS DEL CAPÍTULO INVERSIONES</w:t>
            </w:r>
          </w:p>
          <w:p w:rsidR="00E23B86" w:rsidRDefault="00BA7C13">
            <w:pPr>
              <w:spacing w:after="0"/>
            </w:pPr>
            <w:r>
              <w:rPr>
                <w:rFonts w:ascii="Arial" w:eastAsia="Arial" w:hAnsi="Arial" w:cs="Arial"/>
              </w:rPr>
              <w:t>REALES</w:t>
            </w:r>
          </w:p>
        </w:tc>
      </w:tr>
      <w:tr w:rsidR="00E23B86">
        <w:trPr>
          <w:trHeight w:val="264"/>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2019</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8.288.771,46</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2.566.873,84</w:t>
            </w:r>
          </w:p>
        </w:tc>
      </w:tr>
      <w:tr w:rsidR="00E23B86">
        <w:trPr>
          <w:trHeight w:val="262"/>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2018</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6.084.060,13</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1.622.142,27</w:t>
            </w:r>
          </w:p>
        </w:tc>
      </w:tr>
      <w:tr w:rsidR="00E23B86">
        <w:trPr>
          <w:trHeight w:val="264"/>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2017</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3.198.092,69</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892.261,87</w:t>
            </w:r>
          </w:p>
        </w:tc>
      </w:tr>
      <w:tr w:rsidR="00E23B86">
        <w:trPr>
          <w:trHeight w:val="262"/>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2016</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4.020.561,86</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1.829.671,89</w:t>
            </w:r>
          </w:p>
        </w:tc>
      </w:tr>
      <w:tr w:rsidR="00E23B86">
        <w:trPr>
          <w:trHeight w:val="264"/>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2015</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7.514.945,43</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3.853.037,21</w:t>
            </w:r>
          </w:p>
        </w:tc>
      </w:tr>
      <w:tr w:rsidR="00E23B86">
        <w:trPr>
          <w:trHeight w:val="262"/>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2014</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3.480.832,57</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1.743.979,78</w:t>
            </w:r>
          </w:p>
        </w:tc>
      </w:tr>
      <w:tr w:rsidR="00E23B86">
        <w:trPr>
          <w:trHeight w:val="264"/>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2013</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3.179.490,26</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1.517.380,65</w:t>
            </w:r>
          </w:p>
        </w:tc>
      </w:tr>
      <w:tr w:rsidR="00E23B86">
        <w:trPr>
          <w:trHeight w:val="262"/>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2012</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4.319.734,11</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2.075.074,24</w:t>
            </w:r>
          </w:p>
        </w:tc>
      </w:tr>
      <w:tr w:rsidR="00E23B86">
        <w:trPr>
          <w:trHeight w:val="264"/>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2011</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9.571.936,10</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5.688.464,99</w:t>
            </w:r>
          </w:p>
        </w:tc>
      </w:tr>
      <w:tr w:rsidR="00E23B86">
        <w:trPr>
          <w:trHeight w:val="263"/>
        </w:trPr>
        <w:tc>
          <w:tcPr>
            <w:tcW w:w="69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2010</w:t>
            </w:r>
          </w:p>
        </w:tc>
        <w:tc>
          <w:tcPr>
            <w:tcW w:w="260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13.433.700,53</w:t>
            </w:r>
          </w:p>
        </w:tc>
        <w:tc>
          <w:tcPr>
            <w:tcW w:w="2987"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4.722.780,92</w:t>
            </w:r>
          </w:p>
        </w:tc>
      </w:tr>
    </w:tbl>
    <w:p w:rsidR="00E23B86" w:rsidRDefault="00BA7C13">
      <w:pPr>
        <w:numPr>
          <w:ilvl w:val="0"/>
          <w:numId w:val="14"/>
        </w:numPr>
        <w:spacing w:after="243" w:line="249" w:lineRule="auto"/>
        <w:ind w:right="566" w:hanging="297"/>
        <w:jc w:val="both"/>
      </w:pPr>
      <w:r>
        <w:rPr>
          <w:rFonts w:ascii="Arial" w:eastAsia="Arial" w:hAnsi="Arial" w:cs="Arial"/>
          <w:b/>
          <w:i/>
        </w:rPr>
        <w:t>TRANSFERENCIAS DE CAPITAL</w:t>
      </w:r>
    </w:p>
    <w:p w:rsidR="00E23B86" w:rsidRDefault="00BA7C13">
      <w:pPr>
        <w:spacing w:after="243" w:line="248" w:lineRule="auto"/>
        <w:ind w:left="373" w:right="552" w:hanging="10"/>
        <w:jc w:val="both"/>
      </w:pPr>
      <w:r>
        <w:rPr>
          <w:rFonts w:ascii="Arial" w:eastAsia="Arial" w:hAnsi="Arial" w:cs="Arial"/>
        </w:rPr>
        <w:t xml:space="preserve">             En las transferencias de capital, no se ha efectuado gasto alguno.</w:t>
      </w:r>
    </w:p>
    <w:p w:rsidR="00E23B86" w:rsidRDefault="00BA7C13">
      <w:pPr>
        <w:numPr>
          <w:ilvl w:val="0"/>
          <w:numId w:val="14"/>
        </w:numPr>
        <w:spacing w:after="243" w:line="249" w:lineRule="auto"/>
        <w:ind w:right="566" w:hanging="297"/>
        <w:jc w:val="both"/>
      </w:pPr>
      <w:r>
        <w:rPr>
          <w:rFonts w:ascii="Arial" w:eastAsia="Arial" w:hAnsi="Arial" w:cs="Arial"/>
          <w:b/>
          <w:i/>
        </w:rPr>
        <w:t>ACTIVOS FINANCIEROS</w:t>
      </w:r>
    </w:p>
    <w:p w:rsidR="00E23B86" w:rsidRDefault="00BA7C13">
      <w:pPr>
        <w:spacing w:after="95" w:line="265" w:lineRule="auto"/>
        <w:ind w:left="359" w:right="552" w:hanging="10"/>
        <w:jc w:val="center"/>
      </w:pPr>
      <w:r>
        <w:rPr>
          <w:rFonts w:ascii="Arial" w:eastAsia="Arial" w:hAnsi="Arial" w:cs="Arial"/>
        </w:rPr>
        <w:t>Los Activos financieros no se ha ejecutado nada.</w:t>
      </w:r>
    </w:p>
    <w:p w:rsidR="00E23B86" w:rsidRDefault="00BA7C13">
      <w:pPr>
        <w:numPr>
          <w:ilvl w:val="0"/>
          <w:numId w:val="14"/>
        </w:numPr>
        <w:spacing w:after="243" w:line="249" w:lineRule="auto"/>
        <w:ind w:right="566" w:hanging="297"/>
        <w:jc w:val="both"/>
      </w:pPr>
      <w:r>
        <w:rPr>
          <w:rFonts w:ascii="Arial" w:eastAsia="Arial" w:hAnsi="Arial" w:cs="Arial"/>
          <w:b/>
          <w:i/>
        </w:rPr>
        <w:t>PASIVOS FINANCIEROS</w:t>
      </w:r>
    </w:p>
    <w:p w:rsidR="00E23B86" w:rsidRDefault="00BA7C13">
      <w:pPr>
        <w:spacing w:after="499" w:line="248" w:lineRule="auto"/>
        <w:ind w:left="363" w:right="552" w:firstLine="1172"/>
        <w:jc w:val="both"/>
      </w:pPr>
      <w:r>
        <w:rPr>
          <w:rFonts w:ascii="Arial" w:eastAsia="Arial" w:hAnsi="Arial" w:cs="Arial"/>
        </w:rPr>
        <w:t>Los pasivos financieros caen un 60 %, hasta llegar a los 987.449,90 Euros.</w:t>
      </w:r>
    </w:p>
    <w:p w:rsidR="00E23B86" w:rsidRDefault="00BA7C13">
      <w:pPr>
        <w:spacing w:after="245" w:line="248" w:lineRule="auto"/>
        <w:ind w:left="363" w:right="552" w:firstLine="708"/>
        <w:jc w:val="both"/>
      </w:pPr>
      <w:r>
        <w:rPr>
          <w:rFonts w:ascii="Arial" w:eastAsia="Arial" w:hAnsi="Arial" w:cs="Arial"/>
        </w:rPr>
        <w:t>Reseñar, asimismo, que cae el nivel de gasto en doce puntos y el nivel de pagos, en dos puntos, destacando que el nivel de ejecución no supera el 75.</w:t>
      </w:r>
    </w:p>
    <w:p w:rsidR="00E23B86" w:rsidRDefault="00BA7C13">
      <w:pPr>
        <w:spacing w:after="10" w:line="248" w:lineRule="auto"/>
        <w:ind w:left="1070" w:right="552" w:hanging="10"/>
        <w:jc w:val="both"/>
      </w:pPr>
      <w:r>
        <w:rPr>
          <w:noProof/>
        </w:rPr>
        <mc:AlternateContent>
          <mc:Choice Requires="wpg">
            <w:drawing>
              <wp:anchor distT="0" distB="0" distL="114300" distR="114300" simplePos="0" relativeHeight="2516899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4773" name="Group 51477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9463" name="Rectangle 946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9464" name="Rectangle 946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w:t>
                              </w:r>
                              <w:r>
                                <w:rPr>
                                  <w:rFonts w:ascii="Arial" w:eastAsia="Arial" w:hAnsi="Arial" w:cs="Arial"/>
                                  <w:sz w:val="12"/>
                                </w:rPr>
                                <w:t xml:space="preserve">umento firmado electrónicamente desde la plataforma esPublico Gestiona | Página 31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4773" style="width:12.7031pt;height:280.35pt;position:absolute;mso-position-horizontal-relative:page;mso-position-horizontal:absolute;margin-left:681.958pt;mso-position-vertical-relative:page;margin-top:531.65pt;" coordsize="1613,35604">
                <v:rect id="Rectangle 946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946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391 </w:t>
                        </w:r>
                      </w:p>
                    </w:txbxContent>
                  </v:textbox>
                </v:rect>
                <w10:wrap type="square"/>
              </v:group>
            </w:pict>
          </mc:Fallback>
        </mc:AlternateContent>
      </w:r>
      <w:r>
        <w:rPr>
          <w:rFonts w:ascii="Arial" w:eastAsia="Arial" w:hAnsi="Arial" w:cs="Arial"/>
        </w:rPr>
        <w:t>Presenta el siguiente detalle:</w:t>
      </w:r>
    </w:p>
    <w:tbl>
      <w:tblPr>
        <w:tblStyle w:val="TableGrid"/>
        <w:tblW w:w="9335" w:type="dxa"/>
        <w:tblInd w:w="411" w:type="dxa"/>
        <w:tblCellMar>
          <w:top w:w="11" w:type="dxa"/>
          <w:left w:w="11" w:type="dxa"/>
          <w:bottom w:w="0" w:type="dxa"/>
          <w:right w:w="10" w:type="dxa"/>
        </w:tblCellMar>
        <w:tblLook w:val="04A0" w:firstRow="1" w:lastRow="0" w:firstColumn="1" w:lastColumn="0" w:noHBand="0" w:noVBand="1"/>
      </w:tblPr>
      <w:tblGrid>
        <w:gridCol w:w="3118"/>
        <w:gridCol w:w="1417"/>
        <w:gridCol w:w="1475"/>
        <w:gridCol w:w="1477"/>
        <w:gridCol w:w="1848"/>
      </w:tblGrid>
      <w:tr w:rsidR="00E23B86">
        <w:trPr>
          <w:trHeight w:val="515"/>
        </w:trPr>
        <w:tc>
          <w:tcPr>
            <w:tcW w:w="3118" w:type="dxa"/>
            <w:tcBorders>
              <w:top w:val="single" w:sz="4" w:space="0" w:color="000001"/>
              <w:left w:val="single" w:sz="4" w:space="0" w:color="000001"/>
              <w:bottom w:val="single" w:sz="4" w:space="0" w:color="000001"/>
              <w:right w:val="single" w:sz="4" w:space="0" w:color="000001"/>
            </w:tcBorders>
          </w:tcPr>
          <w:p w:rsidR="00E23B86" w:rsidRDefault="00E23B86"/>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 Gastado 2019</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center"/>
            </w:pPr>
            <w:r>
              <w:rPr>
                <w:rFonts w:ascii="Arial" w:eastAsia="Arial" w:hAnsi="Arial" w:cs="Arial"/>
              </w:rPr>
              <w:t>% Gastado 2018</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 Pagado 2019</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61" w:right="164"/>
              <w:jc w:val="center"/>
            </w:pPr>
            <w:r>
              <w:rPr>
                <w:rFonts w:ascii="Arial" w:eastAsia="Arial" w:hAnsi="Arial" w:cs="Arial"/>
              </w:rPr>
              <w:t>% Pagado 2018</w:t>
            </w:r>
          </w:p>
        </w:tc>
      </w:tr>
      <w:tr w:rsidR="00E23B86">
        <w:trPr>
          <w:trHeight w:val="264"/>
        </w:trPr>
        <w:tc>
          <w:tcPr>
            <w:tcW w:w="311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1.-Gastos de Personal</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87,4</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83,10</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99,8</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99,40</w:t>
            </w:r>
          </w:p>
        </w:tc>
      </w:tr>
      <w:tr w:rsidR="00E23B86">
        <w:trPr>
          <w:trHeight w:val="516"/>
        </w:trPr>
        <w:tc>
          <w:tcPr>
            <w:tcW w:w="3118" w:type="dxa"/>
            <w:tcBorders>
              <w:top w:val="single" w:sz="4" w:space="0" w:color="000001"/>
              <w:left w:val="single" w:sz="4" w:space="0" w:color="000001"/>
              <w:bottom w:val="single" w:sz="4" w:space="0" w:color="000001"/>
              <w:right w:val="single" w:sz="4" w:space="0" w:color="000001"/>
            </w:tcBorders>
          </w:tcPr>
          <w:p w:rsidR="00E23B86" w:rsidRDefault="00BA7C13">
            <w:pPr>
              <w:spacing w:after="0"/>
              <w:jc w:val="both"/>
            </w:pPr>
            <w:r>
              <w:rPr>
                <w:rFonts w:ascii="Arial" w:eastAsia="Arial" w:hAnsi="Arial" w:cs="Arial"/>
              </w:rPr>
              <w:t>2.-Gastos en Bienes Corrientes y Servicios</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89</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83,70</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96</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95,20</w:t>
            </w:r>
          </w:p>
        </w:tc>
      </w:tr>
      <w:tr w:rsidR="00E23B86">
        <w:trPr>
          <w:trHeight w:val="262"/>
        </w:trPr>
        <w:tc>
          <w:tcPr>
            <w:tcW w:w="311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 Gastos Financieros</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27,8</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99,90</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96</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100,00</w:t>
            </w:r>
          </w:p>
        </w:tc>
      </w:tr>
      <w:tr w:rsidR="00E23B86">
        <w:trPr>
          <w:trHeight w:val="264"/>
        </w:trPr>
        <w:tc>
          <w:tcPr>
            <w:tcW w:w="311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4.-Transferencias Corrientes</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89,2</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88,80</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99,2</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82,80</w:t>
            </w:r>
          </w:p>
        </w:tc>
      </w:tr>
      <w:tr w:rsidR="00E23B86">
        <w:trPr>
          <w:trHeight w:val="262"/>
        </w:trPr>
        <w:tc>
          <w:tcPr>
            <w:tcW w:w="311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6.-Inversiones Reales</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31</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26,60</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81,53</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rPr>
              <w:t>97,60</w:t>
            </w:r>
          </w:p>
        </w:tc>
      </w:tr>
      <w:tr w:rsidR="00E23B86">
        <w:trPr>
          <w:trHeight w:val="264"/>
        </w:trPr>
        <w:tc>
          <w:tcPr>
            <w:tcW w:w="311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7.-Transferencias de Capital</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0,00</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20,60</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0,00</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100,00</w:t>
            </w:r>
          </w:p>
        </w:tc>
      </w:tr>
      <w:tr w:rsidR="00E23B86">
        <w:trPr>
          <w:trHeight w:val="262"/>
        </w:trPr>
        <w:tc>
          <w:tcPr>
            <w:tcW w:w="311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8.-Activos Financieros</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0,00</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1"/>
              <w:jc w:val="center"/>
            </w:pPr>
            <w:r>
              <w:rPr>
                <w:rFonts w:ascii="Arial" w:eastAsia="Arial" w:hAnsi="Arial" w:cs="Arial"/>
              </w:rPr>
              <w:t>0,00</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0,00</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0,00</w:t>
            </w:r>
          </w:p>
        </w:tc>
      </w:tr>
      <w:tr w:rsidR="00E23B86">
        <w:trPr>
          <w:trHeight w:val="264"/>
        </w:trPr>
        <w:tc>
          <w:tcPr>
            <w:tcW w:w="311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9.-Pasivos Financieros</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center"/>
            </w:pPr>
            <w:r>
              <w:rPr>
                <w:rFonts w:ascii="Arial" w:eastAsia="Arial" w:hAnsi="Arial" w:cs="Arial"/>
              </w:rPr>
              <w:t>100</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rPr>
              <w:t>94,20</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2"/>
              <w:jc w:val="center"/>
            </w:pPr>
            <w:r>
              <w:rPr>
                <w:rFonts w:ascii="Arial" w:eastAsia="Arial" w:hAnsi="Arial" w:cs="Arial"/>
              </w:rPr>
              <w:t>100,00</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rPr>
              <w:t>100,00</w:t>
            </w:r>
          </w:p>
        </w:tc>
      </w:tr>
      <w:tr w:rsidR="00E23B86">
        <w:trPr>
          <w:trHeight w:val="281"/>
        </w:trPr>
        <w:tc>
          <w:tcPr>
            <w:tcW w:w="3118" w:type="dxa"/>
            <w:tcBorders>
              <w:top w:val="single" w:sz="4" w:space="0" w:color="000001"/>
              <w:left w:val="single" w:sz="4" w:space="0" w:color="000001"/>
              <w:bottom w:val="single" w:sz="4" w:space="0" w:color="000001"/>
              <w:right w:val="single" w:sz="4" w:space="0" w:color="000001"/>
            </w:tcBorders>
          </w:tcPr>
          <w:p w:rsidR="00E23B86" w:rsidRDefault="00BA7C13">
            <w:pPr>
              <w:tabs>
                <w:tab w:val="center" w:pos="796"/>
              </w:tabs>
              <w:spacing w:after="0"/>
            </w:pPr>
            <w:r>
              <w:rPr>
                <w:rFonts w:ascii="Segoe UI Symbol" w:eastAsia="Segoe UI Symbol" w:hAnsi="Segoe UI Symbol" w:cs="Segoe UI Symbol"/>
              </w:rPr>
              <w:t></w:t>
            </w:r>
            <w:r>
              <w:rPr>
                <w:rFonts w:ascii="Segoe UI Symbol" w:eastAsia="Segoe UI Symbol" w:hAnsi="Segoe UI Symbol" w:cs="Segoe UI Symbol"/>
              </w:rPr>
              <w:tab/>
            </w:r>
            <w:r>
              <w:rPr>
                <w:rFonts w:ascii="Arial" w:eastAsia="Arial" w:hAnsi="Arial" w:cs="Arial"/>
                <w:b/>
              </w:rPr>
              <w:t>TOTAL</w:t>
            </w:r>
          </w:p>
        </w:tc>
        <w:tc>
          <w:tcPr>
            <w:tcW w:w="141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b/>
              </w:rPr>
              <w:t>71,2</w:t>
            </w:r>
          </w:p>
        </w:tc>
        <w:tc>
          <w:tcPr>
            <w:tcW w:w="1475"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right="1"/>
              <w:jc w:val="center"/>
            </w:pPr>
            <w:r>
              <w:rPr>
                <w:rFonts w:ascii="Arial" w:eastAsia="Arial" w:hAnsi="Arial" w:cs="Arial"/>
                <w:b/>
              </w:rPr>
              <w:t>73,80</w:t>
            </w:r>
          </w:p>
        </w:tc>
        <w:tc>
          <w:tcPr>
            <w:tcW w:w="147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center"/>
            </w:pPr>
            <w:r>
              <w:rPr>
                <w:rFonts w:ascii="Arial" w:eastAsia="Arial" w:hAnsi="Arial" w:cs="Arial"/>
                <w:b/>
              </w:rPr>
              <w:t>94,2</w:t>
            </w:r>
          </w:p>
        </w:tc>
        <w:tc>
          <w:tcPr>
            <w:tcW w:w="184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1"/>
              <w:jc w:val="center"/>
            </w:pPr>
            <w:r>
              <w:rPr>
                <w:rFonts w:ascii="Arial" w:eastAsia="Arial" w:hAnsi="Arial" w:cs="Arial"/>
                <w:b/>
              </w:rPr>
              <w:t>97,00</w:t>
            </w:r>
          </w:p>
        </w:tc>
      </w:tr>
    </w:tbl>
    <w:p w:rsidR="00E23B86" w:rsidRDefault="00BA7C13">
      <w:pPr>
        <w:spacing w:after="0" w:line="248" w:lineRule="auto"/>
        <w:ind w:left="363" w:right="476" w:firstLine="360"/>
        <w:jc w:val="both"/>
      </w:pPr>
      <w:r>
        <w:rPr>
          <w:rFonts w:ascii="Arial" w:eastAsia="Arial" w:hAnsi="Arial" w:cs="Arial"/>
        </w:rPr>
        <w:t>En ejercicios Cerrados, se realizaron pagos por importe de 702.628,13 Euros, frente a los 287.438,18 Euros realizados en el año anterior, quedando un pendiente de pago de 476.451,70 Euros.</w:t>
      </w:r>
    </w:p>
    <w:p w:rsidR="00E23B86" w:rsidRDefault="00BA7C13">
      <w:pPr>
        <w:spacing w:after="0" w:line="248" w:lineRule="auto"/>
        <w:ind w:left="363" w:right="482" w:firstLine="708"/>
        <w:jc w:val="both"/>
      </w:pPr>
      <w:r>
        <w:rPr>
          <w:rFonts w:ascii="Arial" w:eastAsia="Arial" w:hAnsi="Arial" w:cs="Arial"/>
        </w:rPr>
        <w:t>El 100 % de los pagos realizados se corresponden con facturas pendi</w:t>
      </w:r>
      <w:r>
        <w:rPr>
          <w:rFonts w:ascii="Arial" w:eastAsia="Arial" w:hAnsi="Arial" w:cs="Arial"/>
        </w:rPr>
        <w:t>entes del ejercicio 2018, de los que un 55 % se corresponden con el capítulo II de compras y gastos corrientes, un 26 % transferencias corrientes y un 14 %, a inversiones reales.</w:t>
      </w:r>
    </w:p>
    <w:p w:rsidR="00E23B86" w:rsidRDefault="00BA7C13">
      <w:pPr>
        <w:spacing w:after="499" w:line="248" w:lineRule="auto"/>
        <w:ind w:left="363" w:right="552" w:firstLine="360"/>
        <w:jc w:val="both"/>
      </w:pPr>
      <w:r>
        <w:rPr>
          <w:rFonts w:ascii="Arial" w:eastAsia="Arial" w:hAnsi="Arial" w:cs="Arial"/>
        </w:rPr>
        <w:t>Una vez estudiado los gastos liquidados, de acuerdo a la clasificación económica por capítulos, a continuación, hacemos un examen de los gastos según su naturaleza por programas, en la que se extraen las siguientes conclusiones:</w:t>
      </w:r>
    </w:p>
    <w:p w:rsidR="00E23B86" w:rsidRDefault="00BA7C13">
      <w:pPr>
        <w:spacing w:after="242" w:line="249" w:lineRule="auto"/>
        <w:ind w:left="938" w:right="554" w:hanging="10"/>
        <w:jc w:val="both"/>
      </w:pPr>
      <w:r>
        <w:rPr>
          <w:rFonts w:ascii="Arial" w:eastAsia="Arial" w:hAnsi="Arial" w:cs="Arial"/>
          <w:b/>
        </w:rPr>
        <w:t>B) CLASIFICACIÓN POR PROGRA</w:t>
      </w:r>
      <w:r>
        <w:rPr>
          <w:rFonts w:ascii="Arial" w:eastAsia="Arial" w:hAnsi="Arial" w:cs="Arial"/>
          <w:b/>
        </w:rPr>
        <w:t>MAS</w:t>
      </w:r>
    </w:p>
    <w:p w:rsidR="00E23B86" w:rsidRDefault="00BA7C13">
      <w:pPr>
        <w:spacing w:after="247" w:line="248" w:lineRule="auto"/>
        <w:ind w:left="363" w:right="552" w:firstLine="708"/>
        <w:jc w:val="both"/>
      </w:pPr>
      <w:r>
        <w:rPr>
          <w:rFonts w:ascii="Arial" w:eastAsia="Arial" w:hAnsi="Arial" w:cs="Arial"/>
        </w:rPr>
        <w:t>Hay que señalar que a través de la Orden EHA/3565/2008 de 3 de diciembre, por la que se aprueba la estructura de los presupuestos de las entidades locales, que se aplicará a partir de 1 de enero  de 2010, modificada posteriormente por la Orden HAP/419/</w:t>
      </w:r>
      <w:r>
        <w:rPr>
          <w:rFonts w:ascii="Arial" w:eastAsia="Arial" w:hAnsi="Arial" w:cs="Arial"/>
        </w:rPr>
        <w:t xml:space="preserve">2014, de 14 de marzo, por la que se aprueba la estructura de los presupuestos de las entidades locales, se va a pasar de una denominación de clasificación funcional para pasar a denominarse clasificación por programas, que se desarrolla en Áreas de Gasto, </w:t>
      </w:r>
      <w:r>
        <w:rPr>
          <w:rFonts w:ascii="Arial" w:eastAsia="Arial" w:hAnsi="Arial" w:cs="Arial"/>
        </w:rPr>
        <w:t>Políticas de Gasto, Grupos por Programas, Programas y Subprogramas. Así tenemos seis Áreas de Gastos que se detallan a continuación:</w:t>
      </w:r>
    </w:p>
    <w:p w:rsidR="00E23B86" w:rsidRDefault="00BA7C13">
      <w:pPr>
        <w:numPr>
          <w:ilvl w:val="0"/>
          <w:numId w:val="15"/>
        </w:numPr>
        <w:spacing w:after="110" w:line="248" w:lineRule="auto"/>
        <w:ind w:right="552" w:hanging="360"/>
        <w:jc w:val="both"/>
      </w:pPr>
      <w:r>
        <w:rPr>
          <w:rFonts w:ascii="Arial" w:eastAsia="Arial" w:hAnsi="Arial" w:cs="Arial"/>
          <w:b/>
          <w:i/>
        </w:rPr>
        <w:t>Área de Gasto 0</w:t>
      </w:r>
      <w:r>
        <w:rPr>
          <w:rFonts w:ascii="Arial" w:eastAsia="Arial" w:hAnsi="Arial" w:cs="Arial"/>
          <w:i/>
        </w:rPr>
        <w:t xml:space="preserve">: </w:t>
      </w:r>
      <w:r>
        <w:rPr>
          <w:rFonts w:ascii="Arial" w:eastAsia="Arial" w:hAnsi="Arial" w:cs="Arial"/>
        </w:rPr>
        <w:t>Comprende todos los gastos de intereses y amortización de la deuda pública y demás operaciones financieras</w:t>
      </w:r>
      <w:r>
        <w:rPr>
          <w:rFonts w:ascii="Arial" w:eastAsia="Arial" w:hAnsi="Arial" w:cs="Arial"/>
        </w:rPr>
        <w:t xml:space="preserve"> de naturaleza análoga.</w:t>
      </w:r>
    </w:p>
    <w:p w:rsidR="00E23B86" w:rsidRDefault="00BA7C13">
      <w:pPr>
        <w:spacing w:after="245" w:line="248" w:lineRule="auto"/>
        <w:ind w:left="1082" w:right="552" w:hanging="10"/>
        <w:jc w:val="both"/>
      </w:pPr>
      <w:r>
        <w:rPr>
          <w:rFonts w:ascii="Arial" w:eastAsia="Arial" w:hAnsi="Arial" w:cs="Arial"/>
        </w:rPr>
        <w:t>Cae un 62 %, respecto el año anterior, motivado por la menor amortización de préstamos y devengo de intereses. Representa el 4,4 % del gasto total, frente al 11,5 % del año 2018.</w:t>
      </w:r>
    </w:p>
    <w:p w:rsidR="00E23B86" w:rsidRDefault="00BA7C13">
      <w:pPr>
        <w:spacing w:after="248" w:line="248" w:lineRule="auto"/>
        <w:ind w:left="373" w:right="552" w:hanging="10"/>
        <w:jc w:val="both"/>
      </w:pPr>
      <w:r>
        <w:rPr>
          <w:rFonts w:ascii="Arial" w:eastAsia="Arial" w:hAnsi="Arial" w:cs="Arial"/>
        </w:rPr>
        <w:t xml:space="preserve">     Recoge un solo subprograma, la 011.00 y el gasto</w:t>
      </w:r>
      <w:r>
        <w:rPr>
          <w:rFonts w:ascii="Arial" w:eastAsia="Arial" w:hAnsi="Arial" w:cs="Arial"/>
        </w:rPr>
        <w:t xml:space="preserve"> asciende a un total de 1.072.276,95 Euros frente a los 2.806.445,66 Euros ejecutados en año anterior.</w:t>
      </w:r>
    </w:p>
    <w:tbl>
      <w:tblPr>
        <w:tblStyle w:val="TableGrid"/>
        <w:tblW w:w="7237" w:type="dxa"/>
        <w:tblInd w:w="626" w:type="dxa"/>
        <w:tblCellMar>
          <w:top w:w="10" w:type="dxa"/>
          <w:left w:w="11" w:type="dxa"/>
          <w:bottom w:w="0" w:type="dxa"/>
          <w:right w:w="9" w:type="dxa"/>
        </w:tblCellMar>
        <w:tblLook w:val="04A0" w:firstRow="1" w:lastRow="0" w:firstColumn="1" w:lastColumn="0" w:noHBand="0" w:noVBand="1"/>
      </w:tblPr>
      <w:tblGrid>
        <w:gridCol w:w="835"/>
        <w:gridCol w:w="1956"/>
        <w:gridCol w:w="1370"/>
        <w:gridCol w:w="1540"/>
        <w:gridCol w:w="1536"/>
      </w:tblGrid>
      <w:tr w:rsidR="00E23B86">
        <w:trPr>
          <w:trHeight w:val="1020"/>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 xml:space="preserve">AÑO </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PREVISIONES</w:t>
            </w:r>
          </w:p>
          <w:p w:rsidR="00E23B86" w:rsidRDefault="00BA7C13">
            <w:pPr>
              <w:spacing w:after="2" w:line="239" w:lineRule="auto"/>
              <w:ind w:left="1"/>
              <w:jc w:val="both"/>
            </w:pPr>
            <w:r>
              <w:rPr>
                <w:rFonts w:ascii="Arial" w:eastAsia="Arial" w:hAnsi="Arial" w:cs="Arial"/>
              </w:rPr>
              <w:t>INICIALES DEL ÁREA DE GASTO</w:t>
            </w:r>
          </w:p>
          <w:p w:rsidR="00E23B86" w:rsidRDefault="00BA7C13">
            <w:pPr>
              <w:spacing w:after="0"/>
              <w:ind w:left="1"/>
            </w:pPr>
            <w:r>
              <w:rPr>
                <w:rFonts w:ascii="Arial" w:eastAsia="Arial" w:hAnsi="Arial" w:cs="Arial"/>
              </w:rPr>
              <w:t>0</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p w:rsidR="00E23B86" w:rsidRDefault="00BA7C13">
            <w:pPr>
              <w:spacing w:after="0"/>
              <w:jc w:val="both"/>
            </w:pPr>
            <w:r>
              <w:rPr>
                <w:rFonts w:ascii="Arial" w:eastAsia="Arial" w:hAnsi="Arial" w:cs="Arial"/>
              </w:rPr>
              <w:t>CRECIMIEN</w:t>
            </w:r>
          </w:p>
          <w:p w:rsidR="00E23B86" w:rsidRDefault="00BA7C13">
            <w:pPr>
              <w:spacing w:after="0"/>
            </w:pPr>
            <w:r>
              <w:rPr>
                <w:rFonts w:ascii="Arial" w:eastAsia="Arial" w:hAnsi="Arial" w:cs="Arial"/>
              </w:rPr>
              <w:t>TO</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EJECUCIÓN</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w:t>
            </w:r>
          </w:p>
          <w:p w:rsidR="00E23B86" w:rsidRDefault="00BA7C13">
            <w:pPr>
              <w:spacing w:after="0"/>
            </w:pPr>
            <w:r>
              <w:rPr>
                <w:rFonts w:ascii="Arial" w:eastAsia="Arial" w:hAnsi="Arial" w:cs="Arial"/>
              </w:rPr>
              <w:t>CRECIMIENT</w:t>
            </w:r>
          </w:p>
          <w:p w:rsidR="00E23B86" w:rsidRDefault="00BA7C13">
            <w:pPr>
              <w:spacing w:after="0"/>
            </w:pPr>
            <w:r>
              <w:rPr>
                <w:rFonts w:ascii="Arial" w:eastAsia="Arial" w:hAnsi="Arial" w:cs="Arial"/>
              </w:rPr>
              <w:t>O</w:t>
            </w:r>
          </w:p>
        </w:tc>
      </w:tr>
      <w:tr w:rsidR="00E23B86">
        <w:trPr>
          <w:trHeight w:val="264"/>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2019</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1.296.975,15</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1.072.276,95</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-62</w:t>
            </w:r>
          </w:p>
        </w:tc>
      </w:tr>
      <w:tr w:rsidR="00E23B86">
        <w:trPr>
          <w:trHeight w:val="262"/>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2018</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1.296.975,15</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2.806.445,66</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-12</w:t>
            </w:r>
          </w:p>
        </w:tc>
      </w:tr>
      <w:tr w:rsidR="00E23B86">
        <w:trPr>
          <w:trHeight w:val="264"/>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2017</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1.441.926,85</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0,00</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3.185.584,64</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127,00</w:t>
            </w:r>
          </w:p>
        </w:tc>
      </w:tr>
      <w:tr w:rsidR="00E23B86">
        <w:trPr>
          <w:trHeight w:val="262"/>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2016</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1.441.926,85</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-16,4</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1.400.923,55</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-3,00</w:t>
            </w:r>
          </w:p>
        </w:tc>
      </w:tr>
      <w:tr w:rsidR="00E23B86">
        <w:trPr>
          <w:trHeight w:val="264"/>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2015</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1.723.960,54</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3,3</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1.531.897,74</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-44,60</w:t>
            </w:r>
          </w:p>
        </w:tc>
      </w:tr>
      <w:tr w:rsidR="00E23B86">
        <w:trPr>
          <w:trHeight w:val="262"/>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2014</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1.667.877,37</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0</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2.764.782,78</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45,6</w:t>
            </w:r>
          </w:p>
        </w:tc>
      </w:tr>
      <w:tr w:rsidR="00E23B86">
        <w:trPr>
          <w:trHeight w:val="264"/>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2013</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1.667.877,37</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0</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1.898.784,61</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22,4</w:t>
            </w:r>
          </w:p>
        </w:tc>
      </w:tr>
      <w:tr w:rsidR="00E23B86">
        <w:trPr>
          <w:trHeight w:val="262"/>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2012</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1.667.877,37</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0</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1.550.766,3</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16</w:t>
            </w:r>
          </w:p>
        </w:tc>
      </w:tr>
      <w:tr w:rsidR="00E23B86">
        <w:trPr>
          <w:trHeight w:val="265"/>
        </w:trPr>
        <w:tc>
          <w:tcPr>
            <w:tcW w:w="83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2011</w:t>
            </w:r>
          </w:p>
        </w:tc>
        <w:tc>
          <w:tcPr>
            <w:tcW w:w="1956"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1.073.637,66</w:t>
            </w:r>
          </w:p>
        </w:tc>
        <w:tc>
          <w:tcPr>
            <w:tcW w:w="13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55</w:t>
            </w:r>
          </w:p>
        </w:tc>
        <w:tc>
          <w:tcPr>
            <w:tcW w:w="154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1.336.885,67</w:t>
            </w:r>
          </w:p>
        </w:tc>
        <w:tc>
          <w:tcPr>
            <w:tcW w:w="153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33,5</w:t>
            </w:r>
          </w:p>
        </w:tc>
      </w:tr>
    </w:tbl>
    <w:p w:rsidR="00E23B86" w:rsidRDefault="00BA7C13">
      <w:pPr>
        <w:numPr>
          <w:ilvl w:val="0"/>
          <w:numId w:val="15"/>
        </w:numPr>
        <w:spacing w:after="497" w:line="248" w:lineRule="auto"/>
        <w:ind w:right="552" w:hanging="360"/>
        <w:jc w:val="both"/>
      </w:pPr>
      <w:r>
        <w:rPr>
          <w:noProof/>
        </w:rPr>
        <mc:AlternateContent>
          <mc:Choice Requires="wpg">
            <w:drawing>
              <wp:anchor distT="0" distB="0" distL="114300" distR="114300" simplePos="0" relativeHeight="2516910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0446" name="Group 51044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9831" name="Rectangle 983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9832" name="Rectangle 983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0446" style="width:12.7031pt;height:280.35pt;position:absolute;mso-position-horizontal-relative:page;mso-position-horizontal:absolute;margin-left:681.958pt;mso-position-vertical-relative:page;margin-top:531.65pt;" coordsize="1613,35604">
                <v:rect id="Rectangle 983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983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391 </w:t>
                        </w:r>
                      </w:p>
                    </w:txbxContent>
                  </v:textbox>
                </v:rect>
                <w10:wrap type="square"/>
              </v:group>
            </w:pict>
          </mc:Fallback>
        </mc:AlternateContent>
      </w:r>
      <w:r>
        <w:rPr>
          <w:rFonts w:ascii="Arial" w:eastAsia="Arial" w:hAnsi="Arial" w:cs="Arial"/>
          <w:b/>
          <w:i/>
        </w:rPr>
        <w:t xml:space="preserve">Área de Gasto 1: </w:t>
      </w:r>
      <w:r>
        <w:rPr>
          <w:rFonts w:ascii="Arial" w:eastAsia="Arial" w:hAnsi="Arial" w:cs="Arial"/>
        </w:rPr>
        <w:t xml:space="preserve">Incluye los Servicios Públicos Básicos que con carácter obligatorio deben prestar los municipios, con arreglo al artículo 26.1 de la Ley 7/1985, de 2 de abril, Reguladora de las Bases de Régimen Local. </w:t>
      </w:r>
    </w:p>
    <w:p w:rsidR="00E23B86" w:rsidRDefault="00BA7C13">
      <w:pPr>
        <w:spacing w:after="247" w:line="248" w:lineRule="auto"/>
        <w:ind w:left="794" w:right="552" w:hanging="10"/>
        <w:jc w:val="both"/>
      </w:pPr>
      <w:r>
        <w:rPr>
          <w:rFonts w:ascii="Arial" w:eastAsia="Arial" w:hAnsi="Arial" w:cs="Arial"/>
        </w:rPr>
        <w:t>Importa un gasto total liquidado de 9.297.373,80 Euros, frente a los 7.752.849,94 Euros en el año 2018, generando un aumento del 19,9 %. Representa el 38,5 % del total liquidado en el ejercicio 2019, frente al 31,7 % en el 2018. Así destacamos los siguient</w:t>
      </w:r>
      <w:r>
        <w:rPr>
          <w:rFonts w:ascii="Arial" w:eastAsia="Arial" w:hAnsi="Arial" w:cs="Arial"/>
        </w:rPr>
        <w:t>es subprogramas previstos en el presupuesto:</w:t>
      </w:r>
    </w:p>
    <w:p w:rsidR="00E23B86" w:rsidRDefault="00BA7C13">
      <w:pPr>
        <w:numPr>
          <w:ilvl w:val="0"/>
          <w:numId w:val="15"/>
        </w:numPr>
        <w:spacing w:after="245" w:line="248" w:lineRule="auto"/>
        <w:ind w:right="552" w:hanging="360"/>
        <w:jc w:val="both"/>
      </w:pPr>
      <w:r>
        <w:rPr>
          <w:rFonts w:ascii="Arial" w:eastAsia="Arial" w:hAnsi="Arial" w:cs="Arial"/>
          <w:i/>
        </w:rPr>
        <w:t xml:space="preserve">Subprograma 132.00 de Seguridad y Orden Público, </w:t>
      </w:r>
      <w:r>
        <w:rPr>
          <w:rFonts w:ascii="Arial" w:eastAsia="Arial" w:hAnsi="Arial" w:cs="Arial"/>
        </w:rPr>
        <w:t>sube un 13,4 %, principalmente en el gasto de personal, que sube más de 207.000,00 Euros (de los que 147.000 Euros, son de gratificaciones y productividad), compe</w:t>
      </w:r>
      <w:r>
        <w:rPr>
          <w:rFonts w:ascii="Arial" w:eastAsia="Arial" w:hAnsi="Arial" w:cs="Arial"/>
        </w:rPr>
        <w:t>nsando la caída en un 29 % del gasto en bienes y servicios corrientes. La inversión sube en 50.468,03 Euros, que fue nula en el 2018. Representa el capítulo de personal el 92,5 % frente al 92,3 % del año anterior en este subprograma.</w:t>
      </w:r>
    </w:p>
    <w:p w:rsidR="00E23B86" w:rsidRDefault="00BA7C13">
      <w:pPr>
        <w:spacing w:after="244" w:line="248" w:lineRule="auto"/>
        <w:ind w:left="290" w:right="552" w:hanging="10"/>
        <w:jc w:val="both"/>
      </w:pPr>
      <w:r>
        <w:rPr>
          <w:rFonts w:ascii="Arial" w:eastAsia="Arial" w:hAnsi="Arial" w:cs="Arial"/>
        </w:rPr>
        <w:t xml:space="preserve">Representan un 7,75 % </w:t>
      </w:r>
      <w:r>
        <w:rPr>
          <w:rFonts w:ascii="Arial" w:eastAsia="Arial" w:hAnsi="Arial" w:cs="Arial"/>
        </w:rPr>
        <w:t>respecto del gasto total, frente al 6,7 % del ejercicio 2018.</w:t>
      </w:r>
    </w:p>
    <w:p w:rsidR="00E23B86" w:rsidRDefault="00BA7C13">
      <w:pPr>
        <w:numPr>
          <w:ilvl w:val="0"/>
          <w:numId w:val="15"/>
        </w:numPr>
        <w:spacing w:after="245" w:line="248" w:lineRule="auto"/>
        <w:ind w:right="552" w:hanging="360"/>
        <w:jc w:val="both"/>
      </w:pPr>
      <w:r>
        <w:rPr>
          <w:rFonts w:ascii="Arial" w:eastAsia="Arial" w:hAnsi="Arial" w:cs="Arial"/>
          <w:i/>
        </w:rPr>
        <w:t xml:space="preserve">Subprograma 135.00 de Protección Civil, </w:t>
      </w:r>
      <w:r>
        <w:rPr>
          <w:rFonts w:ascii="Arial" w:eastAsia="Arial" w:hAnsi="Arial" w:cs="Arial"/>
        </w:rPr>
        <w:t xml:space="preserve">que cae un 0,5 %, Sube las inversiones en siete mil euros, mientras que el capítulo de gastos bienes corrientes y de servicios, cae un 4 %. Este capítulo </w:t>
      </w:r>
      <w:r>
        <w:rPr>
          <w:rFonts w:ascii="Arial" w:eastAsia="Arial" w:hAnsi="Arial" w:cs="Arial"/>
        </w:rPr>
        <w:t>representa el 80,30 % del gasto total.</w:t>
      </w:r>
      <w:r>
        <w:rPr>
          <w:rFonts w:ascii="Arial" w:eastAsia="Arial" w:hAnsi="Arial" w:cs="Arial"/>
          <w:i/>
        </w:rPr>
        <w:t xml:space="preserve"> </w:t>
      </w:r>
    </w:p>
    <w:p w:rsidR="00E23B86" w:rsidRDefault="00BA7C13">
      <w:pPr>
        <w:spacing w:after="247" w:line="248" w:lineRule="auto"/>
        <w:ind w:left="722" w:right="552" w:hanging="10"/>
        <w:jc w:val="both"/>
      </w:pPr>
      <w:r>
        <w:rPr>
          <w:rFonts w:ascii="Arial" w:eastAsia="Arial" w:hAnsi="Arial" w:cs="Arial"/>
        </w:rPr>
        <w:t>Representan un 1 %, respecto del gasto total, frente al 0,9 %, en el ejercicio anterior.</w:t>
      </w:r>
    </w:p>
    <w:p w:rsidR="00E23B86" w:rsidRDefault="00BA7C13">
      <w:pPr>
        <w:numPr>
          <w:ilvl w:val="0"/>
          <w:numId w:val="15"/>
        </w:numPr>
        <w:spacing w:after="249" w:line="248" w:lineRule="auto"/>
        <w:ind w:right="552" w:hanging="360"/>
        <w:jc w:val="both"/>
      </w:pPr>
      <w:r>
        <w:rPr>
          <w:rFonts w:ascii="Arial" w:eastAsia="Arial" w:hAnsi="Arial" w:cs="Arial"/>
          <w:i/>
        </w:rPr>
        <w:t xml:space="preserve">Subprograma 136.00 de Servicios de Extinción de Incendios </w:t>
      </w:r>
      <w:r>
        <w:rPr>
          <w:rFonts w:ascii="Arial" w:eastAsia="Arial" w:hAnsi="Arial" w:cs="Arial"/>
        </w:rPr>
        <w:t>que recoge las aportaciones al Consorcio de Incendios. Crece un 0,1 %</w:t>
      </w:r>
      <w:r>
        <w:rPr>
          <w:rFonts w:ascii="Arial" w:eastAsia="Arial" w:hAnsi="Arial" w:cs="Arial"/>
        </w:rPr>
        <w:t xml:space="preserve"> el gasto de esta subvención respecto el año anterior. Representan un 0,7 % respecto del gasto total, frente al 0,6 % del ejercicio 2018.</w:t>
      </w:r>
    </w:p>
    <w:p w:rsidR="00E23B86" w:rsidRDefault="00BA7C13">
      <w:pPr>
        <w:numPr>
          <w:ilvl w:val="0"/>
          <w:numId w:val="15"/>
        </w:numPr>
        <w:spacing w:after="247" w:line="248" w:lineRule="auto"/>
        <w:ind w:right="552" w:hanging="360"/>
        <w:jc w:val="both"/>
      </w:pPr>
      <w:r>
        <w:rPr>
          <w:rFonts w:ascii="Arial" w:eastAsia="Arial" w:hAnsi="Arial" w:cs="Arial"/>
          <w:i/>
        </w:rPr>
        <w:t xml:space="preserve">Subprograma 151.00 de Urbanismo, </w:t>
      </w:r>
      <w:r>
        <w:rPr>
          <w:rFonts w:ascii="Arial" w:eastAsia="Arial" w:hAnsi="Arial" w:cs="Arial"/>
        </w:rPr>
        <w:t xml:space="preserve">que sube un 8,2 %, motivado por la subida del capítulo de inversiones (aumenta un 17 </w:t>
      </w:r>
      <w:r>
        <w:rPr>
          <w:rFonts w:ascii="Arial" w:eastAsia="Arial" w:hAnsi="Arial" w:cs="Arial"/>
        </w:rPr>
        <w:t>%). Compensa la caída en gastos de transferencias de capital, que fue nula. Representa el 5 % este subprograma, en el gasto total, frente al 4,5 % del gasto total.</w:t>
      </w:r>
    </w:p>
    <w:p w:rsidR="00E23B86" w:rsidRDefault="00BA7C13">
      <w:pPr>
        <w:numPr>
          <w:ilvl w:val="0"/>
          <w:numId w:val="15"/>
        </w:numPr>
        <w:spacing w:after="247" w:line="248" w:lineRule="auto"/>
        <w:ind w:right="552" w:hanging="360"/>
        <w:jc w:val="both"/>
      </w:pPr>
      <w:r>
        <w:rPr>
          <w:rFonts w:ascii="Arial" w:eastAsia="Arial" w:hAnsi="Arial" w:cs="Arial"/>
          <w:i/>
        </w:rPr>
        <w:t xml:space="preserve">Subprograma 160.00 de Alcantarillado, </w:t>
      </w:r>
      <w:r>
        <w:rPr>
          <w:rFonts w:ascii="Arial" w:eastAsia="Arial" w:hAnsi="Arial" w:cs="Arial"/>
        </w:rPr>
        <w:t>que recoge las obras de saneamiento y no se ha realiza</w:t>
      </w:r>
      <w:r>
        <w:rPr>
          <w:rFonts w:ascii="Arial" w:eastAsia="Arial" w:hAnsi="Arial" w:cs="Arial"/>
        </w:rPr>
        <w:t>do gasto alguno, igual que en el año anterior.</w:t>
      </w:r>
    </w:p>
    <w:p w:rsidR="00E23B86" w:rsidRDefault="00BA7C13">
      <w:pPr>
        <w:numPr>
          <w:ilvl w:val="0"/>
          <w:numId w:val="15"/>
        </w:numPr>
        <w:spacing w:after="247" w:line="248" w:lineRule="auto"/>
        <w:ind w:right="552" w:hanging="360"/>
        <w:jc w:val="both"/>
      </w:pPr>
      <w:r>
        <w:rPr>
          <w:rFonts w:ascii="Arial" w:eastAsia="Arial" w:hAnsi="Arial" w:cs="Arial"/>
          <w:i/>
        </w:rPr>
        <w:t xml:space="preserve">Subprograma 161.00 de Abastecimiento de Agua, </w:t>
      </w:r>
      <w:r>
        <w:rPr>
          <w:rFonts w:ascii="Arial" w:eastAsia="Arial" w:hAnsi="Arial" w:cs="Arial"/>
        </w:rPr>
        <w:t>que refleja los gastos de inversiones en el depósito de agua de Igueste, que aumenta en casi doscientos cuarenta mil euros. Representan un 1,9 % respecto del gasto</w:t>
      </w:r>
      <w:r>
        <w:rPr>
          <w:rFonts w:ascii="Arial" w:eastAsia="Arial" w:hAnsi="Arial" w:cs="Arial"/>
        </w:rPr>
        <w:t xml:space="preserve"> total, frente al 0,6 % del año anterior.</w:t>
      </w:r>
    </w:p>
    <w:p w:rsidR="00E23B86" w:rsidRDefault="00BA7C13">
      <w:pPr>
        <w:numPr>
          <w:ilvl w:val="0"/>
          <w:numId w:val="15"/>
        </w:numPr>
        <w:spacing w:after="247" w:line="248" w:lineRule="auto"/>
        <w:ind w:right="552" w:hanging="360"/>
        <w:jc w:val="both"/>
      </w:pPr>
      <w:r>
        <w:rPr>
          <w:rFonts w:ascii="Arial" w:eastAsia="Arial" w:hAnsi="Arial" w:cs="Arial"/>
          <w:i/>
        </w:rPr>
        <w:t xml:space="preserve">Subprograma 162.10 de Gestión de Recogida de Residuos, </w:t>
      </w:r>
      <w:r>
        <w:rPr>
          <w:rFonts w:ascii="Arial" w:eastAsia="Arial" w:hAnsi="Arial" w:cs="Arial"/>
        </w:rPr>
        <w:t xml:space="preserve">que refleja los gastos de la concesión que gestiona Urbaser SA, relativo a la Limpieza Viaria. Representan un 3,6 % respecto del gasto total, tres décimas más </w:t>
      </w:r>
      <w:r>
        <w:rPr>
          <w:rFonts w:ascii="Arial" w:eastAsia="Arial" w:hAnsi="Arial" w:cs="Arial"/>
        </w:rPr>
        <w:t>que en el</w:t>
      </w:r>
    </w:p>
    <w:p w:rsidR="00E23B86" w:rsidRDefault="00BA7C13">
      <w:pPr>
        <w:spacing w:after="247" w:line="248" w:lineRule="auto"/>
        <w:ind w:left="1072" w:right="552" w:hanging="360"/>
        <w:jc w:val="both"/>
      </w:pPr>
      <w:r>
        <w:rPr>
          <w:rFonts w:ascii="Arial" w:eastAsia="Arial" w:hAnsi="Arial" w:cs="Arial"/>
        </w:rPr>
        <w:t>2018.</w:t>
      </w:r>
    </w:p>
    <w:p w:rsidR="00E23B86" w:rsidRDefault="00BA7C13">
      <w:pPr>
        <w:numPr>
          <w:ilvl w:val="0"/>
          <w:numId w:val="15"/>
        </w:numPr>
        <w:spacing w:after="247" w:line="248" w:lineRule="auto"/>
        <w:ind w:right="552" w:hanging="360"/>
        <w:jc w:val="both"/>
      </w:pPr>
      <w:r>
        <w:rPr>
          <w:noProof/>
        </w:rPr>
        <mc:AlternateContent>
          <mc:Choice Requires="wpg">
            <w:drawing>
              <wp:anchor distT="0" distB="0" distL="114300" distR="114300" simplePos="0" relativeHeight="2516920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1687" name="Group 48168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9922" name="Rectangle 992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9923" name="Rectangle 9923"/>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33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1687" style="width:12.7031pt;height:280.35pt;position:absolute;mso-position-horizontal-relative:page;mso-position-horizontal:absolute;margin-left:681.958pt;mso-position-vertical-relative:page;margin-top:531.65pt;" coordsize="1613,35604">
                <v:rect id="Rectangle 992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9923"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391 </w:t>
                        </w:r>
                      </w:p>
                    </w:txbxContent>
                  </v:textbox>
                </v:rect>
                <w10:wrap type="square"/>
              </v:group>
            </w:pict>
          </mc:Fallback>
        </mc:AlternateContent>
      </w:r>
      <w:r>
        <w:rPr>
          <w:rFonts w:ascii="Arial" w:eastAsia="Arial" w:hAnsi="Arial" w:cs="Arial"/>
          <w:i/>
        </w:rPr>
        <w:t xml:space="preserve">Subprograma 163.00 de Gestión de Recogida de Residuos, </w:t>
      </w:r>
      <w:r>
        <w:rPr>
          <w:rFonts w:ascii="Arial" w:eastAsia="Arial" w:hAnsi="Arial" w:cs="Arial"/>
        </w:rPr>
        <w:t>que refleja los gastos de la concesión que gestiona Urbaser SA, relativo a la recogida de residuos sólidos urbanos y recogida selectiva y la aportación a Epelcan, por limpieza de edificios. Representan</w:t>
      </w:r>
      <w:r>
        <w:rPr>
          <w:rFonts w:ascii="Arial" w:eastAsia="Arial" w:hAnsi="Arial" w:cs="Arial"/>
        </w:rPr>
        <w:t xml:space="preserve"> un 8,3 % respecto del gasto total, ocho décimas más que en 2018.</w:t>
      </w:r>
    </w:p>
    <w:p w:rsidR="00E23B86" w:rsidRDefault="00BA7C13">
      <w:pPr>
        <w:numPr>
          <w:ilvl w:val="0"/>
          <w:numId w:val="15"/>
        </w:numPr>
        <w:spacing w:after="247" w:line="248" w:lineRule="auto"/>
        <w:ind w:right="552" w:hanging="360"/>
        <w:jc w:val="both"/>
      </w:pPr>
      <w:r>
        <w:rPr>
          <w:rFonts w:ascii="Arial" w:eastAsia="Arial" w:hAnsi="Arial" w:cs="Arial"/>
          <w:i/>
        </w:rPr>
        <w:t>Subprograma 164.00 de Cementerios</w:t>
      </w:r>
      <w:r>
        <w:rPr>
          <w:rFonts w:ascii="Arial" w:eastAsia="Arial" w:hAnsi="Arial" w:cs="Arial"/>
        </w:rPr>
        <w:t>, que sube un 34,9 %, representando los gastos de personal, el 69,2 % del gasto de este subprograma, subiendo los gastos corrientes, casi el doble. Represent</w:t>
      </w:r>
      <w:r>
        <w:rPr>
          <w:rFonts w:ascii="Arial" w:eastAsia="Arial" w:hAnsi="Arial" w:cs="Arial"/>
        </w:rPr>
        <w:t>an un 0,1 % respecto del gasto total, igual que en el año anterior.</w:t>
      </w:r>
    </w:p>
    <w:p w:rsidR="00E23B86" w:rsidRDefault="00BA7C13">
      <w:pPr>
        <w:numPr>
          <w:ilvl w:val="0"/>
          <w:numId w:val="15"/>
        </w:numPr>
        <w:spacing w:after="247" w:line="248" w:lineRule="auto"/>
        <w:ind w:right="552" w:hanging="360"/>
        <w:jc w:val="both"/>
      </w:pPr>
      <w:r>
        <w:rPr>
          <w:rFonts w:ascii="Arial" w:eastAsia="Arial" w:hAnsi="Arial" w:cs="Arial"/>
          <w:i/>
        </w:rPr>
        <w:t>Subprograma 165.00 de Alumbrado Público</w:t>
      </w:r>
      <w:r>
        <w:rPr>
          <w:rFonts w:ascii="Arial" w:eastAsia="Arial" w:hAnsi="Arial" w:cs="Arial"/>
        </w:rPr>
        <w:t>, que cae un 10,5 %, por la menor inversión en alumbrado, al caer un 43 %, mientras que ha subido el consumo en un 4 %. Representan un 1,6 % respecto</w:t>
      </w:r>
      <w:r>
        <w:rPr>
          <w:rFonts w:ascii="Arial" w:eastAsia="Arial" w:hAnsi="Arial" w:cs="Arial"/>
        </w:rPr>
        <w:t xml:space="preserve"> del gasto total, frente al 1,7 % del año anterior.</w:t>
      </w:r>
    </w:p>
    <w:p w:rsidR="00E23B86" w:rsidRDefault="00BA7C13">
      <w:pPr>
        <w:numPr>
          <w:ilvl w:val="0"/>
          <w:numId w:val="15"/>
        </w:numPr>
        <w:spacing w:after="499" w:line="248" w:lineRule="auto"/>
        <w:ind w:right="552" w:hanging="360"/>
        <w:jc w:val="both"/>
      </w:pPr>
      <w:r>
        <w:rPr>
          <w:rFonts w:ascii="Arial" w:eastAsia="Arial" w:hAnsi="Arial" w:cs="Arial"/>
          <w:i/>
        </w:rPr>
        <w:t>Subprograma 170.00 de Medio Ambiente</w:t>
      </w:r>
      <w:r>
        <w:rPr>
          <w:rFonts w:ascii="Arial" w:eastAsia="Arial" w:hAnsi="Arial" w:cs="Arial"/>
        </w:rPr>
        <w:t>, que se creó en el 2018, con unos gastos de seis mil tres euros, refleja gastos corrientes en bienes y servicios por cuarenta y ocho mil Euros.</w:t>
      </w:r>
    </w:p>
    <w:p w:rsidR="00E23B86" w:rsidRDefault="00BA7C13">
      <w:pPr>
        <w:numPr>
          <w:ilvl w:val="0"/>
          <w:numId w:val="15"/>
        </w:numPr>
        <w:spacing w:after="497" w:line="248" w:lineRule="auto"/>
        <w:ind w:right="552" w:hanging="360"/>
        <w:jc w:val="both"/>
      </w:pPr>
      <w:r>
        <w:rPr>
          <w:rFonts w:ascii="Arial" w:eastAsia="Arial" w:hAnsi="Arial" w:cs="Arial"/>
          <w:i/>
        </w:rPr>
        <w:t>Subprograma 171.00 de P</w:t>
      </w:r>
      <w:r>
        <w:rPr>
          <w:rFonts w:ascii="Arial" w:eastAsia="Arial" w:hAnsi="Arial" w:cs="Arial"/>
          <w:i/>
        </w:rPr>
        <w:t>arques y Jardines</w:t>
      </w:r>
      <w:r>
        <w:rPr>
          <w:rFonts w:ascii="Arial" w:eastAsia="Arial" w:hAnsi="Arial" w:cs="Arial"/>
        </w:rPr>
        <w:t>, que sube un 5,6 %, por el mayor gasto en inversiones, por importe de ciento setenta y dos mil Euros, que compensa la caída de gastos corrientes y de servicios, que cae un 51 %, representando el capítulo de personal el 43,2 % del gasto en</w:t>
      </w:r>
      <w:r>
        <w:rPr>
          <w:rFonts w:ascii="Arial" w:eastAsia="Arial" w:hAnsi="Arial" w:cs="Arial"/>
        </w:rPr>
        <w:t xml:space="preserve"> este subprograma y. Representan un 2,3 % respecto del gasto total, frente al 2,1 % del año</w:t>
      </w:r>
    </w:p>
    <w:p w:rsidR="00E23B86" w:rsidRDefault="00BA7C13">
      <w:pPr>
        <w:pStyle w:val="Ttulo1"/>
        <w:spacing w:after="497" w:line="248" w:lineRule="auto"/>
        <w:ind w:left="1072" w:right="552" w:hanging="360"/>
        <w:jc w:val="both"/>
      </w:pPr>
      <w:bookmarkStart w:id="1" w:name="_Toc626361"/>
      <w:r>
        <w:rPr>
          <w:rFonts w:ascii="Arial" w:eastAsia="Arial" w:hAnsi="Arial" w:cs="Arial"/>
          <w:b w:val="0"/>
          <w:color w:val="000000"/>
          <w:u w:val="none" w:color="000000"/>
        </w:rPr>
        <w:t>anterior.</w:t>
      </w:r>
      <w:bookmarkEnd w:id="1"/>
    </w:p>
    <w:p w:rsidR="00E23B86" w:rsidRDefault="00BA7C13">
      <w:pPr>
        <w:spacing w:after="110" w:line="248" w:lineRule="auto"/>
        <w:ind w:left="363" w:right="552" w:firstLine="708"/>
        <w:jc w:val="both"/>
      </w:pPr>
      <w:r>
        <w:rPr>
          <w:rFonts w:ascii="Arial" w:eastAsia="Arial" w:hAnsi="Arial" w:cs="Arial"/>
        </w:rPr>
        <w:t xml:space="preserve">En el presente cuadro, se pone de manifiesto la evolución de esta Área de Servicios Públicos Básicos, que son competencias obligatorias de los municipios: </w:t>
      </w:r>
    </w:p>
    <w:tbl>
      <w:tblPr>
        <w:tblStyle w:val="TableGrid"/>
        <w:tblW w:w="6220" w:type="dxa"/>
        <w:tblInd w:w="693" w:type="dxa"/>
        <w:tblCellMar>
          <w:top w:w="11" w:type="dxa"/>
          <w:left w:w="11" w:type="dxa"/>
          <w:bottom w:w="0" w:type="dxa"/>
          <w:right w:w="11" w:type="dxa"/>
        </w:tblCellMar>
        <w:tblLook w:val="04A0" w:firstRow="1" w:lastRow="0" w:firstColumn="1" w:lastColumn="0" w:noHBand="0" w:noVBand="1"/>
      </w:tblPr>
      <w:tblGrid>
        <w:gridCol w:w="664"/>
        <w:gridCol w:w="1618"/>
        <w:gridCol w:w="1134"/>
        <w:gridCol w:w="1500"/>
        <w:gridCol w:w="1304"/>
      </w:tblGrid>
      <w:tr w:rsidR="00E23B86">
        <w:trPr>
          <w:trHeight w:val="769"/>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 xml:space="preserve">AÑO </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PREVISIONES</w:t>
            </w:r>
          </w:p>
          <w:p w:rsidR="00E23B86" w:rsidRDefault="00BA7C13">
            <w:pPr>
              <w:spacing w:after="0"/>
              <w:jc w:val="both"/>
            </w:pPr>
            <w:r>
              <w:rPr>
                <w:rFonts w:ascii="Arial" w:eastAsia="Arial" w:hAnsi="Arial" w:cs="Arial"/>
              </w:rPr>
              <w:t>DEL ÁREA DE</w:t>
            </w:r>
          </w:p>
          <w:p w:rsidR="00E23B86" w:rsidRDefault="00BA7C13">
            <w:pPr>
              <w:spacing w:after="0"/>
            </w:pPr>
            <w:r>
              <w:rPr>
                <w:rFonts w:ascii="Arial" w:eastAsia="Arial" w:hAnsi="Arial" w:cs="Arial"/>
              </w:rPr>
              <w:t>GASTO 1</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p w:rsidR="00E23B86" w:rsidRDefault="00BA7C13">
            <w:pPr>
              <w:spacing w:after="0"/>
              <w:jc w:val="both"/>
            </w:pPr>
            <w:r>
              <w:rPr>
                <w:rFonts w:ascii="Arial" w:eastAsia="Arial" w:hAnsi="Arial" w:cs="Arial"/>
              </w:rPr>
              <w:t>CRECIMIE</w:t>
            </w:r>
          </w:p>
          <w:p w:rsidR="00E23B86" w:rsidRDefault="00BA7C13">
            <w:pPr>
              <w:spacing w:after="0"/>
            </w:pPr>
            <w:r>
              <w:rPr>
                <w:rFonts w:ascii="Arial" w:eastAsia="Arial" w:hAnsi="Arial" w:cs="Arial"/>
              </w:rPr>
              <w:t>NTO</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EJECUCIÓN</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 xml:space="preserve">% </w:t>
            </w:r>
          </w:p>
          <w:p w:rsidR="00E23B86" w:rsidRDefault="00BA7C13">
            <w:pPr>
              <w:spacing w:after="0"/>
              <w:jc w:val="both"/>
            </w:pPr>
            <w:r>
              <w:rPr>
                <w:rFonts w:ascii="Arial" w:eastAsia="Arial" w:hAnsi="Arial" w:cs="Arial"/>
              </w:rPr>
              <w:t>CRECIMIEN</w:t>
            </w:r>
          </w:p>
          <w:p w:rsidR="00E23B86" w:rsidRDefault="00BA7C13">
            <w:pPr>
              <w:spacing w:after="0"/>
            </w:pPr>
            <w:r>
              <w:rPr>
                <w:rFonts w:ascii="Arial" w:eastAsia="Arial" w:hAnsi="Arial" w:cs="Arial"/>
              </w:rPr>
              <w:t>TO</w:t>
            </w:r>
          </w:p>
        </w:tc>
      </w:tr>
      <w:tr w:rsidR="00E23B86">
        <w:trPr>
          <w:trHeight w:val="262"/>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2019</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16.012.974,24</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52,6</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9.297.373,80</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12</w:t>
            </w:r>
          </w:p>
        </w:tc>
      </w:tr>
      <w:tr w:rsidR="00E23B86">
        <w:trPr>
          <w:trHeight w:val="264"/>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2018</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10.488.005,53</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36</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7.752.849,94</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8,6</w:t>
            </w:r>
          </w:p>
        </w:tc>
      </w:tr>
      <w:tr w:rsidR="00E23B86">
        <w:trPr>
          <w:trHeight w:val="262"/>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2017</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7.704.841,57</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-7,00</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7.133.573,61</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-2,50</w:t>
            </w:r>
          </w:p>
        </w:tc>
      </w:tr>
      <w:tr w:rsidR="00E23B86">
        <w:trPr>
          <w:trHeight w:val="264"/>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2016</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8.286.133,90</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3,1</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7.314.900,76</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-16,50</w:t>
            </w:r>
          </w:p>
        </w:tc>
      </w:tr>
      <w:tr w:rsidR="00E23B86">
        <w:trPr>
          <w:trHeight w:val="262"/>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2015</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8.036.193,89</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5</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8.750.093,46</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-9,00</w:t>
            </w:r>
          </w:p>
        </w:tc>
      </w:tr>
      <w:tr w:rsidR="00E23B86">
        <w:trPr>
          <w:trHeight w:val="264"/>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2014</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7.150.395,92</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-3,3</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9.602.151,89</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38,5</w:t>
            </w:r>
          </w:p>
        </w:tc>
      </w:tr>
      <w:tr w:rsidR="00E23B86">
        <w:trPr>
          <w:trHeight w:val="262"/>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2013</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7.392.083,45</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6.934.748,71</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-3,7</w:t>
            </w:r>
          </w:p>
        </w:tc>
      </w:tr>
      <w:tr w:rsidR="00E23B86">
        <w:trPr>
          <w:trHeight w:val="264"/>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2012</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7.392.083,45</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-7</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7.198.020,41</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-49</w:t>
            </w:r>
          </w:p>
        </w:tc>
      </w:tr>
      <w:tr w:rsidR="00E23B86">
        <w:trPr>
          <w:trHeight w:val="262"/>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2011</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7.918.355,11</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11.749.728,49</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3,9</w:t>
            </w:r>
          </w:p>
        </w:tc>
      </w:tr>
      <w:tr w:rsidR="00E23B86">
        <w:trPr>
          <w:trHeight w:val="265"/>
        </w:trPr>
        <w:tc>
          <w:tcPr>
            <w:tcW w:w="6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2010</w:t>
            </w:r>
          </w:p>
        </w:tc>
        <w:tc>
          <w:tcPr>
            <w:tcW w:w="161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7.918.355,11</w:t>
            </w:r>
          </w:p>
        </w:tc>
        <w:tc>
          <w:tcPr>
            <w:tcW w:w="1134"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-4,3</w:t>
            </w:r>
          </w:p>
        </w:tc>
        <w:tc>
          <w:tcPr>
            <w:tcW w:w="1500"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11.300.532,55</w:t>
            </w:r>
          </w:p>
        </w:tc>
        <w:tc>
          <w:tcPr>
            <w:tcW w:w="1304"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-17</w:t>
            </w:r>
          </w:p>
        </w:tc>
      </w:tr>
    </w:tbl>
    <w:p w:rsidR="00E23B86" w:rsidRDefault="00BA7C13">
      <w:pPr>
        <w:numPr>
          <w:ilvl w:val="0"/>
          <w:numId w:val="16"/>
        </w:numPr>
        <w:spacing w:after="247" w:line="248" w:lineRule="auto"/>
        <w:ind w:right="552" w:hanging="360"/>
        <w:jc w:val="both"/>
      </w:pPr>
      <w:r>
        <w:rPr>
          <w:rFonts w:ascii="Arial" w:eastAsia="Arial" w:hAnsi="Arial" w:cs="Arial"/>
          <w:b/>
          <w:i/>
        </w:rPr>
        <w:t>Área de Gasto 2</w:t>
      </w:r>
      <w:r>
        <w:rPr>
          <w:rFonts w:ascii="Arial" w:eastAsia="Arial" w:hAnsi="Arial" w:cs="Arial"/>
          <w:i/>
        </w:rPr>
        <w:t xml:space="preserve">: </w:t>
      </w:r>
      <w:r>
        <w:rPr>
          <w:rFonts w:ascii="Arial" w:eastAsia="Arial" w:hAnsi="Arial" w:cs="Arial"/>
        </w:rPr>
        <w:t>Incluye las Actuaciones de Protección y Promoción Social. El total gasto liquidado en esta área de gasto asciende a 4.641.367,35 Euros frente a los 4.102.717,80 Euros de 2018, es decir, que ha habido un incremento del 13 %, representando el 19,2 % del gast</w:t>
      </w:r>
      <w:r>
        <w:rPr>
          <w:rFonts w:ascii="Arial" w:eastAsia="Arial" w:hAnsi="Arial" w:cs="Arial"/>
        </w:rPr>
        <w:t>o total, frente al 16,8 % del ejercicio 2018. A continuación, destacamos los siguientes subprogramas:</w:t>
      </w:r>
    </w:p>
    <w:p w:rsidR="00E23B86" w:rsidRDefault="00BA7C13">
      <w:pPr>
        <w:numPr>
          <w:ilvl w:val="0"/>
          <w:numId w:val="16"/>
        </w:numPr>
        <w:spacing w:after="247" w:line="248" w:lineRule="auto"/>
        <w:ind w:right="552" w:hanging="360"/>
        <w:jc w:val="both"/>
      </w:pPr>
      <w:r>
        <w:rPr>
          <w:rFonts w:ascii="Arial" w:eastAsia="Arial" w:hAnsi="Arial" w:cs="Arial"/>
          <w:i/>
        </w:rPr>
        <w:t xml:space="preserve">Subprograma 211.00 de Pensiones, </w:t>
      </w:r>
      <w:r>
        <w:rPr>
          <w:rFonts w:ascii="Arial" w:eastAsia="Arial" w:hAnsi="Arial" w:cs="Arial"/>
        </w:rPr>
        <w:t>se incrementa el 6,5 % el gasto liquidado. Recoge los emolumentos dejados de recibir por parte de funcionarios que han so</w:t>
      </w:r>
      <w:r>
        <w:rPr>
          <w:rFonts w:ascii="Arial" w:eastAsia="Arial" w:hAnsi="Arial" w:cs="Arial"/>
        </w:rPr>
        <w:t>licitado la jubilación anticipada. Representan un 0,09 % respecto del gasto</w:t>
      </w:r>
    </w:p>
    <w:p w:rsidR="00E23B86" w:rsidRDefault="00BA7C13">
      <w:pPr>
        <w:spacing w:after="247" w:line="248" w:lineRule="auto"/>
        <w:ind w:left="1072" w:right="552" w:hanging="360"/>
        <w:jc w:val="both"/>
      </w:pPr>
      <w:r>
        <w:rPr>
          <w:rFonts w:ascii="Arial" w:eastAsia="Arial" w:hAnsi="Arial" w:cs="Arial"/>
        </w:rPr>
        <w:t>total</w:t>
      </w:r>
      <w:r>
        <w:rPr>
          <w:rFonts w:ascii="Arial" w:eastAsia="Arial" w:hAnsi="Arial" w:cs="Arial"/>
          <w:i/>
        </w:rPr>
        <w:t>.</w:t>
      </w:r>
    </w:p>
    <w:p w:rsidR="00E23B86" w:rsidRDefault="00BA7C13">
      <w:pPr>
        <w:numPr>
          <w:ilvl w:val="0"/>
          <w:numId w:val="16"/>
        </w:numPr>
        <w:spacing w:after="247" w:line="248" w:lineRule="auto"/>
        <w:ind w:right="552" w:hanging="360"/>
        <w:jc w:val="both"/>
      </w:pPr>
      <w:r>
        <w:rPr>
          <w:rFonts w:ascii="Arial" w:eastAsia="Arial" w:hAnsi="Arial" w:cs="Arial"/>
          <w:i/>
        </w:rPr>
        <w:t xml:space="preserve">Subprograma 221.00 de Otras Prestaciones a favor de los Empleados, </w:t>
      </w:r>
      <w:r>
        <w:rPr>
          <w:rFonts w:ascii="Arial" w:eastAsia="Arial" w:hAnsi="Arial" w:cs="Arial"/>
        </w:rPr>
        <w:t>que recoge los gastos de acción social y la aportación municipal al seguro privado, cae un 13 %, por el me</w:t>
      </w:r>
      <w:r>
        <w:rPr>
          <w:rFonts w:ascii="Arial" w:eastAsia="Arial" w:hAnsi="Arial" w:cs="Arial"/>
        </w:rPr>
        <w:t>nor gasto en acción social. Representan un 0,2 % respecto del gasto total, igual que en el 2018.</w:t>
      </w:r>
    </w:p>
    <w:p w:rsidR="00E23B86" w:rsidRDefault="00BA7C13">
      <w:pPr>
        <w:numPr>
          <w:ilvl w:val="0"/>
          <w:numId w:val="16"/>
        </w:numPr>
        <w:spacing w:after="247" w:line="248" w:lineRule="auto"/>
        <w:ind w:right="552" w:hanging="360"/>
        <w:jc w:val="both"/>
      </w:pPr>
      <w:r>
        <w:rPr>
          <w:noProof/>
        </w:rPr>
        <mc:AlternateContent>
          <mc:Choice Requires="wpg">
            <w:drawing>
              <wp:anchor distT="0" distB="0" distL="114300" distR="114300" simplePos="0" relativeHeight="2516930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3769" name="Group 47376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0221" name="Rectangle 1022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0222" name="Rectangle 1022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3769" style="width:12.7031pt;height:280.35pt;position:absolute;mso-position-horizontal-relative:page;mso-position-horizontal:absolute;margin-left:681.958pt;mso-position-vertical-relative:page;margin-top:531.65pt;" coordsize="1613,35604">
                <v:rect id="Rectangle 1022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022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391 </w:t>
                        </w:r>
                      </w:p>
                    </w:txbxContent>
                  </v:textbox>
                </v:rect>
                <w10:wrap type="square"/>
              </v:group>
            </w:pict>
          </mc:Fallback>
        </mc:AlternateContent>
      </w:r>
      <w:r>
        <w:rPr>
          <w:rFonts w:ascii="Arial" w:eastAsia="Arial" w:hAnsi="Arial" w:cs="Arial"/>
          <w:i/>
        </w:rPr>
        <w:t xml:space="preserve">Subprograma 231.00 de Servicios Sociales, </w:t>
      </w:r>
      <w:r>
        <w:rPr>
          <w:rFonts w:ascii="Arial" w:eastAsia="Arial" w:hAnsi="Arial" w:cs="Arial"/>
        </w:rPr>
        <w:t>que sube un 0,8 %, respecto a los gastos del ejercicio anterior, destacando la subida de los gastos en bienes corrientes</w:t>
      </w:r>
      <w:r>
        <w:rPr>
          <w:rFonts w:ascii="Arial" w:eastAsia="Arial" w:hAnsi="Arial" w:cs="Arial"/>
        </w:rPr>
        <w:t xml:space="preserve"> y de servicios (14 %); los costes de personal (2,8 %), que compensa la caída de los costes de transferencias, que cae un 7 %. Representan un 8,7 % frente al 8,2 % respecto del gasto total del año anterior.</w:t>
      </w:r>
    </w:p>
    <w:p w:rsidR="00E23B86" w:rsidRDefault="00BA7C13">
      <w:pPr>
        <w:numPr>
          <w:ilvl w:val="0"/>
          <w:numId w:val="16"/>
        </w:numPr>
        <w:spacing w:after="247" w:line="248" w:lineRule="auto"/>
        <w:ind w:right="552" w:hanging="360"/>
        <w:jc w:val="both"/>
      </w:pPr>
      <w:r>
        <w:rPr>
          <w:rFonts w:ascii="Arial" w:eastAsia="Arial" w:hAnsi="Arial" w:cs="Arial"/>
          <w:i/>
        </w:rPr>
        <w:t xml:space="preserve">Subprograma 231.01 de Mujer, Menor y Familia. </w:t>
      </w:r>
      <w:r>
        <w:rPr>
          <w:rFonts w:ascii="Arial" w:eastAsia="Arial" w:hAnsi="Arial" w:cs="Arial"/>
        </w:rPr>
        <w:t>Eje</w:t>
      </w:r>
      <w:r>
        <w:rPr>
          <w:rFonts w:ascii="Arial" w:eastAsia="Arial" w:hAnsi="Arial" w:cs="Arial"/>
        </w:rPr>
        <w:t>cuta un gasto de 78.746 Euros, frente a los casi 62.500 Euros del año anterior, principalmente en gastos corriente en bienes y servicios. Crece un  26 %. Representa un 0,3 % del gasto total.</w:t>
      </w:r>
    </w:p>
    <w:p w:rsidR="00E23B86" w:rsidRDefault="00BA7C13">
      <w:pPr>
        <w:numPr>
          <w:ilvl w:val="0"/>
          <w:numId w:val="16"/>
        </w:numPr>
        <w:spacing w:after="247" w:line="248" w:lineRule="auto"/>
        <w:ind w:right="552" w:hanging="360"/>
        <w:jc w:val="both"/>
      </w:pPr>
      <w:r>
        <w:rPr>
          <w:rFonts w:ascii="Arial" w:eastAsia="Arial" w:hAnsi="Arial" w:cs="Arial"/>
          <w:i/>
        </w:rPr>
        <w:t xml:space="preserve">Subprograma 231.02 de Mayores, </w:t>
      </w:r>
      <w:r>
        <w:rPr>
          <w:rFonts w:ascii="Arial" w:eastAsia="Arial" w:hAnsi="Arial" w:cs="Arial"/>
        </w:rPr>
        <w:t>crece muy levemente. Representan u</w:t>
      </w:r>
      <w:r>
        <w:rPr>
          <w:rFonts w:ascii="Arial" w:eastAsia="Arial" w:hAnsi="Arial" w:cs="Arial"/>
        </w:rPr>
        <w:t>n gasto de 16.408 Euros.</w:t>
      </w:r>
    </w:p>
    <w:p w:rsidR="00E23B86" w:rsidRDefault="00BA7C13">
      <w:pPr>
        <w:numPr>
          <w:ilvl w:val="0"/>
          <w:numId w:val="16"/>
        </w:numPr>
        <w:spacing w:after="245" w:line="248" w:lineRule="auto"/>
        <w:ind w:right="552" w:hanging="360"/>
        <w:jc w:val="both"/>
      </w:pPr>
      <w:r>
        <w:rPr>
          <w:rFonts w:ascii="Arial" w:eastAsia="Arial" w:hAnsi="Arial" w:cs="Arial"/>
          <w:i/>
        </w:rPr>
        <w:t xml:space="preserve">Subprograma 241.00 de Fomento del Empleo, </w:t>
      </w:r>
      <w:r>
        <w:rPr>
          <w:rFonts w:ascii="Arial" w:eastAsia="Arial" w:hAnsi="Arial" w:cs="Arial"/>
        </w:rPr>
        <w:t>que recoge las transferencias corrientes a la sociedad municipal de vivienda y servicios, pero sobre todo los gastos de personal y gastos corrientes vinculados a proyectos subvencionados, q</w:t>
      </w:r>
      <w:r>
        <w:rPr>
          <w:rFonts w:ascii="Arial" w:eastAsia="Arial" w:hAnsi="Arial" w:cs="Arial"/>
        </w:rPr>
        <w:t>ue aumenta un 27,5 %, representando los gastos de personal, el 64,7 %, del gasto total, incrementándose este capítulo en un 5,8 %, en relación al ejercicio precedente. Representan un 10,2 % respecto del gasto total, frente al 7,9 % del ejercicio 2018.</w:t>
      </w:r>
    </w:p>
    <w:p w:rsidR="00E23B86" w:rsidRDefault="00BA7C13">
      <w:pPr>
        <w:spacing w:after="502" w:line="248" w:lineRule="auto"/>
        <w:ind w:left="363" w:right="552" w:firstLine="748"/>
        <w:jc w:val="both"/>
      </w:pPr>
      <w:r>
        <w:rPr>
          <w:rFonts w:ascii="Arial" w:eastAsia="Arial" w:hAnsi="Arial" w:cs="Arial"/>
        </w:rPr>
        <w:t>En e</w:t>
      </w:r>
      <w:r>
        <w:rPr>
          <w:rFonts w:ascii="Arial" w:eastAsia="Arial" w:hAnsi="Arial" w:cs="Arial"/>
        </w:rPr>
        <w:t>l presente cuadro, se pone de manifiesto la evolución de esta Área de Protección y Promoción Social:</w:t>
      </w:r>
    </w:p>
    <w:tbl>
      <w:tblPr>
        <w:tblStyle w:val="TableGrid"/>
        <w:tblW w:w="7696" w:type="dxa"/>
        <w:tblInd w:w="849" w:type="dxa"/>
        <w:tblCellMar>
          <w:top w:w="10" w:type="dxa"/>
          <w:left w:w="11" w:type="dxa"/>
          <w:bottom w:w="0" w:type="dxa"/>
          <w:right w:w="13" w:type="dxa"/>
        </w:tblCellMar>
        <w:tblLook w:val="04A0" w:firstRow="1" w:lastRow="0" w:firstColumn="1" w:lastColumn="0" w:noHBand="0" w:noVBand="1"/>
      </w:tblPr>
      <w:tblGrid>
        <w:gridCol w:w="964"/>
        <w:gridCol w:w="1970"/>
        <w:gridCol w:w="1343"/>
        <w:gridCol w:w="1605"/>
        <w:gridCol w:w="1814"/>
      </w:tblGrid>
      <w:tr w:rsidR="00E23B86">
        <w:trPr>
          <w:trHeight w:val="768"/>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AÑO </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PREVISIONES</w:t>
            </w:r>
          </w:p>
          <w:p w:rsidR="00E23B86" w:rsidRDefault="00BA7C13">
            <w:pPr>
              <w:spacing w:after="0"/>
              <w:jc w:val="both"/>
            </w:pPr>
            <w:r>
              <w:rPr>
                <w:rFonts w:ascii="Arial" w:eastAsia="Arial" w:hAnsi="Arial" w:cs="Arial"/>
              </w:rPr>
              <w:t>DEL ÁREA DE</w:t>
            </w:r>
          </w:p>
          <w:p w:rsidR="00E23B86" w:rsidRDefault="00BA7C13">
            <w:pPr>
              <w:spacing w:after="0"/>
            </w:pPr>
            <w:r>
              <w:rPr>
                <w:rFonts w:ascii="Arial" w:eastAsia="Arial" w:hAnsi="Arial" w:cs="Arial"/>
              </w:rPr>
              <w:t>GASTO 2</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p w:rsidR="00E23B86" w:rsidRDefault="00BA7C13">
            <w:pPr>
              <w:spacing w:after="0"/>
              <w:jc w:val="both"/>
            </w:pPr>
            <w:r>
              <w:rPr>
                <w:rFonts w:ascii="Arial" w:eastAsia="Arial" w:hAnsi="Arial" w:cs="Arial"/>
              </w:rPr>
              <w:t>CRECIMIEN</w:t>
            </w:r>
          </w:p>
          <w:p w:rsidR="00E23B86" w:rsidRDefault="00BA7C13">
            <w:pPr>
              <w:spacing w:after="0"/>
            </w:pPr>
            <w:r>
              <w:rPr>
                <w:rFonts w:ascii="Arial" w:eastAsia="Arial" w:hAnsi="Arial" w:cs="Arial"/>
              </w:rPr>
              <w:t>TO</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EJECUCIÓN</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w:t>
            </w:r>
          </w:p>
          <w:p w:rsidR="00E23B86" w:rsidRDefault="00BA7C13">
            <w:pPr>
              <w:spacing w:after="0"/>
              <w:ind w:left="1"/>
            </w:pPr>
            <w:r>
              <w:rPr>
                <w:rFonts w:ascii="Arial" w:eastAsia="Arial" w:hAnsi="Arial" w:cs="Arial"/>
              </w:rPr>
              <w:t>CRECIMIENTO</w:t>
            </w:r>
          </w:p>
        </w:tc>
      </w:tr>
      <w:tr w:rsidR="00E23B86">
        <w:trPr>
          <w:trHeight w:val="262"/>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2019</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6.289.059,88</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102</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4.641.367,35</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13</w:t>
            </w:r>
          </w:p>
        </w:tc>
      </w:tr>
      <w:tr w:rsidR="00E23B86">
        <w:trPr>
          <w:trHeight w:val="264"/>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2018</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3.103.433,15</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43,6</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4.102.717,80</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17,7</w:t>
            </w:r>
          </w:p>
        </w:tc>
      </w:tr>
      <w:tr w:rsidR="00E23B86">
        <w:trPr>
          <w:trHeight w:val="262"/>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2017</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2.160.558,34</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-3,50</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3.484.164,68</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1,61</w:t>
            </w:r>
          </w:p>
        </w:tc>
      </w:tr>
      <w:tr w:rsidR="00E23B86">
        <w:trPr>
          <w:trHeight w:val="264"/>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2016</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2.239.558,34</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-13</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3.512.335,90</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1,57</w:t>
            </w:r>
          </w:p>
        </w:tc>
      </w:tr>
      <w:tr w:rsidR="00E23B86">
        <w:trPr>
          <w:trHeight w:val="262"/>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2015</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2.573.388,38</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19,3</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2.770.944,17</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1,20</w:t>
            </w:r>
          </w:p>
        </w:tc>
      </w:tr>
      <w:tr w:rsidR="00E23B86">
        <w:trPr>
          <w:trHeight w:val="264"/>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2014</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2.155.829,79</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-11</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2.736.035,14 €</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-5,3</w:t>
            </w:r>
          </w:p>
        </w:tc>
      </w:tr>
      <w:tr w:rsidR="00E23B86">
        <w:trPr>
          <w:trHeight w:val="262"/>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2013</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2.423.333,23</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2.887.925,88 €</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25,4</w:t>
            </w:r>
          </w:p>
        </w:tc>
      </w:tr>
      <w:tr w:rsidR="00E23B86">
        <w:trPr>
          <w:trHeight w:val="264"/>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2012</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2.423.333,23</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-6</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2.302.308,61</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-4,4</w:t>
            </w:r>
          </w:p>
        </w:tc>
      </w:tr>
      <w:tr w:rsidR="00E23B86">
        <w:trPr>
          <w:trHeight w:val="262"/>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2011</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2.569.551,96</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-5,7</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2.406.786,04</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9,5</w:t>
            </w:r>
          </w:p>
        </w:tc>
      </w:tr>
      <w:tr w:rsidR="00E23B86">
        <w:trPr>
          <w:trHeight w:val="265"/>
        </w:trPr>
        <w:tc>
          <w:tcPr>
            <w:tcW w:w="96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2010</w:t>
            </w:r>
          </w:p>
        </w:tc>
        <w:tc>
          <w:tcPr>
            <w:tcW w:w="19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2.569.551,96</w:t>
            </w:r>
          </w:p>
        </w:tc>
        <w:tc>
          <w:tcPr>
            <w:tcW w:w="1343"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c>
          <w:tcPr>
            <w:tcW w:w="160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2.197.539,88</w:t>
            </w:r>
          </w:p>
        </w:tc>
        <w:tc>
          <w:tcPr>
            <w:tcW w:w="1814"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-17</w:t>
            </w:r>
          </w:p>
        </w:tc>
      </w:tr>
    </w:tbl>
    <w:p w:rsidR="00E23B86" w:rsidRDefault="00BA7C13">
      <w:pPr>
        <w:numPr>
          <w:ilvl w:val="0"/>
          <w:numId w:val="16"/>
        </w:numPr>
        <w:spacing w:after="575" w:line="248" w:lineRule="auto"/>
        <w:ind w:right="552" w:hanging="360"/>
        <w:jc w:val="both"/>
      </w:pPr>
      <w:r>
        <w:rPr>
          <w:noProof/>
        </w:rPr>
        <mc:AlternateContent>
          <mc:Choice Requires="wpg">
            <w:drawing>
              <wp:anchor distT="0" distB="0" distL="114300" distR="114300" simplePos="0" relativeHeight="2516940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2764" name="Group 52276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0551" name="Rectangle 1055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0552" name="Rectangle 1055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2764" style="width:12.7031pt;height:280.35pt;position:absolute;mso-position-horizontal-relative:page;mso-position-horizontal:absolute;margin-left:681.958pt;mso-position-vertical-relative:page;margin-top:531.65pt;" coordsize="1613,35604">
                <v:rect id="Rectangle 1055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055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391 </w:t>
                        </w:r>
                      </w:p>
                    </w:txbxContent>
                  </v:textbox>
                </v:rect>
                <w10:wrap type="square"/>
              </v:group>
            </w:pict>
          </mc:Fallback>
        </mc:AlternateContent>
      </w:r>
      <w:r>
        <w:rPr>
          <w:rFonts w:ascii="Arial" w:eastAsia="Arial" w:hAnsi="Arial" w:cs="Arial"/>
          <w:b/>
          <w:i/>
        </w:rPr>
        <w:t>Área de Gasto 3</w:t>
      </w:r>
      <w:r>
        <w:rPr>
          <w:rFonts w:ascii="Arial" w:eastAsia="Arial" w:hAnsi="Arial" w:cs="Arial"/>
          <w:i/>
        </w:rPr>
        <w:t xml:space="preserve">: </w:t>
      </w:r>
      <w:r>
        <w:rPr>
          <w:rFonts w:ascii="Arial" w:eastAsia="Arial" w:hAnsi="Arial" w:cs="Arial"/>
        </w:rPr>
        <w:t>Producción de Bienes Públicos de carácter Preferente, que comprende los gastos relacionados con la sanidad, educación, cultura, ocio y tiempo lib</w:t>
      </w:r>
      <w:r>
        <w:rPr>
          <w:rFonts w:ascii="Arial" w:eastAsia="Arial" w:hAnsi="Arial" w:cs="Arial"/>
        </w:rPr>
        <w:t>re, deporte y todos aquellos que mejoren la calidad de vida, El gasto en esta área importa 2.586.831,84 Euros frente al gasto de  2.827.981,30 Euros en el 2018, esto es, hay una caída del 8,5 % y representa el 10,7 % del gasto total, frente al 11,5 % del g</w:t>
      </w:r>
      <w:r>
        <w:rPr>
          <w:rFonts w:ascii="Arial" w:eastAsia="Arial" w:hAnsi="Arial" w:cs="Arial"/>
        </w:rPr>
        <w:t>asto total en el ejercicio anterior, destacando el gasto en bienes corrientes en un 45,5 % y los gastos de personal, un 25 % y</w:t>
      </w:r>
    </w:p>
    <w:p w:rsidR="00E23B86" w:rsidRDefault="00BA7C13">
      <w:pPr>
        <w:spacing w:after="575" w:line="248" w:lineRule="auto"/>
        <w:ind w:left="1072" w:right="552" w:hanging="360"/>
        <w:jc w:val="both"/>
      </w:pPr>
      <w:r>
        <w:rPr>
          <w:rFonts w:ascii="Arial" w:eastAsia="Arial" w:hAnsi="Arial" w:cs="Arial"/>
        </w:rPr>
        <w:t>las subvenciones, el 24,6 %. Destacamos:</w:t>
      </w:r>
    </w:p>
    <w:p w:rsidR="00E23B86" w:rsidRDefault="00BA7C13">
      <w:pPr>
        <w:numPr>
          <w:ilvl w:val="0"/>
          <w:numId w:val="16"/>
        </w:numPr>
        <w:spacing w:after="320" w:line="248" w:lineRule="auto"/>
        <w:ind w:right="552" w:hanging="360"/>
        <w:jc w:val="both"/>
      </w:pPr>
      <w:r>
        <w:rPr>
          <w:rFonts w:ascii="Arial" w:eastAsia="Arial" w:hAnsi="Arial" w:cs="Arial"/>
          <w:i/>
        </w:rPr>
        <w:t>Subprograma 311.00 de</w:t>
      </w:r>
      <w:r>
        <w:rPr>
          <w:rFonts w:ascii="Arial" w:eastAsia="Arial" w:hAnsi="Arial" w:cs="Arial"/>
        </w:rPr>
        <w:t xml:space="preserve"> </w:t>
      </w:r>
      <w:r>
        <w:rPr>
          <w:rFonts w:ascii="Arial" w:eastAsia="Arial" w:hAnsi="Arial" w:cs="Arial"/>
          <w:i/>
        </w:rPr>
        <w:t>Acciones Públicas relativas a la Salud</w:t>
      </w:r>
      <w:r>
        <w:rPr>
          <w:rFonts w:ascii="Arial" w:eastAsia="Arial" w:hAnsi="Arial" w:cs="Arial"/>
        </w:rPr>
        <w:t>. Sube un 12 %, motivado por</w:t>
      </w:r>
      <w:r>
        <w:rPr>
          <w:rFonts w:ascii="Arial" w:eastAsia="Arial" w:hAnsi="Arial" w:cs="Arial"/>
        </w:rPr>
        <w:t xml:space="preserve"> el mayor gasto en inversiones, que compensa la caída en un 21 %, los gastos en bienes corrientes y de servicios, en este ejercicio, más concretamente en recogida, albergue de animales y servicios veterinarios. Representan un 0,2 % respecto del gasto total</w:t>
      </w:r>
      <w:r>
        <w:rPr>
          <w:rFonts w:ascii="Arial" w:eastAsia="Arial" w:hAnsi="Arial" w:cs="Arial"/>
        </w:rPr>
        <w:t>, mismo porcentaje del gasto ejecutado en 2018.</w:t>
      </w:r>
    </w:p>
    <w:p w:rsidR="00E23B86" w:rsidRDefault="00BA7C13">
      <w:pPr>
        <w:numPr>
          <w:ilvl w:val="0"/>
          <w:numId w:val="16"/>
        </w:numPr>
        <w:spacing w:after="320" w:line="248" w:lineRule="auto"/>
        <w:ind w:right="552" w:hanging="360"/>
        <w:jc w:val="both"/>
      </w:pPr>
      <w:r>
        <w:rPr>
          <w:rFonts w:ascii="Arial" w:eastAsia="Arial" w:hAnsi="Arial" w:cs="Arial"/>
          <w:i/>
        </w:rPr>
        <w:t>Subprograma 323.00 de</w:t>
      </w:r>
      <w:r>
        <w:rPr>
          <w:rFonts w:ascii="Arial" w:eastAsia="Arial" w:hAnsi="Arial" w:cs="Arial"/>
        </w:rPr>
        <w:t xml:space="preserve"> </w:t>
      </w:r>
      <w:r>
        <w:rPr>
          <w:rFonts w:ascii="Arial" w:eastAsia="Arial" w:hAnsi="Arial" w:cs="Arial"/>
          <w:i/>
        </w:rPr>
        <w:t>Educación Prescolar y Primaria</w:t>
      </w:r>
      <w:r>
        <w:rPr>
          <w:rFonts w:ascii="Arial" w:eastAsia="Arial" w:hAnsi="Arial" w:cs="Arial"/>
        </w:rPr>
        <w:t>, cae un 12,7 % %, motivado por gastos de mantenimiento de centros educativos, que decrece un 22 %. Representan un 0,6 % respecto del gasto total, una décim</w:t>
      </w:r>
      <w:r>
        <w:rPr>
          <w:rFonts w:ascii="Arial" w:eastAsia="Arial" w:hAnsi="Arial" w:cs="Arial"/>
        </w:rPr>
        <w:t>a menos del gasto ejecutado en 2018.</w:t>
      </w:r>
    </w:p>
    <w:p w:rsidR="00E23B86" w:rsidRDefault="00BA7C13">
      <w:pPr>
        <w:numPr>
          <w:ilvl w:val="0"/>
          <w:numId w:val="16"/>
        </w:numPr>
        <w:spacing w:after="110" w:line="248" w:lineRule="auto"/>
        <w:ind w:right="552" w:hanging="360"/>
        <w:jc w:val="both"/>
      </w:pPr>
      <w:r>
        <w:rPr>
          <w:rFonts w:ascii="Arial" w:eastAsia="Arial" w:hAnsi="Arial" w:cs="Arial"/>
          <w:i/>
        </w:rPr>
        <w:t>Subprograma 326.00 de</w:t>
      </w:r>
      <w:r>
        <w:rPr>
          <w:rFonts w:ascii="Arial" w:eastAsia="Arial" w:hAnsi="Arial" w:cs="Arial"/>
        </w:rPr>
        <w:t xml:space="preserve"> </w:t>
      </w:r>
      <w:r>
        <w:rPr>
          <w:rFonts w:ascii="Arial" w:eastAsia="Arial" w:hAnsi="Arial" w:cs="Arial"/>
          <w:i/>
        </w:rPr>
        <w:t>Servicios Complementarios de Educación</w:t>
      </w:r>
      <w:r>
        <w:rPr>
          <w:rFonts w:ascii="Arial" w:eastAsia="Arial" w:hAnsi="Arial" w:cs="Arial"/>
        </w:rPr>
        <w:t xml:space="preserve">. Recoge únicamente los gastos de subvenciones para centros educativos, proyectos universitarios, etc, que cae un 21 %, respecto el año anterior, por el menor </w:t>
      </w:r>
      <w:r>
        <w:rPr>
          <w:rFonts w:ascii="Arial" w:eastAsia="Arial" w:hAnsi="Arial" w:cs="Arial"/>
        </w:rPr>
        <w:t>gastos en adquisición de material de estudio. Representan un 0,2 % respecto del gasto total, frente al 0,3 % del gasto liquidado en el 2018.</w:t>
      </w:r>
    </w:p>
    <w:p w:rsidR="00E23B86" w:rsidRDefault="00BA7C13">
      <w:pPr>
        <w:numPr>
          <w:ilvl w:val="0"/>
          <w:numId w:val="16"/>
        </w:numPr>
        <w:spacing w:after="320" w:line="248" w:lineRule="auto"/>
        <w:ind w:right="552" w:hanging="360"/>
        <w:jc w:val="both"/>
      </w:pPr>
      <w:r>
        <w:rPr>
          <w:rFonts w:ascii="Arial" w:eastAsia="Arial" w:hAnsi="Arial" w:cs="Arial"/>
          <w:i/>
        </w:rPr>
        <w:t>Subprograma 334.00 de</w:t>
      </w:r>
      <w:r>
        <w:rPr>
          <w:rFonts w:ascii="Arial" w:eastAsia="Arial" w:hAnsi="Arial" w:cs="Arial"/>
        </w:rPr>
        <w:t xml:space="preserve"> </w:t>
      </w:r>
      <w:r>
        <w:rPr>
          <w:rFonts w:ascii="Arial" w:eastAsia="Arial" w:hAnsi="Arial" w:cs="Arial"/>
          <w:i/>
        </w:rPr>
        <w:t>Promoción Cultural</w:t>
      </w:r>
      <w:r>
        <w:rPr>
          <w:rFonts w:ascii="Arial" w:eastAsia="Arial" w:hAnsi="Arial" w:cs="Arial"/>
        </w:rPr>
        <w:t>. Sube un 7,2 %, motivado por el incremento de los gastos de personal, un 3</w:t>
      </w:r>
      <w:r>
        <w:rPr>
          <w:rFonts w:ascii="Arial" w:eastAsia="Arial" w:hAnsi="Arial" w:cs="Arial"/>
        </w:rPr>
        <w:t>8 %, que compensa la caída de las inversiones (un 86 %), mientras que permanece constante las subvenciones y los gastos corrientes. Representan un 4 % respecto del gasto total, frente al 3,80 %, del gasto liquidado en el 2018.</w:t>
      </w:r>
    </w:p>
    <w:p w:rsidR="00E23B86" w:rsidRDefault="00BA7C13">
      <w:pPr>
        <w:numPr>
          <w:ilvl w:val="0"/>
          <w:numId w:val="16"/>
        </w:numPr>
        <w:spacing w:after="246" w:line="248" w:lineRule="auto"/>
        <w:ind w:right="552" w:hanging="360"/>
        <w:jc w:val="both"/>
      </w:pPr>
      <w:r>
        <w:rPr>
          <w:rFonts w:ascii="Arial" w:eastAsia="Arial" w:hAnsi="Arial" w:cs="Arial"/>
          <w:i/>
        </w:rPr>
        <w:t>Subprograma 336.00 de</w:t>
      </w:r>
      <w:r>
        <w:rPr>
          <w:rFonts w:ascii="Arial" w:eastAsia="Arial" w:hAnsi="Arial" w:cs="Arial"/>
        </w:rPr>
        <w:t xml:space="preserve"> </w:t>
      </w:r>
      <w:r>
        <w:rPr>
          <w:rFonts w:ascii="Arial" w:eastAsia="Arial" w:hAnsi="Arial" w:cs="Arial"/>
          <w:i/>
        </w:rPr>
        <w:t>Identid</w:t>
      </w:r>
      <w:r>
        <w:rPr>
          <w:rFonts w:ascii="Arial" w:eastAsia="Arial" w:hAnsi="Arial" w:cs="Arial"/>
          <w:i/>
        </w:rPr>
        <w:t>ad Canaria</w:t>
      </w:r>
      <w:r>
        <w:rPr>
          <w:rFonts w:ascii="Arial" w:eastAsia="Arial" w:hAnsi="Arial" w:cs="Arial"/>
        </w:rPr>
        <w:t>. Cae un 11 %, por los gastos de compras en bienes corrientes y de servicios, que decrece un 50 %, representando este capítulo el 56,6 % del gasto total. Representan un 0,3 % del gasto total (el 0,4 % en el 2018).</w:t>
      </w:r>
    </w:p>
    <w:p w:rsidR="00E23B86" w:rsidRDefault="00BA7C13">
      <w:pPr>
        <w:numPr>
          <w:ilvl w:val="0"/>
          <w:numId w:val="16"/>
        </w:numPr>
        <w:spacing w:after="323" w:line="248" w:lineRule="auto"/>
        <w:ind w:right="552" w:hanging="360"/>
        <w:jc w:val="both"/>
      </w:pPr>
      <w:r>
        <w:rPr>
          <w:rFonts w:ascii="Arial" w:eastAsia="Arial" w:hAnsi="Arial" w:cs="Arial"/>
          <w:i/>
        </w:rPr>
        <w:t>Subprograma 337.00 de</w:t>
      </w:r>
      <w:r>
        <w:rPr>
          <w:rFonts w:ascii="Arial" w:eastAsia="Arial" w:hAnsi="Arial" w:cs="Arial"/>
        </w:rPr>
        <w:t xml:space="preserve"> </w:t>
      </w:r>
      <w:r>
        <w:rPr>
          <w:rFonts w:ascii="Arial" w:eastAsia="Arial" w:hAnsi="Arial" w:cs="Arial"/>
          <w:i/>
        </w:rPr>
        <w:t>Ocio y Tie</w:t>
      </w:r>
      <w:r>
        <w:rPr>
          <w:rFonts w:ascii="Arial" w:eastAsia="Arial" w:hAnsi="Arial" w:cs="Arial"/>
          <w:i/>
        </w:rPr>
        <w:t>mpo Libre</w:t>
      </w:r>
      <w:r>
        <w:rPr>
          <w:rFonts w:ascii="Arial" w:eastAsia="Arial" w:hAnsi="Arial" w:cs="Arial"/>
        </w:rPr>
        <w:t>, sube un 2,8 %, por los gastos en el capítulo de personal (un 52 %), que compensa la caída en un 36 %, los gastos en bienes corrientes y de servicios. Representan un 0,5 por ciento respecto del gasto total, mismo porcentaje del gasto liquidado en</w:t>
      </w:r>
      <w:r>
        <w:rPr>
          <w:rFonts w:ascii="Arial" w:eastAsia="Arial" w:hAnsi="Arial" w:cs="Arial"/>
        </w:rPr>
        <w:t xml:space="preserve"> el 2018.</w:t>
      </w:r>
    </w:p>
    <w:p w:rsidR="00E23B86" w:rsidRDefault="00BA7C13">
      <w:pPr>
        <w:numPr>
          <w:ilvl w:val="0"/>
          <w:numId w:val="16"/>
        </w:numPr>
        <w:spacing w:after="322" w:line="248" w:lineRule="auto"/>
        <w:ind w:right="552" w:hanging="360"/>
        <w:jc w:val="both"/>
      </w:pPr>
      <w:r>
        <w:rPr>
          <w:rFonts w:ascii="Arial" w:eastAsia="Arial" w:hAnsi="Arial" w:cs="Arial"/>
          <w:i/>
        </w:rPr>
        <w:t>Subprograma 338.00 de</w:t>
      </w:r>
      <w:r>
        <w:rPr>
          <w:rFonts w:ascii="Arial" w:eastAsia="Arial" w:hAnsi="Arial" w:cs="Arial"/>
        </w:rPr>
        <w:t xml:space="preserve"> </w:t>
      </w:r>
      <w:r>
        <w:rPr>
          <w:rFonts w:ascii="Arial" w:eastAsia="Arial" w:hAnsi="Arial" w:cs="Arial"/>
          <w:i/>
        </w:rPr>
        <w:t>Fiestas Populares y Festejos</w:t>
      </w:r>
      <w:r>
        <w:rPr>
          <w:rFonts w:ascii="Arial" w:eastAsia="Arial" w:hAnsi="Arial" w:cs="Arial"/>
        </w:rPr>
        <w:t>, que cae de forma importante un 33 %, respecto del año anterior, motivado por la caída de las fiestas del carmen y santa ana y las fiestas de la virgen. Representan un 1,8 % respecto del gasto to</w:t>
      </w:r>
      <w:r>
        <w:rPr>
          <w:rFonts w:ascii="Arial" w:eastAsia="Arial" w:hAnsi="Arial" w:cs="Arial"/>
        </w:rPr>
        <w:t>tal, frente al 2,7 % del ejercicio 2018.</w:t>
      </w:r>
    </w:p>
    <w:p w:rsidR="00E23B86" w:rsidRDefault="00BA7C13">
      <w:pPr>
        <w:numPr>
          <w:ilvl w:val="0"/>
          <w:numId w:val="16"/>
        </w:numPr>
        <w:spacing w:after="245" w:line="248" w:lineRule="auto"/>
        <w:ind w:right="552" w:hanging="360"/>
        <w:jc w:val="both"/>
      </w:pPr>
      <w:r>
        <w:rPr>
          <w:noProof/>
        </w:rPr>
        <mc:AlternateContent>
          <mc:Choice Requires="wpg">
            <w:drawing>
              <wp:anchor distT="0" distB="0" distL="114300" distR="114300" simplePos="0" relativeHeight="2516951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2210" name="Group 52221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0898" name="Rectangle 1089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0899" name="Rectangle 1089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2210" style="width:12.7031pt;height:280.35pt;position:absolute;mso-position-horizontal-relative:page;mso-position-horizontal:absolute;margin-left:681.958pt;mso-position-vertical-relative:page;margin-top:531.65pt;" coordsize="1613,35604">
                <v:rect id="Rectangle 1089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089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391 </w:t>
                        </w:r>
                      </w:p>
                    </w:txbxContent>
                  </v:textbox>
                </v:rect>
                <w10:wrap type="square"/>
              </v:group>
            </w:pict>
          </mc:Fallback>
        </mc:AlternateContent>
      </w:r>
      <w:r>
        <w:rPr>
          <w:rFonts w:ascii="Arial" w:eastAsia="Arial" w:hAnsi="Arial" w:cs="Arial"/>
          <w:i/>
        </w:rPr>
        <w:t>Subprograma 341.00 de</w:t>
      </w:r>
      <w:r>
        <w:rPr>
          <w:rFonts w:ascii="Arial" w:eastAsia="Arial" w:hAnsi="Arial" w:cs="Arial"/>
        </w:rPr>
        <w:t xml:space="preserve"> </w:t>
      </w:r>
      <w:r>
        <w:rPr>
          <w:rFonts w:ascii="Arial" w:eastAsia="Arial" w:hAnsi="Arial" w:cs="Arial"/>
          <w:i/>
        </w:rPr>
        <w:t>Promoción y Fomento del Deporte</w:t>
      </w:r>
      <w:r>
        <w:rPr>
          <w:rFonts w:ascii="Arial" w:eastAsia="Arial" w:hAnsi="Arial" w:cs="Arial"/>
        </w:rPr>
        <w:t>. Cae un 7,8 %, motivado por la caída de las inversiones en setenta y seis mil Euros. Representan un 2,6 % respecto del gasto total, dos décimas menos que el gasto liquidado en el ejercicio 2018.</w:t>
      </w:r>
    </w:p>
    <w:p w:rsidR="00E23B86" w:rsidRDefault="00BA7C13">
      <w:pPr>
        <w:spacing w:after="10" w:line="248" w:lineRule="auto"/>
        <w:ind w:left="363" w:right="552" w:firstLine="708"/>
        <w:jc w:val="both"/>
      </w:pPr>
      <w:r>
        <w:rPr>
          <w:rFonts w:ascii="Arial" w:eastAsia="Arial" w:hAnsi="Arial" w:cs="Arial"/>
        </w:rPr>
        <w:t>En el p</w:t>
      </w:r>
      <w:r>
        <w:rPr>
          <w:rFonts w:ascii="Arial" w:eastAsia="Arial" w:hAnsi="Arial" w:cs="Arial"/>
        </w:rPr>
        <w:t>resente cuadro, se pone de manifiesto la evolución de esta Área de producción de bienes públicos de carácter preferente:</w:t>
      </w:r>
    </w:p>
    <w:tbl>
      <w:tblPr>
        <w:tblStyle w:val="TableGrid"/>
        <w:tblW w:w="7118" w:type="dxa"/>
        <w:tblInd w:w="1059" w:type="dxa"/>
        <w:tblCellMar>
          <w:top w:w="11" w:type="dxa"/>
          <w:left w:w="11" w:type="dxa"/>
          <w:bottom w:w="0" w:type="dxa"/>
          <w:right w:w="8" w:type="dxa"/>
        </w:tblCellMar>
        <w:tblLook w:val="04A0" w:firstRow="1" w:lastRow="0" w:firstColumn="1" w:lastColumn="0" w:noHBand="0" w:noVBand="1"/>
      </w:tblPr>
      <w:tblGrid>
        <w:gridCol w:w="756"/>
        <w:gridCol w:w="1903"/>
        <w:gridCol w:w="1265"/>
        <w:gridCol w:w="1722"/>
        <w:gridCol w:w="1472"/>
      </w:tblGrid>
      <w:tr w:rsidR="00E23B86">
        <w:trPr>
          <w:trHeight w:val="767"/>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AÑO </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PREVISIONES</w:t>
            </w:r>
          </w:p>
          <w:p w:rsidR="00E23B86" w:rsidRDefault="00BA7C13">
            <w:pPr>
              <w:spacing w:after="0"/>
              <w:jc w:val="both"/>
            </w:pPr>
            <w:r>
              <w:rPr>
                <w:rFonts w:ascii="Arial" w:eastAsia="Arial" w:hAnsi="Arial" w:cs="Arial"/>
              </w:rPr>
              <w:t>DEL ÁREA DE</w:t>
            </w:r>
          </w:p>
          <w:p w:rsidR="00E23B86" w:rsidRDefault="00BA7C13">
            <w:pPr>
              <w:spacing w:after="0"/>
            </w:pPr>
            <w:r>
              <w:rPr>
                <w:rFonts w:ascii="Arial" w:eastAsia="Arial" w:hAnsi="Arial" w:cs="Arial"/>
              </w:rPr>
              <w:t>GASTO 3</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w:t>
            </w:r>
          </w:p>
          <w:p w:rsidR="00E23B86" w:rsidRDefault="00BA7C13">
            <w:pPr>
              <w:spacing w:after="0"/>
              <w:ind w:left="1"/>
              <w:jc w:val="both"/>
            </w:pPr>
            <w:r>
              <w:rPr>
                <w:rFonts w:ascii="Arial" w:eastAsia="Arial" w:hAnsi="Arial" w:cs="Arial"/>
              </w:rPr>
              <w:t>CRECIMIEN</w:t>
            </w:r>
          </w:p>
          <w:p w:rsidR="00E23B86" w:rsidRDefault="00BA7C13">
            <w:pPr>
              <w:spacing w:after="0"/>
              <w:ind w:left="1"/>
            </w:pPr>
            <w:r>
              <w:rPr>
                <w:rFonts w:ascii="Arial" w:eastAsia="Arial" w:hAnsi="Arial" w:cs="Arial"/>
              </w:rPr>
              <w:t>TO</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EJECUCIÓN</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 xml:space="preserve">% </w:t>
            </w:r>
          </w:p>
          <w:p w:rsidR="00E23B86" w:rsidRDefault="00BA7C13">
            <w:pPr>
              <w:spacing w:after="0"/>
              <w:jc w:val="both"/>
            </w:pPr>
            <w:r>
              <w:rPr>
                <w:rFonts w:ascii="Arial" w:eastAsia="Arial" w:hAnsi="Arial" w:cs="Arial"/>
              </w:rPr>
              <w:t>CRECIMIENT</w:t>
            </w:r>
          </w:p>
          <w:p w:rsidR="00E23B86" w:rsidRDefault="00BA7C13">
            <w:pPr>
              <w:spacing w:after="0"/>
            </w:pPr>
            <w:r>
              <w:rPr>
                <w:rFonts w:ascii="Arial" w:eastAsia="Arial" w:hAnsi="Arial" w:cs="Arial"/>
              </w:rPr>
              <w:t>O</w:t>
            </w:r>
          </w:p>
        </w:tc>
      </w:tr>
      <w:tr w:rsidR="00E23B86">
        <w:trPr>
          <w:trHeight w:val="264"/>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2019</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2.907.273,73</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7,5</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2.586.831,84</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-8,5</w:t>
            </w:r>
          </w:p>
        </w:tc>
      </w:tr>
      <w:tr w:rsidR="00E23B86">
        <w:trPr>
          <w:trHeight w:val="262"/>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2018</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2.703.796,57</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15,7</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2.827.981,30</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13,4</w:t>
            </w:r>
          </w:p>
        </w:tc>
      </w:tr>
      <w:tr w:rsidR="00E23B86">
        <w:trPr>
          <w:trHeight w:val="264"/>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2017</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2.336.093,31</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-1,00</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2.492.487,91</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w:t>
            </w:r>
          </w:p>
        </w:tc>
      </w:tr>
      <w:tr w:rsidR="00E23B86">
        <w:trPr>
          <w:trHeight w:val="262"/>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2016</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2.359.995,31</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23,1</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2.508.471,25</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29</w:t>
            </w:r>
          </w:p>
        </w:tc>
      </w:tr>
      <w:tr w:rsidR="00E23B86">
        <w:trPr>
          <w:trHeight w:val="264"/>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2015</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1.916.659,92 €</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24,6</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1.938.636,87</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-0,4</w:t>
            </w:r>
          </w:p>
        </w:tc>
      </w:tr>
      <w:tr w:rsidR="00E23B86">
        <w:trPr>
          <w:trHeight w:val="262"/>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2014</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1.538.130,53 €</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-11,4</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1.946.368,94 €</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13,4</w:t>
            </w:r>
          </w:p>
        </w:tc>
      </w:tr>
      <w:tr w:rsidR="00E23B86">
        <w:trPr>
          <w:trHeight w:val="264"/>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2013</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1.734.130,23 €</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0</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1.715.585,26 €</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16</w:t>
            </w:r>
          </w:p>
        </w:tc>
      </w:tr>
      <w:tr w:rsidR="00E23B86">
        <w:trPr>
          <w:trHeight w:val="262"/>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2012</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1.734.130,23</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-25,2</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1.478.119,08 €</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6,7</w:t>
            </w:r>
          </w:p>
        </w:tc>
      </w:tr>
      <w:tr w:rsidR="00E23B86">
        <w:trPr>
          <w:trHeight w:val="264"/>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2011</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2.317.668,02</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-10</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2.208.623,98</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-16,7</w:t>
            </w:r>
          </w:p>
        </w:tc>
      </w:tr>
      <w:tr w:rsidR="00E23B86">
        <w:trPr>
          <w:trHeight w:val="263"/>
        </w:trPr>
        <w:tc>
          <w:tcPr>
            <w:tcW w:w="7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2010</w:t>
            </w:r>
          </w:p>
        </w:tc>
        <w:tc>
          <w:tcPr>
            <w:tcW w:w="1903"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2.569.551,96</w:t>
            </w:r>
          </w:p>
        </w:tc>
        <w:tc>
          <w:tcPr>
            <w:tcW w:w="126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7,5</w:t>
            </w:r>
          </w:p>
        </w:tc>
        <w:tc>
          <w:tcPr>
            <w:tcW w:w="172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2.651.082,30</w:t>
            </w:r>
          </w:p>
        </w:tc>
        <w:tc>
          <w:tcPr>
            <w:tcW w:w="147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3,5</w:t>
            </w:r>
          </w:p>
        </w:tc>
      </w:tr>
    </w:tbl>
    <w:p w:rsidR="00E23B86" w:rsidRDefault="00BA7C13">
      <w:pPr>
        <w:numPr>
          <w:ilvl w:val="0"/>
          <w:numId w:val="16"/>
        </w:numPr>
        <w:spacing w:after="320" w:line="248" w:lineRule="auto"/>
        <w:ind w:right="552" w:hanging="360"/>
        <w:jc w:val="both"/>
      </w:pPr>
      <w:r>
        <w:rPr>
          <w:rFonts w:ascii="Arial" w:eastAsia="Arial" w:hAnsi="Arial" w:cs="Arial"/>
          <w:b/>
          <w:i/>
        </w:rPr>
        <w:t>Área de Gasto 4</w:t>
      </w:r>
      <w:r>
        <w:rPr>
          <w:rFonts w:ascii="Arial" w:eastAsia="Arial" w:hAnsi="Arial" w:cs="Arial"/>
        </w:rPr>
        <w:t>: Actuaciones de Carácter Económico, que integra los gastos de actividades, servicios y transferencias que tienden a desarrollar el potencial de los distintos sectores de la actividad económica. Refleja gastos por importe de 2.611.096,98 Euros frente a los</w:t>
      </w:r>
      <w:r>
        <w:rPr>
          <w:rFonts w:ascii="Arial" w:eastAsia="Arial" w:hAnsi="Arial" w:cs="Arial"/>
        </w:rPr>
        <w:t xml:space="preserve"> 3.075.720,08 Euros del año anterior, disminuyendo un 15,1 % (subió un 4,8 % en el año anterior). Representa el 10,8 %, frente al 2,6 % del gasto total de 2018. Destacamos los siguientes subprogramas presupuestados:</w:t>
      </w:r>
    </w:p>
    <w:p w:rsidR="00E23B86" w:rsidRDefault="00BA7C13">
      <w:pPr>
        <w:numPr>
          <w:ilvl w:val="0"/>
          <w:numId w:val="16"/>
        </w:numPr>
        <w:spacing w:after="320" w:line="248" w:lineRule="auto"/>
        <w:ind w:right="552" w:hanging="360"/>
        <w:jc w:val="both"/>
      </w:pPr>
      <w:r>
        <w:rPr>
          <w:rFonts w:ascii="Arial" w:eastAsia="Arial" w:hAnsi="Arial" w:cs="Arial"/>
          <w:i/>
        </w:rPr>
        <w:t>Subprograma 414.00 de</w:t>
      </w:r>
      <w:r>
        <w:rPr>
          <w:rFonts w:ascii="Arial" w:eastAsia="Arial" w:hAnsi="Arial" w:cs="Arial"/>
        </w:rPr>
        <w:t xml:space="preserve"> </w:t>
      </w:r>
      <w:r>
        <w:rPr>
          <w:rFonts w:ascii="Arial" w:eastAsia="Arial" w:hAnsi="Arial" w:cs="Arial"/>
          <w:i/>
        </w:rPr>
        <w:t>Desarrollo Rural</w:t>
      </w:r>
      <w:r>
        <w:rPr>
          <w:rFonts w:ascii="Arial" w:eastAsia="Arial" w:hAnsi="Arial" w:cs="Arial"/>
        </w:rPr>
        <w:t xml:space="preserve">. </w:t>
      </w:r>
      <w:r>
        <w:rPr>
          <w:rFonts w:ascii="Arial" w:eastAsia="Arial" w:hAnsi="Arial" w:cs="Arial"/>
        </w:rPr>
        <w:t>Sube un 20 %, generalizado en todos los capítulos, representando los gastos de personal el 73 %, del gasto total. Representan un total del 0,45 por ciento respecto del gasto general, quince décims más que en el año precedente.</w:t>
      </w:r>
    </w:p>
    <w:p w:rsidR="00E23B86" w:rsidRDefault="00BA7C13">
      <w:pPr>
        <w:numPr>
          <w:ilvl w:val="0"/>
          <w:numId w:val="16"/>
        </w:numPr>
        <w:spacing w:after="322" w:line="248" w:lineRule="auto"/>
        <w:ind w:right="552" w:hanging="360"/>
        <w:jc w:val="both"/>
      </w:pPr>
      <w:r>
        <w:rPr>
          <w:rFonts w:ascii="Arial" w:eastAsia="Arial" w:hAnsi="Arial" w:cs="Arial"/>
          <w:i/>
        </w:rPr>
        <w:t>Subprograma 415.00 de</w:t>
      </w:r>
      <w:r>
        <w:rPr>
          <w:rFonts w:ascii="Arial" w:eastAsia="Arial" w:hAnsi="Arial" w:cs="Arial"/>
        </w:rPr>
        <w:t xml:space="preserve"> </w:t>
      </w:r>
      <w:r>
        <w:rPr>
          <w:rFonts w:ascii="Arial" w:eastAsia="Arial" w:hAnsi="Arial" w:cs="Arial"/>
          <w:i/>
        </w:rPr>
        <w:t>Protecc</w:t>
      </w:r>
      <w:r>
        <w:rPr>
          <w:rFonts w:ascii="Arial" w:eastAsia="Arial" w:hAnsi="Arial" w:cs="Arial"/>
          <w:i/>
        </w:rPr>
        <w:t>ión y Desarrollo de los Recursos Pesqueros</w:t>
      </w:r>
      <w:r>
        <w:rPr>
          <w:rFonts w:ascii="Arial" w:eastAsia="Arial" w:hAnsi="Arial" w:cs="Arial"/>
        </w:rPr>
        <w:t>. Sube un 178 %, pero solamente se han gasto aproximadamente treinta y dos mil euros. Representan un porcentaje del 0,13 %, frente al 0,04 % de 2019.</w:t>
      </w:r>
    </w:p>
    <w:p w:rsidR="00E23B86" w:rsidRDefault="00BA7C13">
      <w:pPr>
        <w:numPr>
          <w:ilvl w:val="0"/>
          <w:numId w:val="16"/>
        </w:numPr>
        <w:spacing w:after="322" w:line="248" w:lineRule="auto"/>
        <w:ind w:right="552" w:hanging="360"/>
        <w:jc w:val="both"/>
      </w:pPr>
      <w:r>
        <w:rPr>
          <w:rFonts w:ascii="Arial" w:eastAsia="Arial" w:hAnsi="Arial" w:cs="Arial"/>
          <w:i/>
        </w:rPr>
        <w:t>Subprograma 431.00 de</w:t>
      </w:r>
      <w:r>
        <w:rPr>
          <w:rFonts w:ascii="Arial" w:eastAsia="Arial" w:hAnsi="Arial" w:cs="Arial"/>
        </w:rPr>
        <w:t xml:space="preserve"> </w:t>
      </w:r>
      <w:r>
        <w:rPr>
          <w:rFonts w:ascii="Arial" w:eastAsia="Arial" w:hAnsi="Arial" w:cs="Arial"/>
          <w:i/>
        </w:rPr>
        <w:t>Comercio</w:t>
      </w:r>
      <w:r>
        <w:rPr>
          <w:rFonts w:ascii="Arial" w:eastAsia="Arial" w:hAnsi="Arial" w:cs="Arial"/>
        </w:rPr>
        <w:t xml:space="preserve">. Cae un 38 %, por el menor gasto </w:t>
      </w:r>
      <w:r>
        <w:rPr>
          <w:rFonts w:ascii="Arial" w:eastAsia="Arial" w:hAnsi="Arial" w:cs="Arial"/>
        </w:rPr>
        <w:t>en personal (44,5 %) y en bienes corrientes y de servicios, en un 43 %. Representan un 0,5 por ciento respecto del gasto total, tres décimas menos que en el año anterior.</w:t>
      </w:r>
    </w:p>
    <w:p w:rsidR="00E23B86" w:rsidRDefault="00BA7C13">
      <w:pPr>
        <w:numPr>
          <w:ilvl w:val="0"/>
          <w:numId w:val="16"/>
        </w:numPr>
        <w:spacing w:after="322" w:line="248" w:lineRule="auto"/>
        <w:ind w:right="552" w:hanging="360"/>
        <w:jc w:val="both"/>
      </w:pPr>
      <w:r>
        <w:rPr>
          <w:rFonts w:ascii="Arial" w:eastAsia="Arial" w:hAnsi="Arial" w:cs="Arial"/>
          <w:i/>
        </w:rPr>
        <w:t>Subprograma 432.00 de</w:t>
      </w:r>
      <w:r>
        <w:rPr>
          <w:rFonts w:ascii="Arial" w:eastAsia="Arial" w:hAnsi="Arial" w:cs="Arial"/>
        </w:rPr>
        <w:t xml:space="preserve"> </w:t>
      </w:r>
      <w:r>
        <w:rPr>
          <w:rFonts w:ascii="Arial" w:eastAsia="Arial" w:hAnsi="Arial" w:cs="Arial"/>
          <w:i/>
        </w:rPr>
        <w:t>Ordenación y Promoción Turística</w:t>
      </w:r>
      <w:r>
        <w:rPr>
          <w:rFonts w:ascii="Arial" w:eastAsia="Arial" w:hAnsi="Arial" w:cs="Arial"/>
        </w:rPr>
        <w:t>. Sube un 11 %, por el mayor gasto en gastos corrientes y servicios, que crece un 153,6 %, compensando la caída de los gastos de personal. Representan un 0,2 % respecto del gasto total, igual que en el año anterior.</w:t>
      </w:r>
    </w:p>
    <w:p w:rsidR="00E23B86" w:rsidRDefault="00BA7C13">
      <w:pPr>
        <w:numPr>
          <w:ilvl w:val="0"/>
          <w:numId w:val="16"/>
        </w:numPr>
        <w:spacing w:after="320" w:line="248" w:lineRule="auto"/>
        <w:ind w:right="552" w:hanging="360"/>
        <w:jc w:val="both"/>
      </w:pPr>
      <w:r>
        <w:rPr>
          <w:noProof/>
        </w:rPr>
        <mc:AlternateContent>
          <mc:Choice Requires="wpg">
            <w:drawing>
              <wp:anchor distT="0" distB="0" distL="114300" distR="114300" simplePos="0" relativeHeight="2516961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7496" name="Group 47749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1031" name="Rectangle 1103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w:t>
                              </w:r>
                              <w:r>
                                <w:rPr>
                                  <w:rFonts w:ascii="Arial" w:eastAsia="Arial" w:hAnsi="Arial" w:cs="Arial"/>
                                  <w:sz w:val="12"/>
                                </w:rPr>
                                <w:t xml:space="preserve">3FZWC | Verificación: https://candelaria.sedelectronica.es/ </w:t>
                              </w:r>
                            </w:p>
                          </w:txbxContent>
                        </wps:txbx>
                        <wps:bodyPr horzOverflow="overflow" vert="horz" lIns="0" tIns="0" rIns="0" bIns="0" rtlCol="0">
                          <a:noAutofit/>
                        </wps:bodyPr>
                      </wps:wsp>
                      <wps:wsp>
                        <wps:cNvPr id="11032" name="Rectangle 1103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37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7496" style="width:12.7031pt;height:280.35pt;position:absolute;mso-position-horizontal-relative:page;mso-position-horizontal:absolute;margin-left:681.958pt;mso-position-vertical-relative:page;margin-top:531.65pt;" coordsize="1613,35604">
                <v:rect id="Rectangle 1103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103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391 </w:t>
                        </w:r>
                      </w:p>
                    </w:txbxContent>
                  </v:textbox>
                </v:rect>
                <w10:wrap type="square"/>
              </v:group>
            </w:pict>
          </mc:Fallback>
        </mc:AlternateContent>
      </w:r>
      <w:r>
        <w:rPr>
          <w:rFonts w:ascii="Arial" w:eastAsia="Arial" w:hAnsi="Arial" w:cs="Arial"/>
          <w:i/>
        </w:rPr>
        <w:t>Subprograma 441.10 de</w:t>
      </w:r>
      <w:r>
        <w:rPr>
          <w:rFonts w:ascii="Arial" w:eastAsia="Arial" w:hAnsi="Arial" w:cs="Arial"/>
        </w:rPr>
        <w:t xml:space="preserve"> Transporte Público Colectivo Urbano de Viajeros. Sube un 44,4 %, por el mayor</w:t>
      </w:r>
      <w:r>
        <w:rPr>
          <w:rFonts w:ascii="Arial" w:eastAsia="Arial" w:hAnsi="Arial" w:cs="Arial"/>
        </w:rPr>
        <w:t xml:space="preserve"> coste de la licitación. Representan un 0,6 % respecto del gasto total, dos décimas más que en el año anterior.</w:t>
      </w:r>
    </w:p>
    <w:p w:rsidR="00E23B86" w:rsidRDefault="00BA7C13">
      <w:pPr>
        <w:numPr>
          <w:ilvl w:val="0"/>
          <w:numId w:val="16"/>
        </w:numPr>
        <w:spacing w:after="320" w:line="248" w:lineRule="auto"/>
        <w:ind w:right="552" w:hanging="360"/>
        <w:jc w:val="both"/>
      </w:pPr>
      <w:r>
        <w:rPr>
          <w:rFonts w:ascii="Arial" w:eastAsia="Arial" w:hAnsi="Arial" w:cs="Arial"/>
        </w:rPr>
        <w:t xml:space="preserve">Subprograma 459.00 de </w:t>
      </w:r>
      <w:r>
        <w:rPr>
          <w:rFonts w:ascii="Arial" w:eastAsia="Arial" w:hAnsi="Arial" w:cs="Arial"/>
          <w:i/>
        </w:rPr>
        <w:t>Otras Infraestructuras</w:t>
      </w:r>
      <w:r>
        <w:rPr>
          <w:rFonts w:ascii="Arial" w:eastAsia="Arial" w:hAnsi="Arial" w:cs="Arial"/>
        </w:rPr>
        <w:t xml:space="preserve">. Cae un 16,4%, representando los gastos de personal el 58 % (cae un 11 %) y los gastos corrientes, </w:t>
      </w:r>
      <w:r>
        <w:rPr>
          <w:rFonts w:ascii="Arial" w:eastAsia="Arial" w:hAnsi="Arial" w:cs="Arial"/>
        </w:rPr>
        <w:t>el 16 %. Representan un 5,7 % respecto del gasto total, frente al 6,7 %, respecto del ejercicio precedente.</w:t>
      </w:r>
    </w:p>
    <w:p w:rsidR="00E23B86" w:rsidRDefault="00BA7C13">
      <w:pPr>
        <w:numPr>
          <w:ilvl w:val="0"/>
          <w:numId w:val="16"/>
        </w:numPr>
        <w:spacing w:after="322" w:line="248" w:lineRule="auto"/>
        <w:ind w:right="552" w:hanging="360"/>
        <w:jc w:val="both"/>
      </w:pPr>
      <w:r>
        <w:rPr>
          <w:rFonts w:ascii="Arial" w:eastAsia="Arial" w:hAnsi="Arial" w:cs="Arial"/>
        </w:rPr>
        <w:t xml:space="preserve">Subprograma 491.00 de </w:t>
      </w:r>
      <w:r>
        <w:rPr>
          <w:rFonts w:ascii="Arial" w:eastAsia="Arial" w:hAnsi="Arial" w:cs="Arial"/>
          <w:i/>
        </w:rPr>
        <w:t>Sociedad de la Información: Radio y Revista municipal</w:t>
      </w:r>
      <w:r>
        <w:rPr>
          <w:rFonts w:ascii="Arial" w:eastAsia="Arial" w:hAnsi="Arial" w:cs="Arial"/>
        </w:rPr>
        <w:t>, Cae un 4,5 %, en su totalidad por el gasto en bienes corrientes y de se</w:t>
      </w:r>
      <w:r>
        <w:rPr>
          <w:rFonts w:ascii="Arial" w:eastAsia="Arial" w:hAnsi="Arial" w:cs="Arial"/>
        </w:rPr>
        <w:t>rvicios, representando las transferencias a Epelcan, en virtud de la asunción de la gestión de la radio municipal, el 62,5 % del total. Representan un 0,5 % del gasto total, igual que en el año anterior.</w:t>
      </w:r>
    </w:p>
    <w:p w:rsidR="00E23B86" w:rsidRDefault="00BA7C13">
      <w:pPr>
        <w:numPr>
          <w:ilvl w:val="0"/>
          <w:numId w:val="16"/>
        </w:numPr>
        <w:spacing w:after="320" w:line="248" w:lineRule="auto"/>
        <w:ind w:right="552" w:hanging="360"/>
        <w:jc w:val="both"/>
      </w:pPr>
      <w:r>
        <w:rPr>
          <w:rFonts w:ascii="Arial" w:eastAsia="Arial" w:hAnsi="Arial" w:cs="Arial"/>
        </w:rPr>
        <w:t xml:space="preserve">Subprograma 492.00 de </w:t>
      </w:r>
      <w:r>
        <w:rPr>
          <w:rFonts w:ascii="Arial" w:eastAsia="Arial" w:hAnsi="Arial" w:cs="Arial"/>
          <w:i/>
        </w:rPr>
        <w:t>Nuevas Tecnologías</w:t>
      </w:r>
      <w:r>
        <w:rPr>
          <w:rFonts w:ascii="Arial" w:eastAsia="Arial" w:hAnsi="Arial" w:cs="Arial"/>
        </w:rPr>
        <w:t>. Cae su eje</w:t>
      </w:r>
      <w:r>
        <w:rPr>
          <w:rFonts w:ascii="Arial" w:eastAsia="Arial" w:hAnsi="Arial" w:cs="Arial"/>
        </w:rPr>
        <w:t xml:space="preserve">cución en un 24,3 %, respecto del año anterior, representando el capítulo de gastos de personal el 53 % (cae un 10,7 %). Se mantiene los gastos corrientes y de servicios y las inversiones caen el 65 % (representan un 14,5 %). Representan un 2,6 % respecto </w:t>
      </w:r>
      <w:r>
        <w:rPr>
          <w:rFonts w:ascii="Arial" w:eastAsia="Arial" w:hAnsi="Arial" w:cs="Arial"/>
        </w:rPr>
        <w:t>del gasto total, frente al 3,4 % en el año anterior.</w:t>
      </w:r>
    </w:p>
    <w:p w:rsidR="00E23B86" w:rsidRDefault="00BA7C13">
      <w:pPr>
        <w:numPr>
          <w:ilvl w:val="0"/>
          <w:numId w:val="16"/>
        </w:numPr>
        <w:spacing w:after="244" w:line="248" w:lineRule="auto"/>
        <w:ind w:right="552" w:hanging="360"/>
        <w:jc w:val="both"/>
      </w:pPr>
      <w:r>
        <w:rPr>
          <w:rFonts w:ascii="Arial" w:eastAsia="Arial" w:hAnsi="Arial" w:cs="Arial"/>
        </w:rPr>
        <w:t xml:space="preserve">Subprograma 493.00 de </w:t>
      </w:r>
      <w:r>
        <w:rPr>
          <w:rFonts w:ascii="Arial" w:eastAsia="Arial" w:hAnsi="Arial" w:cs="Arial"/>
          <w:i/>
        </w:rPr>
        <w:t>Oficina de Defensa del Consumidor.</w:t>
      </w:r>
      <w:r>
        <w:rPr>
          <w:rFonts w:ascii="Arial" w:eastAsia="Arial" w:hAnsi="Arial" w:cs="Arial"/>
        </w:rPr>
        <w:t xml:space="preserve"> Para unas previsiones iniciales de 4.500,00 Euros, se han realizado gastos por importe de 824,00 Euros, frente al gasto de 334 Euros en el ejercic</w:t>
      </w:r>
      <w:r>
        <w:rPr>
          <w:rFonts w:ascii="Arial" w:eastAsia="Arial" w:hAnsi="Arial" w:cs="Arial"/>
        </w:rPr>
        <w:t>io anterior.</w:t>
      </w:r>
    </w:p>
    <w:p w:rsidR="00E23B86" w:rsidRDefault="00BA7C13">
      <w:pPr>
        <w:spacing w:after="110" w:line="248" w:lineRule="auto"/>
        <w:ind w:left="363" w:right="552" w:firstLine="708"/>
        <w:jc w:val="both"/>
      </w:pPr>
      <w:r>
        <w:rPr>
          <w:rFonts w:ascii="Arial" w:eastAsia="Arial" w:hAnsi="Arial" w:cs="Arial"/>
        </w:rPr>
        <w:t>En el presente cuadro, se pone de manifiesto la evolución de esta Área de Actuaciones de carácter económico:</w:t>
      </w:r>
    </w:p>
    <w:tbl>
      <w:tblPr>
        <w:tblStyle w:val="TableGrid"/>
        <w:tblW w:w="7346" w:type="dxa"/>
        <w:tblInd w:w="771" w:type="dxa"/>
        <w:tblCellMar>
          <w:top w:w="11" w:type="dxa"/>
          <w:left w:w="11" w:type="dxa"/>
          <w:bottom w:w="0" w:type="dxa"/>
          <w:right w:w="11" w:type="dxa"/>
        </w:tblCellMar>
        <w:tblLook w:val="04A0" w:firstRow="1" w:lastRow="0" w:firstColumn="1" w:lastColumn="0" w:noHBand="0" w:noVBand="1"/>
      </w:tblPr>
      <w:tblGrid>
        <w:gridCol w:w="783"/>
        <w:gridCol w:w="1942"/>
        <w:gridCol w:w="1578"/>
        <w:gridCol w:w="1525"/>
        <w:gridCol w:w="1518"/>
      </w:tblGrid>
      <w:tr w:rsidR="00E23B86">
        <w:trPr>
          <w:trHeight w:val="769"/>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AÑO </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PREVISIONES</w:t>
            </w:r>
          </w:p>
          <w:p w:rsidR="00E23B86" w:rsidRDefault="00BA7C13">
            <w:pPr>
              <w:spacing w:after="0"/>
              <w:jc w:val="both"/>
            </w:pPr>
            <w:r>
              <w:rPr>
                <w:rFonts w:ascii="Arial" w:eastAsia="Arial" w:hAnsi="Arial" w:cs="Arial"/>
              </w:rPr>
              <w:t>DEL ÁREA DE</w:t>
            </w:r>
          </w:p>
          <w:p w:rsidR="00E23B86" w:rsidRDefault="00BA7C13">
            <w:pPr>
              <w:spacing w:after="0"/>
            </w:pPr>
            <w:r>
              <w:rPr>
                <w:rFonts w:ascii="Arial" w:eastAsia="Arial" w:hAnsi="Arial" w:cs="Arial"/>
              </w:rPr>
              <w:t>GASTO 4</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p w:rsidR="00E23B86" w:rsidRDefault="00BA7C13">
            <w:pPr>
              <w:spacing w:after="0"/>
              <w:jc w:val="both"/>
            </w:pPr>
            <w:r>
              <w:rPr>
                <w:rFonts w:ascii="Arial" w:eastAsia="Arial" w:hAnsi="Arial" w:cs="Arial"/>
              </w:rPr>
              <w:t>CRECIMIENTO</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EJECUCIÓN</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 xml:space="preserve">% </w:t>
            </w:r>
          </w:p>
          <w:p w:rsidR="00E23B86" w:rsidRDefault="00BA7C13">
            <w:pPr>
              <w:spacing w:after="0"/>
              <w:ind w:left="1"/>
            </w:pPr>
            <w:r>
              <w:rPr>
                <w:rFonts w:ascii="Arial" w:eastAsia="Arial" w:hAnsi="Arial" w:cs="Arial"/>
              </w:rPr>
              <w:t>CRECIMIENT</w:t>
            </w:r>
          </w:p>
          <w:p w:rsidR="00E23B86" w:rsidRDefault="00BA7C13">
            <w:pPr>
              <w:spacing w:after="0"/>
              <w:ind w:left="1"/>
            </w:pPr>
            <w:r>
              <w:rPr>
                <w:rFonts w:ascii="Arial" w:eastAsia="Arial" w:hAnsi="Arial" w:cs="Arial"/>
              </w:rPr>
              <w:t>O</w:t>
            </w:r>
          </w:p>
        </w:tc>
      </w:tr>
      <w:tr w:rsidR="00E23B86">
        <w:trPr>
          <w:trHeight w:val="382"/>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2019</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2.910.090,33</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-4,3</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2.611.096,98</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-15,1</w:t>
            </w:r>
          </w:p>
        </w:tc>
      </w:tr>
      <w:tr w:rsidR="00E23B86">
        <w:trPr>
          <w:trHeight w:val="384"/>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2018</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3.039.319,45</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13,5</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3.075.720,08</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4,8</w:t>
            </w:r>
          </w:p>
        </w:tc>
      </w:tr>
      <w:tr w:rsidR="00E23B86">
        <w:trPr>
          <w:trHeight w:val="382"/>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2017</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2.676.186,72</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9,60</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2.934.497,12</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15,00</w:t>
            </w:r>
          </w:p>
        </w:tc>
      </w:tr>
      <w:tr w:rsidR="00E23B86">
        <w:trPr>
          <w:trHeight w:val="384"/>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2016</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2.784.202,00</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12,9</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2.551.192,82</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11,70</w:t>
            </w:r>
          </w:p>
        </w:tc>
      </w:tr>
      <w:tr w:rsidR="00E23B86">
        <w:trPr>
          <w:trHeight w:val="262"/>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2015</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2.228.564,85</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147</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2.282.873,33</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110</w:t>
            </w:r>
          </w:p>
        </w:tc>
      </w:tr>
      <w:tr w:rsidR="00E23B86">
        <w:trPr>
          <w:trHeight w:val="264"/>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2014</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901.771,32</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1.086.216,04 €</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-26,6</w:t>
            </w:r>
          </w:p>
        </w:tc>
      </w:tr>
      <w:tr w:rsidR="00E23B86">
        <w:trPr>
          <w:trHeight w:val="262"/>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2013</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901.771,32</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-18,8</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jc w:val="both"/>
            </w:pPr>
            <w:r>
              <w:rPr>
                <w:rFonts w:ascii="Arial" w:eastAsia="Arial" w:hAnsi="Arial" w:cs="Arial"/>
              </w:rPr>
              <w:t>1.479.543,26 €</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7</w:t>
            </w:r>
          </w:p>
        </w:tc>
      </w:tr>
      <w:tr w:rsidR="00E23B86">
        <w:trPr>
          <w:trHeight w:val="264"/>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2012</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1.109.632,37</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-22,3</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1.382.111,74</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-61,5</w:t>
            </w:r>
          </w:p>
        </w:tc>
      </w:tr>
      <w:tr w:rsidR="00E23B86">
        <w:trPr>
          <w:trHeight w:val="262"/>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2011</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1.427.867,98</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3.589.176,97</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54,7</w:t>
            </w:r>
          </w:p>
        </w:tc>
      </w:tr>
      <w:tr w:rsidR="00E23B86">
        <w:trPr>
          <w:trHeight w:val="265"/>
        </w:trPr>
        <w:tc>
          <w:tcPr>
            <w:tcW w:w="78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2010</w:t>
            </w:r>
          </w:p>
        </w:tc>
        <w:tc>
          <w:tcPr>
            <w:tcW w:w="194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1.427.867,98</w:t>
            </w:r>
          </w:p>
        </w:tc>
        <w:tc>
          <w:tcPr>
            <w:tcW w:w="1578"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-23,6</w:t>
            </w:r>
          </w:p>
        </w:tc>
        <w:tc>
          <w:tcPr>
            <w:tcW w:w="1525"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2.320.182,85</w:t>
            </w:r>
          </w:p>
        </w:tc>
        <w:tc>
          <w:tcPr>
            <w:tcW w:w="151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rPr>
              <w:t>-28</w:t>
            </w:r>
          </w:p>
        </w:tc>
      </w:tr>
    </w:tbl>
    <w:p w:rsidR="00E23B86" w:rsidRDefault="00BA7C13">
      <w:pPr>
        <w:numPr>
          <w:ilvl w:val="0"/>
          <w:numId w:val="16"/>
        </w:numPr>
        <w:spacing w:after="245" w:line="248" w:lineRule="auto"/>
        <w:ind w:right="552" w:hanging="360"/>
        <w:jc w:val="both"/>
      </w:pPr>
      <w:r>
        <w:rPr>
          <w:rFonts w:ascii="Arial" w:eastAsia="Arial" w:hAnsi="Arial" w:cs="Arial"/>
          <w:b/>
          <w:i/>
        </w:rPr>
        <w:t>Área de Gasto 9</w:t>
      </w:r>
      <w:r>
        <w:rPr>
          <w:rFonts w:ascii="Arial" w:eastAsia="Arial" w:hAnsi="Arial" w:cs="Arial"/>
        </w:rPr>
        <w:t xml:space="preserve">: Actuaciones de Carácter General, que incluye todos los gastos que afecten con carácter general a la Entidad Local y que consistan en el ejercicio de las funciones de gobierno o de apoyo administrativo y técnico a toda la organización. </w:t>
      </w:r>
    </w:p>
    <w:p w:rsidR="00E23B86" w:rsidRDefault="00BA7C13">
      <w:pPr>
        <w:spacing w:after="323" w:line="248" w:lineRule="auto"/>
        <w:ind w:left="712" w:right="552" w:firstLine="348"/>
        <w:jc w:val="both"/>
      </w:pPr>
      <w:r>
        <w:rPr>
          <w:rFonts w:ascii="Arial" w:eastAsia="Arial" w:hAnsi="Arial" w:cs="Arial"/>
        </w:rPr>
        <w:t>Refleja un gasto l</w:t>
      </w:r>
      <w:r>
        <w:rPr>
          <w:rFonts w:ascii="Arial" w:eastAsia="Arial" w:hAnsi="Arial" w:cs="Arial"/>
        </w:rPr>
        <w:t>iquidado de 3.939.900,33 Euros, frente a los 3.819.369,68 Euros, en el año 2018, un 3,2 % más que en el año anterior, principalmente por el aumento de las aportaciones al Consorcio de Tributos. Representa el 16,3 % del gasto total, siete décimas más que en</w:t>
      </w:r>
      <w:r>
        <w:rPr>
          <w:rFonts w:ascii="Arial" w:eastAsia="Arial" w:hAnsi="Arial" w:cs="Arial"/>
        </w:rPr>
        <w:t xml:space="preserve"> el 2017. Tenemos como subprogramas:</w:t>
      </w:r>
    </w:p>
    <w:p w:rsidR="00E23B86" w:rsidRDefault="00BA7C13">
      <w:pPr>
        <w:numPr>
          <w:ilvl w:val="0"/>
          <w:numId w:val="16"/>
        </w:numPr>
        <w:spacing w:after="320" w:line="248" w:lineRule="auto"/>
        <w:ind w:right="552" w:hanging="360"/>
        <w:jc w:val="both"/>
      </w:pPr>
      <w:r>
        <w:rPr>
          <w:noProof/>
        </w:rPr>
        <mc:AlternateContent>
          <mc:Choice Requires="wpg">
            <w:drawing>
              <wp:anchor distT="0" distB="0" distL="114300" distR="114300" simplePos="0" relativeHeight="2516971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6336" name="Group 48633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1327" name="Rectangle 1132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1328" name="Rectangle 1132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6336" style="width:12.7031pt;height:280.35pt;position:absolute;mso-position-horizontal-relative:page;mso-position-horizontal:absolute;margin-left:681.958pt;mso-position-vertical-relative:page;margin-top:531.65pt;" coordsize="1613,35604">
                <v:rect id="Rectangle 1132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132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391 </w:t>
                        </w:r>
                      </w:p>
                    </w:txbxContent>
                  </v:textbox>
                </v:rect>
                <w10:wrap type="square"/>
              </v:group>
            </w:pict>
          </mc:Fallback>
        </mc:AlternateContent>
      </w:r>
      <w:r>
        <w:rPr>
          <w:rFonts w:ascii="Arial" w:eastAsia="Arial" w:hAnsi="Arial" w:cs="Arial"/>
        </w:rPr>
        <w:t xml:space="preserve">Subprograma 912.00 de </w:t>
      </w:r>
      <w:r>
        <w:rPr>
          <w:rFonts w:ascii="Arial" w:eastAsia="Arial" w:hAnsi="Arial" w:cs="Arial"/>
          <w:i/>
        </w:rPr>
        <w:t>Órganos de Gobierno</w:t>
      </w:r>
      <w:r>
        <w:rPr>
          <w:rFonts w:ascii="Arial" w:eastAsia="Arial" w:hAnsi="Arial" w:cs="Arial"/>
        </w:rPr>
        <w:t xml:space="preserve">. Sube un 11 % respecto del ejercicio anterior, por los gastos de personal, que suben de un 12 %, representando el 91,5 %, del gasto total de este subprograma y los gastos en bienes corrientes y de servicios, en un 3,9 %. Representan un </w:t>
      </w:r>
      <w:r>
        <w:rPr>
          <w:rFonts w:ascii="Arial" w:eastAsia="Arial" w:hAnsi="Arial" w:cs="Arial"/>
        </w:rPr>
        <w:t>2,8 % respecto del gasto total, frente al 2,5 % del año anterior.</w:t>
      </w:r>
    </w:p>
    <w:p w:rsidR="00E23B86" w:rsidRDefault="00BA7C13">
      <w:pPr>
        <w:numPr>
          <w:ilvl w:val="0"/>
          <w:numId w:val="16"/>
        </w:numPr>
        <w:spacing w:after="321" w:line="248" w:lineRule="auto"/>
        <w:ind w:right="552" w:hanging="360"/>
        <w:jc w:val="both"/>
      </w:pPr>
      <w:r>
        <w:rPr>
          <w:rFonts w:ascii="Arial" w:eastAsia="Arial" w:hAnsi="Arial" w:cs="Arial"/>
        </w:rPr>
        <w:t xml:space="preserve">Subprograma 920.00 de </w:t>
      </w:r>
      <w:r>
        <w:rPr>
          <w:rFonts w:ascii="Arial" w:eastAsia="Arial" w:hAnsi="Arial" w:cs="Arial"/>
          <w:i/>
        </w:rPr>
        <w:t>Administración General</w:t>
      </w:r>
      <w:r>
        <w:rPr>
          <w:rFonts w:ascii="Arial" w:eastAsia="Arial" w:hAnsi="Arial" w:cs="Arial"/>
        </w:rPr>
        <w:t>. Cuantitativamente este subprograma, por importe de poco más de tres millones de euros, es el más importante ya que recoge los gastos de telefoní</w:t>
      </w:r>
      <w:r>
        <w:rPr>
          <w:rFonts w:ascii="Arial" w:eastAsia="Arial" w:hAnsi="Arial" w:cs="Arial"/>
        </w:rPr>
        <w:t>a, una parte del suministro eléctrico, primas de seguros, aportaciones al Consorcio de Tributos y las retribuciones de la buena parte de los funcionarios del Ayuntamiento, no adscritos a los subprogramas anteriores. Sube un 1,4 %, destacando la bajada de l</w:t>
      </w:r>
      <w:r>
        <w:rPr>
          <w:rFonts w:ascii="Arial" w:eastAsia="Arial" w:hAnsi="Arial" w:cs="Arial"/>
        </w:rPr>
        <w:t>os gastos corrientes y de servicios (un 7%) y de personal (un 2%), mientras suben las transferencias corrientes en un 16 %, y las inversiones en sesenta y cinco mil Euros. Representan un 12,6 % respecto del gasto total, frente al 12,2 % de ejecución del ej</w:t>
      </w:r>
      <w:r>
        <w:rPr>
          <w:rFonts w:ascii="Arial" w:eastAsia="Arial" w:hAnsi="Arial" w:cs="Arial"/>
        </w:rPr>
        <w:t xml:space="preserve">ercicio anterior. </w:t>
      </w:r>
    </w:p>
    <w:p w:rsidR="00E23B86" w:rsidRDefault="00BA7C13">
      <w:pPr>
        <w:numPr>
          <w:ilvl w:val="0"/>
          <w:numId w:val="16"/>
        </w:numPr>
        <w:spacing w:after="110" w:line="248" w:lineRule="auto"/>
        <w:ind w:right="552" w:hanging="360"/>
        <w:jc w:val="both"/>
      </w:pPr>
      <w:r>
        <w:rPr>
          <w:rFonts w:ascii="Arial" w:eastAsia="Arial" w:hAnsi="Arial" w:cs="Arial"/>
        </w:rPr>
        <w:t xml:space="preserve">Subprograma 924.00 de </w:t>
      </w:r>
      <w:r>
        <w:rPr>
          <w:rFonts w:ascii="Arial" w:eastAsia="Arial" w:hAnsi="Arial" w:cs="Arial"/>
          <w:i/>
        </w:rPr>
        <w:t>Participación Ciudadana</w:t>
      </w:r>
      <w:r>
        <w:rPr>
          <w:rFonts w:ascii="Arial" w:eastAsia="Arial" w:hAnsi="Arial" w:cs="Arial"/>
        </w:rPr>
        <w:t>. Cae un 1 % respecto el año anterior, siendo gasto en personal, que cae un 4 %, el 88,3 % del total. Representan un 0,3 por ciento respecto del gasto total, igual que el año anterior.</w:t>
      </w:r>
    </w:p>
    <w:p w:rsidR="00E23B86" w:rsidRDefault="00BA7C13">
      <w:pPr>
        <w:numPr>
          <w:ilvl w:val="0"/>
          <w:numId w:val="16"/>
        </w:numPr>
        <w:spacing w:after="496" w:line="248" w:lineRule="auto"/>
        <w:ind w:right="552" w:hanging="360"/>
        <w:jc w:val="both"/>
      </w:pPr>
      <w:r>
        <w:rPr>
          <w:rFonts w:ascii="Arial" w:eastAsia="Arial" w:hAnsi="Arial" w:cs="Arial"/>
        </w:rPr>
        <w:t>Subprog</w:t>
      </w:r>
      <w:r>
        <w:rPr>
          <w:rFonts w:ascii="Arial" w:eastAsia="Arial" w:hAnsi="Arial" w:cs="Arial"/>
        </w:rPr>
        <w:t xml:space="preserve">rama 925.00 de </w:t>
      </w:r>
      <w:r>
        <w:rPr>
          <w:rFonts w:ascii="Arial" w:eastAsia="Arial" w:hAnsi="Arial" w:cs="Arial"/>
          <w:i/>
        </w:rPr>
        <w:t>Atención al Ciudadano</w:t>
      </w:r>
      <w:r>
        <w:rPr>
          <w:rFonts w:ascii="Arial" w:eastAsia="Arial" w:hAnsi="Arial" w:cs="Arial"/>
        </w:rPr>
        <w:t>, que recoge únicamente gastos de personal adscritos al Servicio de Atención al Ciudadano, sube el 7,8 %. Representan un 0,5 % respecto del gasto total, igual que en el año anterior.</w:t>
      </w:r>
    </w:p>
    <w:p w:rsidR="00E23B86" w:rsidRDefault="00BA7C13">
      <w:pPr>
        <w:spacing w:after="248" w:line="248" w:lineRule="auto"/>
        <w:ind w:left="722" w:right="552" w:hanging="10"/>
        <w:jc w:val="both"/>
      </w:pPr>
      <w:r>
        <w:rPr>
          <w:rFonts w:ascii="Arial" w:eastAsia="Arial" w:hAnsi="Arial" w:cs="Arial"/>
        </w:rPr>
        <w:t>En el presente cuadro, se pone de man</w:t>
      </w:r>
      <w:r>
        <w:rPr>
          <w:rFonts w:ascii="Arial" w:eastAsia="Arial" w:hAnsi="Arial" w:cs="Arial"/>
        </w:rPr>
        <w:t>ifiesto la evolución de esta Área de Actuaciones de carácter general:</w:t>
      </w:r>
    </w:p>
    <w:tbl>
      <w:tblPr>
        <w:tblStyle w:val="TableGrid"/>
        <w:tblW w:w="7971" w:type="dxa"/>
        <w:tblInd w:w="829" w:type="dxa"/>
        <w:tblCellMar>
          <w:top w:w="10" w:type="dxa"/>
          <w:left w:w="11" w:type="dxa"/>
          <w:bottom w:w="0" w:type="dxa"/>
          <w:right w:w="9" w:type="dxa"/>
        </w:tblCellMar>
        <w:tblLook w:val="04A0" w:firstRow="1" w:lastRow="0" w:firstColumn="1" w:lastColumn="0" w:noHBand="0" w:noVBand="1"/>
      </w:tblPr>
      <w:tblGrid>
        <w:gridCol w:w="903"/>
        <w:gridCol w:w="2404"/>
        <w:gridCol w:w="1366"/>
        <w:gridCol w:w="1770"/>
        <w:gridCol w:w="1528"/>
      </w:tblGrid>
      <w:tr w:rsidR="00E23B86">
        <w:trPr>
          <w:trHeight w:val="768"/>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AÑO </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tabs>
                <w:tab w:val="center" w:pos="1694"/>
                <w:tab w:val="right" w:pos="2384"/>
              </w:tabs>
              <w:spacing w:after="0"/>
            </w:pPr>
            <w:r>
              <w:rPr>
                <w:rFonts w:ascii="Arial" w:eastAsia="Arial" w:hAnsi="Arial" w:cs="Arial"/>
              </w:rPr>
              <w:t>PREVISIONES</w:t>
            </w:r>
            <w:r>
              <w:rPr>
                <w:rFonts w:ascii="Arial" w:eastAsia="Arial" w:hAnsi="Arial" w:cs="Arial"/>
              </w:rPr>
              <w:tab/>
              <w:t xml:space="preserve"> </w:t>
            </w:r>
            <w:r>
              <w:rPr>
                <w:rFonts w:ascii="Arial" w:eastAsia="Arial" w:hAnsi="Arial" w:cs="Arial"/>
              </w:rPr>
              <w:tab/>
              <w:t>DEL</w:t>
            </w:r>
          </w:p>
          <w:p w:rsidR="00E23B86" w:rsidRDefault="00BA7C13">
            <w:pPr>
              <w:spacing w:after="0"/>
            </w:pPr>
            <w:r>
              <w:rPr>
                <w:rFonts w:ascii="Arial" w:eastAsia="Arial" w:hAnsi="Arial" w:cs="Arial"/>
              </w:rPr>
              <w:t>ÁREA DE GASTO  9</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p w:rsidR="00E23B86" w:rsidRDefault="00BA7C13">
            <w:pPr>
              <w:spacing w:after="0"/>
              <w:jc w:val="both"/>
            </w:pPr>
            <w:r>
              <w:rPr>
                <w:rFonts w:ascii="Arial" w:eastAsia="Arial" w:hAnsi="Arial" w:cs="Arial"/>
              </w:rPr>
              <w:t>CRECIMIEN</w:t>
            </w:r>
          </w:p>
          <w:p w:rsidR="00E23B86" w:rsidRDefault="00BA7C13">
            <w:pPr>
              <w:spacing w:after="0"/>
            </w:pPr>
            <w:r>
              <w:rPr>
                <w:rFonts w:ascii="Arial" w:eastAsia="Arial" w:hAnsi="Arial" w:cs="Arial"/>
              </w:rPr>
              <w:t>TO</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EJECUCIÓN</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 xml:space="preserve">% </w:t>
            </w:r>
          </w:p>
          <w:p w:rsidR="00E23B86" w:rsidRDefault="00BA7C13">
            <w:pPr>
              <w:spacing w:after="0"/>
            </w:pPr>
            <w:r>
              <w:rPr>
                <w:rFonts w:ascii="Arial" w:eastAsia="Arial" w:hAnsi="Arial" w:cs="Arial"/>
              </w:rPr>
              <w:t>CRECIMIENT</w:t>
            </w:r>
          </w:p>
          <w:p w:rsidR="00E23B86" w:rsidRDefault="00BA7C13">
            <w:pPr>
              <w:spacing w:after="0"/>
            </w:pPr>
            <w:r>
              <w:rPr>
                <w:rFonts w:ascii="Arial" w:eastAsia="Arial" w:hAnsi="Arial" w:cs="Arial"/>
              </w:rPr>
              <w:t>O</w:t>
            </w:r>
          </w:p>
        </w:tc>
      </w:tr>
      <w:tr w:rsidR="00E23B86">
        <w:trPr>
          <w:trHeight w:val="262"/>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2019</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4.517.704,51</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1,8</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3.939.900,33</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3,2</w:t>
            </w:r>
          </w:p>
        </w:tc>
      </w:tr>
      <w:tr w:rsidR="00E23B86">
        <w:trPr>
          <w:trHeight w:val="264"/>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2018</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4.436.704,61</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0,5</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3.819.369,68</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-0,5</w:t>
            </w:r>
          </w:p>
        </w:tc>
      </w:tr>
      <w:tr w:rsidR="00E23B86">
        <w:trPr>
          <w:trHeight w:val="262"/>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2017</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4.412.845,85</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3.877.444,34</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w:t>
            </w:r>
          </w:p>
        </w:tc>
      </w:tr>
      <w:tr w:rsidR="00E23B86">
        <w:trPr>
          <w:trHeight w:val="264"/>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2016</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4.412.845,85</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11,3</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3.879.943,13</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-2,50</w:t>
            </w:r>
          </w:p>
        </w:tc>
      </w:tr>
      <w:tr w:rsidR="00E23B86">
        <w:trPr>
          <w:trHeight w:val="262"/>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2015</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3.963.702,40 €</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-1,5</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3.971.534,70 €</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12,60</w:t>
            </w:r>
          </w:p>
        </w:tc>
      </w:tr>
      <w:tr w:rsidR="00E23B86">
        <w:trPr>
          <w:trHeight w:val="264"/>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2014</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4.027.367,40 €</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3.524.932,47 €</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3,00</w:t>
            </w:r>
          </w:p>
        </w:tc>
      </w:tr>
      <w:tr w:rsidR="00E23B86">
        <w:trPr>
          <w:trHeight w:val="262"/>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2013</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4.027.367,40 €</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3.423.920,44 €</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w:t>
            </w:r>
          </w:p>
        </w:tc>
      </w:tr>
      <w:tr w:rsidR="00E23B86">
        <w:trPr>
          <w:trHeight w:val="264"/>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2012</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4.027.367,40</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11</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3.175.299,04 €</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w:t>
            </w:r>
          </w:p>
        </w:tc>
      </w:tr>
      <w:tr w:rsidR="00E23B86">
        <w:trPr>
          <w:trHeight w:val="262"/>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2011</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3.627.528,18</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3.137.078,95</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-13</w:t>
            </w:r>
          </w:p>
        </w:tc>
      </w:tr>
      <w:tr w:rsidR="00E23B86">
        <w:trPr>
          <w:trHeight w:val="265"/>
        </w:trPr>
        <w:tc>
          <w:tcPr>
            <w:tcW w:w="904"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2010</w:t>
            </w:r>
          </w:p>
        </w:tc>
        <w:tc>
          <w:tcPr>
            <w:tcW w:w="2404"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3.627.528,18</w:t>
            </w:r>
          </w:p>
        </w:tc>
        <w:tc>
          <w:tcPr>
            <w:tcW w:w="1366"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w:t>
            </w:r>
          </w:p>
        </w:tc>
        <w:tc>
          <w:tcPr>
            <w:tcW w:w="177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3.614.342,65</w:t>
            </w:r>
          </w:p>
        </w:tc>
        <w:tc>
          <w:tcPr>
            <w:tcW w:w="152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-21</w:t>
            </w:r>
          </w:p>
        </w:tc>
      </w:tr>
    </w:tbl>
    <w:p w:rsidR="00E23B86" w:rsidRDefault="00BA7C13">
      <w:pPr>
        <w:spacing w:after="245" w:line="248" w:lineRule="auto"/>
        <w:ind w:left="363" w:right="552" w:firstLine="708"/>
        <w:jc w:val="both"/>
      </w:pPr>
      <w:r>
        <w:rPr>
          <w:noProof/>
        </w:rPr>
        <mc:AlternateContent>
          <mc:Choice Requires="wpg">
            <w:drawing>
              <wp:anchor distT="0" distB="0" distL="114300" distR="114300" simplePos="0" relativeHeight="2516981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5819" name="Group 49581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1655" name="Rectangle 1165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1656" name="Rectangle 11656"/>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39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5819" style="width:12.7031pt;height:280.35pt;position:absolute;mso-position-horizontal-relative:page;mso-position-horizontal:absolute;margin-left:681.958pt;mso-position-vertical-relative:page;margin-top:531.65pt;" coordsize="1613,35604">
                <v:rect id="Rectangle 1165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1656"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391 </w:t>
                        </w:r>
                      </w:p>
                    </w:txbxContent>
                  </v:textbox>
                </v:rect>
                <w10:wrap type="square"/>
              </v:group>
            </w:pict>
          </mc:Fallback>
        </mc:AlternateContent>
      </w:r>
      <w:r>
        <w:rPr>
          <w:rFonts w:ascii="Arial" w:eastAsia="Arial" w:hAnsi="Arial" w:cs="Arial"/>
        </w:rPr>
        <w:t>Con la información obtenida de la Liquidación del Presupuesto del ejercicio 2019, se obtienen los siguientes indicadores financieros y patrimoniales y presupuestarios, que completa el contenido informativo de las magnitudes presupuestarias citadas en el pr</w:t>
      </w:r>
      <w:r>
        <w:rPr>
          <w:rFonts w:ascii="Arial" w:eastAsia="Arial" w:hAnsi="Arial" w:cs="Arial"/>
        </w:rPr>
        <w:t>esente informe y que son de indudable utilidad para valorar la actividad realizada por el Ayuntamiento de Candelaria y un conocimiento de su situación económica financiera. No obstante, se han introducido cambios en el cálculo de algunos de los indicadores</w:t>
      </w:r>
      <w:r>
        <w:rPr>
          <w:rFonts w:ascii="Arial" w:eastAsia="Arial" w:hAnsi="Arial" w:cs="Arial"/>
        </w:rPr>
        <w:t xml:space="preserve"> financieros y patrimoniales, en la Instrucción de Contabilidad:</w:t>
      </w:r>
    </w:p>
    <w:p w:rsidR="00E23B86" w:rsidRDefault="00BA7C13">
      <w:pPr>
        <w:spacing w:after="243" w:line="249" w:lineRule="auto"/>
        <w:ind w:left="722" w:right="566" w:hanging="10"/>
        <w:jc w:val="both"/>
      </w:pPr>
      <w:r>
        <w:rPr>
          <w:rFonts w:ascii="Arial" w:eastAsia="Arial" w:hAnsi="Arial" w:cs="Arial"/>
          <w:b/>
          <w:i/>
        </w:rPr>
        <w:t xml:space="preserve">Indicadores Financieros y Patrimoniales </w:t>
      </w:r>
    </w:p>
    <w:p w:rsidR="00E23B86" w:rsidRDefault="00BA7C13">
      <w:pPr>
        <w:spacing w:after="252" w:line="248" w:lineRule="auto"/>
        <w:ind w:left="2489" w:right="552" w:hanging="2126"/>
        <w:jc w:val="both"/>
      </w:pPr>
      <w:r>
        <w:rPr>
          <w:rFonts w:ascii="Arial" w:eastAsia="Arial" w:hAnsi="Arial" w:cs="Arial"/>
        </w:rPr>
        <w:t xml:space="preserve">1.- </w:t>
      </w:r>
      <w:r>
        <w:rPr>
          <w:rFonts w:ascii="Arial" w:eastAsia="Arial" w:hAnsi="Arial" w:cs="Arial"/>
          <w:i/>
        </w:rPr>
        <w:t>Liquidez Inmediata</w:t>
      </w:r>
      <w:r>
        <w:rPr>
          <w:rFonts w:ascii="Arial" w:eastAsia="Arial" w:hAnsi="Arial" w:cs="Arial"/>
        </w:rPr>
        <w:t xml:space="preserve"> =   </w:t>
      </w:r>
      <w:r>
        <w:rPr>
          <w:rFonts w:ascii="Arial" w:eastAsia="Arial" w:hAnsi="Arial" w:cs="Arial"/>
          <w:u w:val="single" w:color="000000"/>
        </w:rPr>
        <w:t xml:space="preserve">Fondos Líquidos            </w:t>
      </w:r>
      <w:r>
        <w:rPr>
          <w:rFonts w:ascii="Arial" w:eastAsia="Arial" w:hAnsi="Arial" w:cs="Arial"/>
        </w:rPr>
        <w:t xml:space="preserve">       = </w:t>
      </w:r>
      <w:r>
        <w:rPr>
          <w:rFonts w:ascii="Arial" w:eastAsia="Arial" w:hAnsi="Arial" w:cs="Arial"/>
          <w:u w:val="single" w:color="000000"/>
        </w:rPr>
        <w:t>23.252.418,09</w:t>
      </w:r>
      <w:r>
        <w:rPr>
          <w:rFonts w:ascii="Arial" w:eastAsia="Arial" w:hAnsi="Arial" w:cs="Arial"/>
        </w:rPr>
        <w:t xml:space="preserve"> = 619 %  Pasivo corriente </w:t>
      </w:r>
      <w:r>
        <w:rPr>
          <w:rFonts w:ascii="Arial" w:eastAsia="Arial" w:hAnsi="Arial" w:cs="Arial"/>
        </w:rPr>
        <w:tab/>
        <w:t xml:space="preserve">   3.755.245,96         </w:t>
      </w:r>
    </w:p>
    <w:p w:rsidR="00E23B86" w:rsidRDefault="00BA7C13">
      <w:pPr>
        <w:spacing w:after="245" w:line="248" w:lineRule="auto"/>
        <w:ind w:left="363" w:right="552" w:firstLine="708"/>
        <w:jc w:val="both"/>
      </w:pPr>
      <w:r>
        <w:rPr>
          <w:rFonts w:ascii="Arial" w:eastAsia="Arial" w:hAnsi="Arial" w:cs="Arial"/>
        </w:rPr>
        <w:t>Es un indicador que n</w:t>
      </w:r>
      <w:r>
        <w:rPr>
          <w:rFonts w:ascii="Arial" w:eastAsia="Arial" w:hAnsi="Arial" w:cs="Arial"/>
        </w:rPr>
        <w:t xml:space="preserve">os refleja que los fondos líquidos existentes en la tesorería municipal, dan cobertura a los gastos pendientes de pago a acreedores, presupuestarios o no y a las administraciones públicas. </w:t>
      </w:r>
    </w:p>
    <w:p w:rsidR="00E23B86" w:rsidRDefault="00BA7C13">
      <w:pPr>
        <w:spacing w:after="499" w:line="248" w:lineRule="auto"/>
        <w:ind w:left="363" w:right="552" w:firstLine="708"/>
        <w:jc w:val="both"/>
      </w:pPr>
      <w:r>
        <w:rPr>
          <w:rFonts w:ascii="Arial" w:eastAsia="Arial" w:hAnsi="Arial" w:cs="Arial"/>
        </w:rPr>
        <w:t>Además, este indicador nos refleja la cobertura de las obligacione</w:t>
      </w:r>
      <w:r>
        <w:rPr>
          <w:rFonts w:ascii="Arial" w:eastAsia="Arial" w:hAnsi="Arial" w:cs="Arial"/>
        </w:rPr>
        <w:t>s pendientes de pago de años anteriores y de las obligaciones de pago que van a realizarse en el ejercicio 2020, tal como se pone de manifiesto en la magnitud del remanente de tesorería para gastos generales. Mejora en 78 puntos porcentuales</w:t>
      </w:r>
    </w:p>
    <w:p w:rsidR="00E23B86" w:rsidRDefault="00BA7C13">
      <w:pPr>
        <w:spacing w:after="3" w:line="265" w:lineRule="auto"/>
        <w:ind w:left="347" w:hanging="10"/>
      </w:pPr>
      <w:r>
        <w:rPr>
          <w:rFonts w:ascii="Arial" w:eastAsia="Arial" w:hAnsi="Arial" w:cs="Arial"/>
        </w:rPr>
        <w:t xml:space="preserve">2.- </w:t>
      </w:r>
      <w:r>
        <w:rPr>
          <w:rFonts w:ascii="Arial" w:eastAsia="Arial" w:hAnsi="Arial" w:cs="Arial"/>
          <w:i/>
        </w:rPr>
        <w:t>Liquidez a</w:t>
      </w:r>
      <w:r>
        <w:rPr>
          <w:rFonts w:ascii="Arial" w:eastAsia="Arial" w:hAnsi="Arial" w:cs="Arial"/>
          <w:i/>
        </w:rPr>
        <w:t xml:space="preserve"> Corto Plazo</w:t>
      </w:r>
      <w:r>
        <w:rPr>
          <w:rFonts w:ascii="Arial" w:eastAsia="Arial" w:hAnsi="Arial" w:cs="Arial"/>
        </w:rPr>
        <w:t xml:space="preserve"> = </w:t>
      </w:r>
      <w:r>
        <w:rPr>
          <w:rFonts w:ascii="Arial" w:eastAsia="Arial" w:hAnsi="Arial" w:cs="Arial"/>
          <w:u w:val="single" w:color="000000"/>
        </w:rPr>
        <w:t>Fondos Líquidos + Derechos Pendientes de Cobro</w:t>
      </w:r>
      <w:r>
        <w:rPr>
          <w:rFonts w:ascii="Arial" w:eastAsia="Arial" w:hAnsi="Arial" w:cs="Arial"/>
        </w:rPr>
        <w:t xml:space="preserve">= </w:t>
      </w:r>
    </w:p>
    <w:p w:rsidR="00E23B86" w:rsidRDefault="00BA7C13">
      <w:pPr>
        <w:spacing w:after="3" w:line="265" w:lineRule="auto"/>
        <w:ind w:left="347" w:hanging="10"/>
      </w:pPr>
      <w:r>
        <w:rPr>
          <w:rFonts w:ascii="Arial" w:eastAsia="Arial" w:hAnsi="Arial" w:cs="Arial"/>
          <w:u w:val="single" w:color="000000"/>
        </w:rPr>
        <w:t>34.351.848,95</w:t>
      </w:r>
      <w:r>
        <w:rPr>
          <w:rFonts w:ascii="Arial" w:eastAsia="Arial" w:hAnsi="Arial" w:cs="Arial"/>
        </w:rPr>
        <w:t>= 915%</w:t>
      </w:r>
    </w:p>
    <w:p w:rsidR="00E23B86" w:rsidRDefault="00BA7C13">
      <w:pPr>
        <w:spacing w:after="10" w:line="248" w:lineRule="auto"/>
        <w:ind w:left="373" w:right="552" w:hanging="10"/>
        <w:jc w:val="both"/>
      </w:pPr>
      <w:r>
        <w:rPr>
          <w:rFonts w:ascii="Arial" w:eastAsia="Arial" w:hAnsi="Arial" w:cs="Arial"/>
        </w:rPr>
        <w:t xml:space="preserve">                                                                  Pasivo Corriente                                       </w:t>
      </w:r>
    </w:p>
    <w:p w:rsidR="00E23B86" w:rsidRDefault="00BA7C13">
      <w:pPr>
        <w:spacing w:after="110" w:line="248" w:lineRule="auto"/>
        <w:ind w:left="373" w:right="552" w:hanging="10"/>
        <w:jc w:val="both"/>
      </w:pPr>
      <w:r>
        <w:rPr>
          <w:rFonts w:ascii="Arial" w:eastAsia="Arial" w:hAnsi="Arial" w:cs="Arial"/>
        </w:rPr>
        <w:t>3.755.245,96</w:t>
      </w:r>
    </w:p>
    <w:p w:rsidR="00E23B86" w:rsidRDefault="00BA7C13">
      <w:pPr>
        <w:spacing w:after="245" w:line="248" w:lineRule="auto"/>
        <w:ind w:left="363" w:right="552" w:firstLine="708"/>
        <w:jc w:val="both"/>
      </w:pPr>
      <w:r>
        <w:rPr>
          <w:rFonts w:ascii="Arial" w:eastAsia="Arial" w:hAnsi="Arial" w:cs="Arial"/>
        </w:rPr>
        <w:t>El planteamiento manifestado en el in</w:t>
      </w:r>
      <w:r>
        <w:rPr>
          <w:rFonts w:ascii="Arial" w:eastAsia="Arial" w:hAnsi="Arial" w:cs="Arial"/>
        </w:rPr>
        <w:t>dicador anterior es plenamente válido para este indicador. Mejora en 26 puntos porcentuales</w:t>
      </w:r>
    </w:p>
    <w:p w:rsidR="00E23B86" w:rsidRDefault="00BA7C13">
      <w:pPr>
        <w:spacing w:after="245" w:line="248" w:lineRule="auto"/>
        <w:ind w:left="1781" w:right="2071" w:hanging="1418"/>
        <w:jc w:val="both"/>
      </w:pPr>
      <w:r>
        <w:rPr>
          <w:rFonts w:ascii="Arial" w:eastAsia="Arial" w:hAnsi="Arial" w:cs="Arial"/>
        </w:rPr>
        <w:t>3.-</w:t>
      </w:r>
      <w:r>
        <w:rPr>
          <w:rFonts w:ascii="Arial" w:eastAsia="Arial" w:hAnsi="Arial" w:cs="Arial"/>
          <w:i/>
        </w:rPr>
        <w:t xml:space="preserve"> Liquidez General = </w:t>
      </w:r>
      <w:r>
        <w:rPr>
          <w:rFonts w:ascii="Arial" w:eastAsia="Arial" w:hAnsi="Arial" w:cs="Arial"/>
          <w:u w:val="single" w:color="000000"/>
        </w:rPr>
        <w:t xml:space="preserve">Activo Corriente </w:t>
      </w:r>
      <w:r>
        <w:rPr>
          <w:rFonts w:ascii="Arial" w:eastAsia="Arial" w:hAnsi="Arial" w:cs="Arial"/>
        </w:rPr>
        <w:t xml:space="preserve">= </w:t>
      </w:r>
      <w:r>
        <w:rPr>
          <w:rFonts w:ascii="Arial" w:eastAsia="Arial" w:hAnsi="Arial" w:cs="Arial"/>
          <w:u w:val="single" w:color="000000"/>
        </w:rPr>
        <w:t>25.401.713,24</w:t>
      </w:r>
      <w:r>
        <w:rPr>
          <w:rFonts w:ascii="Arial" w:eastAsia="Arial" w:hAnsi="Arial" w:cs="Arial"/>
        </w:rPr>
        <w:t>= 676 %.          Pasivo Corriente</w:t>
      </w:r>
      <w:r>
        <w:rPr>
          <w:rFonts w:ascii="Arial" w:eastAsia="Arial" w:hAnsi="Arial" w:cs="Arial"/>
          <w:i/>
        </w:rPr>
        <w:t xml:space="preserve">      </w:t>
      </w:r>
      <w:r>
        <w:rPr>
          <w:rFonts w:ascii="Arial" w:eastAsia="Arial" w:hAnsi="Arial" w:cs="Arial"/>
        </w:rPr>
        <w:t>3.755.245,96</w:t>
      </w:r>
    </w:p>
    <w:p w:rsidR="00E23B86" w:rsidRDefault="00BA7C13">
      <w:pPr>
        <w:spacing w:after="245" w:line="248" w:lineRule="auto"/>
        <w:ind w:left="363" w:right="552" w:firstLine="708"/>
        <w:jc w:val="both"/>
      </w:pPr>
      <w:r>
        <w:rPr>
          <w:rFonts w:ascii="Arial" w:eastAsia="Arial" w:hAnsi="Arial" w:cs="Arial"/>
        </w:rPr>
        <w:t>Es el principal medidor de liquidez y muestra la proporción de deudas a corto plazo, que son cubiertas por elementos del activo. Lo normal es que el valor del ratio, sea mayor que 1, es decir, que el activo corriente o circulante sea mayor que el pasivo co</w:t>
      </w:r>
      <w:r>
        <w:rPr>
          <w:rFonts w:ascii="Arial" w:eastAsia="Arial" w:hAnsi="Arial" w:cs="Arial"/>
        </w:rPr>
        <w:t>rriente o circulante y normalmente el activo transformado en liquidez será suficiente pago de las deudas que venzan a corto plazo.</w:t>
      </w:r>
    </w:p>
    <w:p w:rsidR="00E23B86" w:rsidRDefault="00BA7C13">
      <w:pPr>
        <w:spacing w:after="245" w:line="248" w:lineRule="auto"/>
        <w:ind w:left="363" w:right="552" w:firstLine="708"/>
        <w:jc w:val="both"/>
      </w:pPr>
      <w:r>
        <w:rPr>
          <w:rFonts w:ascii="Arial" w:eastAsia="Arial" w:hAnsi="Arial" w:cs="Arial"/>
        </w:rPr>
        <w:t>Si es menor que 1, el Activo Circulante es menor que el Pasivo Circulante y puede haber problemas para pagar las deudas exigi</w:t>
      </w:r>
      <w:r>
        <w:rPr>
          <w:rFonts w:ascii="Arial" w:eastAsia="Arial" w:hAnsi="Arial" w:cs="Arial"/>
        </w:rPr>
        <w:t xml:space="preserve">bles a corto plazo y cuanto menor sea, significa un mayor valor del endeudamiento a corto plazo. </w:t>
      </w:r>
    </w:p>
    <w:p w:rsidR="00E23B86" w:rsidRDefault="00BA7C13">
      <w:pPr>
        <w:spacing w:after="245" w:line="248" w:lineRule="auto"/>
        <w:ind w:left="363" w:right="552" w:firstLine="708"/>
        <w:jc w:val="both"/>
      </w:pPr>
      <w:r>
        <w:rPr>
          <w:rFonts w:ascii="Arial" w:eastAsia="Arial" w:hAnsi="Arial" w:cs="Arial"/>
        </w:rPr>
        <w:t>Si el valor es demasiado alto, puede significar un exceso de capital inaplicado y, por tanto, menor rentabilidad total, aunque la capacidad de pago sea elevad</w:t>
      </w:r>
      <w:r>
        <w:rPr>
          <w:rFonts w:ascii="Arial" w:eastAsia="Arial" w:hAnsi="Arial" w:cs="Arial"/>
        </w:rPr>
        <w:t>a.</w:t>
      </w:r>
    </w:p>
    <w:p w:rsidR="00E23B86" w:rsidRDefault="00BA7C13">
      <w:pPr>
        <w:spacing w:after="245" w:line="248" w:lineRule="auto"/>
        <w:ind w:left="363" w:right="552" w:firstLine="708"/>
        <w:jc w:val="both"/>
      </w:pPr>
      <w:r>
        <w:rPr>
          <w:rFonts w:ascii="Arial" w:eastAsia="Arial" w:hAnsi="Arial" w:cs="Arial"/>
        </w:rPr>
        <w:t>Al ser superior a uno, en correlación con el ratio anterior, que observamos que existe capacidad de pago del Ayuntamiento para hacer frente a las deudas a corto plazo, poniendo de manifiesto inexistencia de problemas de liquidez. Mejora en 60 puntos por</w:t>
      </w:r>
      <w:r>
        <w:rPr>
          <w:rFonts w:ascii="Arial" w:eastAsia="Arial" w:hAnsi="Arial" w:cs="Arial"/>
        </w:rPr>
        <w:t>centuales</w:t>
      </w:r>
    </w:p>
    <w:p w:rsidR="00E23B86" w:rsidRDefault="00BA7C13">
      <w:pPr>
        <w:spacing w:after="3" w:line="265" w:lineRule="auto"/>
        <w:ind w:left="347" w:hanging="10"/>
      </w:pPr>
      <w:r>
        <w:rPr>
          <w:noProof/>
        </w:rPr>
        <mc:AlternateContent>
          <mc:Choice Requires="wpg">
            <w:drawing>
              <wp:anchor distT="0" distB="0" distL="114300" distR="114300" simplePos="0" relativeHeight="2516992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8036" name="Group 47803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1795" name="Rectangle 1179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1796" name="Rectangle 11796"/>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40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8036" style="width:12.7031pt;height:280.35pt;position:absolute;mso-position-horizontal-relative:page;mso-position-horizontal:absolute;margin-left:681.958pt;mso-position-vertical-relative:page;margin-top:531.65pt;" coordsize="1613,35604">
                <v:rect id="Rectangle 1179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1796"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391 </w:t>
                        </w:r>
                      </w:p>
                    </w:txbxContent>
                  </v:textbox>
                </v:rect>
                <w10:wrap type="square"/>
              </v:group>
            </w:pict>
          </mc:Fallback>
        </mc:AlternateContent>
      </w:r>
      <w:r>
        <w:rPr>
          <w:rFonts w:ascii="Arial" w:eastAsia="Arial" w:hAnsi="Arial" w:cs="Arial"/>
          <w:i/>
        </w:rPr>
        <w:t>4.- Endeudamiento por Habitante</w:t>
      </w:r>
      <w:r>
        <w:rPr>
          <w:rFonts w:ascii="Arial" w:eastAsia="Arial" w:hAnsi="Arial" w:cs="Arial"/>
        </w:rPr>
        <w:t>=</w:t>
      </w:r>
      <w:r>
        <w:rPr>
          <w:rFonts w:ascii="Arial" w:eastAsia="Arial" w:hAnsi="Arial" w:cs="Arial"/>
          <w:u w:val="single" w:color="000000"/>
        </w:rPr>
        <w:t xml:space="preserve">Pasivo Corriente </w:t>
      </w:r>
      <w:r>
        <w:rPr>
          <w:rFonts w:ascii="Arial" w:eastAsia="Arial" w:hAnsi="Arial" w:cs="Arial"/>
          <w:u w:val="single" w:color="000000"/>
        </w:rPr>
        <w:t>+ Pasivo no Corriente</w:t>
      </w:r>
      <w:r>
        <w:rPr>
          <w:rFonts w:ascii="Arial" w:eastAsia="Arial" w:hAnsi="Arial" w:cs="Arial"/>
        </w:rPr>
        <w:t>=</w:t>
      </w:r>
      <w:r>
        <w:rPr>
          <w:rFonts w:ascii="Arial" w:eastAsia="Arial" w:hAnsi="Arial" w:cs="Arial"/>
          <w:u w:val="single" w:color="000000"/>
        </w:rPr>
        <w:t>6.870.844,32</w:t>
      </w:r>
      <w:r>
        <w:rPr>
          <w:rFonts w:ascii="Arial" w:eastAsia="Arial" w:hAnsi="Arial" w:cs="Arial"/>
        </w:rPr>
        <w:t>=228,95 €/Hab.</w:t>
      </w:r>
    </w:p>
    <w:p w:rsidR="00E23B86" w:rsidRDefault="00BA7C13">
      <w:pPr>
        <w:spacing w:after="243" w:line="248" w:lineRule="auto"/>
        <w:ind w:left="3906" w:right="552" w:hanging="10"/>
        <w:jc w:val="both"/>
      </w:pPr>
      <w:r>
        <w:rPr>
          <w:rFonts w:ascii="Arial" w:eastAsia="Arial" w:hAnsi="Arial" w:cs="Arial"/>
        </w:rPr>
        <w:t xml:space="preserve">           Nº Habitantes                         30.010</w:t>
      </w:r>
    </w:p>
    <w:p w:rsidR="00E23B86" w:rsidRDefault="00BA7C13">
      <w:pPr>
        <w:spacing w:after="245" w:line="248" w:lineRule="auto"/>
        <w:ind w:left="363" w:right="552" w:firstLine="708"/>
        <w:jc w:val="both"/>
      </w:pPr>
      <w:r>
        <w:rPr>
          <w:rFonts w:ascii="Arial" w:eastAsia="Arial" w:hAnsi="Arial" w:cs="Arial"/>
        </w:rPr>
        <w:t>Este ratio, que es obtenido por el cociente entre el Pasivo Exigible, corriente y no corriente, que refleja tanto las deudas a largo plazo como a corto</w:t>
      </w:r>
      <w:r>
        <w:rPr>
          <w:rFonts w:ascii="Arial" w:eastAsia="Arial" w:hAnsi="Arial" w:cs="Arial"/>
        </w:rPr>
        <w:t xml:space="preserve"> plazo, del Balance de Situación, en función del número de habitantes, cae en 23,66 Euros por habitante.</w:t>
      </w:r>
    </w:p>
    <w:p w:rsidR="00E23B86" w:rsidRDefault="00BA7C13">
      <w:pPr>
        <w:spacing w:after="3" w:line="265" w:lineRule="auto"/>
        <w:ind w:left="347" w:hanging="10"/>
      </w:pPr>
      <w:r>
        <w:rPr>
          <w:rFonts w:ascii="Arial" w:eastAsia="Arial" w:hAnsi="Arial" w:cs="Arial"/>
        </w:rPr>
        <w:t>5.-</w:t>
      </w:r>
      <w:r>
        <w:rPr>
          <w:rFonts w:ascii="Arial" w:eastAsia="Arial" w:hAnsi="Arial" w:cs="Arial"/>
          <w:i/>
        </w:rPr>
        <w:t xml:space="preserve"> Endeudamiento </w:t>
      </w:r>
      <w:r>
        <w:rPr>
          <w:rFonts w:ascii="Arial" w:eastAsia="Arial" w:hAnsi="Arial" w:cs="Arial"/>
        </w:rPr>
        <w:t>=</w:t>
      </w:r>
      <w:r>
        <w:rPr>
          <w:rFonts w:ascii="Arial" w:eastAsia="Arial" w:hAnsi="Arial" w:cs="Arial"/>
          <w:u w:val="single" w:color="000000"/>
        </w:rPr>
        <w:t xml:space="preserve">Pasivo Corriente + Pasivo no Corriente                           </w:t>
      </w:r>
      <w:r>
        <w:rPr>
          <w:rFonts w:ascii="Arial" w:eastAsia="Arial" w:hAnsi="Arial" w:cs="Arial"/>
        </w:rPr>
        <w:t xml:space="preserve">=   </w:t>
      </w:r>
      <w:r>
        <w:rPr>
          <w:rFonts w:ascii="Arial" w:eastAsia="Arial" w:hAnsi="Arial" w:cs="Arial"/>
          <w:u w:val="single" w:color="000000"/>
        </w:rPr>
        <w:t>6.870.844,32</w:t>
      </w:r>
      <w:r>
        <w:rPr>
          <w:rFonts w:ascii="Arial" w:eastAsia="Arial" w:hAnsi="Arial" w:cs="Arial"/>
        </w:rPr>
        <w:t>=   7 %.</w:t>
      </w:r>
    </w:p>
    <w:p w:rsidR="00E23B86" w:rsidRDefault="00BA7C13">
      <w:pPr>
        <w:spacing w:after="10" w:line="248" w:lineRule="auto"/>
        <w:ind w:left="1780" w:right="552" w:hanging="10"/>
        <w:jc w:val="both"/>
      </w:pPr>
      <w:r>
        <w:rPr>
          <w:rFonts w:ascii="Arial" w:eastAsia="Arial" w:hAnsi="Arial" w:cs="Arial"/>
        </w:rPr>
        <w:t xml:space="preserve">   Pasivo Corriente + Pasivo no Corriente +Patrimonio Neto         </w:t>
      </w:r>
    </w:p>
    <w:p w:rsidR="00E23B86" w:rsidRDefault="00BA7C13">
      <w:pPr>
        <w:spacing w:after="243" w:line="248" w:lineRule="auto"/>
        <w:ind w:left="373" w:right="552" w:hanging="10"/>
        <w:jc w:val="both"/>
      </w:pPr>
      <w:r>
        <w:rPr>
          <w:rFonts w:ascii="Arial" w:eastAsia="Arial" w:hAnsi="Arial" w:cs="Arial"/>
        </w:rPr>
        <w:t>102.733.744,67</w:t>
      </w:r>
    </w:p>
    <w:p w:rsidR="00E23B86" w:rsidRDefault="00BA7C13">
      <w:pPr>
        <w:spacing w:after="245" w:line="248" w:lineRule="auto"/>
        <w:ind w:left="363" w:right="552" w:firstLine="708"/>
        <w:jc w:val="both"/>
      </w:pPr>
      <w:r>
        <w:rPr>
          <w:rFonts w:ascii="Arial" w:eastAsia="Arial" w:hAnsi="Arial" w:cs="Arial"/>
        </w:rPr>
        <w:t>Mide el nivel global de endeudamiento o proporción del pasivo exigible a corto y largo plazo en relación al pasivo total, que incluye tanto el pasivo como el patrimonio del Ayuntamiento. Se refleja un nivel bajo de endeudamiento. Mejora un punto.</w:t>
      </w:r>
    </w:p>
    <w:p w:rsidR="00E23B86" w:rsidRDefault="00BA7C13">
      <w:pPr>
        <w:spacing w:after="245" w:line="248" w:lineRule="auto"/>
        <w:ind w:left="2489" w:right="723" w:hanging="2126"/>
        <w:jc w:val="both"/>
      </w:pPr>
      <w:r>
        <w:rPr>
          <w:rFonts w:ascii="Arial" w:eastAsia="Arial" w:hAnsi="Arial" w:cs="Arial"/>
        </w:rPr>
        <w:t>6.- Relac</w:t>
      </w:r>
      <w:r>
        <w:rPr>
          <w:rFonts w:ascii="Arial" w:eastAsia="Arial" w:hAnsi="Arial" w:cs="Arial"/>
        </w:rPr>
        <w:t xml:space="preserve">ión de Endeudamiento= </w:t>
      </w:r>
      <w:r>
        <w:rPr>
          <w:rFonts w:ascii="Arial" w:eastAsia="Arial" w:hAnsi="Arial" w:cs="Arial"/>
          <w:u w:val="single" w:color="000000"/>
        </w:rPr>
        <w:t xml:space="preserve">Pasivo Corriente </w:t>
      </w:r>
      <w:r>
        <w:rPr>
          <w:rFonts w:ascii="Arial" w:eastAsia="Arial" w:hAnsi="Arial" w:cs="Arial"/>
        </w:rPr>
        <w:t xml:space="preserve">=     </w:t>
      </w:r>
      <w:r>
        <w:rPr>
          <w:rFonts w:ascii="Arial" w:eastAsia="Arial" w:hAnsi="Arial" w:cs="Arial"/>
          <w:u w:val="single" w:color="000000"/>
        </w:rPr>
        <w:t>3.755.245,96</w:t>
      </w:r>
      <w:r>
        <w:rPr>
          <w:rFonts w:ascii="Arial" w:eastAsia="Arial" w:hAnsi="Arial" w:cs="Arial"/>
        </w:rPr>
        <w:t xml:space="preserve">  =  121 % </w:t>
      </w:r>
      <w:r>
        <w:rPr>
          <w:rFonts w:ascii="Arial" w:eastAsia="Arial" w:hAnsi="Arial" w:cs="Arial"/>
          <w:b/>
          <w:i/>
        </w:rPr>
        <w:t xml:space="preserve">           </w:t>
      </w:r>
      <w:r>
        <w:rPr>
          <w:rFonts w:ascii="Arial" w:eastAsia="Arial" w:hAnsi="Arial" w:cs="Arial"/>
        </w:rPr>
        <w:t>Pasivo no Corriente</w:t>
      </w:r>
      <w:r>
        <w:rPr>
          <w:rFonts w:ascii="Arial" w:eastAsia="Arial" w:hAnsi="Arial" w:cs="Arial"/>
          <w:i/>
        </w:rPr>
        <w:t xml:space="preserve">       </w:t>
      </w:r>
      <w:r>
        <w:rPr>
          <w:rFonts w:ascii="Arial" w:eastAsia="Arial" w:hAnsi="Arial" w:cs="Arial"/>
        </w:rPr>
        <w:t>3.115.598,36</w:t>
      </w:r>
    </w:p>
    <w:p w:rsidR="00E23B86" w:rsidRDefault="00BA7C13">
      <w:pPr>
        <w:spacing w:after="245" w:line="248" w:lineRule="auto"/>
        <w:ind w:left="363" w:right="552" w:firstLine="708"/>
        <w:jc w:val="both"/>
      </w:pPr>
      <w:r>
        <w:rPr>
          <w:rFonts w:ascii="Arial" w:eastAsia="Arial" w:hAnsi="Arial" w:cs="Arial"/>
        </w:rPr>
        <w:t>Refleja la calidad de la deuda, al expresarse la proporción entre la deuda a corto plazo y largo plazo. Mejora en cuarenta y seis puntos p</w:t>
      </w:r>
      <w:r>
        <w:rPr>
          <w:rFonts w:ascii="Arial" w:eastAsia="Arial" w:hAnsi="Arial" w:cs="Arial"/>
        </w:rPr>
        <w:t>orcentuales</w:t>
      </w:r>
    </w:p>
    <w:p w:rsidR="00E23B86" w:rsidRDefault="00BA7C13">
      <w:pPr>
        <w:spacing w:after="5" w:line="249" w:lineRule="auto"/>
        <w:ind w:left="347" w:hanging="10"/>
      </w:pPr>
      <w:r>
        <w:rPr>
          <w:rFonts w:ascii="Arial" w:eastAsia="Arial" w:hAnsi="Arial" w:cs="Arial"/>
          <w:i/>
        </w:rPr>
        <w:t xml:space="preserve">7.- Cash Flow = </w:t>
      </w:r>
      <w:r>
        <w:rPr>
          <w:rFonts w:ascii="Arial" w:eastAsia="Arial" w:hAnsi="Arial" w:cs="Arial"/>
          <w:i/>
          <w:u w:val="single" w:color="000000"/>
        </w:rPr>
        <w:t xml:space="preserve">Pasivo no Corriente  </w:t>
      </w:r>
      <w:r>
        <w:rPr>
          <w:rFonts w:ascii="Arial" w:eastAsia="Arial" w:hAnsi="Arial" w:cs="Arial"/>
        </w:rPr>
        <w:t xml:space="preserve">    +         </w:t>
      </w:r>
      <w:r>
        <w:rPr>
          <w:rFonts w:ascii="Arial" w:eastAsia="Arial" w:hAnsi="Arial" w:cs="Arial"/>
          <w:i/>
          <w:u w:val="single" w:color="000000"/>
        </w:rPr>
        <w:t>Pasivo Corriente</w:t>
      </w:r>
      <w:r>
        <w:rPr>
          <w:rFonts w:ascii="Arial" w:eastAsia="Arial" w:hAnsi="Arial" w:cs="Arial"/>
        </w:rPr>
        <w:t xml:space="preserve">     </w:t>
      </w:r>
      <w:r>
        <w:rPr>
          <w:rFonts w:ascii="Arial" w:eastAsia="Arial" w:hAnsi="Arial" w:cs="Arial"/>
          <w:i/>
        </w:rPr>
        <w:t xml:space="preserve">=   0,37 + 0,44 = </w:t>
      </w:r>
    </w:p>
    <w:p w:rsidR="00E23B86" w:rsidRDefault="00BA7C13">
      <w:pPr>
        <w:spacing w:after="8" w:line="251" w:lineRule="auto"/>
        <w:ind w:left="355" w:right="573" w:hanging="10"/>
        <w:jc w:val="both"/>
      </w:pPr>
      <w:r>
        <w:rPr>
          <w:rFonts w:ascii="Arial" w:eastAsia="Arial" w:hAnsi="Arial" w:cs="Arial"/>
          <w:i/>
        </w:rPr>
        <w:t>0,81</w:t>
      </w:r>
    </w:p>
    <w:p w:rsidR="00E23B86" w:rsidRDefault="00BA7C13">
      <w:pPr>
        <w:spacing w:after="111" w:line="251" w:lineRule="auto"/>
        <w:ind w:left="355" w:right="573" w:hanging="10"/>
        <w:jc w:val="both"/>
      </w:pPr>
      <w:r>
        <w:rPr>
          <w:rFonts w:ascii="Arial" w:eastAsia="Arial" w:hAnsi="Arial" w:cs="Arial"/>
          <w:i/>
        </w:rPr>
        <w:t xml:space="preserve">                           Flujos Netos de gestión*       Flujos Netos de gestión*</w:t>
      </w:r>
    </w:p>
    <w:p w:rsidR="00E23B86" w:rsidRDefault="00BA7C13">
      <w:pPr>
        <w:spacing w:after="243" w:line="251" w:lineRule="auto"/>
        <w:ind w:left="345" w:right="573" w:firstLine="360"/>
        <w:jc w:val="both"/>
      </w:pPr>
      <w:r>
        <w:rPr>
          <w:rFonts w:ascii="Arial" w:eastAsia="Arial" w:hAnsi="Arial" w:cs="Arial"/>
          <w:i/>
        </w:rPr>
        <w:t>*Flujos Netos de Gestión= Importe de los Flujos netos de efectivo</w:t>
      </w:r>
      <w:r>
        <w:rPr>
          <w:rFonts w:ascii="Arial" w:eastAsia="Arial" w:hAnsi="Arial" w:cs="Arial"/>
          <w:i/>
        </w:rPr>
        <w:t xml:space="preserve"> por actividades de gestión, del Estado de Flujos de Efectivo y viene dado por las diferencias entre determinados capítulos de gastos e ingresos.</w:t>
      </w:r>
    </w:p>
    <w:p w:rsidR="00E23B86" w:rsidRDefault="00BA7C13">
      <w:pPr>
        <w:spacing w:after="245" w:line="248" w:lineRule="auto"/>
        <w:ind w:left="363" w:right="552" w:firstLine="708"/>
        <w:jc w:val="both"/>
      </w:pPr>
      <w:r>
        <w:rPr>
          <w:rFonts w:ascii="Arial" w:eastAsia="Arial" w:hAnsi="Arial" w:cs="Arial"/>
        </w:rPr>
        <w:t>Mide la proporción entre las deudas a corto plazo y largo plazo con la liquidez obtenida en el ejercicio, en d</w:t>
      </w:r>
      <w:r>
        <w:rPr>
          <w:rFonts w:ascii="Arial" w:eastAsia="Arial" w:hAnsi="Arial" w:cs="Arial"/>
        </w:rPr>
        <w:t>eterminados capítulos. Mejora sesenta y cuatro décimas</w:t>
      </w:r>
    </w:p>
    <w:p w:rsidR="00E23B86" w:rsidRDefault="00BA7C13">
      <w:pPr>
        <w:spacing w:after="5" w:line="249" w:lineRule="auto"/>
        <w:ind w:left="347" w:hanging="10"/>
      </w:pPr>
      <w:r>
        <w:rPr>
          <w:rFonts w:ascii="Arial" w:eastAsia="Arial" w:hAnsi="Arial" w:cs="Arial"/>
        </w:rPr>
        <w:t>8.-</w:t>
      </w:r>
      <w:r>
        <w:rPr>
          <w:rFonts w:ascii="Arial" w:eastAsia="Arial" w:hAnsi="Arial" w:cs="Arial"/>
          <w:i/>
        </w:rPr>
        <w:t>Periodo Medio de Pago</w:t>
      </w:r>
      <w:r>
        <w:rPr>
          <w:rFonts w:ascii="Arial" w:eastAsia="Arial" w:hAnsi="Arial" w:cs="Arial"/>
        </w:rPr>
        <w:t>=Ʃ(</w:t>
      </w:r>
      <w:r>
        <w:rPr>
          <w:rFonts w:ascii="Arial" w:eastAsia="Arial" w:hAnsi="Arial" w:cs="Arial"/>
          <w:i/>
          <w:u w:val="single" w:color="000000"/>
        </w:rPr>
        <w:t>Número días Periodo de Pago*Importe Pagado)</w:t>
      </w:r>
      <w:r>
        <w:rPr>
          <w:rFonts w:ascii="Arial" w:eastAsia="Arial" w:hAnsi="Arial" w:cs="Arial"/>
        </w:rPr>
        <w:t>=</w:t>
      </w:r>
      <w:r>
        <w:rPr>
          <w:rFonts w:ascii="Arial" w:eastAsia="Arial" w:hAnsi="Arial" w:cs="Arial"/>
          <w:u w:val="single" w:color="000000"/>
        </w:rPr>
        <w:t xml:space="preserve"> 218.938.144,70</w:t>
      </w:r>
      <w:r>
        <w:rPr>
          <w:rFonts w:ascii="Arial" w:eastAsia="Arial" w:hAnsi="Arial" w:cs="Arial"/>
        </w:rPr>
        <w:t>=22,48 días</w:t>
      </w:r>
    </w:p>
    <w:p w:rsidR="00E23B86" w:rsidRDefault="00BA7C13">
      <w:pPr>
        <w:tabs>
          <w:tab w:val="center" w:pos="3076"/>
          <w:tab w:val="center" w:pos="6024"/>
        </w:tabs>
        <w:spacing w:after="8" w:line="251" w:lineRule="auto"/>
      </w:pPr>
      <w:r>
        <w:tab/>
      </w:r>
      <w:r>
        <w:rPr>
          <w:rFonts w:ascii="Arial" w:eastAsia="Arial" w:hAnsi="Arial" w:cs="Arial"/>
          <w:i/>
        </w:rPr>
        <w:t xml:space="preserve">    a Acreedores Comerciales</w:t>
      </w:r>
      <w:r>
        <w:rPr>
          <w:rFonts w:ascii="Arial" w:eastAsia="Arial" w:hAnsi="Arial" w:cs="Arial"/>
        </w:rPr>
        <w:t xml:space="preserve">            </w:t>
      </w:r>
      <w:r>
        <w:rPr>
          <w:rFonts w:ascii="Arial" w:eastAsia="Arial" w:hAnsi="Arial" w:cs="Arial"/>
          <w:i/>
        </w:rPr>
        <w:t xml:space="preserve"> Ʃ Importe de Pago</w:t>
      </w:r>
      <w:r>
        <w:rPr>
          <w:rFonts w:ascii="Arial" w:eastAsia="Arial" w:hAnsi="Arial" w:cs="Arial"/>
          <w:i/>
        </w:rPr>
        <w:tab/>
        <w:t xml:space="preserve">                                     </w:t>
      </w:r>
    </w:p>
    <w:p w:rsidR="00E23B86" w:rsidRDefault="00BA7C13">
      <w:pPr>
        <w:spacing w:after="240" w:line="251" w:lineRule="auto"/>
        <w:ind w:left="355" w:right="573" w:hanging="10"/>
        <w:jc w:val="both"/>
      </w:pPr>
      <w:r>
        <w:rPr>
          <w:rFonts w:ascii="Arial" w:eastAsia="Arial" w:hAnsi="Arial" w:cs="Arial"/>
          <w:i/>
        </w:rPr>
        <w:t>9.738.739,71</w:t>
      </w:r>
    </w:p>
    <w:p w:rsidR="00E23B86" w:rsidRDefault="00BA7C13">
      <w:pPr>
        <w:spacing w:after="243" w:line="248" w:lineRule="auto"/>
        <w:ind w:left="1070" w:right="552" w:hanging="10"/>
        <w:jc w:val="both"/>
      </w:pPr>
      <w:r>
        <w:rPr>
          <w:rFonts w:ascii="Arial" w:eastAsia="Arial" w:hAnsi="Arial" w:cs="Arial"/>
        </w:rPr>
        <w:t>Empeora 4 días.</w:t>
      </w:r>
    </w:p>
    <w:p w:rsidR="00E23B86" w:rsidRDefault="00BA7C13">
      <w:pPr>
        <w:spacing w:after="5" w:line="249" w:lineRule="auto"/>
        <w:ind w:left="347" w:hanging="10"/>
      </w:pPr>
      <w:r>
        <w:rPr>
          <w:rFonts w:ascii="Arial" w:eastAsia="Arial" w:hAnsi="Arial" w:cs="Arial"/>
        </w:rPr>
        <w:t>9.-</w:t>
      </w:r>
      <w:r>
        <w:rPr>
          <w:rFonts w:ascii="Arial" w:eastAsia="Arial" w:hAnsi="Arial" w:cs="Arial"/>
          <w:i/>
        </w:rPr>
        <w:t>Periodo Medio de Cobro</w:t>
      </w:r>
      <w:r>
        <w:rPr>
          <w:rFonts w:ascii="Arial" w:eastAsia="Arial" w:hAnsi="Arial" w:cs="Arial"/>
        </w:rPr>
        <w:t>=Ʃ(</w:t>
      </w:r>
      <w:r>
        <w:rPr>
          <w:rFonts w:ascii="Arial" w:eastAsia="Arial" w:hAnsi="Arial" w:cs="Arial"/>
          <w:i/>
          <w:u w:val="single" w:color="000000"/>
        </w:rPr>
        <w:t>Número días Periodo de Cobro*Importe Cobro)</w:t>
      </w:r>
      <w:r>
        <w:rPr>
          <w:rFonts w:ascii="Arial" w:eastAsia="Arial" w:hAnsi="Arial" w:cs="Arial"/>
        </w:rPr>
        <w:t>=</w:t>
      </w:r>
      <w:r>
        <w:rPr>
          <w:rFonts w:ascii="Arial" w:eastAsia="Arial" w:hAnsi="Arial" w:cs="Arial"/>
          <w:u w:val="single" w:color="000000"/>
        </w:rPr>
        <w:t xml:space="preserve"> 551.380.245,28</w:t>
      </w:r>
      <w:r>
        <w:rPr>
          <w:rFonts w:ascii="Arial" w:eastAsia="Arial" w:hAnsi="Arial" w:cs="Arial"/>
        </w:rPr>
        <w:t>= 35,05días</w:t>
      </w:r>
    </w:p>
    <w:p w:rsidR="00E23B86" w:rsidRDefault="00BA7C13">
      <w:pPr>
        <w:tabs>
          <w:tab w:val="center" w:pos="352"/>
          <w:tab w:val="center" w:pos="4538"/>
        </w:tabs>
        <w:spacing w:after="8" w:line="251" w:lineRule="auto"/>
      </w:pPr>
      <w:r>
        <w:tab/>
      </w:r>
      <w:r>
        <w:rPr>
          <w:rFonts w:ascii="Arial" w:eastAsia="Arial" w:hAnsi="Arial" w:cs="Arial"/>
          <w:i/>
        </w:rPr>
        <w:t xml:space="preserve">        </w:t>
      </w:r>
      <w:r>
        <w:rPr>
          <w:rFonts w:ascii="Arial" w:eastAsia="Arial" w:hAnsi="Arial" w:cs="Arial"/>
          <w:i/>
        </w:rPr>
        <w:tab/>
      </w:r>
      <w:r>
        <w:rPr>
          <w:rFonts w:ascii="Arial" w:eastAsia="Arial" w:hAnsi="Arial" w:cs="Arial"/>
        </w:rPr>
        <w:t xml:space="preserve">            </w:t>
      </w:r>
      <w:r>
        <w:rPr>
          <w:rFonts w:ascii="Arial" w:eastAsia="Arial" w:hAnsi="Arial" w:cs="Arial"/>
          <w:i/>
        </w:rPr>
        <w:t xml:space="preserve"> Ʃ Importe de Cobro                            </w:t>
      </w:r>
    </w:p>
    <w:p w:rsidR="00E23B86" w:rsidRDefault="00BA7C13">
      <w:pPr>
        <w:spacing w:after="240" w:line="251" w:lineRule="auto"/>
        <w:ind w:left="355" w:right="573" w:hanging="10"/>
        <w:jc w:val="both"/>
      </w:pPr>
      <w:r>
        <w:rPr>
          <w:rFonts w:ascii="Arial" w:eastAsia="Arial" w:hAnsi="Arial" w:cs="Arial"/>
          <w:i/>
        </w:rPr>
        <w:t>15.733.086,00</w:t>
      </w:r>
    </w:p>
    <w:p w:rsidR="00E23B86" w:rsidRDefault="00BA7C13">
      <w:pPr>
        <w:spacing w:after="243" w:line="248" w:lineRule="auto"/>
        <w:ind w:left="722" w:right="552" w:hanging="10"/>
        <w:jc w:val="both"/>
      </w:pPr>
      <w:r>
        <w:rPr>
          <w:rFonts w:ascii="Arial" w:eastAsia="Arial" w:hAnsi="Arial" w:cs="Arial"/>
        </w:rPr>
        <w:t>Mejora dieciocho días.</w:t>
      </w:r>
    </w:p>
    <w:p w:rsidR="00E23B86" w:rsidRDefault="00BA7C13">
      <w:pPr>
        <w:spacing w:after="240" w:line="251" w:lineRule="auto"/>
        <w:ind w:left="722" w:right="573" w:hanging="10"/>
        <w:jc w:val="both"/>
      </w:pPr>
      <w:r>
        <w:rPr>
          <w:rFonts w:ascii="Arial" w:eastAsia="Arial" w:hAnsi="Arial" w:cs="Arial"/>
          <w:i/>
        </w:rPr>
        <w:t>10.- Ratios de la Cue</w:t>
      </w:r>
      <w:r>
        <w:rPr>
          <w:rFonts w:ascii="Arial" w:eastAsia="Arial" w:hAnsi="Arial" w:cs="Arial"/>
          <w:i/>
        </w:rPr>
        <w:t>nta del Resultado Económico Patrimonial:</w:t>
      </w:r>
    </w:p>
    <w:p w:rsidR="00E23B86" w:rsidRDefault="00BA7C13">
      <w:pPr>
        <w:spacing w:after="243" w:line="249" w:lineRule="auto"/>
        <w:ind w:left="722" w:right="566" w:hanging="10"/>
        <w:jc w:val="both"/>
      </w:pPr>
      <w:r>
        <w:rPr>
          <w:rFonts w:ascii="Arial" w:eastAsia="Arial" w:hAnsi="Arial" w:cs="Arial"/>
          <w:b/>
          <w:i/>
        </w:rPr>
        <w:t>1.- Estrutura de Ingresos de Gestión Ordinaria</w:t>
      </w:r>
      <w:r>
        <w:rPr>
          <w:rFonts w:ascii="Arial" w:eastAsia="Arial" w:hAnsi="Arial" w:cs="Arial"/>
          <w:i/>
        </w:rPr>
        <w:t>:</w:t>
      </w:r>
    </w:p>
    <w:p w:rsidR="00E23B86" w:rsidRDefault="00BA7C13">
      <w:pPr>
        <w:numPr>
          <w:ilvl w:val="0"/>
          <w:numId w:val="17"/>
        </w:numPr>
        <w:spacing w:after="8" w:line="251" w:lineRule="auto"/>
        <w:ind w:right="287" w:hanging="684"/>
      </w:pPr>
      <w:r>
        <w:rPr>
          <w:rFonts w:ascii="Arial" w:eastAsia="Arial" w:hAnsi="Arial" w:cs="Arial"/>
          <w:i/>
          <w:u w:val="single" w:color="000000"/>
        </w:rPr>
        <w:t>Ingresos Tributarios</w:t>
      </w:r>
      <w:r>
        <w:rPr>
          <w:rFonts w:ascii="Arial" w:eastAsia="Arial" w:hAnsi="Arial" w:cs="Arial"/>
          <w:i/>
          <w:u w:val="single" w:color="000000"/>
        </w:rPr>
        <w:tab/>
      </w:r>
      <w:r>
        <w:rPr>
          <w:rFonts w:ascii="Arial" w:eastAsia="Arial" w:hAnsi="Arial" w:cs="Arial"/>
          <w:i/>
        </w:rPr>
        <w:t xml:space="preserve">         = 51 %.</w:t>
      </w:r>
    </w:p>
    <w:p w:rsidR="00E23B86" w:rsidRDefault="00BA7C13">
      <w:pPr>
        <w:spacing w:after="494" w:line="251" w:lineRule="auto"/>
        <w:ind w:left="355" w:right="573" w:hanging="10"/>
        <w:jc w:val="both"/>
      </w:pPr>
      <w:r>
        <w:rPr>
          <w:noProof/>
        </w:rPr>
        <mc:AlternateContent>
          <mc:Choice Requires="wpg">
            <w:drawing>
              <wp:anchor distT="0" distB="0" distL="114300" distR="114300" simplePos="0" relativeHeight="2517002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5434" name="Group 47543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1913" name="Rectangle 1191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1914" name="Rectangle 1191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41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5434" style="width:12.7031pt;height:280.35pt;position:absolute;mso-position-horizontal-relative:page;mso-position-horizontal:absolute;margin-left:681.958pt;mso-position-vertical-relative:page;margin-top:531.65pt;" coordsize="1613,35604">
                <v:rect id="Rectangle 1191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191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391 </w:t>
                        </w:r>
                      </w:p>
                    </w:txbxContent>
                  </v:textbox>
                </v:rect>
                <w10:wrap type="square"/>
              </v:group>
            </w:pict>
          </mc:Fallback>
        </mc:AlternateContent>
      </w:r>
      <w:r>
        <w:rPr>
          <w:rFonts w:ascii="Arial" w:eastAsia="Arial" w:hAnsi="Arial" w:cs="Arial"/>
          <w:i/>
        </w:rPr>
        <w:t xml:space="preserve">         Ingresos de Gestión Ordinaria        </w:t>
      </w:r>
    </w:p>
    <w:p w:rsidR="00E23B86" w:rsidRDefault="00BA7C13">
      <w:pPr>
        <w:numPr>
          <w:ilvl w:val="0"/>
          <w:numId w:val="17"/>
        </w:numPr>
        <w:spacing w:after="8" w:line="251" w:lineRule="auto"/>
        <w:ind w:right="287" w:hanging="684"/>
      </w:pPr>
      <w:r>
        <w:rPr>
          <w:rFonts w:ascii="Arial" w:eastAsia="Arial" w:hAnsi="Arial" w:cs="Arial"/>
          <w:i/>
          <w:u w:val="single" w:color="000000"/>
        </w:rPr>
        <w:t>Transferencias</w:t>
      </w:r>
      <w:r>
        <w:rPr>
          <w:rFonts w:ascii="Arial" w:eastAsia="Arial" w:hAnsi="Arial" w:cs="Arial"/>
          <w:i/>
          <w:u w:val="single" w:color="000000"/>
        </w:rPr>
        <w:tab/>
      </w:r>
      <w:r>
        <w:rPr>
          <w:rFonts w:ascii="Arial" w:eastAsia="Arial" w:hAnsi="Arial" w:cs="Arial"/>
          <w:i/>
        </w:rPr>
        <w:t xml:space="preserve">         =        47 %</w:t>
      </w:r>
    </w:p>
    <w:p w:rsidR="00E23B86" w:rsidRDefault="00BA7C13">
      <w:pPr>
        <w:spacing w:after="240" w:line="251" w:lineRule="auto"/>
        <w:ind w:left="355" w:right="573" w:hanging="10"/>
        <w:jc w:val="both"/>
      </w:pPr>
      <w:r>
        <w:rPr>
          <w:rFonts w:ascii="Arial" w:eastAsia="Arial" w:hAnsi="Arial" w:cs="Arial"/>
          <w:i/>
        </w:rPr>
        <w:t xml:space="preserve">         Ingresos de Gestión Ordinaria    </w:t>
      </w:r>
    </w:p>
    <w:p w:rsidR="00E23B86" w:rsidRDefault="00BA7C13">
      <w:pPr>
        <w:numPr>
          <w:ilvl w:val="0"/>
          <w:numId w:val="17"/>
        </w:numPr>
        <w:spacing w:after="5" w:line="249" w:lineRule="auto"/>
        <w:ind w:right="287" w:hanging="684"/>
      </w:pPr>
      <w:r>
        <w:rPr>
          <w:rFonts w:ascii="Arial" w:eastAsia="Arial" w:hAnsi="Arial" w:cs="Arial"/>
          <w:i/>
          <w:u w:val="single" w:color="000000"/>
        </w:rPr>
        <w:t>Ventas y Prestación de Servicios</w:t>
      </w:r>
      <w:r>
        <w:rPr>
          <w:rFonts w:ascii="Arial" w:eastAsia="Arial" w:hAnsi="Arial" w:cs="Arial"/>
          <w:i/>
          <w:u w:val="single" w:color="000000"/>
        </w:rPr>
        <w:tab/>
      </w:r>
      <w:r>
        <w:rPr>
          <w:rFonts w:ascii="Arial" w:eastAsia="Arial" w:hAnsi="Arial" w:cs="Arial"/>
          <w:i/>
        </w:rPr>
        <w:t xml:space="preserve"> </w:t>
      </w:r>
      <w:r>
        <w:rPr>
          <w:rFonts w:ascii="Arial" w:eastAsia="Arial" w:hAnsi="Arial" w:cs="Arial"/>
          <w:i/>
        </w:rPr>
        <w:t xml:space="preserve">        = 0 %.</w:t>
      </w:r>
    </w:p>
    <w:p w:rsidR="00E23B86" w:rsidRDefault="00BA7C13">
      <w:pPr>
        <w:spacing w:after="240" w:line="251" w:lineRule="auto"/>
        <w:ind w:left="355" w:right="573" w:hanging="10"/>
        <w:jc w:val="both"/>
      </w:pPr>
      <w:r>
        <w:rPr>
          <w:rFonts w:ascii="Arial" w:eastAsia="Arial" w:hAnsi="Arial" w:cs="Arial"/>
          <w:i/>
        </w:rPr>
        <w:t xml:space="preserve">             Ingresos de Gestión Ordinaria                   </w:t>
      </w:r>
    </w:p>
    <w:p w:rsidR="00E23B86" w:rsidRDefault="00BA7C13">
      <w:pPr>
        <w:numPr>
          <w:ilvl w:val="0"/>
          <w:numId w:val="17"/>
        </w:numPr>
        <w:spacing w:after="5" w:line="249" w:lineRule="auto"/>
        <w:ind w:right="287" w:hanging="684"/>
      </w:pPr>
      <w:r>
        <w:rPr>
          <w:rFonts w:ascii="Arial" w:eastAsia="Arial" w:hAnsi="Arial" w:cs="Arial"/>
          <w:i/>
          <w:u w:val="single" w:color="000000"/>
        </w:rPr>
        <w:t>Resto Ingresos (Otros Ingresos de Gestión Ordinarias)</w:t>
      </w:r>
      <w:r>
        <w:rPr>
          <w:rFonts w:ascii="Arial" w:eastAsia="Arial" w:hAnsi="Arial" w:cs="Arial"/>
          <w:i/>
        </w:rPr>
        <w:t xml:space="preserve"> = 1 %.</w:t>
      </w:r>
    </w:p>
    <w:p w:rsidR="00E23B86" w:rsidRDefault="00BA7C13">
      <w:pPr>
        <w:spacing w:after="494" w:line="251" w:lineRule="auto"/>
        <w:ind w:left="355" w:right="573" w:hanging="10"/>
        <w:jc w:val="both"/>
      </w:pPr>
      <w:r>
        <w:rPr>
          <w:rFonts w:ascii="Arial" w:eastAsia="Arial" w:hAnsi="Arial" w:cs="Arial"/>
          <w:i/>
        </w:rPr>
        <w:t xml:space="preserve">            Ingresos de Gestión Ordinaria                                           </w:t>
      </w:r>
    </w:p>
    <w:p w:rsidR="00E23B86" w:rsidRDefault="00BA7C13">
      <w:pPr>
        <w:spacing w:after="243" w:line="249" w:lineRule="auto"/>
        <w:ind w:left="347" w:right="566" w:hanging="10"/>
        <w:jc w:val="both"/>
      </w:pPr>
      <w:r>
        <w:rPr>
          <w:rFonts w:ascii="Arial" w:eastAsia="Arial" w:hAnsi="Arial" w:cs="Arial"/>
          <w:b/>
          <w:i/>
        </w:rPr>
        <w:t>2.- Estrutura de Gastos de Gestió</w:t>
      </w:r>
      <w:r>
        <w:rPr>
          <w:rFonts w:ascii="Arial" w:eastAsia="Arial" w:hAnsi="Arial" w:cs="Arial"/>
          <w:b/>
          <w:i/>
        </w:rPr>
        <w:t>n Ordinaria</w:t>
      </w:r>
      <w:r>
        <w:rPr>
          <w:rFonts w:ascii="Arial" w:eastAsia="Arial" w:hAnsi="Arial" w:cs="Arial"/>
          <w:i/>
        </w:rPr>
        <w:t>:</w:t>
      </w:r>
    </w:p>
    <w:p w:rsidR="00E23B86" w:rsidRDefault="00BA7C13">
      <w:pPr>
        <w:numPr>
          <w:ilvl w:val="0"/>
          <w:numId w:val="18"/>
        </w:numPr>
        <w:spacing w:after="8" w:line="251" w:lineRule="auto"/>
        <w:ind w:right="573" w:hanging="684"/>
        <w:jc w:val="both"/>
      </w:pPr>
      <w:r>
        <w:rPr>
          <w:rFonts w:ascii="Arial" w:eastAsia="Arial" w:hAnsi="Arial" w:cs="Arial"/>
          <w:i/>
          <w:u w:val="single" w:color="000000"/>
        </w:rPr>
        <w:t>Gastos de Personal</w:t>
      </w:r>
      <w:r>
        <w:rPr>
          <w:rFonts w:ascii="Arial" w:eastAsia="Arial" w:hAnsi="Arial" w:cs="Arial"/>
          <w:i/>
          <w:u w:val="single" w:color="000000"/>
        </w:rPr>
        <w:tab/>
      </w:r>
      <w:r>
        <w:rPr>
          <w:rFonts w:ascii="Arial" w:eastAsia="Arial" w:hAnsi="Arial" w:cs="Arial"/>
          <w:i/>
        </w:rPr>
        <w:t xml:space="preserve">         = 46 %.</w:t>
      </w:r>
    </w:p>
    <w:p w:rsidR="00E23B86" w:rsidRDefault="00BA7C13">
      <w:pPr>
        <w:spacing w:after="240" w:line="251" w:lineRule="auto"/>
        <w:ind w:left="355" w:right="573" w:hanging="10"/>
        <w:jc w:val="both"/>
      </w:pPr>
      <w:r>
        <w:rPr>
          <w:rFonts w:ascii="Arial" w:eastAsia="Arial" w:hAnsi="Arial" w:cs="Arial"/>
          <w:i/>
        </w:rPr>
        <w:t xml:space="preserve">         Gastos de Gestión Ordinaria               </w:t>
      </w:r>
    </w:p>
    <w:p w:rsidR="00E23B86" w:rsidRDefault="00BA7C13">
      <w:pPr>
        <w:numPr>
          <w:ilvl w:val="0"/>
          <w:numId w:val="18"/>
        </w:numPr>
        <w:spacing w:after="8" w:line="251" w:lineRule="auto"/>
        <w:ind w:right="573" w:hanging="684"/>
        <w:jc w:val="both"/>
      </w:pPr>
      <w:r>
        <w:rPr>
          <w:rFonts w:ascii="Arial" w:eastAsia="Arial" w:hAnsi="Arial" w:cs="Arial"/>
          <w:i/>
          <w:u w:val="single" w:color="000000"/>
        </w:rPr>
        <w:t>Transferencias</w:t>
      </w:r>
      <w:r>
        <w:rPr>
          <w:rFonts w:ascii="Arial" w:eastAsia="Arial" w:hAnsi="Arial" w:cs="Arial"/>
          <w:i/>
          <w:u w:val="single" w:color="000000"/>
        </w:rPr>
        <w:tab/>
      </w:r>
      <w:r>
        <w:rPr>
          <w:rFonts w:ascii="Arial" w:eastAsia="Arial" w:hAnsi="Arial" w:cs="Arial"/>
          <w:i/>
        </w:rPr>
        <w:t xml:space="preserve">         =      13 %.</w:t>
      </w:r>
    </w:p>
    <w:p w:rsidR="00E23B86" w:rsidRDefault="00BA7C13">
      <w:pPr>
        <w:spacing w:after="492" w:line="251" w:lineRule="auto"/>
        <w:ind w:left="355" w:right="573" w:hanging="10"/>
        <w:jc w:val="both"/>
      </w:pPr>
      <w:r>
        <w:rPr>
          <w:rFonts w:ascii="Arial" w:eastAsia="Arial" w:hAnsi="Arial" w:cs="Arial"/>
          <w:i/>
        </w:rPr>
        <w:t xml:space="preserve">         Gastsos de Gestión Ordinaria    </w:t>
      </w:r>
    </w:p>
    <w:p w:rsidR="00E23B86" w:rsidRDefault="00BA7C13">
      <w:pPr>
        <w:numPr>
          <w:ilvl w:val="0"/>
          <w:numId w:val="18"/>
        </w:numPr>
        <w:spacing w:after="242" w:line="251" w:lineRule="auto"/>
        <w:ind w:right="573" w:hanging="684"/>
        <w:jc w:val="both"/>
      </w:pPr>
      <w:r>
        <w:rPr>
          <w:rFonts w:ascii="Arial" w:eastAsia="Arial" w:hAnsi="Arial" w:cs="Arial"/>
          <w:i/>
          <w:u w:val="single" w:color="000000"/>
        </w:rPr>
        <w:t>Aprovisionamientos</w:t>
      </w:r>
      <w:r>
        <w:rPr>
          <w:rFonts w:ascii="Arial" w:eastAsia="Arial" w:hAnsi="Arial" w:cs="Arial"/>
          <w:i/>
          <w:u w:val="single" w:color="000000"/>
        </w:rPr>
        <w:tab/>
      </w:r>
      <w:r>
        <w:rPr>
          <w:rFonts w:ascii="Arial" w:eastAsia="Arial" w:hAnsi="Arial" w:cs="Arial"/>
          <w:i/>
        </w:rPr>
        <w:t xml:space="preserve">         =   0 %. </w:t>
      </w:r>
      <w:r>
        <w:rPr>
          <w:rFonts w:ascii="Arial" w:eastAsia="Arial" w:hAnsi="Arial" w:cs="Arial"/>
          <w:i/>
        </w:rPr>
        <w:t xml:space="preserve">         Gastos de Gestión Ordinaria               </w:t>
      </w:r>
    </w:p>
    <w:p w:rsidR="00E23B86" w:rsidRDefault="00BA7C13">
      <w:pPr>
        <w:numPr>
          <w:ilvl w:val="0"/>
          <w:numId w:val="18"/>
        </w:numPr>
        <w:spacing w:after="5" w:line="249" w:lineRule="auto"/>
        <w:ind w:right="573" w:hanging="684"/>
        <w:jc w:val="both"/>
      </w:pPr>
      <w:r>
        <w:rPr>
          <w:rFonts w:ascii="Arial" w:eastAsia="Arial" w:hAnsi="Arial" w:cs="Arial"/>
          <w:i/>
          <w:u w:val="single" w:color="000000"/>
        </w:rPr>
        <w:t>Resto Gastos (Otros Gastos de Gestión Ordinarias)</w:t>
      </w:r>
      <w:r>
        <w:rPr>
          <w:rFonts w:ascii="Arial" w:eastAsia="Arial" w:hAnsi="Arial" w:cs="Arial"/>
          <w:i/>
        </w:rPr>
        <w:t xml:space="preserve"> =          40 %.</w:t>
      </w:r>
    </w:p>
    <w:p w:rsidR="00E23B86" w:rsidRDefault="00BA7C13">
      <w:pPr>
        <w:spacing w:after="111" w:line="251" w:lineRule="auto"/>
        <w:ind w:left="355" w:right="573" w:hanging="10"/>
        <w:jc w:val="both"/>
      </w:pPr>
      <w:r>
        <w:rPr>
          <w:rFonts w:ascii="Arial" w:eastAsia="Arial" w:hAnsi="Arial" w:cs="Arial"/>
          <w:i/>
        </w:rPr>
        <w:t xml:space="preserve">            Ingresos de Gestión Ordinaria                                         </w:t>
      </w:r>
    </w:p>
    <w:p w:rsidR="00E23B86" w:rsidRDefault="00BA7C13">
      <w:pPr>
        <w:spacing w:after="9" w:line="249" w:lineRule="auto"/>
        <w:ind w:left="347" w:right="566" w:hanging="10"/>
        <w:jc w:val="both"/>
      </w:pPr>
      <w:r>
        <w:rPr>
          <w:rFonts w:ascii="Arial" w:eastAsia="Arial" w:hAnsi="Arial" w:cs="Arial"/>
          <w:b/>
          <w:i/>
        </w:rPr>
        <w:t xml:space="preserve">3.- Cobertura de Gastos Corrientes: </w:t>
      </w:r>
      <w:r>
        <w:rPr>
          <w:rFonts w:ascii="Arial" w:eastAsia="Arial" w:hAnsi="Arial" w:cs="Arial"/>
          <w:i/>
          <w:u w:val="single" w:color="000000"/>
        </w:rPr>
        <w:t xml:space="preserve">Gastos de Gestión </w:t>
      </w:r>
      <w:r>
        <w:rPr>
          <w:rFonts w:ascii="Arial" w:eastAsia="Arial" w:hAnsi="Arial" w:cs="Arial"/>
          <w:i/>
          <w:u w:val="single" w:color="000000"/>
        </w:rPr>
        <w:t xml:space="preserve">Ordinaria  </w:t>
      </w:r>
      <w:r>
        <w:rPr>
          <w:rFonts w:ascii="Arial" w:eastAsia="Arial" w:hAnsi="Arial" w:cs="Arial"/>
          <w:i/>
        </w:rPr>
        <w:t xml:space="preserve">   =  </w:t>
      </w:r>
    </w:p>
    <w:p w:rsidR="00E23B86" w:rsidRDefault="00BA7C13">
      <w:pPr>
        <w:spacing w:after="5" w:line="249" w:lineRule="auto"/>
        <w:ind w:left="347" w:hanging="10"/>
      </w:pPr>
      <w:r>
        <w:rPr>
          <w:rFonts w:ascii="Arial" w:eastAsia="Arial" w:hAnsi="Arial" w:cs="Arial"/>
          <w:i/>
          <w:u w:val="single" w:color="000000"/>
        </w:rPr>
        <w:t xml:space="preserve">20.470.642,51  </w:t>
      </w:r>
      <w:r>
        <w:rPr>
          <w:rFonts w:ascii="Arial" w:eastAsia="Arial" w:hAnsi="Arial" w:cs="Arial"/>
          <w:i/>
        </w:rPr>
        <w:t xml:space="preserve">  = 69 %</w:t>
      </w:r>
    </w:p>
    <w:p w:rsidR="00E23B86" w:rsidRDefault="00BA7C13">
      <w:pPr>
        <w:spacing w:after="481" w:line="265" w:lineRule="auto"/>
        <w:ind w:left="10" w:right="733" w:hanging="10"/>
        <w:jc w:val="right"/>
      </w:pPr>
      <w:r>
        <w:rPr>
          <w:rFonts w:ascii="Arial" w:eastAsia="Arial" w:hAnsi="Arial" w:cs="Arial"/>
          <w:b/>
          <w:i/>
        </w:rPr>
        <w:t xml:space="preserve">  </w:t>
      </w:r>
      <w:r>
        <w:rPr>
          <w:rFonts w:ascii="Arial" w:eastAsia="Arial" w:hAnsi="Arial" w:cs="Arial"/>
          <w:i/>
        </w:rPr>
        <w:t xml:space="preserve">      Ingresos de Gestión Ordinaria          29.720.793,55</w:t>
      </w:r>
    </w:p>
    <w:p w:rsidR="00E23B86" w:rsidRDefault="00BA7C13">
      <w:pPr>
        <w:spacing w:after="749" w:line="248" w:lineRule="auto"/>
        <w:ind w:left="1070" w:right="552" w:hanging="10"/>
        <w:jc w:val="both"/>
      </w:pPr>
      <w:r>
        <w:rPr>
          <w:rFonts w:ascii="Arial" w:eastAsia="Arial" w:hAnsi="Arial" w:cs="Arial"/>
        </w:rPr>
        <w:t>Mejora nueve puntos porcentuales.</w:t>
      </w:r>
    </w:p>
    <w:p w:rsidR="00E23B86" w:rsidRDefault="00BA7C13">
      <w:pPr>
        <w:spacing w:after="243" w:line="248" w:lineRule="auto"/>
        <w:ind w:left="373" w:right="552" w:hanging="10"/>
        <w:jc w:val="both"/>
      </w:pPr>
      <w:r>
        <w:rPr>
          <w:rFonts w:ascii="Arial" w:eastAsia="Arial" w:hAnsi="Arial" w:cs="Arial"/>
        </w:rPr>
        <w:t>Indicadores Presupuestarios</w:t>
      </w:r>
    </w:p>
    <w:p w:rsidR="00E23B86" w:rsidRDefault="00BA7C13">
      <w:pPr>
        <w:spacing w:after="243" w:line="248" w:lineRule="auto"/>
        <w:ind w:left="1070" w:right="552" w:hanging="10"/>
        <w:jc w:val="both"/>
      </w:pPr>
      <w:r>
        <w:rPr>
          <w:rFonts w:ascii="Arial" w:eastAsia="Arial" w:hAnsi="Arial" w:cs="Arial"/>
        </w:rPr>
        <w:t>A) Ejercicio Corriente</w:t>
      </w:r>
    </w:p>
    <w:p w:rsidR="00E23B86" w:rsidRDefault="00BA7C13">
      <w:pPr>
        <w:spacing w:after="8" w:line="251" w:lineRule="auto"/>
        <w:ind w:left="355" w:right="573" w:hanging="10"/>
        <w:jc w:val="both"/>
      </w:pPr>
      <w:r>
        <w:rPr>
          <w:rFonts w:ascii="Arial" w:eastAsia="Arial" w:hAnsi="Arial" w:cs="Arial"/>
        </w:rPr>
        <w:t xml:space="preserve">1.- </w:t>
      </w:r>
      <w:r>
        <w:rPr>
          <w:rFonts w:ascii="Arial" w:eastAsia="Arial" w:hAnsi="Arial" w:cs="Arial"/>
          <w:i/>
        </w:rPr>
        <w:t>Ejecución del Presupuesto de Gastos</w:t>
      </w:r>
      <w:r>
        <w:rPr>
          <w:rFonts w:ascii="Arial" w:eastAsia="Arial" w:hAnsi="Arial" w:cs="Arial"/>
        </w:rPr>
        <w:t xml:space="preserve"> =</w:t>
      </w:r>
      <w:r>
        <w:rPr>
          <w:rFonts w:ascii="Arial" w:eastAsia="Arial" w:hAnsi="Arial" w:cs="Arial"/>
          <w:u w:val="single" w:color="000000"/>
        </w:rPr>
        <w:t>Obligaciones Reconocidas Netas</w:t>
      </w:r>
      <w:r>
        <w:rPr>
          <w:rFonts w:ascii="Arial" w:eastAsia="Arial" w:hAnsi="Arial" w:cs="Arial"/>
        </w:rPr>
        <w:t xml:space="preserve">  = </w:t>
      </w:r>
    </w:p>
    <w:p w:rsidR="00E23B86" w:rsidRDefault="00BA7C13">
      <w:pPr>
        <w:spacing w:after="3" w:line="265" w:lineRule="auto"/>
        <w:ind w:left="347" w:hanging="10"/>
      </w:pPr>
      <w:r>
        <w:rPr>
          <w:rFonts w:ascii="Arial" w:eastAsia="Arial" w:hAnsi="Arial" w:cs="Arial"/>
          <w:u w:val="single" w:color="000000"/>
        </w:rPr>
        <w:t xml:space="preserve">24.148.847,25  </w:t>
      </w:r>
      <w:r>
        <w:rPr>
          <w:rFonts w:ascii="Arial" w:eastAsia="Arial" w:hAnsi="Arial" w:cs="Arial"/>
        </w:rPr>
        <w:t xml:space="preserve">= 71 % </w:t>
      </w:r>
    </w:p>
    <w:p w:rsidR="00E23B86" w:rsidRDefault="00BA7C13">
      <w:pPr>
        <w:spacing w:after="10" w:line="248" w:lineRule="auto"/>
        <w:ind w:left="3198" w:right="552" w:hanging="10"/>
        <w:jc w:val="both"/>
      </w:pPr>
      <w:r>
        <w:rPr>
          <w:rFonts w:ascii="Arial" w:eastAsia="Arial" w:hAnsi="Arial" w:cs="Arial"/>
        </w:rPr>
        <w:t xml:space="preserve">                    Créditos Definitivos                     </w:t>
      </w:r>
    </w:p>
    <w:p w:rsidR="00E23B86" w:rsidRDefault="00BA7C13">
      <w:pPr>
        <w:spacing w:after="497" w:line="248" w:lineRule="auto"/>
        <w:ind w:left="373" w:right="552" w:hanging="10"/>
        <w:jc w:val="both"/>
      </w:pPr>
      <w:r>
        <w:rPr>
          <w:rFonts w:ascii="Arial" w:eastAsia="Arial" w:hAnsi="Arial" w:cs="Arial"/>
        </w:rPr>
        <w:t>33.934.077,94</w:t>
      </w:r>
    </w:p>
    <w:p w:rsidR="00E23B86" w:rsidRDefault="00BA7C13">
      <w:pPr>
        <w:spacing w:after="243" w:line="248" w:lineRule="auto"/>
        <w:ind w:left="1070" w:right="552" w:hanging="10"/>
        <w:jc w:val="both"/>
      </w:pPr>
      <w:r>
        <w:rPr>
          <w:rFonts w:ascii="Arial" w:eastAsia="Arial" w:hAnsi="Arial" w:cs="Arial"/>
        </w:rPr>
        <w:t xml:space="preserve">Ha caído tres puntos. </w:t>
      </w:r>
    </w:p>
    <w:p w:rsidR="00E23B86" w:rsidRDefault="00BA7C13">
      <w:pPr>
        <w:spacing w:after="243" w:line="248" w:lineRule="auto"/>
        <w:ind w:left="373" w:right="552" w:hanging="10"/>
        <w:jc w:val="both"/>
      </w:pPr>
      <w:r>
        <w:rPr>
          <w:rFonts w:ascii="Arial" w:eastAsia="Arial" w:hAnsi="Arial" w:cs="Arial"/>
        </w:rPr>
        <w:t>Se trata de un nivel de ejecución de gastos relativamente elevado.</w:t>
      </w:r>
    </w:p>
    <w:p w:rsidR="00E23B86" w:rsidRDefault="00BA7C13">
      <w:pPr>
        <w:spacing w:after="245" w:line="248" w:lineRule="auto"/>
        <w:ind w:left="2489" w:right="552" w:hanging="2126"/>
        <w:jc w:val="both"/>
      </w:pPr>
      <w:r>
        <w:rPr>
          <w:noProof/>
        </w:rPr>
        <mc:AlternateContent>
          <mc:Choice Requires="wpg">
            <w:drawing>
              <wp:anchor distT="0" distB="0" distL="114300" distR="114300" simplePos="0" relativeHeight="2517012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7861" name="Group 47786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018" name="Rectangle 1201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2019" name="Rectangle 1201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42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7861" style="width:12.7031pt;height:280.35pt;position:absolute;mso-position-horizontal-relative:page;mso-position-horizontal:absolute;margin-left:681.958pt;mso-position-vertical-relative:page;margin-top:531.65pt;" coordsize="1613,35604">
                <v:rect id="Rectangle 1201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01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391 </w:t>
                        </w:r>
                      </w:p>
                    </w:txbxContent>
                  </v:textbox>
                </v:rect>
                <w10:wrap type="square"/>
              </v:group>
            </w:pict>
          </mc:Fallback>
        </mc:AlternateContent>
      </w:r>
      <w:r>
        <w:rPr>
          <w:rFonts w:ascii="Arial" w:eastAsia="Arial" w:hAnsi="Arial" w:cs="Arial"/>
        </w:rPr>
        <w:t xml:space="preserve">2.- </w:t>
      </w:r>
      <w:r>
        <w:rPr>
          <w:rFonts w:ascii="Arial" w:eastAsia="Arial" w:hAnsi="Arial" w:cs="Arial"/>
          <w:i/>
        </w:rPr>
        <w:t>Realización de Pagos</w:t>
      </w:r>
      <w:r>
        <w:rPr>
          <w:rFonts w:ascii="Arial" w:eastAsia="Arial" w:hAnsi="Arial" w:cs="Arial"/>
        </w:rPr>
        <w:t xml:space="preserve"> = </w:t>
      </w:r>
      <w:r>
        <w:rPr>
          <w:rFonts w:ascii="Arial" w:eastAsia="Arial" w:hAnsi="Arial" w:cs="Arial"/>
          <w:u w:val="single" w:color="000000"/>
        </w:rPr>
        <w:t>Pagos Líquidos</w:t>
      </w:r>
      <w:r>
        <w:rPr>
          <w:rFonts w:ascii="Arial" w:eastAsia="Arial" w:hAnsi="Arial" w:cs="Arial"/>
        </w:rPr>
        <w:t xml:space="preserve">              =      </w:t>
      </w:r>
      <w:r>
        <w:rPr>
          <w:rFonts w:ascii="Arial" w:eastAsia="Arial" w:hAnsi="Arial" w:cs="Arial"/>
        </w:rPr>
        <w:t xml:space="preserve">   </w:t>
      </w:r>
      <w:r>
        <w:rPr>
          <w:rFonts w:ascii="Arial" w:eastAsia="Arial" w:hAnsi="Arial" w:cs="Arial"/>
          <w:u w:val="single" w:color="000000"/>
        </w:rPr>
        <w:t xml:space="preserve">22.743.202,76 </w:t>
      </w:r>
      <w:r>
        <w:rPr>
          <w:rFonts w:ascii="Arial" w:eastAsia="Arial" w:hAnsi="Arial" w:cs="Arial"/>
        </w:rPr>
        <w:t>= 94 %.     Obligaciones Reconocidas Netas      24.148.847,25</w:t>
      </w:r>
    </w:p>
    <w:p w:rsidR="00E23B86" w:rsidRDefault="00BA7C13">
      <w:pPr>
        <w:spacing w:after="243" w:line="248" w:lineRule="auto"/>
        <w:ind w:left="1070" w:right="552" w:hanging="10"/>
        <w:jc w:val="both"/>
      </w:pPr>
      <w:r>
        <w:rPr>
          <w:rFonts w:ascii="Arial" w:eastAsia="Arial" w:hAnsi="Arial" w:cs="Arial"/>
        </w:rPr>
        <w:t>Cae tres puntos porcentuales con relación al ejercicio anterior.</w:t>
      </w:r>
    </w:p>
    <w:p w:rsidR="00E23B86" w:rsidRDefault="00BA7C13">
      <w:pPr>
        <w:spacing w:after="3" w:line="265" w:lineRule="auto"/>
        <w:ind w:left="347" w:hanging="10"/>
      </w:pPr>
      <w:r>
        <w:rPr>
          <w:rFonts w:ascii="Arial" w:eastAsia="Arial" w:hAnsi="Arial" w:cs="Arial"/>
        </w:rPr>
        <w:t xml:space="preserve">3.- </w:t>
      </w:r>
      <w:r>
        <w:rPr>
          <w:rFonts w:ascii="Arial" w:eastAsia="Arial" w:hAnsi="Arial" w:cs="Arial"/>
          <w:i/>
        </w:rPr>
        <w:t xml:space="preserve">Gasto por Habitante </w:t>
      </w:r>
      <w:r>
        <w:rPr>
          <w:rFonts w:ascii="Arial" w:eastAsia="Arial" w:hAnsi="Arial" w:cs="Arial"/>
        </w:rPr>
        <w:t xml:space="preserve">= </w:t>
      </w:r>
      <w:r>
        <w:rPr>
          <w:rFonts w:ascii="Arial" w:eastAsia="Arial" w:hAnsi="Arial" w:cs="Arial"/>
          <w:u w:val="single" w:color="000000"/>
        </w:rPr>
        <w:t>Obligaciones Reconocidas Netas</w:t>
      </w:r>
      <w:r>
        <w:rPr>
          <w:rFonts w:ascii="Arial" w:eastAsia="Arial" w:hAnsi="Arial" w:cs="Arial"/>
        </w:rPr>
        <w:t xml:space="preserve"> =  </w:t>
      </w:r>
      <w:r>
        <w:rPr>
          <w:rFonts w:ascii="Arial" w:eastAsia="Arial" w:hAnsi="Arial" w:cs="Arial"/>
          <w:u w:val="single" w:color="000000"/>
        </w:rPr>
        <w:t xml:space="preserve">24.148.847,25  </w:t>
      </w:r>
      <w:r>
        <w:rPr>
          <w:rFonts w:ascii="Arial" w:eastAsia="Arial" w:hAnsi="Arial" w:cs="Arial"/>
        </w:rPr>
        <w:t>= 854,16</w:t>
      </w:r>
    </w:p>
    <w:p w:rsidR="00E23B86" w:rsidRDefault="00BA7C13">
      <w:pPr>
        <w:spacing w:after="10" w:line="248" w:lineRule="auto"/>
        <w:ind w:left="373" w:right="552" w:hanging="10"/>
        <w:jc w:val="both"/>
      </w:pPr>
      <w:r>
        <w:rPr>
          <w:rFonts w:ascii="Arial" w:eastAsia="Arial" w:hAnsi="Arial" w:cs="Arial"/>
        </w:rPr>
        <w:t>Euros/ Habitante</w:t>
      </w:r>
    </w:p>
    <w:p w:rsidR="00E23B86" w:rsidRDefault="00BA7C13">
      <w:pPr>
        <w:tabs>
          <w:tab w:val="center" w:pos="3733"/>
          <w:tab w:val="center" w:pos="6078"/>
        </w:tabs>
        <w:spacing w:after="234" w:line="265" w:lineRule="auto"/>
      </w:pPr>
      <w:r>
        <w:tab/>
      </w:r>
      <w:r>
        <w:rPr>
          <w:rFonts w:ascii="Arial" w:eastAsia="Arial" w:hAnsi="Arial" w:cs="Arial"/>
        </w:rPr>
        <w:t xml:space="preserve">          </w:t>
      </w:r>
      <w:r>
        <w:rPr>
          <w:rFonts w:ascii="Arial" w:eastAsia="Arial" w:hAnsi="Arial" w:cs="Arial"/>
        </w:rPr>
        <w:t xml:space="preserve">    Nº de Habitantes</w:t>
      </w:r>
      <w:r>
        <w:rPr>
          <w:rFonts w:ascii="Arial" w:eastAsia="Arial" w:hAnsi="Arial" w:cs="Arial"/>
        </w:rPr>
        <w:tab/>
        <w:t xml:space="preserve">              30.010</w:t>
      </w:r>
    </w:p>
    <w:p w:rsidR="00E23B86" w:rsidRDefault="00BA7C13">
      <w:pPr>
        <w:spacing w:after="243" w:line="248" w:lineRule="auto"/>
        <w:ind w:left="1070" w:right="552" w:hanging="10"/>
        <w:jc w:val="both"/>
      </w:pPr>
      <w:r>
        <w:rPr>
          <w:rFonts w:ascii="Arial" w:eastAsia="Arial" w:hAnsi="Arial" w:cs="Arial"/>
        </w:rPr>
        <w:t xml:space="preserve">Mejora en 26 Euros. </w:t>
      </w:r>
    </w:p>
    <w:p w:rsidR="00E23B86" w:rsidRDefault="00BA7C13">
      <w:pPr>
        <w:spacing w:after="3" w:line="265" w:lineRule="auto"/>
        <w:ind w:left="347" w:hanging="10"/>
      </w:pPr>
      <w:r>
        <w:rPr>
          <w:rFonts w:ascii="Arial" w:eastAsia="Arial" w:hAnsi="Arial" w:cs="Arial"/>
        </w:rPr>
        <w:t>4.-</w:t>
      </w:r>
      <w:r>
        <w:rPr>
          <w:rFonts w:ascii="Arial" w:eastAsia="Arial" w:hAnsi="Arial" w:cs="Arial"/>
          <w:i/>
        </w:rPr>
        <w:t xml:space="preserve">Inversión Habitante </w:t>
      </w:r>
      <w:r>
        <w:rPr>
          <w:rFonts w:ascii="Arial" w:eastAsia="Arial" w:hAnsi="Arial" w:cs="Arial"/>
        </w:rPr>
        <w:t xml:space="preserve">= </w:t>
      </w:r>
      <w:r>
        <w:rPr>
          <w:rFonts w:ascii="Arial" w:eastAsia="Arial" w:hAnsi="Arial" w:cs="Arial"/>
          <w:u w:val="single" w:color="000000"/>
        </w:rPr>
        <w:t>Oblig.Reconoc.Netas (Capítulos VI-VII)</w:t>
      </w:r>
      <w:r>
        <w:rPr>
          <w:rFonts w:ascii="Arial" w:eastAsia="Arial" w:hAnsi="Arial" w:cs="Arial"/>
        </w:rPr>
        <w:t>=</w:t>
      </w:r>
      <w:r>
        <w:rPr>
          <w:rFonts w:ascii="Arial" w:eastAsia="Arial" w:hAnsi="Arial" w:cs="Arial"/>
          <w:u w:val="single" w:color="000000"/>
        </w:rPr>
        <w:t>2.566.873,84</w:t>
      </w:r>
      <w:r>
        <w:rPr>
          <w:rFonts w:ascii="Arial" w:eastAsia="Arial" w:hAnsi="Arial" w:cs="Arial"/>
        </w:rPr>
        <w:t xml:space="preserve">= 90,79 </w:t>
      </w:r>
    </w:p>
    <w:p w:rsidR="00E23B86" w:rsidRDefault="00BA7C13">
      <w:pPr>
        <w:spacing w:after="245" w:line="248" w:lineRule="auto"/>
        <w:ind w:left="3199" w:right="1997" w:hanging="2836"/>
        <w:jc w:val="both"/>
      </w:pPr>
      <w:r>
        <w:rPr>
          <w:rFonts w:ascii="Arial" w:eastAsia="Arial" w:hAnsi="Arial" w:cs="Arial"/>
        </w:rPr>
        <w:t>Euros/Habitante             Nº de Habitantes                   30.010</w:t>
      </w:r>
    </w:p>
    <w:p w:rsidR="00E23B86" w:rsidRDefault="00BA7C13">
      <w:pPr>
        <w:spacing w:after="245" w:line="248" w:lineRule="auto"/>
        <w:ind w:left="363" w:right="552" w:firstLine="708"/>
        <w:jc w:val="both"/>
      </w:pPr>
      <w:r>
        <w:rPr>
          <w:rFonts w:ascii="Arial" w:eastAsia="Arial" w:hAnsi="Arial" w:cs="Arial"/>
        </w:rPr>
        <w:t>Nos muestra este índice de inversiones por habitante la cantidad invertida en operaciones por capital que ha de repercutir en la cantidad y calidad de las infraestructuras realizadas en el municipio. Hay un crecimiento de la inversión en 33 euros por habit</w:t>
      </w:r>
      <w:r>
        <w:rPr>
          <w:rFonts w:ascii="Arial" w:eastAsia="Arial" w:hAnsi="Arial" w:cs="Arial"/>
        </w:rPr>
        <w:t>ante.</w:t>
      </w:r>
    </w:p>
    <w:p w:rsidR="00E23B86" w:rsidRDefault="00BA7C13">
      <w:pPr>
        <w:spacing w:after="3" w:line="265" w:lineRule="auto"/>
        <w:ind w:left="347" w:hanging="10"/>
      </w:pPr>
      <w:r>
        <w:rPr>
          <w:rFonts w:ascii="Arial" w:eastAsia="Arial" w:hAnsi="Arial" w:cs="Arial"/>
        </w:rPr>
        <w:t>5.-</w:t>
      </w:r>
      <w:r>
        <w:rPr>
          <w:rFonts w:ascii="Arial" w:eastAsia="Arial" w:hAnsi="Arial" w:cs="Arial"/>
          <w:i/>
        </w:rPr>
        <w:t>Esfuerzo Inversor</w:t>
      </w:r>
      <w:r>
        <w:rPr>
          <w:rFonts w:ascii="Arial" w:eastAsia="Arial" w:hAnsi="Arial" w:cs="Arial"/>
        </w:rPr>
        <w:t xml:space="preserve"> = </w:t>
      </w:r>
      <w:r>
        <w:rPr>
          <w:rFonts w:ascii="Arial" w:eastAsia="Arial" w:hAnsi="Arial" w:cs="Arial"/>
          <w:u w:val="single" w:color="000000"/>
        </w:rPr>
        <w:t>Obligaciones Reconocidas Netas ( Capítulos VI y VII )</w:t>
      </w:r>
      <w:r>
        <w:rPr>
          <w:rFonts w:ascii="Arial" w:eastAsia="Arial" w:hAnsi="Arial" w:cs="Arial"/>
        </w:rPr>
        <w:t xml:space="preserve"> = </w:t>
      </w:r>
    </w:p>
    <w:p w:rsidR="00E23B86" w:rsidRDefault="00BA7C13">
      <w:pPr>
        <w:spacing w:after="3" w:line="265" w:lineRule="auto"/>
        <w:ind w:left="347" w:hanging="10"/>
      </w:pPr>
      <w:r>
        <w:rPr>
          <w:rFonts w:ascii="Arial" w:eastAsia="Arial" w:hAnsi="Arial" w:cs="Arial"/>
          <w:u w:val="single" w:color="000000"/>
        </w:rPr>
        <w:t>2.566.873,84</w:t>
      </w:r>
      <w:r>
        <w:rPr>
          <w:rFonts w:ascii="Arial" w:eastAsia="Arial" w:hAnsi="Arial" w:cs="Arial"/>
        </w:rPr>
        <w:t>= 11 %</w:t>
      </w:r>
    </w:p>
    <w:p w:rsidR="00E23B86" w:rsidRDefault="00BA7C13">
      <w:pPr>
        <w:tabs>
          <w:tab w:val="center" w:pos="4098"/>
          <w:tab w:val="center" w:pos="6024"/>
          <w:tab w:val="center" w:pos="7741"/>
        </w:tabs>
        <w:spacing w:after="234" w:line="265" w:lineRule="auto"/>
      </w:pPr>
      <w:r>
        <w:tab/>
      </w:r>
      <w:r>
        <w:rPr>
          <w:rFonts w:ascii="Arial" w:eastAsia="Arial" w:hAnsi="Arial" w:cs="Arial"/>
        </w:rPr>
        <w:t>Obligaciones Reconocidas Netas</w:t>
      </w:r>
      <w:r>
        <w:rPr>
          <w:rFonts w:ascii="Arial" w:eastAsia="Arial" w:hAnsi="Arial" w:cs="Arial"/>
        </w:rPr>
        <w:tab/>
        <w:t xml:space="preserve"> </w:t>
      </w:r>
      <w:r>
        <w:rPr>
          <w:rFonts w:ascii="Arial" w:eastAsia="Arial" w:hAnsi="Arial" w:cs="Arial"/>
        </w:rPr>
        <w:tab/>
        <w:t xml:space="preserve">          24.148.847,25 </w:t>
      </w:r>
    </w:p>
    <w:p w:rsidR="00E23B86" w:rsidRDefault="00BA7C13">
      <w:pPr>
        <w:spacing w:after="110" w:line="248" w:lineRule="auto"/>
        <w:ind w:left="1070" w:right="552" w:hanging="10"/>
        <w:jc w:val="both"/>
      </w:pPr>
      <w:r>
        <w:rPr>
          <w:rFonts w:ascii="Arial" w:eastAsia="Arial" w:hAnsi="Arial" w:cs="Arial"/>
        </w:rPr>
        <w:t xml:space="preserve">Sube cuatro puntos respecto el año anterior. </w:t>
      </w:r>
    </w:p>
    <w:p w:rsidR="00E23B86" w:rsidRDefault="00BA7C13">
      <w:pPr>
        <w:spacing w:after="245" w:line="248" w:lineRule="auto"/>
        <w:ind w:left="363" w:right="552" w:firstLine="708"/>
        <w:jc w:val="both"/>
      </w:pPr>
      <w:r>
        <w:rPr>
          <w:rFonts w:ascii="Arial" w:eastAsia="Arial" w:hAnsi="Arial" w:cs="Arial"/>
        </w:rPr>
        <w:t>Es un indicador de estructura que pone de mani</w:t>
      </w:r>
      <w:r>
        <w:rPr>
          <w:rFonts w:ascii="Arial" w:eastAsia="Arial" w:hAnsi="Arial" w:cs="Arial"/>
        </w:rPr>
        <w:t>fiesto el aumento del peso específico de los gastos de inversiones y transferencias de capital, con respecto al total de créditos gastados. Está vinculado con el indicador anterior.</w:t>
      </w:r>
    </w:p>
    <w:p w:rsidR="00E23B86" w:rsidRDefault="00BA7C13">
      <w:pPr>
        <w:spacing w:after="3" w:line="265" w:lineRule="auto"/>
        <w:ind w:left="347" w:hanging="10"/>
      </w:pPr>
      <w:r>
        <w:rPr>
          <w:rFonts w:ascii="Arial" w:eastAsia="Arial" w:hAnsi="Arial" w:cs="Arial"/>
        </w:rPr>
        <w:t>7.-</w:t>
      </w:r>
      <w:r>
        <w:rPr>
          <w:rFonts w:ascii="Arial" w:eastAsia="Arial" w:hAnsi="Arial" w:cs="Arial"/>
          <w:i/>
        </w:rPr>
        <w:t>Ejecución del Presupuesto de Ingresos</w:t>
      </w:r>
      <w:r>
        <w:rPr>
          <w:rFonts w:ascii="Arial" w:eastAsia="Arial" w:hAnsi="Arial" w:cs="Arial"/>
        </w:rPr>
        <w:t xml:space="preserve"> =  </w:t>
      </w:r>
      <w:r>
        <w:rPr>
          <w:rFonts w:ascii="Arial" w:eastAsia="Arial" w:hAnsi="Arial" w:cs="Arial"/>
          <w:u w:val="single" w:color="000000"/>
        </w:rPr>
        <w:t>Derechos Reconocidos Netos</w:t>
      </w:r>
      <w:r>
        <w:rPr>
          <w:rFonts w:ascii="Arial" w:eastAsia="Arial" w:hAnsi="Arial" w:cs="Arial"/>
        </w:rPr>
        <w:t xml:space="preserve"> = </w:t>
      </w:r>
      <w:r>
        <w:rPr>
          <w:rFonts w:ascii="Arial" w:eastAsia="Arial" w:hAnsi="Arial" w:cs="Arial"/>
          <w:u w:val="single" w:color="000000"/>
        </w:rPr>
        <w:t>29.595.138,66</w:t>
      </w:r>
      <w:r>
        <w:rPr>
          <w:rFonts w:ascii="Arial" w:eastAsia="Arial" w:hAnsi="Arial" w:cs="Arial"/>
        </w:rPr>
        <w:t>= 86 %</w:t>
      </w:r>
    </w:p>
    <w:p w:rsidR="00E23B86" w:rsidRDefault="00BA7C13">
      <w:pPr>
        <w:spacing w:after="10" w:line="248" w:lineRule="auto"/>
        <w:ind w:left="3906" w:right="552" w:hanging="10"/>
        <w:jc w:val="both"/>
      </w:pPr>
      <w:r>
        <w:rPr>
          <w:rFonts w:ascii="Arial" w:eastAsia="Arial" w:hAnsi="Arial" w:cs="Arial"/>
        </w:rPr>
        <w:t xml:space="preserve">       Previsiones Definitivas                 </w:t>
      </w:r>
    </w:p>
    <w:p w:rsidR="00E23B86" w:rsidRDefault="00BA7C13">
      <w:pPr>
        <w:spacing w:after="495" w:line="248" w:lineRule="auto"/>
        <w:ind w:left="373" w:right="552" w:hanging="10"/>
        <w:jc w:val="both"/>
      </w:pPr>
      <w:r>
        <w:rPr>
          <w:rFonts w:ascii="Arial" w:eastAsia="Arial" w:hAnsi="Arial" w:cs="Arial"/>
        </w:rPr>
        <w:t>34.577.999,21</w:t>
      </w:r>
    </w:p>
    <w:p w:rsidR="00E23B86" w:rsidRDefault="00BA7C13">
      <w:pPr>
        <w:spacing w:after="497" w:line="248" w:lineRule="auto"/>
        <w:ind w:left="363" w:right="552" w:firstLine="708"/>
        <w:jc w:val="both"/>
      </w:pPr>
      <w:r>
        <w:rPr>
          <w:rFonts w:ascii="Arial" w:eastAsia="Arial" w:hAnsi="Arial" w:cs="Arial"/>
        </w:rPr>
        <w:t>Sube tres puntos en relación con el ejercicio anterior. No obstante, si quitásemos el efecto del remanente de tesorería que se imputa en el capítulo ocho de ingresos y que por su naturaleza no da lugar a derechos reconocidos y liquidados, este indicador de</w:t>
      </w:r>
      <w:r>
        <w:rPr>
          <w:rFonts w:ascii="Arial" w:eastAsia="Arial" w:hAnsi="Arial" w:cs="Arial"/>
        </w:rPr>
        <w:t xml:space="preserve"> ejecución ascendería alrededor del 100 %.</w:t>
      </w:r>
    </w:p>
    <w:p w:rsidR="00E23B86" w:rsidRDefault="00BA7C13">
      <w:pPr>
        <w:spacing w:after="3" w:line="265" w:lineRule="auto"/>
        <w:ind w:left="347" w:hanging="10"/>
      </w:pPr>
      <w:r>
        <w:rPr>
          <w:rFonts w:ascii="Arial" w:eastAsia="Arial" w:hAnsi="Arial" w:cs="Arial"/>
        </w:rPr>
        <w:t xml:space="preserve">8.- </w:t>
      </w:r>
      <w:r>
        <w:rPr>
          <w:rFonts w:ascii="Arial" w:eastAsia="Arial" w:hAnsi="Arial" w:cs="Arial"/>
          <w:i/>
        </w:rPr>
        <w:t>Realización de Cobros</w:t>
      </w:r>
      <w:r>
        <w:rPr>
          <w:rFonts w:ascii="Arial" w:eastAsia="Arial" w:hAnsi="Arial" w:cs="Arial"/>
        </w:rPr>
        <w:t xml:space="preserve"> =                  </w:t>
      </w:r>
      <w:r>
        <w:rPr>
          <w:rFonts w:ascii="Arial" w:eastAsia="Arial" w:hAnsi="Arial" w:cs="Arial"/>
          <w:u w:val="single" w:color="000000"/>
        </w:rPr>
        <w:t xml:space="preserve">Recaudación Neta               </w:t>
      </w:r>
      <w:r>
        <w:rPr>
          <w:rFonts w:ascii="Arial" w:eastAsia="Arial" w:hAnsi="Arial" w:cs="Arial"/>
        </w:rPr>
        <w:t xml:space="preserve">= </w:t>
      </w:r>
      <w:r>
        <w:rPr>
          <w:rFonts w:ascii="Arial" w:eastAsia="Arial" w:hAnsi="Arial" w:cs="Arial"/>
          <w:u w:val="single" w:color="000000"/>
        </w:rPr>
        <w:t>28.926.571,08</w:t>
      </w:r>
      <w:r>
        <w:rPr>
          <w:rFonts w:ascii="Arial" w:eastAsia="Arial" w:hAnsi="Arial" w:cs="Arial"/>
        </w:rPr>
        <w:t xml:space="preserve">= </w:t>
      </w:r>
    </w:p>
    <w:p w:rsidR="00E23B86" w:rsidRDefault="00BA7C13">
      <w:pPr>
        <w:spacing w:after="10" w:line="248" w:lineRule="auto"/>
        <w:ind w:left="373" w:right="552" w:hanging="10"/>
        <w:jc w:val="both"/>
      </w:pPr>
      <w:r>
        <w:rPr>
          <w:rFonts w:ascii="Arial" w:eastAsia="Arial" w:hAnsi="Arial" w:cs="Arial"/>
        </w:rPr>
        <w:t>98 %</w:t>
      </w:r>
    </w:p>
    <w:p w:rsidR="00E23B86" w:rsidRDefault="00BA7C13">
      <w:pPr>
        <w:spacing w:after="497" w:line="248" w:lineRule="auto"/>
        <w:ind w:left="3198" w:right="552" w:hanging="10"/>
        <w:jc w:val="both"/>
      </w:pPr>
      <w:r>
        <w:rPr>
          <w:rFonts w:ascii="Arial" w:eastAsia="Arial" w:hAnsi="Arial" w:cs="Arial"/>
        </w:rPr>
        <w:t>Derechos Reconocidos Netos            29.595.138,66</w:t>
      </w:r>
    </w:p>
    <w:p w:rsidR="00E23B86" w:rsidRDefault="00BA7C13">
      <w:pPr>
        <w:spacing w:after="245" w:line="248" w:lineRule="auto"/>
        <w:ind w:left="363" w:right="552" w:firstLine="708"/>
        <w:jc w:val="both"/>
      </w:pPr>
      <w:r>
        <w:rPr>
          <w:rFonts w:ascii="Arial" w:eastAsia="Arial" w:hAnsi="Arial" w:cs="Arial"/>
        </w:rPr>
        <w:t>Este indicador mide la capacidad de la Entidad Local para tran</w:t>
      </w:r>
      <w:r>
        <w:rPr>
          <w:rFonts w:ascii="Arial" w:eastAsia="Arial" w:hAnsi="Arial" w:cs="Arial"/>
        </w:rPr>
        <w:t>sformar en liquidez los derechos de cobro liquidados y vencidos, es decir, el ritmo de cobro. Mejora un punto respecto el ejercicio 2018, este ratio.</w:t>
      </w:r>
    </w:p>
    <w:p w:rsidR="00E23B86" w:rsidRDefault="00BA7C13">
      <w:pPr>
        <w:spacing w:after="499" w:line="248" w:lineRule="auto"/>
        <w:ind w:left="363" w:right="552" w:firstLine="708"/>
        <w:jc w:val="both"/>
      </w:pPr>
      <w:r>
        <w:rPr>
          <w:noProof/>
        </w:rPr>
        <mc:AlternateContent>
          <mc:Choice Requires="wpg">
            <w:drawing>
              <wp:anchor distT="0" distB="0" distL="114300" distR="114300" simplePos="0" relativeHeight="2517022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8219" name="Group 47821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133" name="Rectangle 1213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2134" name="Rectangle 1213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w:t>
                              </w:r>
                              <w:r>
                                <w:rPr>
                                  <w:rFonts w:ascii="Arial" w:eastAsia="Arial" w:hAnsi="Arial" w:cs="Arial"/>
                                  <w:sz w:val="12"/>
                                </w:rPr>
                                <w:t xml:space="preserve">umento firmado electrónicamente desde la plataforma esPublico Gestiona | Página 43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8219" style="width:12.7031pt;height:280.35pt;position:absolute;mso-position-horizontal-relative:page;mso-position-horizontal:absolute;margin-left:681.958pt;mso-position-vertical-relative:page;margin-top:531.65pt;" coordsize="1613,35604">
                <v:rect id="Rectangle 1213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13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391 </w:t>
                        </w:r>
                      </w:p>
                    </w:txbxContent>
                  </v:textbox>
                </v:rect>
                <w10:wrap type="square"/>
              </v:group>
            </w:pict>
          </mc:Fallback>
        </mc:AlternateContent>
      </w:r>
      <w:r>
        <w:rPr>
          <w:rFonts w:ascii="Arial" w:eastAsia="Arial" w:hAnsi="Arial" w:cs="Arial"/>
        </w:rPr>
        <w:t>No obstante, se ha generado una muy buena conversión en liquidez de los derechos de cobro liquidados.</w:t>
      </w:r>
    </w:p>
    <w:p w:rsidR="00E23B86" w:rsidRDefault="00BA7C13">
      <w:pPr>
        <w:spacing w:after="3" w:line="265" w:lineRule="auto"/>
        <w:ind w:left="347" w:hanging="10"/>
      </w:pPr>
      <w:r>
        <w:rPr>
          <w:rFonts w:ascii="Arial" w:eastAsia="Arial" w:hAnsi="Arial" w:cs="Arial"/>
        </w:rPr>
        <w:t xml:space="preserve">9.- </w:t>
      </w:r>
      <w:r>
        <w:rPr>
          <w:rFonts w:ascii="Arial" w:eastAsia="Arial" w:hAnsi="Arial" w:cs="Arial"/>
          <w:i/>
        </w:rPr>
        <w:t>Autonomía</w:t>
      </w:r>
      <w:r>
        <w:rPr>
          <w:rFonts w:ascii="Arial" w:eastAsia="Arial" w:hAnsi="Arial" w:cs="Arial"/>
        </w:rPr>
        <w:t xml:space="preserve"> = </w:t>
      </w:r>
      <w:r>
        <w:rPr>
          <w:rFonts w:ascii="Arial" w:eastAsia="Arial" w:hAnsi="Arial" w:cs="Arial"/>
          <w:u w:val="single" w:color="000000"/>
        </w:rPr>
        <w:t>Derechos Reconocidos Netos ( Capítulos I al VII</w:t>
      </w:r>
      <w:r>
        <w:rPr>
          <w:rFonts w:ascii="Arial" w:eastAsia="Arial" w:hAnsi="Arial" w:cs="Arial"/>
          <w:u w:val="single" w:color="000000"/>
        </w:rPr>
        <w:t>I)</w:t>
      </w:r>
      <w:r>
        <w:rPr>
          <w:rFonts w:ascii="Arial" w:eastAsia="Arial" w:hAnsi="Arial" w:cs="Arial"/>
        </w:rPr>
        <w:t xml:space="preserve">= </w:t>
      </w:r>
      <w:r>
        <w:rPr>
          <w:rFonts w:ascii="Arial" w:eastAsia="Arial" w:hAnsi="Arial" w:cs="Arial"/>
          <w:u w:val="single" w:color="000000"/>
        </w:rPr>
        <w:t>23.664.256,78</w:t>
      </w:r>
      <w:r>
        <w:rPr>
          <w:rFonts w:ascii="Arial" w:eastAsia="Arial" w:hAnsi="Arial" w:cs="Arial"/>
        </w:rPr>
        <w:t xml:space="preserve">= </w:t>
      </w:r>
    </w:p>
    <w:p w:rsidR="00E23B86" w:rsidRDefault="00BA7C13">
      <w:pPr>
        <w:spacing w:after="10" w:line="248" w:lineRule="auto"/>
        <w:ind w:left="373" w:right="552" w:hanging="10"/>
        <w:jc w:val="both"/>
      </w:pPr>
      <w:r>
        <w:rPr>
          <w:rFonts w:ascii="Arial" w:eastAsia="Arial" w:hAnsi="Arial" w:cs="Arial"/>
        </w:rPr>
        <w:t>80 %</w:t>
      </w:r>
    </w:p>
    <w:p w:rsidR="00E23B86" w:rsidRDefault="00BA7C13">
      <w:pPr>
        <w:spacing w:after="243" w:line="248" w:lineRule="auto"/>
        <w:ind w:left="1780" w:right="552" w:hanging="10"/>
        <w:jc w:val="both"/>
      </w:pPr>
      <w:r>
        <w:rPr>
          <w:rFonts w:ascii="Arial" w:eastAsia="Arial" w:hAnsi="Arial" w:cs="Arial"/>
        </w:rPr>
        <w:t xml:space="preserve">                 Derechos Reconocidos Netos Totales        29.595.138,66</w:t>
      </w:r>
    </w:p>
    <w:p w:rsidR="00E23B86" w:rsidRDefault="00BA7C13">
      <w:pPr>
        <w:spacing w:after="245" w:line="248" w:lineRule="auto"/>
        <w:ind w:left="363" w:right="552" w:firstLine="708"/>
        <w:jc w:val="both"/>
      </w:pPr>
      <w:r>
        <w:rPr>
          <w:rFonts w:ascii="Arial" w:eastAsia="Arial" w:hAnsi="Arial" w:cs="Arial"/>
        </w:rPr>
        <w:t xml:space="preserve">Este ratio refleja la autonomía del Ayuntamiento en materia de ingresos propios y transferidos de otros entes públicos o privados o través de préstamos bancarios. No puede compararse con el correspondiente al ejercicio anterior, ya que en este año incluye </w:t>
      </w:r>
      <w:r>
        <w:rPr>
          <w:rFonts w:ascii="Arial" w:eastAsia="Arial" w:hAnsi="Arial" w:cs="Arial"/>
        </w:rPr>
        <w:t>las transferencias obtenidas, a diferencia del ejercicio precedente.</w:t>
      </w:r>
    </w:p>
    <w:p w:rsidR="00E23B86" w:rsidRDefault="00BA7C13">
      <w:pPr>
        <w:spacing w:after="245" w:line="248" w:lineRule="auto"/>
        <w:ind w:left="363" w:right="552" w:firstLine="708"/>
        <w:jc w:val="both"/>
      </w:pPr>
      <w:r>
        <w:rPr>
          <w:rFonts w:ascii="Arial" w:eastAsia="Arial" w:hAnsi="Arial" w:cs="Arial"/>
        </w:rPr>
        <w:t>Se pone de manifiesto la alta dependencia de fondos propios para el cumplimiento de los servicios que presta el Ayuntamiento. Cae un punto.</w:t>
      </w:r>
    </w:p>
    <w:p w:rsidR="00E23B86" w:rsidRDefault="00BA7C13">
      <w:pPr>
        <w:spacing w:after="3" w:line="265" w:lineRule="auto"/>
        <w:ind w:left="347" w:hanging="10"/>
      </w:pPr>
      <w:r>
        <w:rPr>
          <w:rFonts w:ascii="Arial" w:eastAsia="Arial" w:hAnsi="Arial" w:cs="Arial"/>
        </w:rPr>
        <w:t xml:space="preserve">10.- </w:t>
      </w:r>
      <w:r>
        <w:rPr>
          <w:rFonts w:ascii="Arial" w:eastAsia="Arial" w:hAnsi="Arial" w:cs="Arial"/>
          <w:i/>
        </w:rPr>
        <w:t xml:space="preserve">Autonomía Fiscal = </w:t>
      </w:r>
      <w:r>
        <w:rPr>
          <w:rFonts w:ascii="Arial" w:eastAsia="Arial" w:hAnsi="Arial" w:cs="Arial"/>
          <w:u w:val="single" w:color="000000"/>
        </w:rPr>
        <w:t>Derechos Reconocidos Ne</w:t>
      </w:r>
      <w:r>
        <w:rPr>
          <w:rFonts w:ascii="Arial" w:eastAsia="Arial" w:hAnsi="Arial" w:cs="Arial"/>
          <w:u w:val="single" w:color="000000"/>
        </w:rPr>
        <w:t xml:space="preserve">tos ( Capítulos I, II y III ) </w:t>
      </w:r>
      <w:r>
        <w:rPr>
          <w:rFonts w:ascii="Arial" w:eastAsia="Arial" w:hAnsi="Arial" w:cs="Arial"/>
        </w:rPr>
        <w:t xml:space="preserve">= </w:t>
      </w:r>
    </w:p>
    <w:p w:rsidR="00E23B86" w:rsidRDefault="00BA7C13">
      <w:pPr>
        <w:spacing w:after="3" w:line="265" w:lineRule="auto"/>
        <w:ind w:left="347" w:hanging="10"/>
      </w:pPr>
      <w:r>
        <w:rPr>
          <w:rFonts w:ascii="Arial" w:eastAsia="Arial" w:hAnsi="Arial" w:cs="Arial"/>
          <w:u w:val="single" w:color="000000"/>
        </w:rPr>
        <w:t>15.262.635,30</w:t>
      </w:r>
      <w:r>
        <w:rPr>
          <w:rFonts w:ascii="Arial" w:eastAsia="Arial" w:hAnsi="Arial" w:cs="Arial"/>
        </w:rPr>
        <w:t>= 52 %</w:t>
      </w:r>
    </w:p>
    <w:p w:rsidR="00E23B86" w:rsidRDefault="00BA7C13">
      <w:pPr>
        <w:spacing w:after="227" w:line="265" w:lineRule="auto"/>
        <w:ind w:left="10" w:right="659" w:hanging="10"/>
        <w:jc w:val="right"/>
      </w:pPr>
      <w:r>
        <w:rPr>
          <w:rFonts w:ascii="Arial" w:eastAsia="Arial" w:hAnsi="Arial" w:cs="Arial"/>
        </w:rPr>
        <w:t xml:space="preserve">                   Derechos Reconocidos Netos Totales          29.595.138,66</w:t>
      </w:r>
    </w:p>
    <w:p w:rsidR="00E23B86" w:rsidRDefault="00BA7C13">
      <w:pPr>
        <w:spacing w:after="495" w:line="248" w:lineRule="auto"/>
        <w:ind w:left="1070" w:right="552" w:hanging="10"/>
        <w:jc w:val="both"/>
      </w:pPr>
      <w:r>
        <w:rPr>
          <w:rFonts w:ascii="Arial" w:eastAsia="Arial" w:hAnsi="Arial" w:cs="Arial"/>
        </w:rPr>
        <w:t xml:space="preserve">Cae la autonomía fiscal del Ayuntamiento en dos puntos. </w:t>
      </w:r>
    </w:p>
    <w:p w:rsidR="00E23B86" w:rsidRDefault="00BA7C13">
      <w:pPr>
        <w:tabs>
          <w:tab w:val="center" w:pos="1701"/>
          <w:tab w:val="center" w:pos="3195"/>
          <w:tab w:val="center" w:pos="3918"/>
          <w:tab w:val="center" w:pos="4579"/>
          <w:tab w:val="center" w:pos="5879"/>
          <w:tab w:val="center" w:pos="7118"/>
          <w:tab w:val="center" w:pos="8268"/>
        </w:tabs>
        <w:spacing w:after="0" w:line="265" w:lineRule="auto"/>
      </w:pPr>
      <w:r>
        <w:tab/>
      </w:r>
      <w:r>
        <w:rPr>
          <w:rFonts w:ascii="Arial" w:eastAsia="Arial" w:hAnsi="Arial" w:cs="Arial"/>
        </w:rPr>
        <w:t>11.-Superávit/Déficit</w:t>
      </w:r>
      <w:r>
        <w:rPr>
          <w:rFonts w:ascii="Arial" w:eastAsia="Arial" w:hAnsi="Arial" w:cs="Arial"/>
        </w:rPr>
        <w:tab/>
        <w:t xml:space="preserve"> </w:t>
      </w:r>
      <w:r>
        <w:rPr>
          <w:rFonts w:ascii="Arial" w:eastAsia="Arial" w:hAnsi="Arial" w:cs="Arial"/>
        </w:rPr>
        <w:tab/>
        <w:t>por</w:t>
      </w:r>
      <w:r>
        <w:rPr>
          <w:rFonts w:ascii="Arial" w:eastAsia="Arial" w:hAnsi="Arial" w:cs="Arial"/>
        </w:rPr>
        <w:tab/>
        <w:t xml:space="preserve"> </w:t>
      </w:r>
      <w:r>
        <w:rPr>
          <w:rFonts w:ascii="Arial" w:eastAsia="Arial" w:hAnsi="Arial" w:cs="Arial"/>
        </w:rPr>
        <w:tab/>
        <w:t>Habitante=</w:t>
      </w:r>
      <w:r>
        <w:rPr>
          <w:rFonts w:ascii="Arial" w:eastAsia="Arial" w:hAnsi="Arial" w:cs="Arial"/>
          <w:u w:val="single" w:color="000000"/>
        </w:rPr>
        <w:t>Rdo</w:t>
      </w:r>
      <w:r>
        <w:rPr>
          <w:rFonts w:ascii="Arial" w:eastAsia="Arial" w:hAnsi="Arial" w:cs="Arial"/>
          <w:u w:val="single" w:color="000000"/>
        </w:rPr>
        <w:tab/>
        <w:t xml:space="preserve"> </w:t>
      </w:r>
      <w:r>
        <w:rPr>
          <w:rFonts w:ascii="Arial" w:eastAsia="Arial" w:hAnsi="Arial" w:cs="Arial"/>
          <w:u w:val="single" w:color="000000"/>
        </w:rPr>
        <w:tab/>
        <w:t>Presupuest.</w:t>
      </w:r>
    </w:p>
    <w:p w:rsidR="00E23B86" w:rsidRDefault="00BA7C13">
      <w:pPr>
        <w:spacing w:after="10" w:line="248" w:lineRule="auto"/>
        <w:ind w:left="373" w:right="552" w:hanging="10"/>
        <w:jc w:val="both"/>
      </w:pPr>
      <w:r>
        <w:rPr>
          <w:rFonts w:ascii="Arial" w:eastAsia="Arial" w:hAnsi="Arial" w:cs="Arial"/>
          <w:u w:val="single" w:color="000000"/>
        </w:rPr>
        <w:t>Ajustado</w:t>
      </w:r>
      <w:r>
        <w:rPr>
          <w:rFonts w:ascii="Arial" w:eastAsia="Arial" w:hAnsi="Arial" w:cs="Arial"/>
        </w:rPr>
        <w:t>=</w:t>
      </w:r>
      <w:r>
        <w:rPr>
          <w:rFonts w:ascii="Arial" w:eastAsia="Arial" w:hAnsi="Arial" w:cs="Arial"/>
          <w:u w:val="single" w:color="000000"/>
        </w:rPr>
        <w:t>6</w:t>
      </w:r>
      <w:r>
        <w:rPr>
          <w:rFonts w:ascii="Arial" w:eastAsia="Arial" w:hAnsi="Arial" w:cs="Arial"/>
          <w:u w:val="single" w:color="000000"/>
        </w:rPr>
        <w:t>.485.304,29</w:t>
      </w:r>
      <w:r>
        <w:rPr>
          <w:rFonts w:ascii="Arial" w:eastAsia="Arial" w:hAnsi="Arial" w:cs="Arial"/>
        </w:rPr>
        <w:t>=216,1075,04 Euros/Habitante</w:t>
      </w:r>
    </w:p>
    <w:p w:rsidR="00E23B86" w:rsidRDefault="00BA7C13">
      <w:pPr>
        <w:spacing w:after="110" w:line="248" w:lineRule="auto"/>
        <w:ind w:left="3198" w:right="552" w:hanging="10"/>
        <w:jc w:val="both"/>
      </w:pPr>
      <w:r>
        <w:rPr>
          <w:rFonts w:ascii="Arial" w:eastAsia="Arial" w:hAnsi="Arial" w:cs="Arial"/>
        </w:rPr>
        <w:t xml:space="preserve">                 Nº de Habitantes         30.010</w:t>
      </w:r>
    </w:p>
    <w:p w:rsidR="00E23B86" w:rsidRDefault="00BA7C13">
      <w:pPr>
        <w:spacing w:after="497" w:line="248" w:lineRule="auto"/>
        <w:ind w:left="363" w:right="552" w:firstLine="708"/>
        <w:jc w:val="both"/>
      </w:pPr>
      <w:r>
        <w:rPr>
          <w:rFonts w:ascii="Arial" w:eastAsia="Arial" w:hAnsi="Arial" w:cs="Arial"/>
        </w:rPr>
        <w:t xml:space="preserve">Ha aumentado el superávit por habitante en más de 141 Euros. Los ingresos presupuestarios han sido suficientes para dar cobertura a los gastos presupuestarios que ha motivado capacidad de financiación, constituyendo un indicador de solvencia financiera de </w:t>
      </w:r>
      <w:r>
        <w:rPr>
          <w:rFonts w:ascii="Arial" w:eastAsia="Arial" w:hAnsi="Arial" w:cs="Arial"/>
        </w:rPr>
        <w:t>la Entidad Local.</w:t>
      </w:r>
    </w:p>
    <w:p w:rsidR="00E23B86" w:rsidRDefault="00BA7C13">
      <w:pPr>
        <w:spacing w:after="243" w:line="249" w:lineRule="auto"/>
        <w:ind w:left="1070" w:right="566" w:hanging="10"/>
        <w:jc w:val="both"/>
      </w:pPr>
      <w:r>
        <w:rPr>
          <w:rFonts w:ascii="Arial" w:eastAsia="Arial" w:hAnsi="Arial" w:cs="Arial"/>
          <w:b/>
          <w:i/>
        </w:rPr>
        <w:t>B) Ejercicio Cerrado</w:t>
      </w:r>
    </w:p>
    <w:p w:rsidR="00E23B86" w:rsidRDefault="00BA7C13">
      <w:pPr>
        <w:spacing w:after="0" w:line="265" w:lineRule="auto"/>
        <w:ind w:left="10" w:right="551" w:hanging="10"/>
        <w:jc w:val="right"/>
      </w:pPr>
      <w:r>
        <w:rPr>
          <w:rFonts w:ascii="Arial" w:eastAsia="Arial" w:hAnsi="Arial" w:cs="Arial"/>
        </w:rPr>
        <w:t xml:space="preserve">1.- Realización de Pagos =            </w:t>
      </w:r>
      <w:r>
        <w:rPr>
          <w:rFonts w:ascii="Arial" w:eastAsia="Arial" w:hAnsi="Arial" w:cs="Arial"/>
          <w:u w:val="single" w:color="000000"/>
        </w:rPr>
        <w:t xml:space="preserve">Pagos                        </w:t>
      </w:r>
      <w:r>
        <w:rPr>
          <w:rFonts w:ascii="Arial" w:eastAsia="Arial" w:hAnsi="Arial" w:cs="Arial"/>
        </w:rPr>
        <w:t xml:space="preserve">                   =  </w:t>
      </w:r>
      <w:r>
        <w:rPr>
          <w:rFonts w:ascii="Arial" w:eastAsia="Arial" w:hAnsi="Arial" w:cs="Arial"/>
          <w:u w:val="single" w:color="000000"/>
        </w:rPr>
        <w:t>702.628,13</w:t>
      </w:r>
      <w:r>
        <w:rPr>
          <w:rFonts w:ascii="Arial" w:eastAsia="Arial" w:hAnsi="Arial" w:cs="Arial"/>
        </w:rPr>
        <w:t>=</w:t>
      </w:r>
    </w:p>
    <w:p w:rsidR="00E23B86" w:rsidRDefault="00BA7C13">
      <w:pPr>
        <w:spacing w:after="10" w:line="248" w:lineRule="auto"/>
        <w:ind w:left="373" w:right="552" w:hanging="10"/>
        <w:jc w:val="both"/>
      </w:pPr>
      <w:r>
        <w:rPr>
          <w:rFonts w:ascii="Arial" w:eastAsia="Arial" w:hAnsi="Arial" w:cs="Arial"/>
        </w:rPr>
        <w:t>60 %</w:t>
      </w:r>
    </w:p>
    <w:p w:rsidR="00E23B86" w:rsidRDefault="00BA7C13">
      <w:pPr>
        <w:spacing w:after="227" w:line="265" w:lineRule="auto"/>
        <w:ind w:left="10" w:right="807" w:hanging="10"/>
        <w:jc w:val="right"/>
      </w:pPr>
      <w:r>
        <w:rPr>
          <w:rFonts w:ascii="Arial" w:eastAsia="Arial" w:hAnsi="Arial" w:cs="Arial"/>
        </w:rPr>
        <w:t xml:space="preserve">        Saldo Inicial Obligaciones                              1.179.079,83</w:t>
      </w:r>
    </w:p>
    <w:p w:rsidR="00E23B86" w:rsidRDefault="00BA7C13">
      <w:pPr>
        <w:spacing w:after="497" w:line="248" w:lineRule="auto"/>
        <w:ind w:left="1070" w:right="552" w:hanging="10"/>
        <w:jc w:val="both"/>
      </w:pPr>
      <w:r>
        <w:rPr>
          <w:rFonts w:ascii="Arial" w:eastAsia="Arial" w:hAnsi="Arial" w:cs="Arial"/>
        </w:rPr>
        <w:t>Sube 22 puntos respecto en el 2018.</w:t>
      </w:r>
    </w:p>
    <w:p w:rsidR="00E23B86" w:rsidRDefault="00BA7C13">
      <w:pPr>
        <w:tabs>
          <w:tab w:val="center" w:pos="2072"/>
          <w:tab w:val="center" w:pos="6730"/>
        </w:tabs>
        <w:spacing w:after="0" w:line="265" w:lineRule="auto"/>
      </w:pPr>
      <w:r>
        <w:tab/>
      </w:r>
      <w:r>
        <w:rPr>
          <w:rFonts w:ascii="Arial" w:eastAsia="Arial" w:hAnsi="Arial" w:cs="Arial"/>
        </w:rPr>
        <w:t xml:space="preserve">2.- Realización de Cobros =           </w:t>
      </w:r>
      <w:r>
        <w:rPr>
          <w:rFonts w:ascii="Arial" w:eastAsia="Arial" w:hAnsi="Arial" w:cs="Arial"/>
        </w:rPr>
        <w:tab/>
        <w:t xml:space="preserve"> </w:t>
      </w:r>
      <w:r>
        <w:rPr>
          <w:rFonts w:ascii="Arial" w:eastAsia="Arial" w:hAnsi="Arial" w:cs="Arial"/>
          <w:u w:val="single" w:color="000000"/>
        </w:rPr>
        <w:t>Cobros</w:t>
      </w:r>
      <w:r>
        <w:rPr>
          <w:rFonts w:ascii="Arial" w:eastAsia="Arial" w:hAnsi="Arial" w:cs="Arial"/>
        </w:rPr>
        <w:t xml:space="preserve">                                   = </w:t>
      </w:r>
      <w:r>
        <w:rPr>
          <w:rFonts w:ascii="Arial" w:eastAsia="Arial" w:hAnsi="Arial" w:cs="Arial"/>
          <w:u w:val="single" w:color="000000"/>
        </w:rPr>
        <w:t>556.026,68</w:t>
      </w:r>
    </w:p>
    <w:p w:rsidR="00E23B86" w:rsidRDefault="00BA7C13">
      <w:pPr>
        <w:spacing w:after="10" w:line="248" w:lineRule="auto"/>
        <w:ind w:left="373" w:right="552" w:hanging="10"/>
        <w:jc w:val="both"/>
      </w:pPr>
      <w:r>
        <w:rPr>
          <w:rFonts w:ascii="Arial" w:eastAsia="Arial" w:hAnsi="Arial" w:cs="Arial"/>
        </w:rPr>
        <w:t>= 5 %</w:t>
      </w:r>
    </w:p>
    <w:p w:rsidR="00E23B86" w:rsidRDefault="00BA7C13">
      <w:pPr>
        <w:spacing w:after="479" w:line="265" w:lineRule="auto"/>
        <w:ind w:left="10" w:right="1036" w:hanging="10"/>
        <w:jc w:val="right"/>
      </w:pPr>
      <w:r>
        <w:rPr>
          <w:rFonts w:ascii="Arial" w:eastAsia="Arial" w:hAnsi="Arial" w:cs="Arial"/>
        </w:rPr>
        <w:t>Saldo Inicial Derechos                          10.742.163,71</w:t>
      </w:r>
    </w:p>
    <w:p w:rsidR="00E23B86" w:rsidRDefault="00BA7C13">
      <w:pPr>
        <w:spacing w:after="243" w:line="248" w:lineRule="auto"/>
        <w:ind w:left="1070" w:right="552" w:hanging="10"/>
        <w:jc w:val="both"/>
      </w:pPr>
      <w:r>
        <w:rPr>
          <w:rFonts w:ascii="Arial" w:eastAsia="Arial" w:hAnsi="Arial" w:cs="Arial"/>
        </w:rPr>
        <w:t>Cae un punto porcentual.</w:t>
      </w:r>
    </w:p>
    <w:p w:rsidR="00E23B86" w:rsidRDefault="00BA7C13">
      <w:pPr>
        <w:spacing w:after="245" w:line="248" w:lineRule="auto"/>
        <w:ind w:left="363" w:right="552" w:firstLine="708"/>
        <w:jc w:val="both"/>
      </w:pPr>
      <w:r>
        <w:rPr>
          <w:rFonts w:ascii="Arial" w:eastAsia="Arial" w:hAnsi="Arial" w:cs="Arial"/>
        </w:rPr>
        <w:t>Del examen de estos indicadores financieros y presupuestarios, se puede extraer que han mejorado los ratios vinculados al gasto y a los ingresos, por el mayor ritmo en la ejecución de los mismos, y los ratios vinculados a la liquidez.</w:t>
      </w:r>
    </w:p>
    <w:p w:rsidR="00E23B86" w:rsidRDefault="00BA7C13">
      <w:pPr>
        <w:spacing w:after="617" w:line="248" w:lineRule="auto"/>
        <w:ind w:left="708" w:right="552" w:firstLine="352"/>
        <w:jc w:val="both"/>
      </w:pPr>
      <w:r>
        <w:rPr>
          <w:noProof/>
        </w:rPr>
        <mc:AlternateContent>
          <mc:Choice Requires="wpg">
            <w:drawing>
              <wp:anchor distT="0" distB="0" distL="114300" distR="114300" simplePos="0" relativeHeight="2517032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8671" name="Group 47867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224" name="Rectangle 1222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w:t>
                              </w:r>
                              <w:r>
                                <w:rPr>
                                  <w:rFonts w:ascii="Arial" w:eastAsia="Arial" w:hAnsi="Arial" w:cs="Arial"/>
                                  <w:sz w:val="12"/>
                                </w:rPr>
                                <w:t xml:space="preserve">AJ7C4GAAK3P9GMGZC2N3FZWC | Verificación: https://candelaria.sedelectronica.es/ </w:t>
                              </w:r>
                            </w:p>
                          </w:txbxContent>
                        </wps:txbx>
                        <wps:bodyPr horzOverflow="overflow" vert="horz" lIns="0" tIns="0" rIns="0" bIns="0" rtlCol="0">
                          <a:noAutofit/>
                        </wps:bodyPr>
                      </wps:wsp>
                      <wps:wsp>
                        <wps:cNvPr id="12225" name="Rectangle 12225"/>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44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8671" style="width:12.7031pt;height:280.35pt;position:absolute;mso-position-horizontal-relative:page;mso-position-horizontal:absolute;margin-left:681.958pt;mso-position-vertical-relative:page;margin-top:531.65pt;" coordsize="1613,35604">
                <v:rect id="Rectangle 1222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225"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391 </w:t>
                        </w:r>
                      </w:p>
                    </w:txbxContent>
                  </v:textbox>
                </v:rect>
                <w10:wrap type="square"/>
              </v:group>
            </w:pict>
          </mc:Fallback>
        </mc:AlternateContent>
      </w:r>
      <w:r>
        <w:rPr>
          <w:rFonts w:ascii="Arial" w:eastAsia="Arial" w:hAnsi="Arial" w:cs="Arial"/>
        </w:rPr>
        <w:t>De lo anterior se deduce el cumplimiento de los ratios económicopresupuestarios,</w:t>
      </w:r>
      <w:r>
        <w:rPr>
          <w:rFonts w:ascii="Arial" w:eastAsia="Arial" w:hAnsi="Arial" w:cs="Arial"/>
        </w:rPr>
        <w:t xml:space="preserve"> que han permitido estar en una buena situación económica.</w:t>
      </w:r>
    </w:p>
    <w:p w:rsidR="00E23B86" w:rsidRDefault="00BA7C13">
      <w:pPr>
        <w:spacing w:after="245" w:line="248" w:lineRule="auto"/>
        <w:ind w:left="363" w:right="552" w:firstLine="708"/>
        <w:jc w:val="both"/>
      </w:pPr>
      <w:r>
        <w:rPr>
          <w:rFonts w:ascii="Arial" w:eastAsia="Arial" w:hAnsi="Arial" w:cs="Arial"/>
        </w:rPr>
        <w:t xml:space="preserve">Por tanto, se </w:t>
      </w:r>
      <w:r>
        <w:rPr>
          <w:rFonts w:ascii="Arial" w:eastAsia="Arial" w:hAnsi="Arial" w:cs="Arial"/>
          <w:b/>
        </w:rPr>
        <w:t>fiscaliza de conformidad</w:t>
      </w:r>
      <w:r>
        <w:rPr>
          <w:rFonts w:ascii="Arial" w:eastAsia="Arial" w:hAnsi="Arial" w:cs="Arial"/>
        </w:rPr>
        <w:t xml:space="preserve"> el expediente de Liquidación del Presupuesto del ejercicio 2019, resultando necesario seguir con las medidas adoptadas de contención del gasto, que han permit</w:t>
      </w:r>
      <w:r>
        <w:rPr>
          <w:rFonts w:ascii="Arial" w:eastAsia="Arial" w:hAnsi="Arial" w:cs="Arial"/>
        </w:rPr>
        <w:t>ido mantener positiva, de forma importante, las magnitudes presupuestarias del Remanente de Tesorería para Gastos Generales, del Resultado Presupuestario y Ahorro Neto.</w:t>
      </w:r>
    </w:p>
    <w:p w:rsidR="00E23B86" w:rsidRDefault="00BA7C13">
      <w:pPr>
        <w:spacing w:after="497" w:line="248" w:lineRule="auto"/>
        <w:ind w:left="363" w:right="552" w:firstLine="708"/>
        <w:jc w:val="both"/>
      </w:pPr>
      <w:r>
        <w:rPr>
          <w:rFonts w:ascii="Arial" w:eastAsia="Arial" w:hAnsi="Arial" w:cs="Arial"/>
        </w:rPr>
        <w:t>Estas medidas de contención del gasto, vienen impuestas con la entrada en vigor de dife</w:t>
      </w:r>
      <w:r>
        <w:rPr>
          <w:rFonts w:ascii="Arial" w:eastAsia="Arial" w:hAnsi="Arial" w:cs="Arial"/>
        </w:rPr>
        <w:t>rentes normas legales aprobadas recientemente, que ponen de manifiesto la importancia del cumplimiento del principio de estabilidad presupuestaria tanto en la aprobación del presupuesto inicialmente (es lo que se llama principio de equilibrio presupuestari</w:t>
      </w:r>
      <w:r>
        <w:rPr>
          <w:rFonts w:ascii="Arial" w:eastAsia="Arial" w:hAnsi="Arial" w:cs="Arial"/>
        </w:rPr>
        <w:t>o ), como durante su ejecución y liquidación, para la consecución de una situación de superávit o equilibrio en términos de capacidad de financiación, bien a lo largo de todo el ciclo económico, aplicable para los municipios de más de 75.000 habitantes o s</w:t>
      </w:r>
      <w:r>
        <w:rPr>
          <w:rFonts w:ascii="Arial" w:eastAsia="Arial" w:hAnsi="Arial" w:cs="Arial"/>
        </w:rPr>
        <w:t>ean capital de provincia o Comunidad Autónoma, bien anual para los municipios restantes, que redunde en la realización de una consolidación fiscal en el conjunto de todas las Administraciones Pública.</w:t>
      </w:r>
    </w:p>
    <w:p w:rsidR="00E23B86" w:rsidRDefault="00BA7C13">
      <w:pPr>
        <w:spacing w:after="277" w:line="248" w:lineRule="auto"/>
        <w:ind w:left="363" w:right="552" w:firstLine="720"/>
        <w:jc w:val="both"/>
      </w:pPr>
      <w:r>
        <w:rPr>
          <w:rFonts w:ascii="Arial" w:eastAsia="Arial" w:hAnsi="Arial" w:cs="Arial"/>
        </w:rPr>
        <w:t>En definitiva, se insiste por parte de esta intervenció</w:t>
      </w:r>
      <w:r>
        <w:rPr>
          <w:rFonts w:ascii="Arial" w:eastAsia="Arial" w:hAnsi="Arial" w:cs="Arial"/>
        </w:rPr>
        <w:t>n, continuar llevar a cabo actuaciones para seguir mejorando el resultado del Remanente de Tesorería, que en el presente ejercicio, refleja una resultado positivo y, por tanto, expresa una buena salud de la economía del Ayuntamiento, así como las siguiente</w:t>
      </w:r>
      <w:r>
        <w:rPr>
          <w:rFonts w:ascii="Arial" w:eastAsia="Arial" w:hAnsi="Arial" w:cs="Arial"/>
        </w:rPr>
        <w:t>s actuaciones que permitan mejorar la situación de liquidez y potenciar la necesidad de financiación obtenida en las diferentes magnitudes presupuestarias básicas obtenidas:</w:t>
      </w:r>
    </w:p>
    <w:p w:rsidR="00E23B86" w:rsidRDefault="00BA7C13">
      <w:pPr>
        <w:numPr>
          <w:ilvl w:val="0"/>
          <w:numId w:val="19"/>
        </w:numPr>
        <w:spacing w:after="277" w:line="248" w:lineRule="auto"/>
        <w:ind w:right="552" w:hanging="360"/>
        <w:jc w:val="both"/>
      </w:pPr>
      <w:r>
        <w:rPr>
          <w:rFonts w:ascii="Arial" w:eastAsia="Arial" w:hAnsi="Arial" w:cs="Arial"/>
        </w:rPr>
        <w:t>Seguir manteniendo el control en la ejecución del gasto público corriente municipa</w:t>
      </w:r>
      <w:r>
        <w:rPr>
          <w:rFonts w:ascii="Arial" w:eastAsia="Arial" w:hAnsi="Arial" w:cs="Arial"/>
        </w:rPr>
        <w:t xml:space="preserve">l, que permita generar los fondos líquidos necesarios para hacer ejecutar, en el menor tiempo posible, los proyectos de gastos vinculados a los excesos de financiación afectada, mejorando los ingresos corrientes, a través de cualquiera de los instrumentos </w:t>
      </w:r>
      <w:r>
        <w:rPr>
          <w:rFonts w:ascii="Arial" w:eastAsia="Arial" w:hAnsi="Arial" w:cs="Arial"/>
        </w:rPr>
        <w:t>que permite la normativa de haciendas locales vigente: actualización de los padrones municipales mediante actividades de inspección tributaria, aumento de los tipos de gravamen, eliminación de exenciones y bonificaciones potestativas, etc.</w:t>
      </w:r>
    </w:p>
    <w:p w:rsidR="00E23B86" w:rsidRDefault="00BA7C13">
      <w:pPr>
        <w:numPr>
          <w:ilvl w:val="0"/>
          <w:numId w:val="19"/>
        </w:numPr>
        <w:spacing w:after="277" w:line="248" w:lineRule="auto"/>
        <w:ind w:right="552" w:hanging="360"/>
        <w:jc w:val="both"/>
      </w:pPr>
      <w:r>
        <w:rPr>
          <w:rFonts w:ascii="Arial" w:eastAsia="Arial" w:hAnsi="Arial" w:cs="Arial"/>
        </w:rPr>
        <w:t>Mantener la polí</w:t>
      </w:r>
      <w:r>
        <w:rPr>
          <w:rFonts w:ascii="Arial" w:eastAsia="Arial" w:hAnsi="Arial" w:cs="Arial"/>
        </w:rPr>
        <w:t>tica de mejorar que los ingresos corrientes (capítulos I al V), deban financiar los gastos corrientes (I al IV), así como el capítulo nueve de amortizaciones de préstamos, aspecto que se ha conseguido en el ejercicio 2019, en 4.945.760,50 Euros (frente a l</w:t>
      </w:r>
      <w:r>
        <w:rPr>
          <w:rFonts w:ascii="Arial" w:eastAsia="Arial" w:hAnsi="Arial" w:cs="Arial"/>
        </w:rPr>
        <w:t>os 2.045.403,06 Euros obtenidos en el 2018), esto es, un porcentaje del 18,6 %% de los derechos reconocidos netos por capítulos I al V de Ingresos en la Liquidación del Presupuesto, frente al 8 % del ejercicio anterior.</w:t>
      </w:r>
    </w:p>
    <w:p w:rsidR="00E23B86" w:rsidRDefault="00BA7C13">
      <w:pPr>
        <w:numPr>
          <w:ilvl w:val="0"/>
          <w:numId w:val="19"/>
        </w:numPr>
        <w:spacing w:after="1111" w:line="248" w:lineRule="auto"/>
        <w:ind w:right="552" w:hanging="360"/>
        <w:jc w:val="both"/>
      </w:pPr>
      <w:r>
        <w:rPr>
          <w:noProof/>
        </w:rPr>
        <mc:AlternateContent>
          <mc:Choice Requires="wpg">
            <w:drawing>
              <wp:anchor distT="0" distB="0" distL="114300" distR="114300" simplePos="0" relativeHeight="2517043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78811" name="Group 47881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285" name="Rectangle 1228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2286" name="Rectangle 12286"/>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45 de 391 </w:t>
                              </w:r>
                            </w:p>
                          </w:txbxContent>
                        </wps:txbx>
                        <wps:bodyPr horzOverflow="overflow" vert="horz" lIns="0" tIns="0" rIns="0" bIns="0" rtlCol="0">
                          <a:noAutofit/>
                        </wps:bodyPr>
                      </wps:wsp>
                    </wpg:wgp>
                  </a:graphicData>
                </a:graphic>
              </wp:anchor>
            </w:drawing>
          </mc:Choice>
          <mc:Fallback xmlns:a="http://schemas.openxmlformats.org/drawingml/2006/main">
            <w:pict>
              <v:group id="Group 478811" style="width:12.7031pt;height:280.35pt;position:absolute;mso-position-horizontal-relative:page;mso-position-horizontal:absolute;margin-left:681.958pt;mso-position-vertical-relative:page;margin-top:531.65pt;" coordsize="1613,35604">
                <v:rect id="Rectangle 1228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286"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391 </w:t>
                        </w:r>
                      </w:p>
                    </w:txbxContent>
                  </v:textbox>
                </v:rect>
                <w10:wrap type="square"/>
              </v:group>
            </w:pict>
          </mc:Fallback>
        </mc:AlternateContent>
      </w:r>
      <w:r>
        <w:rPr>
          <w:rFonts w:ascii="Arial" w:eastAsia="Arial" w:hAnsi="Arial" w:cs="Arial"/>
        </w:rPr>
        <w:t>Reducir el volumen de tamaño de los entes instrumentales munic</w:t>
      </w:r>
      <w:r>
        <w:rPr>
          <w:rFonts w:ascii="Arial" w:eastAsia="Arial" w:hAnsi="Arial" w:cs="Arial"/>
        </w:rPr>
        <w:t xml:space="preserve">ipales o al menos, que se autofinancien los servicios que presta, para ir disminuyendo las aportaciones o subvenciones municipales y que no asuman la prestación de algunos servicios sin existir consignación presupuestaria municipal o por haberse realizado </w:t>
      </w:r>
      <w:r>
        <w:rPr>
          <w:rFonts w:ascii="Arial" w:eastAsia="Arial" w:hAnsi="Arial" w:cs="Arial"/>
        </w:rPr>
        <w:t>la encomienda de gestión.</w:t>
      </w:r>
    </w:p>
    <w:p w:rsidR="00E23B86" w:rsidRDefault="00BA7C13">
      <w:pPr>
        <w:spacing w:after="473"/>
        <w:ind w:left="352"/>
      </w:pPr>
      <w:r>
        <w:rPr>
          <w:rFonts w:ascii="Arial" w:eastAsia="Arial" w:hAnsi="Arial" w:cs="Arial"/>
          <w:b/>
        </w:rPr>
        <w:t xml:space="preserve">   </w:t>
      </w:r>
    </w:p>
    <w:p w:rsidR="00E23B86" w:rsidRDefault="00BA7C13">
      <w:pPr>
        <w:spacing w:after="1231" w:line="249" w:lineRule="auto"/>
        <w:ind w:left="355" w:right="554" w:hanging="10"/>
        <w:jc w:val="both"/>
      </w:pPr>
      <w:r>
        <w:rPr>
          <w:rFonts w:ascii="Arial" w:eastAsia="Arial" w:hAnsi="Arial" w:cs="Arial"/>
          <w:b/>
        </w:rPr>
        <w:t xml:space="preserve">   Consta en el expediente Informe de Intervención emitido por Don Nicolás Rojo Garnica, que desempeña el puesto de trabajo de Interventor Municipal, de 11 de febrero de 2020, del siguiente tenor literal:</w:t>
      </w:r>
    </w:p>
    <w:p w:rsidR="00E23B86" w:rsidRDefault="00BA7C13">
      <w:pPr>
        <w:pStyle w:val="Ttulo3"/>
        <w:spacing w:after="227" w:line="265" w:lineRule="auto"/>
        <w:ind w:left="682" w:right="877"/>
        <w:jc w:val="center"/>
      </w:pPr>
      <w:r>
        <w:rPr>
          <w:i w:val="0"/>
          <w:color w:val="000000"/>
        </w:rPr>
        <w:t>“INFORME DE INTERVENC</w:t>
      </w:r>
      <w:r>
        <w:rPr>
          <w:i w:val="0"/>
          <w:color w:val="000000"/>
        </w:rPr>
        <w:t>IÓN</w:t>
      </w:r>
    </w:p>
    <w:p w:rsidR="00E23B86" w:rsidRDefault="00BA7C13">
      <w:pPr>
        <w:spacing w:after="9" w:line="249" w:lineRule="auto"/>
        <w:ind w:left="355" w:right="554" w:hanging="10"/>
        <w:jc w:val="both"/>
      </w:pPr>
      <w:r>
        <w:rPr>
          <w:rFonts w:ascii="Arial" w:eastAsia="Arial" w:hAnsi="Arial" w:cs="Arial"/>
          <w:b/>
        </w:rPr>
        <w:t xml:space="preserve">Asunto: CUMPLIMIENTO DEL PRINCIPIO DE ESTABILIDAD PRESUPUESTARIA, </w:t>
      </w:r>
    </w:p>
    <w:p w:rsidR="00E23B86" w:rsidRDefault="00BA7C13">
      <w:pPr>
        <w:spacing w:after="9" w:line="249" w:lineRule="auto"/>
        <w:ind w:left="355" w:right="554" w:hanging="10"/>
        <w:jc w:val="both"/>
      </w:pPr>
      <w:r>
        <w:rPr>
          <w:rFonts w:ascii="Arial" w:eastAsia="Arial" w:hAnsi="Arial" w:cs="Arial"/>
          <w:b/>
        </w:rPr>
        <w:t xml:space="preserve">DE LA REGLA DEL GASTO Y DEL LÍMITE DE LA DEUDA CON MOTIVO DE LA </w:t>
      </w:r>
    </w:p>
    <w:p w:rsidR="00E23B86" w:rsidRDefault="00BA7C13">
      <w:pPr>
        <w:spacing w:after="614" w:line="249" w:lineRule="auto"/>
        <w:ind w:left="355" w:right="554" w:hanging="10"/>
        <w:jc w:val="both"/>
      </w:pPr>
      <w:r>
        <w:rPr>
          <w:rFonts w:ascii="Arial" w:eastAsia="Arial" w:hAnsi="Arial" w:cs="Arial"/>
          <w:b/>
        </w:rPr>
        <w:t>APROBACIÓN DE LA LIQUIDACIÓN DEL PRESUPUESTO 2019</w:t>
      </w:r>
    </w:p>
    <w:p w:rsidR="00E23B86" w:rsidRDefault="00BA7C13">
      <w:pPr>
        <w:spacing w:after="110" w:line="248" w:lineRule="auto"/>
        <w:ind w:left="363" w:right="552" w:firstLine="708"/>
        <w:jc w:val="both"/>
      </w:pPr>
      <w:r>
        <w:rPr>
          <w:rFonts w:ascii="Arial" w:eastAsia="Arial" w:hAnsi="Arial" w:cs="Arial"/>
        </w:rPr>
        <w:t>En cumplimiento del mandato impuesto por el artículo 16.2 del Real Decreto 1463/2007, de 2 de noviembre, por el que se aprueba el reglamento de desarrollo de la Ley 18/2001, así como de lo dispuesto en la Ley Orgánica 2/2012, de 27 de abril, de Estabilidad</w:t>
      </w:r>
      <w:r>
        <w:rPr>
          <w:rFonts w:ascii="Arial" w:eastAsia="Arial" w:hAnsi="Arial" w:cs="Arial"/>
        </w:rPr>
        <w:t xml:space="preserve"> Presupuestaria y Sostenibilidad Financiera, este interventor informa en relación con el cumplimiento, para la liquidación del presupuesto del 2017, de los principios de Estabilidad Presupuestaria, el cumplimiento de la Regla de Gasto y del Límite de Deuda</w:t>
      </w:r>
      <w:r>
        <w:rPr>
          <w:rFonts w:ascii="Arial" w:eastAsia="Arial" w:hAnsi="Arial" w:cs="Arial"/>
        </w:rPr>
        <w:t>.</w:t>
      </w:r>
    </w:p>
    <w:p w:rsidR="00E23B86" w:rsidRDefault="00BA7C13">
      <w:pPr>
        <w:spacing w:after="485" w:line="248" w:lineRule="auto"/>
        <w:ind w:left="363" w:right="552" w:firstLine="708"/>
        <w:jc w:val="both"/>
      </w:pPr>
      <w:r>
        <w:rPr>
          <w:rFonts w:ascii="Arial" w:eastAsia="Arial" w:hAnsi="Arial" w:cs="Arial"/>
        </w:rPr>
        <w:t>Se trata de tres medidas de consolidación fiscal de obligado cumplimiento para todas las Administraciones Públicas.</w:t>
      </w:r>
    </w:p>
    <w:p w:rsidR="00E23B86" w:rsidRDefault="00BA7C13">
      <w:pPr>
        <w:spacing w:after="482" w:line="249" w:lineRule="auto"/>
        <w:ind w:left="355" w:right="554" w:hanging="10"/>
        <w:jc w:val="both"/>
      </w:pPr>
      <w:r>
        <w:rPr>
          <w:rFonts w:ascii="Arial" w:eastAsia="Arial" w:hAnsi="Arial" w:cs="Arial"/>
          <w:b/>
        </w:rPr>
        <w:t>NORMATIVA DE APLICACIÓN:</w:t>
      </w:r>
    </w:p>
    <w:p w:rsidR="00E23B86" w:rsidRDefault="00BA7C13">
      <w:pPr>
        <w:numPr>
          <w:ilvl w:val="0"/>
          <w:numId w:val="20"/>
        </w:numPr>
        <w:spacing w:after="110" w:line="248" w:lineRule="auto"/>
        <w:ind w:right="552" w:hanging="10"/>
        <w:jc w:val="both"/>
      </w:pPr>
      <w:r>
        <w:rPr>
          <w:rFonts w:ascii="Arial" w:eastAsia="Arial" w:hAnsi="Arial" w:cs="Arial"/>
        </w:rPr>
        <w:t>Real Decreto Legislativo 2/2004, de 5 de marzo, por el que se aprueba el TextoRefundido de la Ley Reguladora de l</w:t>
      </w:r>
      <w:r>
        <w:rPr>
          <w:rFonts w:ascii="Arial" w:eastAsia="Arial" w:hAnsi="Arial" w:cs="Arial"/>
        </w:rPr>
        <w:t>as Haciendas Locales.</w:t>
      </w:r>
    </w:p>
    <w:p w:rsidR="00E23B86" w:rsidRDefault="00BA7C13">
      <w:pPr>
        <w:numPr>
          <w:ilvl w:val="0"/>
          <w:numId w:val="20"/>
        </w:numPr>
        <w:spacing w:after="110" w:line="248" w:lineRule="auto"/>
        <w:ind w:right="552" w:hanging="10"/>
        <w:jc w:val="both"/>
      </w:pPr>
      <w:r>
        <w:rPr>
          <w:rFonts w:ascii="Arial" w:eastAsia="Arial" w:hAnsi="Arial" w:cs="Arial"/>
        </w:rPr>
        <w:t>Orden EHA/3565/2008 de 3 de diciembre, por la que se aprueba la estructura de lospresupuestos de las entidades locales.</w:t>
      </w:r>
    </w:p>
    <w:p w:rsidR="00E23B86" w:rsidRDefault="00BA7C13">
      <w:pPr>
        <w:numPr>
          <w:ilvl w:val="0"/>
          <w:numId w:val="20"/>
        </w:numPr>
        <w:spacing w:after="110" w:line="248" w:lineRule="auto"/>
        <w:ind w:right="552" w:hanging="10"/>
        <w:jc w:val="both"/>
      </w:pPr>
      <w:r>
        <w:rPr>
          <w:rFonts w:ascii="Arial" w:eastAsia="Arial" w:hAnsi="Arial" w:cs="Arial"/>
        </w:rPr>
        <w:t xml:space="preserve">Real Decreto 1463/2007, de 2 de noviembre, por el que se aprueba el reglamento dedesarrollo de la Ley 18/2001, de </w:t>
      </w:r>
      <w:r>
        <w:rPr>
          <w:rFonts w:ascii="Arial" w:eastAsia="Arial" w:hAnsi="Arial" w:cs="Arial"/>
        </w:rPr>
        <w:t>12 de diciembre, de Estabilidad Presupuestaria, en su aplicación a las Entidades Locales.</w:t>
      </w:r>
    </w:p>
    <w:p w:rsidR="00E23B86" w:rsidRDefault="00BA7C13">
      <w:pPr>
        <w:numPr>
          <w:ilvl w:val="0"/>
          <w:numId w:val="20"/>
        </w:numPr>
        <w:spacing w:after="110" w:line="248" w:lineRule="auto"/>
        <w:ind w:right="552" w:hanging="10"/>
        <w:jc w:val="both"/>
      </w:pPr>
      <w:r>
        <w:rPr>
          <w:rFonts w:ascii="Arial" w:eastAsia="Arial" w:hAnsi="Arial" w:cs="Arial"/>
        </w:rPr>
        <w:t>Ley Orgánica 2/2012, de 27 de abril, de Estabilidad Presupuestaria y Sostenibilidad Financiera.</w:t>
      </w:r>
    </w:p>
    <w:p w:rsidR="00E23B86" w:rsidRDefault="00BA7C13">
      <w:pPr>
        <w:numPr>
          <w:ilvl w:val="0"/>
          <w:numId w:val="20"/>
        </w:numPr>
        <w:spacing w:after="110" w:line="248" w:lineRule="auto"/>
        <w:ind w:right="552" w:hanging="10"/>
        <w:jc w:val="both"/>
      </w:pPr>
      <w:r>
        <w:rPr>
          <w:rFonts w:ascii="Arial" w:eastAsia="Arial" w:hAnsi="Arial" w:cs="Arial"/>
        </w:rPr>
        <w:t xml:space="preserve">Manual de cálculo del Déficit en Contabilidad Nacional adaptado a las </w:t>
      </w:r>
      <w:r>
        <w:rPr>
          <w:rFonts w:ascii="Arial" w:eastAsia="Arial" w:hAnsi="Arial" w:cs="Arial"/>
        </w:rPr>
        <w:t>Corporaciones Locales, publicado por la Intervención General de la Administración del Estado, Ministerio de Economía y Hacienda.</w:t>
      </w:r>
    </w:p>
    <w:p w:rsidR="00E23B86" w:rsidRDefault="00BA7C13">
      <w:pPr>
        <w:numPr>
          <w:ilvl w:val="0"/>
          <w:numId w:val="20"/>
        </w:numPr>
        <w:spacing w:after="110" w:line="248" w:lineRule="auto"/>
        <w:ind w:right="552" w:hanging="10"/>
        <w:jc w:val="both"/>
      </w:pPr>
      <w:r>
        <w:rPr>
          <w:rFonts w:ascii="Arial" w:eastAsia="Arial" w:hAnsi="Arial" w:cs="Arial"/>
        </w:rPr>
        <w:t>Guía para la determinación de la Regla de Gasto del artículo 12 de la LOEPSF paracorporaciones locales, 1ª edición. IGAE.</w:t>
      </w:r>
    </w:p>
    <w:p w:rsidR="00E23B86" w:rsidRDefault="00BA7C13">
      <w:pPr>
        <w:numPr>
          <w:ilvl w:val="0"/>
          <w:numId w:val="20"/>
        </w:numPr>
        <w:spacing w:after="485" w:line="248" w:lineRule="auto"/>
        <w:ind w:right="552" w:hanging="10"/>
        <w:jc w:val="both"/>
      </w:pPr>
      <w:r>
        <w:rPr>
          <w:noProof/>
        </w:rPr>
        <mc:AlternateContent>
          <mc:Choice Requires="wpg">
            <w:drawing>
              <wp:anchor distT="0" distB="0" distL="114300" distR="114300" simplePos="0" relativeHeight="2517053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0324" name="Group 48032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347" name="Rectangle 1234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w:t>
                              </w:r>
                              <w:r>
                                <w:rPr>
                                  <w:rFonts w:ascii="Arial" w:eastAsia="Arial" w:hAnsi="Arial" w:cs="Arial"/>
                                  <w:sz w:val="12"/>
                                </w:rPr>
                                <w:t xml:space="preserve">d. Validación: 5AJ7C4GAAK3P9GMGZC2N3FZWC | Verificación: https://candelaria.sedelectronica.es/ </w:t>
                              </w:r>
                            </w:p>
                          </w:txbxContent>
                        </wps:txbx>
                        <wps:bodyPr horzOverflow="overflow" vert="horz" lIns="0" tIns="0" rIns="0" bIns="0" rtlCol="0">
                          <a:noAutofit/>
                        </wps:bodyPr>
                      </wps:wsp>
                      <wps:wsp>
                        <wps:cNvPr id="12348" name="Rectangle 1234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46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0324" style="width:12.7031pt;height:280.35pt;position:absolute;mso-position-horizontal-relative:page;mso-position-horizontal:absolute;margin-left:681.958pt;mso-position-vertical-relative:page;margin-top:531.65pt;" coordsize="1613,35604">
                <v:rect id="Rectangle 1234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34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391 </w:t>
                        </w:r>
                      </w:p>
                    </w:txbxContent>
                  </v:textbox>
                </v:rect>
                <w10:wrap type="square"/>
              </v:group>
            </w:pict>
          </mc:Fallback>
        </mc:AlternateContent>
      </w:r>
      <w:r>
        <w:rPr>
          <w:rFonts w:ascii="Arial" w:eastAsia="Arial" w:hAnsi="Arial" w:cs="Arial"/>
        </w:rPr>
        <w:t>Manual del SEC 95 sobre el Déficit Público y la Deuda Pública, p</w:t>
      </w:r>
      <w:r>
        <w:rPr>
          <w:rFonts w:ascii="Arial" w:eastAsia="Arial" w:hAnsi="Arial" w:cs="Arial"/>
        </w:rPr>
        <w:t>ublicado porEurostat.</w:t>
      </w:r>
    </w:p>
    <w:p w:rsidR="00E23B86" w:rsidRDefault="00BA7C13">
      <w:pPr>
        <w:spacing w:after="456" w:line="278" w:lineRule="auto"/>
        <w:ind w:left="347" w:hanging="10"/>
      </w:pPr>
      <w:r>
        <w:rPr>
          <w:rFonts w:ascii="Arial" w:eastAsia="Arial" w:hAnsi="Arial" w:cs="Arial"/>
          <w:b/>
          <w:u w:val="single" w:color="000000"/>
        </w:rPr>
        <w:t>1.- CUMPLIMIENTO DEL OBJETIVO DE ESTABILIDAD PRESUPUESTARIA</w:t>
      </w:r>
    </w:p>
    <w:p w:rsidR="00E23B86" w:rsidRDefault="00BA7C13">
      <w:pPr>
        <w:spacing w:after="110" w:line="248" w:lineRule="auto"/>
        <w:ind w:left="363" w:right="552" w:firstLine="708"/>
        <w:jc w:val="both"/>
      </w:pPr>
      <w:r>
        <w:rPr>
          <w:rFonts w:ascii="Arial" w:eastAsia="Arial" w:hAnsi="Arial" w:cs="Arial"/>
        </w:rPr>
        <w:t>Desde la aprobación de la Ley 18/2001, de 12 de Diciembre, Ley General de Estabilidad Presupuestaria (ya derogada), se han incorporado al marco jurídicopresupuestario de las Administraciones Públicas nuevas limitaciones de obligado cumplimiento que afectan</w:t>
      </w:r>
      <w:r>
        <w:rPr>
          <w:rFonts w:ascii="Arial" w:eastAsia="Arial" w:hAnsi="Arial" w:cs="Arial"/>
        </w:rPr>
        <w:t xml:space="preserve"> también a las Entidades Locales, Organismos Autónomos y Entes Públicos dependientes que no se financien mayoritariamente con ingresos comerciales (artículo 2.1.d de la Ley). El concepto de estabilidad presupuestaria aparece definido (artículo 3.2 LOEPSF) </w:t>
      </w:r>
      <w:r>
        <w:rPr>
          <w:rFonts w:ascii="Arial" w:eastAsia="Arial" w:hAnsi="Arial" w:cs="Arial"/>
        </w:rPr>
        <w:t>en términos de situación de equilibrio o de superávit, situación que es computada en términos de capacidad de financiación de acuerdo con la definición contenida en el Sistema Europeo de Cuentas Nacionales y Regionales (criterio SEC 10) y en las condicione</w:t>
      </w:r>
      <w:r>
        <w:rPr>
          <w:rFonts w:ascii="Arial" w:eastAsia="Arial" w:hAnsi="Arial" w:cs="Arial"/>
        </w:rPr>
        <w:t>s establecidas para cada una de las administraciones públicas, fijándose el objetivo en el 0 %, para el ejercicio 2019.</w:t>
      </w:r>
    </w:p>
    <w:p w:rsidR="00E23B86" w:rsidRDefault="00BA7C13">
      <w:pPr>
        <w:spacing w:after="110" w:line="248" w:lineRule="auto"/>
        <w:ind w:left="363" w:right="552" w:firstLine="708"/>
        <w:jc w:val="both"/>
      </w:pPr>
      <w:r>
        <w:rPr>
          <w:rFonts w:ascii="Arial" w:eastAsia="Arial" w:hAnsi="Arial" w:cs="Arial"/>
        </w:rPr>
        <w:t>La posición de equilibrio financiero en el sistema de cuentas SEC 10 exige que los recursos de los Capítulos I al VII del Estado de Ingr</w:t>
      </w:r>
      <w:r>
        <w:rPr>
          <w:rFonts w:ascii="Arial" w:eastAsia="Arial" w:hAnsi="Arial" w:cs="Arial"/>
        </w:rPr>
        <w:t>esos sean suficientes para financiar los créditos de los mismos Capítulos del Estado de Gastos (saldo de operaciones no financieras cero o positivo) o que, paralelamente, la suma de los Capítulos VIII y IX del Estado de Ingresos no exceda de los créditos d</w:t>
      </w:r>
      <w:r>
        <w:rPr>
          <w:rFonts w:ascii="Arial" w:eastAsia="Arial" w:hAnsi="Arial" w:cs="Arial"/>
        </w:rPr>
        <w:t xml:space="preserve">e los mismos Capítulos en el Estado de Gastos, lo que, en definitiva, exigiría en nuestro caso que la variación neta de pasivos financieros sea nula (es decir, que no se produzca un incremento neto de la financiación ajena para que el saldo de operaciones </w:t>
      </w:r>
      <w:r>
        <w:rPr>
          <w:rFonts w:ascii="Arial" w:eastAsia="Arial" w:hAnsi="Arial" w:cs="Arial"/>
        </w:rPr>
        <w:t>financieras sea cero o negativo). En la práctica esto significa que las inversiones a realizar por una Administración Pública únicamente podrán financiarse con Ahorro Bruto e ingresos de capital, mientras que los ingresos por operaciones de endeudamiento n</w:t>
      </w:r>
      <w:r>
        <w:rPr>
          <w:rFonts w:ascii="Arial" w:eastAsia="Arial" w:hAnsi="Arial" w:cs="Arial"/>
        </w:rPr>
        <w:t>o deberán exceder del importe anual amortizado por las operaciones de tal carácter. Financiar las inversiones con pasivos financieros disminuye en el mismo importe la capacidad de financiación.</w:t>
      </w:r>
    </w:p>
    <w:p w:rsidR="00E23B86" w:rsidRDefault="00BA7C13">
      <w:pPr>
        <w:spacing w:after="110" w:line="248" w:lineRule="auto"/>
        <w:ind w:left="363" w:right="552" w:firstLine="708"/>
        <w:jc w:val="both"/>
      </w:pPr>
      <w:r>
        <w:rPr>
          <w:rFonts w:ascii="Arial" w:eastAsia="Arial" w:hAnsi="Arial" w:cs="Arial"/>
        </w:rPr>
        <w:t xml:space="preserve">En aquellos casos, en que no se haya alcanzado el objetivo de </w:t>
      </w:r>
      <w:r>
        <w:rPr>
          <w:rFonts w:ascii="Arial" w:eastAsia="Arial" w:hAnsi="Arial" w:cs="Arial"/>
        </w:rPr>
        <w:t>estabilidad presupuestaria en los términos comentados, existe obligación de proceder a corregir la situación de desequilibrio, de forma que la Corporación debe elaborar un Plan Económico-Financiero a un año y cuya aprobación es competencia de la Corporació</w:t>
      </w:r>
      <w:r>
        <w:rPr>
          <w:rFonts w:ascii="Arial" w:eastAsia="Arial" w:hAnsi="Arial" w:cs="Arial"/>
        </w:rPr>
        <w:t>n en Pleno.</w:t>
      </w:r>
    </w:p>
    <w:p w:rsidR="00E23B86" w:rsidRDefault="00BA7C13">
      <w:pPr>
        <w:spacing w:after="110" w:line="248" w:lineRule="auto"/>
        <w:ind w:left="363" w:right="552" w:firstLine="708"/>
        <w:jc w:val="both"/>
      </w:pPr>
      <w:r>
        <w:rPr>
          <w:rFonts w:ascii="Arial" w:eastAsia="Arial" w:hAnsi="Arial" w:cs="Arial"/>
        </w:rPr>
        <w:t>En este sentido, en la liquidación del presupuesto general para el ejercicio 2018 se generó un superávit de 2.857.171,27</w:t>
      </w:r>
      <w:r>
        <w:rPr>
          <w:rFonts w:ascii="Arial" w:eastAsia="Arial" w:hAnsi="Arial" w:cs="Arial"/>
          <w:b/>
        </w:rPr>
        <w:t xml:space="preserve"> </w:t>
      </w:r>
      <w:r>
        <w:rPr>
          <w:rFonts w:ascii="Arial" w:eastAsia="Arial" w:hAnsi="Arial" w:cs="Arial"/>
        </w:rPr>
        <w:t xml:space="preserve">Euros por lo que se cumplió el principio de estabilidad presupuestaria y a nivel consolidado, teniendo en cuenta los entes </w:t>
      </w:r>
      <w:r>
        <w:rPr>
          <w:rFonts w:ascii="Arial" w:eastAsia="Arial" w:hAnsi="Arial" w:cs="Arial"/>
        </w:rPr>
        <w:t>instrumentales, nos dio un saldo positivo de 2.975.609,17 Euros por lo que también se cumplió este principio, obteniendo un ratio de Estabilidad Presupuestaria positivo del 11,39 %.</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063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2048" name="Group 48204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448" name="Rectangle 1244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w:t>
                              </w:r>
                              <w:r>
                                <w:rPr>
                                  <w:rFonts w:ascii="Arial" w:eastAsia="Arial" w:hAnsi="Arial" w:cs="Arial"/>
                                  <w:sz w:val="12"/>
                                </w:rPr>
                                <w:t xml:space="preserve">elaria.sedelectronica.es/ </w:t>
                              </w:r>
                            </w:p>
                          </w:txbxContent>
                        </wps:txbx>
                        <wps:bodyPr horzOverflow="overflow" vert="horz" lIns="0" tIns="0" rIns="0" bIns="0" rtlCol="0">
                          <a:noAutofit/>
                        </wps:bodyPr>
                      </wps:wsp>
                      <wps:wsp>
                        <wps:cNvPr id="12449" name="Rectangle 1244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47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2048" style="width:12.7031pt;height:280.35pt;position:absolute;mso-position-horizontal-relative:page;mso-position-horizontal:absolute;margin-left:681.958pt;mso-position-vertical-relative:page;margin-top:531.65pt;" coordsize="1613,35604">
                <v:rect id="Rectangle 1244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44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391 </w:t>
                        </w:r>
                      </w:p>
                    </w:txbxContent>
                  </v:textbox>
                </v:rect>
                <w10:wrap type="square"/>
              </v:group>
            </w:pict>
          </mc:Fallback>
        </mc:AlternateContent>
      </w:r>
      <w:r>
        <w:rPr>
          <w:rFonts w:ascii="Arial" w:eastAsia="Arial" w:hAnsi="Arial" w:cs="Arial"/>
        </w:rPr>
        <w:t>Para evaluar el objetivo de estabilidad presupuestaria, es necesario realizar una serie de ajustes de acuerdo con el Manual de cálcul</w:t>
      </w:r>
      <w:r>
        <w:rPr>
          <w:rFonts w:ascii="Arial" w:eastAsia="Arial" w:hAnsi="Arial" w:cs="Arial"/>
        </w:rPr>
        <w:t>o del Déficit en Contabilidad Nacional adaptado a las Corporaciones Locales, publicado por la Intervención General de la Administración del Estado, Ministerio de Economía y Hacienda, al objeto de adecuar la información presupuestaria a los criterios establ</w:t>
      </w:r>
      <w:r>
        <w:rPr>
          <w:rFonts w:ascii="Arial" w:eastAsia="Arial" w:hAnsi="Arial" w:cs="Arial"/>
        </w:rPr>
        <w:t>ecidos en el Sistema Europeo de Cuentas Nacionales y Regionales, cuando resulte procedente, esto es, a los ajustes entre el saldo presupuestario no financiero y el déficit o superávit de contabilidad nacional, por las diferencias que surgen entre el tratam</w:t>
      </w:r>
      <w:r>
        <w:rPr>
          <w:rFonts w:ascii="Arial" w:eastAsia="Arial" w:hAnsi="Arial" w:cs="Arial"/>
        </w:rPr>
        <w:t>iento presupuestario y de contabilidad nacional, señalar que se pueden producir en los siguientes casos:</w:t>
      </w:r>
    </w:p>
    <w:p w:rsidR="00E23B86" w:rsidRDefault="00BA7C13">
      <w:pPr>
        <w:numPr>
          <w:ilvl w:val="0"/>
          <w:numId w:val="21"/>
        </w:numPr>
        <w:spacing w:after="110" w:line="248" w:lineRule="auto"/>
        <w:ind w:right="552" w:hanging="136"/>
        <w:jc w:val="both"/>
      </w:pPr>
      <w:r>
        <w:rPr>
          <w:rFonts w:ascii="Arial" w:eastAsia="Arial" w:hAnsi="Arial" w:cs="Arial"/>
        </w:rPr>
        <w:t>Ingresos no financieros.</w:t>
      </w:r>
    </w:p>
    <w:p w:rsidR="00E23B86" w:rsidRDefault="00BA7C13">
      <w:pPr>
        <w:numPr>
          <w:ilvl w:val="0"/>
          <w:numId w:val="21"/>
        </w:numPr>
        <w:spacing w:after="110" w:line="248" w:lineRule="auto"/>
        <w:ind w:right="552" w:hanging="136"/>
        <w:jc w:val="both"/>
      </w:pPr>
      <w:r>
        <w:rPr>
          <w:rFonts w:ascii="Arial" w:eastAsia="Arial" w:hAnsi="Arial" w:cs="Arial"/>
        </w:rPr>
        <w:t>Gastos no financieros.</w:t>
      </w:r>
    </w:p>
    <w:p w:rsidR="00E23B86" w:rsidRDefault="00BA7C13">
      <w:pPr>
        <w:numPr>
          <w:ilvl w:val="0"/>
          <w:numId w:val="21"/>
        </w:numPr>
        <w:spacing w:after="485" w:line="248" w:lineRule="auto"/>
        <w:ind w:right="552" w:hanging="136"/>
        <w:jc w:val="both"/>
      </w:pPr>
      <w:r>
        <w:rPr>
          <w:rFonts w:ascii="Arial" w:eastAsia="Arial" w:hAnsi="Arial" w:cs="Arial"/>
        </w:rPr>
        <w:t>Ajustes a aplicar al saldo de ingresos y gastos no financieros del presupuesto con lacapacidad y necesi</w:t>
      </w:r>
      <w:r>
        <w:rPr>
          <w:rFonts w:ascii="Arial" w:eastAsia="Arial" w:hAnsi="Arial" w:cs="Arial"/>
        </w:rPr>
        <w:t>dad de financiación, calculado conforme al SEC:</w:t>
      </w:r>
    </w:p>
    <w:p w:rsidR="00E23B86" w:rsidRDefault="00BA7C13">
      <w:pPr>
        <w:spacing w:after="485" w:line="249" w:lineRule="auto"/>
        <w:ind w:left="347" w:right="566" w:hanging="10"/>
        <w:jc w:val="both"/>
      </w:pPr>
      <w:r>
        <w:rPr>
          <w:rFonts w:ascii="Arial" w:eastAsia="Arial" w:hAnsi="Arial" w:cs="Arial"/>
          <w:b/>
          <w:i/>
        </w:rPr>
        <w:t>1.- Registro en Contabilidad Nacional de Impuestos, Tasa y Otros Ingresos de naturaleza tributaria</w:t>
      </w:r>
    </w:p>
    <w:p w:rsidR="00E23B86" w:rsidRDefault="00BA7C13">
      <w:pPr>
        <w:spacing w:after="110" w:line="248" w:lineRule="auto"/>
        <w:ind w:left="363" w:right="552" w:firstLine="708"/>
        <w:jc w:val="both"/>
      </w:pPr>
      <w:r>
        <w:rPr>
          <w:rFonts w:ascii="Arial" w:eastAsia="Arial" w:hAnsi="Arial" w:cs="Arial"/>
        </w:rPr>
        <w:t>En la contabilidad nacional imputan los ingresos de los capítulos primero de impuestos directos, capítulo seg</w:t>
      </w:r>
      <w:r>
        <w:rPr>
          <w:rFonts w:ascii="Arial" w:eastAsia="Arial" w:hAnsi="Arial" w:cs="Arial"/>
        </w:rPr>
        <w:t>undo de impuestos indirectos y el capítulo tercero, de tasas y otros ingresos, según el criterio de caja en cada ejercicio, ya sea corriente o de cerrado, mientras que el presupuesto de ingresos registra en el momento en que se reconoce el derecho que pued</w:t>
      </w:r>
      <w:r>
        <w:rPr>
          <w:rFonts w:ascii="Arial" w:eastAsia="Arial" w:hAnsi="Arial" w:cs="Arial"/>
        </w:rPr>
        <w:t>e ser previo o simultáneo al cobro.</w:t>
      </w:r>
    </w:p>
    <w:p w:rsidR="00E23B86" w:rsidRDefault="00BA7C13">
      <w:pPr>
        <w:spacing w:after="235" w:line="248" w:lineRule="auto"/>
        <w:ind w:left="363" w:right="552" w:firstLine="708"/>
        <w:jc w:val="both"/>
      </w:pPr>
      <w:r>
        <w:rPr>
          <w:rFonts w:ascii="Arial" w:eastAsia="Arial" w:hAnsi="Arial" w:cs="Arial"/>
        </w:rPr>
        <w:t>El tratamiento presupuestario y de la Contabilidad Nacional, registra los capítulos I, II y II de los citados ingresos cuando se abonan. Tienen por objeto evitar el efecto de los ingresos devengados y no cobrados en el déficit público.</w:t>
      </w:r>
    </w:p>
    <w:tbl>
      <w:tblPr>
        <w:tblStyle w:val="TableGrid"/>
        <w:tblW w:w="9562" w:type="dxa"/>
        <w:tblInd w:w="411" w:type="dxa"/>
        <w:tblCellMar>
          <w:top w:w="10" w:type="dxa"/>
          <w:left w:w="11" w:type="dxa"/>
          <w:bottom w:w="0" w:type="dxa"/>
          <w:right w:w="19" w:type="dxa"/>
        </w:tblCellMar>
        <w:tblLook w:val="04A0" w:firstRow="1" w:lastRow="0" w:firstColumn="1" w:lastColumn="0" w:noHBand="0" w:noVBand="1"/>
      </w:tblPr>
      <w:tblGrid>
        <w:gridCol w:w="1549"/>
        <w:gridCol w:w="1867"/>
        <w:gridCol w:w="1656"/>
        <w:gridCol w:w="2088"/>
        <w:gridCol w:w="2402"/>
      </w:tblGrid>
      <w:tr w:rsidR="00E23B86">
        <w:trPr>
          <w:trHeight w:val="516"/>
        </w:trPr>
        <w:tc>
          <w:tcPr>
            <w:tcW w:w="1550" w:type="dxa"/>
            <w:tcBorders>
              <w:top w:val="single" w:sz="4" w:space="0" w:color="000001"/>
              <w:left w:val="single" w:sz="5" w:space="0" w:color="000001"/>
              <w:bottom w:val="single" w:sz="4" w:space="0" w:color="000001"/>
              <w:right w:val="single" w:sz="4" w:space="0" w:color="000001"/>
            </w:tcBorders>
          </w:tcPr>
          <w:p w:rsidR="00E23B86" w:rsidRDefault="00E23B86"/>
        </w:tc>
        <w:tc>
          <w:tcPr>
            <w:tcW w:w="186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b/>
              </w:rPr>
              <w:t xml:space="preserve">Derechos </w:t>
            </w:r>
          </w:p>
          <w:p w:rsidR="00E23B86" w:rsidRDefault="00BA7C13">
            <w:pPr>
              <w:spacing w:after="0"/>
              <w:ind w:left="1"/>
            </w:pPr>
            <w:r>
              <w:rPr>
                <w:rFonts w:ascii="Arial" w:eastAsia="Arial" w:hAnsi="Arial" w:cs="Arial"/>
                <w:b/>
              </w:rPr>
              <w:t>Reconocid</w:t>
            </w:r>
            <w:r>
              <w:rPr>
                <w:rFonts w:ascii="Arial" w:eastAsia="Arial" w:hAnsi="Arial" w:cs="Arial"/>
                <w:b/>
              </w:rPr>
              <w:t xml:space="preserve">os </w:t>
            </w:r>
          </w:p>
        </w:tc>
        <w:tc>
          <w:tcPr>
            <w:tcW w:w="165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 xml:space="preserve">Derechos Recaudados </w:t>
            </w:r>
          </w:p>
        </w:tc>
        <w:tc>
          <w:tcPr>
            <w:tcW w:w="2088"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b/>
              </w:rPr>
              <w:t xml:space="preserve">Derechos Recaudados </w:t>
            </w:r>
          </w:p>
        </w:tc>
        <w:tc>
          <w:tcPr>
            <w:tcW w:w="240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b/>
              </w:rPr>
              <w:t xml:space="preserve">Ajustes por diferencia entre DRN y </w:t>
            </w:r>
          </w:p>
        </w:tc>
      </w:tr>
      <w:tr w:rsidR="00E23B86">
        <w:trPr>
          <w:trHeight w:val="888"/>
        </w:trPr>
        <w:tc>
          <w:tcPr>
            <w:tcW w:w="1550" w:type="dxa"/>
            <w:tcBorders>
              <w:top w:val="single" w:sz="4" w:space="0" w:color="000001"/>
              <w:left w:val="single" w:sz="5" w:space="0" w:color="000001"/>
              <w:bottom w:val="single" w:sz="4" w:space="0" w:color="000001"/>
              <w:right w:val="single" w:sz="4" w:space="0" w:color="000001"/>
            </w:tcBorders>
          </w:tcPr>
          <w:p w:rsidR="00E23B86" w:rsidRDefault="00E23B86"/>
        </w:tc>
        <w:tc>
          <w:tcPr>
            <w:tcW w:w="1867"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b/>
              </w:rPr>
              <w:t xml:space="preserve">Corrientes </w:t>
            </w:r>
          </w:p>
          <w:p w:rsidR="00E23B86" w:rsidRDefault="00BA7C13">
            <w:pPr>
              <w:spacing w:after="0"/>
            </w:pPr>
            <w:r>
              <w:rPr>
                <w:rFonts w:ascii="Arial" w:eastAsia="Arial" w:hAnsi="Arial" w:cs="Arial"/>
                <w:b/>
              </w:rPr>
              <w:t xml:space="preserve">Liquidación </w:t>
            </w:r>
          </w:p>
          <w:p w:rsidR="00E23B86" w:rsidRDefault="00BA7C13">
            <w:pPr>
              <w:spacing w:after="0"/>
            </w:pPr>
            <w:r>
              <w:rPr>
                <w:rFonts w:ascii="Arial" w:eastAsia="Arial" w:hAnsi="Arial" w:cs="Arial"/>
                <w:b/>
              </w:rPr>
              <w:t xml:space="preserve">Presupuesto </w:t>
            </w:r>
          </w:p>
        </w:tc>
        <w:tc>
          <w:tcPr>
            <w:tcW w:w="165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b/>
              </w:rPr>
              <w:t xml:space="preserve">Corrientes </w:t>
            </w:r>
          </w:p>
          <w:p w:rsidR="00E23B86" w:rsidRDefault="00BA7C13">
            <w:pPr>
              <w:spacing w:after="0"/>
            </w:pPr>
            <w:r>
              <w:rPr>
                <w:rFonts w:ascii="Arial" w:eastAsia="Arial" w:hAnsi="Arial" w:cs="Arial"/>
                <w:b/>
              </w:rPr>
              <w:t xml:space="preserve">Liquidación </w:t>
            </w:r>
          </w:p>
          <w:p w:rsidR="00E23B86" w:rsidRDefault="00BA7C13">
            <w:pPr>
              <w:spacing w:after="0"/>
            </w:pPr>
            <w:r>
              <w:rPr>
                <w:rFonts w:ascii="Arial" w:eastAsia="Arial" w:hAnsi="Arial" w:cs="Arial"/>
                <w:b/>
              </w:rPr>
              <w:t xml:space="preserve">Presupuesto </w:t>
            </w:r>
          </w:p>
        </w:tc>
        <w:tc>
          <w:tcPr>
            <w:tcW w:w="20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b/>
              </w:rPr>
              <w:t xml:space="preserve">Cerrados </w:t>
            </w:r>
          </w:p>
          <w:p w:rsidR="00E23B86" w:rsidRDefault="00BA7C13">
            <w:pPr>
              <w:spacing w:after="0"/>
            </w:pPr>
            <w:r>
              <w:rPr>
                <w:rFonts w:ascii="Arial" w:eastAsia="Arial" w:hAnsi="Arial" w:cs="Arial"/>
                <w:b/>
              </w:rPr>
              <w:t xml:space="preserve">Liquidación </w:t>
            </w:r>
          </w:p>
          <w:p w:rsidR="00E23B86" w:rsidRDefault="00BA7C13">
            <w:pPr>
              <w:spacing w:after="0"/>
            </w:pPr>
            <w:r>
              <w:rPr>
                <w:rFonts w:ascii="Arial" w:eastAsia="Arial" w:hAnsi="Arial" w:cs="Arial"/>
                <w:b/>
              </w:rPr>
              <w:t xml:space="preserve">Presupuesto </w:t>
            </w:r>
          </w:p>
        </w:tc>
        <w:tc>
          <w:tcPr>
            <w:tcW w:w="2402" w:type="dxa"/>
            <w:tcBorders>
              <w:top w:val="single" w:sz="4" w:space="0" w:color="000001"/>
              <w:left w:val="single" w:sz="4" w:space="0" w:color="000001"/>
              <w:bottom w:val="single" w:sz="4" w:space="0" w:color="000001"/>
              <w:right w:val="single" w:sz="5" w:space="0" w:color="000001"/>
            </w:tcBorders>
          </w:tcPr>
          <w:p w:rsidR="00E23B86" w:rsidRDefault="00BA7C13">
            <w:pPr>
              <w:spacing w:after="101"/>
              <w:ind w:left="1"/>
            </w:pPr>
            <w:r>
              <w:rPr>
                <w:rFonts w:ascii="Arial" w:eastAsia="Arial" w:hAnsi="Arial" w:cs="Arial"/>
                <w:b/>
              </w:rPr>
              <w:t>Recaudados</w:t>
            </w:r>
          </w:p>
          <w:p w:rsidR="00E23B86" w:rsidRDefault="00BA7C13">
            <w:pPr>
              <w:spacing w:after="0"/>
              <w:ind w:left="1"/>
              <w:jc w:val="both"/>
            </w:pPr>
            <w:r>
              <w:rPr>
                <w:rFonts w:ascii="Arial" w:eastAsia="Arial" w:hAnsi="Arial" w:cs="Arial"/>
                <w:b/>
              </w:rPr>
              <w:t>Corrientes y Cerrados</w:t>
            </w:r>
          </w:p>
        </w:tc>
      </w:tr>
      <w:tr w:rsidR="00E23B86">
        <w:trPr>
          <w:trHeight w:val="756"/>
        </w:trPr>
        <w:tc>
          <w:tcPr>
            <w:tcW w:w="15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b/>
              </w:rPr>
              <w:t xml:space="preserve">1.-Impuestos </w:t>
            </w:r>
          </w:p>
          <w:p w:rsidR="00E23B86" w:rsidRDefault="00BA7C13">
            <w:pPr>
              <w:spacing w:after="0"/>
            </w:pPr>
            <w:r>
              <w:rPr>
                <w:rFonts w:ascii="Arial" w:eastAsia="Arial" w:hAnsi="Arial" w:cs="Arial"/>
                <w:b/>
              </w:rPr>
              <w:t>Directos</w:t>
            </w:r>
          </w:p>
        </w:tc>
        <w:tc>
          <w:tcPr>
            <w:tcW w:w="1867"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8.438.336,78 Euros.</w:t>
            </w:r>
          </w:p>
        </w:tc>
        <w:tc>
          <w:tcPr>
            <w:tcW w:w="165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8.026.368,57 Euros.</w:t>
            </w:r>
          </w:p>
        </w:tc>
        <w:tc>
          <w:tcPr>
            <w:tcW w:w="208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259"/>
            </w:pPr>
            <w:r>
              <w:rPr>
                <w:rFonts w:ascii="Arial" w:eastAsia="Arial" w:hAnsi="Arial" w:cs="Arial"/>
              </w:rPr>
              <w:t>383.607,12  Euros.</w:t>
            </w:r>
          </w:p>
        </w:tc>
        <w:tc>
          <w:tcPr>
            <w:tcW w:w="2402" w:type="dxa"/>
            <w:tcBorders>
              <w:top w:val="single" w:sz="4" w:space="0" w:color="000001"/>
              <w:left w:val="single" w:sz="4" w:space="0" w:color="000001"/>
              <w:bottom w:val="single" w:sz="4" w:space="0" w:color="000001"/>
              <w:right w:val="single" w:sz="5" w:space="0" w:color="000001"/>
            </w:tcBorders>
          </w:tcPr>
          <w:p w:rsidR="00E23B86" w:rsidRDefault="00BA7C13">
            <w:pPr>
              <w:spacing w:after="99"/>
              <w:ind w:left="1"/>
            </w:pPr>
            <w:r>
              <w:rPr>
                <w:rFonts w:ascii="Arial" w:eastAsia="Arial" w:hAnsi="Arial" w:cs="Arial"/>
              </w:rPr>
              <w:t>- 28.361,09</w:t>
            </w:r>
          </w:p>
          <w:p w:rsidR="00E23B86" w:rsidRDefault="00BA7C13">
            <w:pPr>
              <w:spacing w:after="0"/>
              <w:ind w:left="1"/>
            </w:pPr>
            <w:r>
              <w:rPr>
                <w:rFonts w:ascii="Arial" w:eastAsia="Arial" w:hAnsi="Arial" w:cs="Arial"/>
              </w:rPr>
              <w:t xml:space="preserve"> Euros</w:t>
            </w:r>
          </w:p>
        </w:tc>
      </w:tr>
      <w:tr w:rsidR="00E23B86">
        <w:trPr>
          <w:trHeight w:val="756"/>
        </w:trPr>
        <w:tc>
          <w:tcPr>
            <w:tcW w:w="15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b/>
              </w:rPr>
              <w:t xml:space="preserve">2.-Impuestos </w:t>
            </w:r>
          </w:p>
          <w:p w:rsidR="00E23B86" w:rsidRDefault="00BA7C13">
            <w:pPr>
              <w:spacing w:after="0"/>
            </w:pPr>
            <w:r>
              <w:rPr>
                <w:rFonts w:ascii="Arial" w:eastAsia="Arial" w:hAnsi="Arial" w:cs="Arial"/>
                <w:b/>
              </w:rPr>
              <w:t>Indirectos</w:t>
            </w:r>
          </w:p>
        </w:tc>
        <w:tc>
          <w:tcPr>
            <w:tcW w:w="1867"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4.757.714,66 Euros.</w:t>
            </w:r>
          </w:p>
        </w:tc>
        <w:tc>
          <w:tcPr>
            <w:tcW w:w="165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4.749.870,52 Euros.</w:t>
            </w:r>
          </w:p>
        </w:tc>
        <w:tc>
          <w:tcPr>
            <w:tcW w:w="208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503"/>
            </w:pPr>
            <w:r>
              <w:rPr>
                <w:rFonts w:ascii="Arial" w:eastAsia="Arial" w:hAnsi="Arial" w:cs="Arial"/>
              </w:rPr>
              <w:t>4.029,47  Euros.</w:t>
            </w:r>
          </w:p>
        </w:tc>
        <w:tc>
          <w:tcPr>
            <w:tcW w:w="2402" w:type="dxa"/>
            <w:tcBorders>
              <w:top w:val="single" w:sz="4" w:space="0" w:color="000001"/>
              <w:left w:val="single" w:sz="4" w:space="0" w:color="000001"/>
              <w:bottom w:val="single" w:sz="4" w:space="0" w:color="000001"/>
              <w:right w:val="single" w:sz="5" w:space="0" w:color="000001"/>
            </w:tcBorders>
          </w:tcPr>
          <w:p w:rsidR="00E23B86" w:rsidRDefault="00BA7C13">
            <w:pPr>
              <w:spacing w:after="99"/>
              <w:ind w:left="1"/>
            </w:pPr>
            <w:r>
              <w:rPr>
                <w:rFonts w:ascii="Arial" w:eastAsia="Arial" w:hAnsi="Arial" w:cs="Arial"/>
              </w:rPr>
              <w:t>-3.814,67</w:t>
            </w:r>
          </w:p>
          <w:p w:rsidR="00E23B86" w:rsidRDefault="00BA7C13">
            <w:pPr>
              <w:spacing w:after="0"/>
              <w:ind w:left="1"/>
            </w:pPr>
            <w:r>
              <w:rPr>
                <w:rFonts w:ascii="Arial" w:eastAsia="Arial" w:hAnsi="Arial" w:cs="Arial"/>
              </w:rPr>
              <w:t>Euros</w:t>
            </w:r>
          </w:p>
        </w:tc>
      </w:tr>
      <w:tr w:rsidR="00E23B86">
        <w:trPr>
          <w:trHeight w:val="888"/>
        </w:trPr>
        <w:tc>
          <w:tcPr>
            <w:tcW w:w="15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b/>
              </w:rPr>
              <w:t xml:space="preserve">3.- Tasas y </w:t>
            </w:r>
          </w:p>
          <w:p w:rsidR="00E23B86" w:rsidRDefault="00BA7C13">
            <w:pPr>
              <w:spacing w:after="0"/>
            </w:pPr>
            <w:r>
              <w:rPr>
                <w:rFonts w:ascii="Arial" w:eastAsia="Arial" w:hAnsi="Arial" w:cs="Arial"/>
                <w:b/>
              </w:rPr>
              <w:t xml:space="preserve">Otros </w:t>
            </w:r>
          </w:p>
          <w:p w:rsidR="00E23B86" w:rsidRDefault="00BA7C13">
            <w:pPr>
              <w:spacing w:after="0"/>
            </w:pPr>
            <w:r>
              <w:rPr>
                <w:rFonts w:ascii="Arial" w:eastAsia="Arial" w:hAnsi="Arial" w:cs="Arial"/>
                <w:b/>
              </w:rPr>
              <w:t>Ingresos</w:t>
            </w:r>
          </w:p>
        </w:tc>
        <w:tc>
          <w:tcPr>
            <w:tcW w:w="1867"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2.497.963,94 Euros.</w:t>
            </w:r>
          </w:p>
        </w:tc>
        <w:tc>
          <w:tcPr>
            <w:tcW w:w="165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 xml:space="preserve">2.045.891,43 </w:t>
            </w:r>
          </w:p>
          <w:p w:rsidR="00E23B86" w:rsidRDefault="00BA7C13">
            <w:pPr>
              <w:spacing w:after="0"/>
            </w:pPr>
            <w:r>
              <w:rPr>
                <w:rFonts w:ascii="Arial" w:eastAsia="Arial" w:hAnsi="Arial" w:cs="Arial"/>
              </w:rPr>
              <w:t>Euros</w:t>
            </w:r>
          </w:p>
        </w:tc>
        <w:tc>
          <w:tcPr>
            <w:tcW w:w="2088"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259"/>
            </w:pPr>
            <w:r>
              <w:rPr>
                <w:rFonts w:ascii="Arial" w:eastAsia="Arial" w:hAnsi="Arial" w:cs="Arial"/>
              </w:rPr>
              <w:t>168.390,09  Euros.</w:t>
            </w:r>
          </w:p>
        </w:tc>
        <w:tc>
          <w:tcPr>
            <w:tcW w:w="2402" w:type="dxa"/>
            <w:tcBorders>
              <w:top w:val="single" w:sz="4" w:space="0" w:color="000001"/>
              <w:left w:val="single" w:sz="4" w:space="0" w:color="000001"/>
              <w:bottom w:val="single" w:sz="4" w:space="0" w:color="000001"/>
              <w:right w:val="single" w:sz="5" w:space="0" w:color="000001"/>
            </w:tcBorders>
          </w:tcPr>
          <w:p w:rsidR="00E23B86" w:rsidRDefault="00BA7C13">
            <w:pPr>
              <w:spacing w:after="99"/>
              <w:ind w:left="1"/>
            </w:pPr>
            <w:r>
              <w:rPr>
                <w:rFonts w:ascii="Arial" w:eastAsia="Arial" w:hAnsi="Arial" w:cs="Arial"/>
              </w:rPr>
              <w:t>-283.682,42</w:t>
            </w:r>
          </w:p>
          <w:p w:rsidR="00E23B86" w:rsidRDefault="00BA7C13">
            <w:pPr>
              <w:spacing w:after="0"/>
              <w:ind w:left="1"/>
            </w:pPr>
            <w:r>
              <w:rPr>
                <w:rFonts w:ascii="Arial" w:eastAsia="Arial" w:hAnsi="Arial" w:cs="Arial"/>
              </w:rPr>
              <w:t>Euros</w:t>
            </w:r>
          </w:p>
        </w:tc>
      </w:tr>
      <w:tr w:rsidR="00E23B86">
        <w:trPr>
          <w:trHeight w:val="637"/>
        </w:trPr>
        <w:tc>
          <w:tcPr>
            <w:tcW w:w="155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b/>
              </w:rPr>
              <w:t>TOTAL</w:t>
            </w:r>
          </w:p>
        </w:tc>
        <w:tc>
          <w:tcPr>
            <w:tcW w:w="1867"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15.694.015,38 Euros.</w:t>
            </w:r>
          </w:p>
        </w:tc>
        <w:tc>
          <w:tcPr>
            <w:tcW w:w="1656"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 xml:space="preserve">15.025.447,80 </w:t>
            </w:r>
          </w:p>
          <w:p w:rsidR="00E23B86" w:rsidRDefault="00BA7C13">
            <w:pPr>
              <w:spacing w:after="0"/>
            </w:pPr>
            <w:r>
              <w:rPr>
                <w:rFonts w:ascii="Arial" w:eastAsia="Arial" w:hAnsi="Arial" w:cs="Arial"/>
              </w:rPr>
              <w:t>Euros</w:t>
            </w:r>
          </w:p>
        </w:tc>
        <w:tc>
          <w:tcPr>
            <w:tcW w:w="208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556.026,68 Euros.</w:t>
            </w:r>
          </w:p>
        </w:tc>
        <w:tc>
          <w:tcPr>
            <w:tcW w:w="240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- 315.858,18 Euros</w:t>
            </w:r>
          </w:p>
        </w:tc>
      </w:tr>
    </w:tbl>
    <w:p w:rsidR="00E23B86" w:rsidRDefault="00BA7C13">
      <w:pPr>
        <w:spacing w:after="485" w:line="249" w:lineRule="auto"/>
        <w:ind w:left="347" w:right="566" w:hanging="10"/>
        <w:jc w:val="both"/>
      </w:pPr>
      <w:r>
        <w:rPr>
          <w:rFonts w:ascii="Arial" w:eastAsia="Arial" w:hAnsi="Arial" w:cs="Arial"/>
          <w:b/>
          <w:i/>
        </w:rPr>
        <w:t>2.- Tratamiento de las Entregas a cuenta de Impuestos cedidos y Fondo Complementario de Financiación.</w:t>
      </w:r>
    </w:p>
    <w:p w:rsidR="00E23B86" w:rsidRDefault="00BA7C13">
      <w:pPr>
        <w:spacing w:after="485" w:line="248" w:lineRule="auto"/>
        <w:ind w:left="363" w:right="552" w:firstLine="1418"/>
        <w:jc w:val="both"/>
      </w:pPr>
      <w:r>
        <w:rPr>
          <w:rFonts w:ascii="Arial" w:eastAsia="Arial" w:hAnsi="Arial" w:cs="Arial"/>
        </w:rPr>
        <w:t>En principio, no debería generar práctica de ajuste alguno, salvo que la Corporación Local reconozca como ingreso un porcentaje distinto al de las entregas a cuenta, que no es el caso durante el presente ejercicio o cuando se aplica el criterio de caja y n</w:t>
      </w:r>
      <w:r>
        <w:rPr>
          <w:rFonts w:ascii="Arial" w:eastAsia="Arial" w:hAnsi="Arial" w:cs="Arial"/>
        </w:rPr>
        <w:t>o por el sistema de contraído previo. En contabilidad nacional, los pagos mensuales a cuenta de los impuestos cedidos y de los Fondos Complementario de Financiación se registran en el período en que se pagan por el Estado, y la liquidación definitiva resul</w:t>
      </w:r>
      <w:r>
        <w:rPr>
          <w:rFonts w:ascii="Arial" w:eastAsia="Arial" w:hAnsi="Arial" w:cs="Arial"/>
        </w:rPr>
        <w:t>tante, en el momento en que se determina su cuantía y se satisface.</w:t>
      </w:r>
    </w:p>
    <w:p w:rsidR="00E23B86" w:rsidRDefault="00BA7C13">
      <w:pPr>
        <w:spacing w:after="235" w:line="248" w:lineRule="auto"/>
        <w:ind w:left="363" w:right="552" w:firstLine="708"/>
        <w:jc w:val="both"/>
      </w:pPr>
      <w:r>
        <w:rPr>
          <w:noProof/>
        </w:rPr>
        <mc:AlternateContent>
          <mc:Choice Requires="wpg">
            <w:drawing>
              <wp:anchor distT="0" distB="0" distL="114300" distR="114300" simplePos="0" relativeHeight="2517073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9808" name="Group 51980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644" name="Rectangle 1264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2645" name="Rectangle 12645"/>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9808" style="width:12.7031pt;height:280.35pt;position:absolute;mso-position-horizontal-relative:page;mso-position-horizontal:absolute;margin-left:681.958pt;mso-position-vertical-relative:page;margin-top:531.65pt;" coordsize="1613,35604">
                <v:rect id="Rectangle 1264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645"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391 </w:t>
                        </w:r>
                      </w:p>
                    </w:txbxContent>
                  </v:textbox>
                </v:rect>
                <w10:wrap type="square"/>
              </v:group>
            </w:pict>
          </mc:Fallback>
        </mc:AlternateContent>
      </w:r>
      <w:r>
        <w:rPr>
          <w:rFonts w:ascii="Arial" w:eastAsia="Arial" w:hAnsi="Arial" w:cs="Arial"/>
        </w:rPr>
        <w:t>Otro ajuste que cabe realizar lo constituye el importe que se ha reintegrado durante 2019 al Estado en concepto de devolución de las liquidaciones negativas corre</w:t>
      </w:r>
      <w:r>
        <w:rPr>
          <w:rFonts w:ascii="Arial" w:eastAsia="Arial" w:hAnsi="Arial" w:cs="Arial"/>
        </w:rPr>
        <w:t xml:space="preserve">spondiente a los ejercicios 2008 y 2009 por el concepto de Participación en los Tributos del Estado, que opera sumándolo a los Derechos Reconocidos netos. Concretamente, que importa un total de 74.690,78 Euros: </w:t>
      </w:r>
    </w:p>
    <w:tbl>
      <w:tblPr>
        <w:tblStyle w:val="TableGrid"/>
        <w:tblW w:w="6639" w:type="dxa"/>
        <w:tblInd w:w="949" w:type="dxa"/>
        <w:tblCellMar>
          <w:top w:w="11" w:type="dxa"/>
          <w:left w:w="11" w:type="dxa"/>
          <w:bottom w:w="0" w:type="dxa"/>
          <w:right w:w="115" w:type="dxa"/>
        </w:tblCellMar>
        <w:tblLook w:val="04A0" w:firstRow="1" w:lastRow="0" w:firstColumn="1" w:lastColumn="0" w:noHBand="0" w:noVBand="1"/>
      </w:tblPr>
      <w:tblGrid>
        <w:gridCol w:w="4659"/>
        <w:gridCol w:w="1980"/>
      </w:tblGrid>
      <w:tr w:rsidR="00E23B86">
        <w:trPr>
          <w:trHeight w:val="381"/>
        </w:trPr>
        <w:tc>
          <w:tcPr>
            <w:tcW w:w="4659"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Devolución liquidación PIE 2008 en 2018</w:t>
            </w:r>
          </w:p>
        </w:tc>
        <w:tc>
          <w:tcPr>
            <w:tcW w:w="198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14.1</w:t>
            </w:r>
            <w:r>
              <w:rPr>
                <w:rFonts w:ascii="Arial" w:eastAsia="Arial" w:hAnsi="Arial" w:cs="Arial"/>
              </w:rPr>
              <w:t>15,84 (+)</w:t>
            </w:r>
          </w:p>
        </w:tc>
      </w:tr>
      <w:tr w:rsidR="00E23B86">
        <w:trPr>
          <w:trHeight w:val="385"/>
        </w:trPr>
        <w:tc>
          <w:tcPr>
            <w:tcW w:w="4659"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Devolución liquidación PIE 2009 en 2018</w:t>
            </w:r>
          </w:p>
        </w:tc>
        <w:tc>
          <w:tcPr>
            <w:tcW w:w="198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59.455,32 (+)</w:t>
            </w:r>
          </w:p>
        </w:tc>
      </w:tr>
    </w:tbl>
    <w:p w:rsidR="00E23B86" w:rsidRDefault="00BA7C13">
      <w:pPr>
        <w:spacing w:after="482" w:line="249" w:lineRule="auto"/>
        <w:ind w:left="347" w:right="566" w:hanging="10"/>
        <w:jc w:val="both"/>
      </w:pPr>
      <w:r>
        <w:rPr>
          <w:rFonts w:ascii="Arial" w:eastAsia="Arial" w:hAnsi="Arial" w:cs="Arial"/>
          <w:b/>
          <w:i/>
        </w:rPr>
        <w:t>3.- Gastos de Intereses</w:t>
      </w:r>
    </w:p>
    <w:p w:rsidR="00E23B86" w:rsidRDefault="00BA7C13">
      <w:pPr>
        <w:spacing w:after="110" w:line="248" w:lineRule="auto"/>
        <w:ind w:left="373" w:right="552" w:hanging="10"/>
        <w:jc w:val="both"/>
      </w:pPr>
      <w:r>
        <w:rPr>
          <w:rFonts w:ascii="Arial" w:eastAsia="Arial" w:hAnsi="Arial" w:cs="Arial"/>
        </w:rPr>
        <w:t xml:space="preserve"> </w:t>
      </w:r>
      <w:r>
        <w:rPr>
          <w:rFonts w:ascii="Arial" w:eastAsia="Arial" w:hAnsi="Arial" w:cs="Arial"/>
        </w:rP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rPr>
          <w:rFonts w:ascii="Arial" w:eastAsia="Arial" w:hAnsi="Arial" w:cs="Arial"/>
        </w:rPr>
        <w:t>por lo que esta diferencia en la aplicación de los criterios de caja y de devengo, da lugar al siguiente ajuste por intereses.</w:t>
      </w:r>
    </w:p>
    <w:tbl>
      <w:tblPr>
        <w:tblStyle w:val="TableGrid"/>
        <w:tblW w:w="9743" w:type="dxa"/>
        <w:tblInd w:w="411" w:type="dxa"/>
        <w:tblCellMar>
          <w:top w:w="11" w:type="dxa"/>
          <w:left w:w="11" w:type="dxa"/>
          <w:bottom w:w="0" w:type="dxa"/>
          <w:right w:w="31" w:type="dxa"/>
        </w:tblCellMar>
        <w:tblLook w:val="04A0" w:firstRow="1" w:lastRow="0" w:firstColumn="1" w:lastColumn="0" w:noHBand="0" w:noVBand="1"/>
      </w:tblPr>
      <w:tblGrid>
        <w:gridCol w:w="2672"/>
        <w:gridCol w:w="3485"/>
        <w:gridCol w:w="3586"/>
      </w:tblGrid>
      <w:tr w:rsidR="00E23B86">
        <w:trPr>
          <w:trHeight w:val="1141"/>
        </w:trPr>
        <w:tc>
          <w:tcPr>
            <w:tcW w:w="2672" w:type="dxa"/>
            <w:tcBorders>
              <w:top w:val="single" w:sz="4" w:space="0" w:color="000001"/>
              <w:left w:val="single" w:sz="4" w:space="0" w:color="000001"/>
              <w:bottom w:val="single" w:sz="4" w:space="0" w:color="000001"/>
              <w:right w:val="single" w:sz="4" w:space="0" w:color="000001"/>
            </w:tcBorders>
          </w:tcPr>
          <w:p w:rsidR="00E23B86" w:rsidRDefault="00E23B86"/>
        </w:tc>
        <w:tc>
          <w:tcPr>
            <w:tcW w:w="3485"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Ajustes positivos por diferencia entre obligaciones reconocidas y devengadas en Liquidación Pto 2019</w:t>
            </w:r>
          </w:p>
        </w:tc>
        <w:tc>
          <w:tcPr>
            <w:tcW w:w="358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Ajustes negativos por difer</w:t>
            </w:r>
            <w:r>
              <w:rPr>
                <w:rFonts w:ascii="Arial" w:eastAsia="Arial" w:hAnsi="Arial" w:cs="Arial"/>
                <w:b/>
              </w:rPr>
              <w:t>encia entre obligaciones reconocidas y devengadas en Liquidación Pto 2019</w:t>
            </w:r>
          </w:p>
        </w:tc>
      </w:tr>
      <w:tr w:rsidR="00E23B86">
        <w:trPr>
          <w:trHeight w:val="382"/>
        </w:trPr>
        <w:tc>
          <w:tcPr>
            <w:tcW w:w="267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b/>
              </w:rPr>
              <w:t>1.-Préstamo 301516-53</w:t>
            </w:r>
          </w:p>
        </w:tc>
        <w:tc>
          <w:tcPr>
            <w:tcW w:w="3485"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189,83 Euros</w:t>
            </w:r>
          </w:p>
        </w:tc>
        <w:tc>
          <w:tcPr>
            <w:tcW w:w="358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244,73 Euros</w:t>
            </w:r>
          </w:p>
        </w:tc>
      </w:tr>
      <w:tr w:rsidR="00E23B86">
        <w:trPr>
          <w:trHeight w:val="384"/>
        </w:trPr>
        <w:tc>
          <w:tcPr>
            <w:tcW w:w="267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b/>
              </w:rPr>
              <w:t>6.-Préstamo 15953</w:t>
            </w:r>
          </w:p>
        </w:tc>
        <w:tc>
          <w:tcPr>
            <w:tcW w:w="3485"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256,69 Euros</w:t>
            </w:r>
          </w:p>
        </w:tc>
        <w:tc>
          <w:tcPr>
            <w:tcW w:w="358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224,90 Euros</w:t>
            </w:r>
          </w:p>
        </w:tc>
      </w:tr>
      <w:tr w:rsidR="00E23B86">
        <w:trPr>
          <w:trHeight w:val="383"/>
        </w:trPr>
        <w:tc>
          <w:tcPr>
            <w:tcW w:w="267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left="1"/>
            </w:pPr>
            <w:r>
              <w:rPr>
                <w:rFonts w:ascii="Arial" w:eastAsia="Arial" w:hAnsi="Arial" w:cs="Arial"/>
                <w:b/>
              </w:rPr>
              <w:t>TOTAL</w:t>
            </w:r>
          </w:p>
        </w:tc>
        <w:tc>
          <w:tcPr>
            <w:tcW w:w="3485"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446,52 Euros</w:t>
            </w:r>
          </w:p>
        </w:tc>
        <w:tc>
          <w:tcPr>
            <w:tcW w:w="3586"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469,63 Euros</w:t>
            </w:r>
          </w:p>
        </w:tc>
      </w:tr>
    </w:tbl>
    <w:p w:rsidR="00E23B86" w:rsidRDefault="00BA7C13">
      <w:pPr>
        <w:spacing w:after="482" w:line="249" w:lineRule="auto"/>
        <w:ind w:left="347" w:right="566" w:hanging="10"/>
        <w:jc w:val="both"/>
      </w:pPr>
      <w:r>
        <w:rPr>
          <w:rFonts w:ascii="Arial" w:eastAsia="Arial" w:hAnsi="Arial" w:cs="Arial"/>
          <w:b/>
          <w:i/>
        </w:rPr>
        <w:t>4.- Inversiones realizadas por el sistema de abono total del precio.</w:t>
      </w:r>
    </w:p>
    <w:p w:rsidR="00E23B86" w:rsidRDefault="00BA7C13">
      <w:pPr>
        <w:spacing w:after="485" w:line="248" w:lineRule="auto"/>
        <w:ind w:left="363" w:right="552" w:firstLine="708"/>
        <w:jc w:val="both"/>
      </w:pPr>
      <w:r>
        <w:rPr>
          <w:rFonts w:ascii="Arial" w:eastAsia="Arial" w:hAnsi="Arial" w:cs="Arial"/>
        </w:rPr>
        <w:t>Se trata de un pago único en el momento de terminar la obra, obligándose el contratista a financiar la construcción. El tratamiento presupuestario imputa el coste de la obra en el ejercic</w:t>
      </w:r>
      <w:r>
        <w:rPr>
          <w:rFonts w:ascii="Arial" w:eastAsia="Arial" w:hAnsi="Arial" w:cs="Arial"/>
        </w:rPr>
        <w:t>io en el que se produce la entrega y recepción de la misma e incluye la inversión y gastos financieros asociados en el momento de la entrega, mientras que la Contabilidad Nacional, determina que la Corporación Local calcula la inversión en curso al final d</w:t>
      </w:r>
      <w:r>
        <w:rPr>
          <w:rFonts w:ascii="Arial" w:eastAsia="Arial" w:hAnsi="Arial" w:cs="Arial"/>
        </w:rPr>
        <w:t xml:space="preserve">e cada ejercicio según grado de ejecución de la obra y que se deriva del contrato. </w:t>
      </w:r>
    </w:p>
    <w:p w:rsidR="00E23B86" w:rsidRDefault="00BA7C13">
      <w:pPr>
        <w:spacing w:after="485" w:line="248" w:lineRule="auto"/>
        <w:ind w:left="363" w:right="552" w:firstLine="708"/>
        <w:jc w:val="both"/>
      </w:pPr>
      <w:r>
        <w:rPr>
          <w:rFonts w:ascii="Arial" w:eastAsia="Arial" w:hAnsi="Arial" w:cs="Arial"/>
        </w:rPr>
        <w:t xml:space="preserve">En el supuesto que existiese fraccionamiento en el pago a partir de la entrega de la obra, no afecta a la Contabilidad Nacional, pero en el presupuesto, se imputa el coste </w:t>
      </w:r>
      <w:r>
        <w:rPr>
          <w:rFonts w:ascii="Arial" w:eastAsia="Arial" w:hAnsi="Arial" w:cs="Arial"/>
        </w:rPr>
        <w:t>de la inversión cuando se registra la obligación reconocida y el pago.</w:t>
      </w:r>
    </w:p>
    <w:p w:rsidR="00E23B86" w:rsidRDefault="00BA7C13">
      <w:pPr>
        <w:spacing w:after="483" w:line="248" w:lineRule="auto"/>
        <w:ind w:left="373" w:right="552" w:hanging="10"/>
        <w:jc w:val="both"/>
      </w:pPr>
      <w:r>
        <w:rPr>
          <w:noProof/>
        </w:rPr>
        <mc:AlternateContent>
          <mc:Choice Requires="wpg">
            <w:drawing>
              <wp:anchor distT="0" distB="0" distL="114300" distR="114300" simplePos="0" relativeHeight="2517084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8728" name="Group 49872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770" name="Rectangle 1277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2771" name="Rectangle 12771"/>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49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8728" style="width:12.7031pt;height:280.35pt;position:absolute;mso-position-horizontal-relative:page;mso-position-horizontal:absolute;margin-left:681.958pt;mso-position-vertical-relative:page;margin-top:531.65pt;" coordsize="1613,35604">
                <v:rect id="Rectangle 1277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771"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391 </w:t>
                        </w:r>
                      </w:p>
                    </w:txbxContent>
                  </v:textbox>
                </v:rect>
                <w10:wrap type="square"/>
              </v:group>
            </w:pict>
          </mc:Fallback>
        </mc:AlternateContent>
      </w:r>
      <w:r>
        <w:rPr>
          <w:rFonts w:ascii="Arial" w:eastAsia="Arial" w:hAnsi="Arial" w:cs="Arial"/>
        </w:rPr>
        <w:t>No se ha realizado esta operación en el ejercicio 2019.</w:t>
      </w:r>
    </w:p>
    <w:p w:rsidR="00E23B86" w:rsidRDefault="00BA7C13">
      <w:pPr>
        <w:spacing w:after="482" w:line="249" w:lineRule="auto"/>
        <w:ind w:left="347" w:right="566" w:hanging="10"/>
        <w:jc w:val="both"/>
      </w:pPr>
      <w:r>
        <w:rPr>
          <w:rFonts w:ascii="Arial" w:eastAsia="Arial" w:hAnsi="Arial" w:cs="Arial"/>
          <w:b/>
          <w:i/>
        </w:rPr>
        <w:t>5.- Inversiones realizadas por cuenta de la Corporación Local.</w:t>
      </w:r>
    </w:p>
    <w:p w:rsidR="00E23B86" w:rsidRDefault="00BA7C13">
      <w:pPr>
        <w:spacing w:after="485" w:line="248" w:lineRule="auto"/>
        <w:ind w:left="363" w:right="552" w:firstLine="708"/>
        <w:jc w:val="both"/>
      </w:pPr>
      <w:r>
        <w:rPr>
          <w:rFonts w:ascii="Arial" w:eastAsia="Arial" w:hAnsi="Arial" w:cs="Arial"/>
        </w:rPr>
        <w:t>Tiene lugar cuando se encomienda por la Cor</w:t>
      </w:r>
      <w:r>
        <w:rPr>
          <w:rFonts w:ascii="Arial" w:eastAsia="Arial" w:hAnsi="Arial" w:cs="Arial"/>
        </w:rPr>
        <w:t xml:space="preserve">poración Local a la sociedad municipal dependiente, la realización de inversión por cuenta del Ayuntamiento y que será traspasada al balance de éste último a su término. Durante la construcción, la sociedad municipal recoge el importe de la inversión como </w:t>
      </w:r>
      <w:r>
        <w:rPr>
          <w:rFonts w:ascii="Arial" w:eastAsia="Arial" w:hAnsi="Arial" w:cs="Arial"/>
        </w:rPr>
        <w:t>activo circulante y la Corporación, no registra ninguna operación. Finalizada la inversión, se entrega a la Corporación Local que realiza los pagos a la empresa que ejecutó el encargo.</w:t>
      </w:r>
    </w:p>
    <w:p w:rsidR="00E23B86" w:rsidRDefault="00BA7C13">
      <w:pPr>
        <w:spacing w:after="110" w:line="248" w:lineRule="auto"/>
        <w:ind w:left="363" w:right="552" w:firstLine="708"/>
        <w:jc w:val="both"/>
      </w:pPr>
      <w:r>
        <w:rPr>
          <w:rFonts w:ascii="Arial" w:eastAsia="Arial" w:hAnsi="Arial" w:cs="Arial"/>
        </w:rPr>
        <w:t xml:space="preserve">El tratamiento presupuestario refleja el pago en el presupuesto por la </w:t>
      </w:r>
      <w:r>
        <w:rPr>
          <w:rFonts w:ascii="Arial" w:eastAsia="Arial" w:hAnsi="Arial" w:cs="Arial"/>
        </w:rPr>
        <w:t>transferencia a la empresa, bien por el capítulo VI de inversiones reales o capítulo VII, de transferencias de capital. Por el contrario, el tratamiento de la Contabilidad Nacional, refleja el registro en el momento que se inicia la ejecución y hasta la fi</w:t>
      </w:r>
      <w:r>
        <w:rPr>
          <w:rFonts w:ascii="Arial" w:eastAsia="Arial" w:hAnsi="Arial" w:cs="Arial"/>
        </w:rPr>
        <w:t>nalización de la obra.</w:t>
      </w:r>
    </w:p>
    <w:p w:rsidR="00E23B86" w:rsidRDefault="00BA7C13">
      <w:pPr>
        <w:spacing w:after="483" w:line="248" w:lineRule="auto"/>
        <w:ind w:left="1070" w:right="552" w:hanging="10"/>
        <w:jc w:val="both"/>
      </w:pPr>
      <w:r>
        <w:rPr>
          <w:rFonts w:ascii="Arial" w:eastAsia="Arial" w:hAnsi="Arial" w:cs="Arial"/>
        </w:rPr>
        <w:t>No se ha realizado esta operación en el ejercicio 2019.</w:t>
      </w:r>
    </w:p>
    <w:p w:rsidR="00E23B86" w:rsidRDefault="00BA7C13">
      <w:pPr>
        <w:spacing w:after="482" w:line="249" w:lineRule="auto"/>
        <w:ind w:left="347" w:right="566" w:hanging="10"/>
        <w:jc w:val="both"/>
      </w:pPr>
      <w:r>
        <w:rPr>
          <w:rFonts w:ascii="Arial" w:eastAsia="Arial" w:hAnsi="Arial" w:cs="Arial"/>
          <w:b/>
          <w:i/>
        </w:rPr>
        <w:t>6.- Consolidación de transferencias entre Administraciones Públicas.</w:t>
      </w:r>
    </w:p>
    <w:p w:rsidR="00E23B86" w:rsidRDefault="00BA7C13">
      <w:pPr>
        <w:spacing w:after="485" w:line="248" w:lineRule="auto"/>
        <w:ind w:left="363" w:right="552" w:firstLine="708"/>
        <w:jc w:val="both"/>
      </w:pPr>
      <w:r>
        <w:rPr>
          <w:rFonts w:ascii="Arial" w:eastAsia="Arial" w:hAnsi="Arial" w:cs="Arial"/>
        </w:rPr>
        <w:t>Se deben eliminar las transferencias dadas y recibidas entre unidades de una misma Corporación Local y entes</w:t>
      </w:r>
      <w:r>
        <w:rPr>
          <w:rFonts w:ascii="Arial" w:eastAsia="Arial" w:hAnsi="Arial" w:cs="Arial"/>
        </w:rPr>
        <w:t xml:space="preserve"> instrumentales, ya que a efectos de la Contabilidad Nacional, se consideran Administraciones Públicas.</w:t>
      </w:r>
    </w:p>
    <w:p w:rsidR="00E23B86" w:rsidRDefault="00BA7C13">
      <w:pPr>
        <w:spacing w:after="485" w:line="248" w:lineRule="auto"/>
        <w:ind w:left="363" w:right="552" w:firstLine="708"/>
        <w:jc w:val="both"/>
      </w:pPr>
      <w:r>
        <w:rPr>
          <w:rFonts w:ascii="Arial" w:eastAsia="Arial" w:hAnsi="Arial" w:cs="Arial"/>
        </w:rPr>
        <w:t>El tratamiento presupuestario, registra los gastos e ingresos en capítulo IV y VII de transferencias corrientes y de capital, respectivamente y, en la C</w:t>
      </w:r>
      <w:r>
        <w:rPr>
          <w:rFonts w:ascii="Arial" w:eastAsia="Arial" w:hAnsi="Arial" w:cs="Arial"/>
        </w:rPr>
        <w:t>ontabilidad Nacional, surgen diferencias cuando el beneficiario de la transferencia registra de forma distinta periodo, importe y concepto.</w:t>
      </w:r>
    </w:p>
    <w:p w:rsidR="00E23B86" w:rsidRDefault="00BA7C13">
      <w:pPr>
        <w:spacing w:after="485" w:line="248" w:lineRule="auto"/>
        <w:ind w:left="363" w:right="552" w:firstLine="708"/>
        <w:jc w:val="both"/>
      </w:pPr>
      <w:r>
        <w:rPr>
          <w:rFonts w:ascii="Arial" w:eastAsia="Arial" w:hAnsi="Arial" w:cs="Arial"/>
        </w:rPr>
        <w:t>La consolidación se practicará en la Cuenta General, cuando se agreguen los datos con los entes instrumentales. El a</w:t>
      </w:r>
      <w:r>
        <w:rPr>
          <w:rFonts w:ascii="Arial" w:eastAsia="Arial" w:hAnsi="Arial" w:cs="Arial"/>
        </w:rPr>
        <w:t>juste importa la cantidad de 1.237.504,46 Euros, procedentes de la transferencia del Ayuntamiento a Epelcan.</w:t>
      </w:r>
    </w:p>
    <w:p w:rsidR="00E23B86" w:rsidRDefault="00BA7C13">
      <w:pPr>
        <w:spacing w:after="485" w:line="249" w:lineRule="auto"/>
        <w:ind w:left="347" w:right="566" w:hanging="10"/>
        <w:jc w:val="both"/>
      </w:pPr>
      <w:r>
        <w:rPr>
          <w:rFonts w:ascii="Arial" w:eastAsia="Arial" w:hAnsi="Arial" w:cs="Arial"/>
          <w:b/>
          <w:i/>
        </w:rPr>
        <w:t>7.- Tratamiento de los ingresos obtenidos por la Venta de Acciones, por privatización de empresas.</w:t>
      </w:r>
    </w:p>
    <w:p w:rsidR="00E23B86" w:rsidRDefault="00BA7C13">
      <w:pPr>
        <w:spacing w:after="485" w:line="248" w:lineRule="auto"/>
        <w:ind w:left="363" w:right="552" w:firstLine="708"/>
        <w:jc w:val="both"/>
      </w:pPr>
      <w:r>
        <w:rPr>
          <w:noProof/>
        </w:rPr>
        <mc:AlternateContent>
          <mc:Choice Requires="wpg">
            <w:drawing>
              <wp:anchor distT="0" distB="0" distL="114300" distR="114300" simplePos="0" relativeHeight="2517094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3230" name="Group 48323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835" name="Rectangle 1283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w:t>
                              </w: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36" name="Rectangle 12836"/>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50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3230" style="width:12.7031pt;height:280.35pt;position:absolute;mso-position-horizontal-relative:page;mso-position-horizontal:absolute;margin-left:681.958pt;mso-position-vertical-relative:page;margin-top:531.65pt;" coordsize="1613,35604">
                <v:rect id="Rectangle 1283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836"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391 </w:t>
                        </w:r>
                      </w:p>
                    </w:txbxContent>
                  </v:textbox>
                </v:rect>
                <w10:wrap type="square"/>
              </v:group>
            </w:pict>
          </mc:Fallback>
        </mc:AlternateContent>
      </w:r>
      <w:r>
        <w:rPr>
          <w:rFonts w:ascii="Arial" w:eastAsia="Arial" w:hAnsi="Arial" w:cs="Arial"/>
        </w:rPr>
        <w:t>El tratamiento presupuestario, registra en cuentas no financieras de la Corporación en los capítulos I al VII de ingresos y la Contabilidad Nacional, igual pero en cuentas financieras, lo que origina un ajuste negativo (mayor déficit) en el saldo presupues</w:t>
      </w:r>
      <w:r>
        <w:rPr>
          <w:rFonts w:ascii="Arial" w:eastAsia="Arial" w:hAnsi="Arial" w:cs="Arial"/>
        </w:rPr>
        <w:t>tario.</w:t>
      </w:r>
    </w:p>
    <w:p w:rsidR="00E23B86" w:rsidRDefault="00BA7C13">
      <w:pPr>
        <w:spacing w:after="483" w:line="248" w:lineRule="auto"/>
        <w:ind w:left="1070" w:right="552" w:hanging="10"/>
        <w:jc w:val="both"/>
      </w:pPr>
      <w:r>
        <w:rPr>
          <w:rFonts w:ascii="Arial" w:eastAsia="Arial" w:hAnsi="Arial" w:cs="Arial"/>
        </w:rPr>
        <w:t>No se han realizado en el ejercicio venta de acciones.</w:t>
      </w:r>
    </w:p>
    <w:p w:rsidR="00E23B86" w:rsidRDefault="00BA7C13">
      <w:pPr>
        <w:spacing w:after="113" w:line="249" w:lineRule="auto"/>
        <w:ind w:left="347" w:right="566" w:hanging="10"/>
        <w:jc w:val="both"/>
      </w:pPr>
      <w:r>
        <w:rPr>
          <w:rFonts w:ascii="Arial" w:eastAsia="Arial" w:hAnsi="Arial" w:cs="Arial"/>
          <w:b/>
          <w:i/>
        </w:rPr>
        <w:t>8.- Tratamiento de la Contabilidad Nacional de Dividendos y Participaciones en Beneficios.</w:t>
      </w:r>
    </w:p>
    <w:p w:rsidR="00E23B86" w:rsidRDefault="00BA7C13">
      <w:pPr>
        <w:spacing w:after="110" w:line="248" w:lineRule="auto"/>
        <w:ind w:left="363" w:right="552" w:firstLine="708"/>
        <w:jc w:val="both"/>
      </w:pPr>
      <w:r>
        <w:rPr>
          <w:rFonts w:ascii="Arial" w:eastAsia="Arial" w:hAnsi="Arial" w:cs="Arial"/>
        </w:rPr>
        <w:t xml:space="preserve">El tratamiento presupuestario y de la Contabilidad Nacional de esta operación, registra los dividendos </w:t>
      </w:r>
      <w:r>
        <w:rPr>
          <w:rFonts w:ascii="Arial" w:eastAsia="Arial" w:hAnsi="Arial" w:cs="Arial"/>
        </w:rPr>
        <w:t>en el capítulo V de ingresos, en el ejercicio de cobro de los mismos, por lo que no hay ajuste negativo o positivo, ya que se consideran transferencias entre Administraciones Públicas.</w:t>
      </w:r>
    </w:p>
    <w:p w:rsidR="00E23B86" w:rsidRDefault="00BA7C13">
      <w:pPr>
        <w:spacing w:after="483" w:line="248" w:lineRule="auto"/>
        <w:ind w:left="1070" w:right="552" w:hanging="10"/>
        <w:jc w:val="both"/>
      </w:pPr>
      <w:r>
        <w:rPr>
          <w:rFonts w:ascii="Arial" w:eastAsia="Arial" w:hAnsi="Arial" w:cs="Arial"/>
        </w:rPr>
        <w:t>No se han obtenido en el ejercicio dividendos.</w:t>
      </w:r>
    </w:p>
    <w:p w:rsidR="00E23B86" w:rsidRDefault="00BA7C13">
      <w:pPr>
        <w:spacing w:after="485" w:line="249" w:lineRule="auto"/>
        <w:ind w:left="347" w:right="566" w:hanging="10"/>
        <w:jc w:val="both"/>
      </w:pPr>
      <w:r>
        <w:rPr>
          <w:rFonts w:ascii="Arial" w:eastAsia="Arial" w:hAnsi="Arial" w:cs="Arial"/>
          <w:b/>
          <w:i/>
        </w:rPr>
        <w:t>9.- Ingresos obtenidos d</w:t>
      </w:r>
      <w:r>
        <w:rPr>
          <w:rFonts w:ascii="Arial" w:eastAsia="Arial" w:hAnsi="Arial" w:cs="Arial"/>
          <w:b/>
          <w:i/>
        </w:rPr>
        <w:t>el Presupuesto de la Unión Europea, a través de Fondos Estructurales o de Cohesión.</w:t>
      </w:r>
    </w:p>
    <w:p w:rsidR="00E23B86" w:rsidRDefault="00BA7C13">
      <w:pPr>
        <w:spacing w:after="110" w:line="248" w:lineRule="auto"/>
        <w:ind w:left="363" w:right="552" w:firstLine="708"/>
        <w:jc w:val="both"/>
      </w:pPr>
      <w:r>
        <w:rPr>
          <w:rFonts w:ascii="Arial" w:eastAsia="Arial" w:hAnsi="Arial" w:cs="Arial"/>
        </w:rPr>
        <w:t xml:space="preserve">El tratamiento presupuestario aplica el criterio de caja o de devengo de acuerdo con la previsión de recepción de fondos de la Unión Europea, en los capítulos IV o VII; El </w:t>
      </w:r>
      <w:r>
        <w:rPr>
          <w:rFonts w:ascii="Arial" w:eastAsia="Arial" w:hAnsi="Arial" w:cs="Arial"/>
        </w:rPr>
        <w:t>tratamiento presupuestario: Por el contrario, el tratamiento de la Contabilidad Nacional, aplica el criterio de devengo, según el ejercicio en el que se realiza el gasto.</w:t>
      </w:r>
    </w:p>
    <w:p w:rsidR="00E23B86" w:rsidRDefault="00BA7C13">
      <w:pPr>
        <w:spacing w:after="483" w:line="248" w:lineRule="auto"/>
        <w:ind w:left="1070" w:right="552" w:hanging="10"/>
        <w:jc w:val="both"/>
      </w:pPr>
      <w:r>
        <w:rPr>
          <w:rFonts w:ascii="Arial" w:eastAsia="Arial" w:hAnsi="Arial" w:cs="Arial"/>
        </w:rPr>
        <w:t>No se han obtenido en el ejercicio fondos estructurales de cohesión.</w:t>
      </w:r>
    </w:p>
    <w:p w:rsidR="00E23B86" w:rsidRDefault="00BA7C13">
      <w:pPr>
        <w:spacing w:after="108" w:line="249" w:lineRule="auto"/>
        <w:ind w:left="347" w:right="566" w:hanging="10"/>
        <w:jc w:val="both"/>
      </w:pPr>
      <w:r>
        <w:rPr>
          <w:rFonts w:ascii="Arial" w:eastAsia="Arial" w:hAnsi="Arial" w:cs="Arial"/>
          <w:b/>
          <w:i/>
        </w:rPr>
        <w:t>10.- Operaciones</w:t>
      </w:r>
      <w:r>
        <w:rPr>
          <w:rFonts w:ascii="Arial" w:eastAsia="Arial" w:hAnsi="Arial" w:cs="Arial"/>
          <w:b/>
          <w:i/>
        </w:rPr>
        <w:t xml:space="preserve"> de Permuta Financiera (Swaps).</w:t>
      </w:r>
    </w:p>
    <w:p w:rsidR="00E23B86" w:rsidRDefault="00BA7C13">
      <w:pPr>
        <w:spacing w:after="110" w:line="248" w:lineRule="auto"/>
        <w:ind w:left="363" w:right="552" w:firstLine="708"/>
        <w:jc w:val="both"/>
      </w:pPr>
      <w:r>
        <w:rPr>
          <w:rFonts w:ascii="Arial" w:eastAsia="Arial" w:hAnsi="Arial" w:cs="Arial"/>
        </w:rPr>
        <w:t>Se trata de un acuerdo contractual para intercambiar pagos que corresponde al mismo montante de endeudamiento.</w:t>
      </w:r>
    </w:p>
    <w:p w:rsidR="00E23B86" w:rsidRDefault="00BA7C13">
      <w:pPr>
        <w:spacing w:after="110" w:line="248" w:lineRule="auto"/>
        <w:ind w:left="363" w:right="552" w:firstLine="708"/>
        <w:jc w:val="both"/>
      </w:pPr>
      <w:r>
        <w:rPr>
          <w:rFonts w:ascii="Arial" w:eastAsia="Arial" w:hAnsi="Arial" w:cs="Arial"/>
        </w:rPr>
        <w:t>El tratamiento presupuestario no se ve afectado por la formalización del contrato y al final del ejercicio, se aj</w:t>
      </w:r>
      <w:r>
        <w:rPr>
          <w:rFonts w:ascii="Arial" w:eastAsia="Arial" w:hAnsi="Arial" w:cs="Arial"/>
        </w:rPr>
        <w:t>ustan la cuentas deudoras y acreedoras, pero si que afecta y se aplica al presupuesto, en el vencimiento de la operación, el resultado del contrato de permuta. Por el contrario, no se registra nada en la Contabilidad Nacional.</w:t>
      </w:r>
    </w:p>
    <w:p w:rsidR="00E23B86" w:rsidRDefault="00BA7C13">
      <w:pPr>
        <w:spacing w:after="483" w:line="248" w:lineRule="auto"/>
        <w:ind w:left="1070" w:right="552" w:hanging="10"/>
        <w:jc w:val="both"/>
      </w:pPr>
      <w:r>
        <w:rPr>
          <w:rFonts w:ascii="Arial" w:eastAsia="Arial" w:hAnsi="Arial" w:cs="Arial"/>
        </w:rPr>
        <w:t xml:space="preserve">No han realizado operaciones </w:t>
      </w:r>
      <w:r>
        <w:rPr>
          <w:rFonts w:ascii="Arial" w:eastAsia="Arial" w:hAnsi="Arial" w:cs="Arial"/>
        </w:rPr>
        <w:t>de permuta financiera.</w:t>
      </w:r>
    </w:p>
    <w:p w:rsidR="00E23B86" w:rsidRDefault="00BA7C13">
      <w:pPr>
        <w:spacing w:after="108" w:line="249" w:lineRule="auto"/>
        <w:ind w:left="347" w:right="566" w:hanging="10"/>
        <w:jc w:val="both"/>
      </w:pPr>
      <w:r>
        <w:rPr>
          <w:rFonts w:ascii="Arial" w:eastAsia="Arial" w:hAnsi="Arial" w:cs="Arial"/>
          <w:b/>
          <w:i/>
        </w:rPr>
        <w:t>11.- Operaciones de ejecución y reintegro de avales.</w:t>
      </w:r>
    </w:p>
    <w:p w:rsidR="00E23B86" w:rsidRDefault="00BA7C13">
      <w:pPr>
        <w:spacing w:after="110" w:line="248" w:lineRule="auto"/>
        <w:ind w:left="363" w:right="552" w:firstLine="708"/>
        <w:jc w:val="both"/>
      </w:pPr>
      <w:r>
        <w:rPr>
          <w:rFonts w:ascii="Arial" w:eastAsia="Arial" w:hAnsi="Arial" w:cs="Arial"/>
        </w:rPr>
        <w:t>Cuando la Corporación municipal avala a los entes instrumentales, que no genera anotación contable, salvo ejecución del aval que obliga al Ayuntamiento hacer frente al pago del mis</w:t>
      </w:r>
      <w:r>
        <w:rPr>
          <w:rFonts w:ascii="Arial" w:eastAsia="Arial" w:hAnsi="Arial" w:cs="Arial"/>
        </w:rPr>
        <w:t>mo, que ya tiene efectos contables.</w:t>
      </w:r>
    </w:p>
    <w:p w:rsidR="00E23B86" w:rsidRDefault="00BA7C13">
      <w:pPr>
        <w:spacing w:after="110" w:line="248" w:lineRule="auto"/>
        <w:ind w:left="363" w:right="552" w:firstLine="708"/>
        <w:jc w:val="both"/>
      </w:pPr>
      <w:r>
        <w:rPr>
          <w:rFonts w:ascii="Arial" w:eastAsia="Arial" w:hAnsi="Arial" w:cs="Arial"/>
        </w:rPr>
        <w:t>Así, en el tratamiento presupuestario, por la ejecución del aval, se imputa en el capítulo VIII de gastos y por la recuperación parcial o total, en el capítulo VIII de ingresos.</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104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3715" name="Group 48371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888" name="Rectangle 1288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2889" name="Rectangle 1288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51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3715" style="width:12.7031pt;height:280.35pt;position:absolute;mso-position-horizontal-relative:page;mso-position-horizontal:absolute;margin-left:681.958pt;mso-position-vertical-relative:page;margin-top:531.65pt;" coordsize="1613,35604">
                <v:rect id="Rectangle 1288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88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391 </w:t>
                        </w:r>
                      </w:p>
                    </w:txbxContent>
                  </v:textbox>
                </v:rect>
                <w10:wrap type="square"/>
              </v:group>
            </w:pict>
          </mc:Fallback>
        </mc:AlternateContent>
      </w:r>
      <w:r>
        <w:rPr>
          <w:rFonts w:ascii="Arial" w:eastAsia="Arial" w:hAnsi="Arial" w:cs="Arial"/>
        </w:rPr>
        <w:t>En la Contabilidad Nacional, por la ejecución del aval, asumen</w:t>
      </w:r>
      <w:r>
        <w:rPr>
          <w:rFonts w:ascii="Arial" w:eastAsia="Arial" w:hAnsi="Arial" w:cs="Arial"/>
        </w:rPr>
        <w:t xml:space="preserve"> una deuda la Entidad Local y supone un gasto de transferencia de capital, esto es, mayor gasto no financiero y mayor déficit para la Corporación.</w:t>
      </w:r>
    </w:p>
    <w:p w:rsidR="00E23B86" w:rsidRDefault="00BA7C13">
      <w:pPr>
        <w:spacing w:after="483" w:line="248" w:lineRule="auto"/>
        <w:ind w:left="1070" w:right="552" w:hanging="10"/>
        <w:jc w:val="both"/>
      </w:pPr>
      <w:r>
        <w:rPr>
          <w:rFonts w:ascii="Arial" w:eastAsia="Arial" w:hAnsi="Arial" w:cs="Arial"/>
        </w:rPr>
        <w:t>No se han ejecutado avales concedidos a los entes instrumentales.</w:t>
      </w:r>
    </w:p>
    <w:p w:rsidR="00E23B86" w:rsidRDefault="00BA7C13">
      <w:pPr>
        <w:spacing w:after="482" w:line="249" w:lineRule="auto"/>
        <w:ind w:left="347" w:right="566" w:hanging="10"/>
        <w:jc w:val="both"/>
      </w:pPr>
      <w:r>
        <w:rPr>
          <w:rFonts w:ascii="Arial" w:eastAsia="Arial" w:hAnsi="Arial" w:cs="Arial"/>
          <w:b/>
          <w:i/>
        </w:rPr>
        <w:t>12.- Aportaciones de capital a empresas púb</w:t>
      </w:r>
      <w:r>
        <w:rPr>
          <w:rFonts w:ascii="Arial" w:eastAsia="Arial" w:hAnsi="Arial" w:cs="Arial"/>
          <w:b/>
          <w:i/>
        </w:rPr>
        <w:t>licas.</w:t>
      </w:r>
    </w:p>
    <w:p w:rsidR="00E23B86" w:rsidRDefault="00BA7C13">
      <w:pPr>
        <w:spacing w:after="485" w:line="248" w:lineRule="auto"/>
        <w:ind w:left="363" w:right="552" w:firstLine="708"/>
        <w:jc w:val="both"/>
      </w:pPr>
      <w:r>
        <w:rPr>
          <w:rFonts w:ascii="Arial" w:eastAsia="Arial" w:hAnsi="Arial" w:cs="Arial"/>
        </w:rPr>
        <w:t>El tratamiento presupuestario lo aplica al capítulo VIII de gasto, sin afectar al déficit presupuestario no financiero y en la Contabilidad Nacional, lo refleja como operaciones de transferencias de capital entre Administraciones Públicas, tanto par</w:t>
      </w:r>
      <w:r>
        <w:rPr>
          <w:rFonts w:ascii="Arial" w:eastAsia="Arial" w:hAnsi="Arial" w:cs="Arial"/>
        </w:rPr>
        <w:t>a el Ayuntamiento como para la empresa municipal, esto, gastos no financieros, salvo que con cargo a dichas transferencias realice operaciones no financieras, aumentando el déficit.</w:t>
      </w:r>
    </w:p>
    <w:p w:rsidR="00E23B86" w:rsidRDefault="00BA7C13">
      <w:pPr>
        <w:spacing w:after="483" w:line="248" w:lineRule="auto"/>
        <w:ind w:left="1070" w:right="552" w:hanging="10"/>
        <w:jc w:val="both"/>
      </w:pPr>
      <w:r>
        <w:rPr>
          <w:rFonts w:ascii="Arial" w:eastAsia="Arial" w:hAnsi="Arial" w:cs="Arial"/>
        </w:rPr>
        <w:t>No se han realizado aportaciones de capital a empresas públicas.</w:t>
      </w:r>
    </w:p>
    <w:p w:rsidR="00E23B86" w:rsidRDefault="00BA7C13">
      <w:pPr>
        <w:spacing w:after="482" w:line="249" w:lineRule="auto"/>
        <w:ind w:left="347" w:right="566" w:hanging="10"/>
        <w:jc w:val="both"/>
      </w:pPr>
      <w:r>
        <w:rPr>
          <w:rFonts w:ascii="Arial" w:eastAsia="Arial" w:hAnsi="Arial" w:cs="Arial"/>
          <w:b/>
          <w:i/>
        </w:rPr>
        <w:t>13.- Asun</w:t>
      </w:r>
      <w:r>
        <w:rPr>
          <w:rFonts w:ascii="Arial" w:eastAsia="Arial" w:hAnsi="Arial" w:cs="Arial"/>
          <w:b/>
          <w:i/>
        </w:rPr>
        <w:t>ción y Cancelación de deudas con empresas públicas.</w:t>
      </w:r>
    </w:p>
    <w:p w:rsidR="00E23B86" w:rsidRDefault="00BA7C13">
      <w:pPr>
        <w:spacing w:after="110" w:line="248" w:lineRule="auto"/>
        <w:ind w:left="363" w:right="552" w:firstLine="708"/>
        <w:jc w:val="both"/>
      </w:pPr>
      <w:r>
        <w:rPr>
          <w:rFonts w:ascii="Arial" w:eastAsia="Arial" w:hAnsi="Arial" w:cs="Arial"/>
        </w:rPr>
        <w:t>La asunción de deudas es el acto por el que un ente se subroga como prestatario de una deuda previamente contraída por otro.</w:t>
      </w:r>
    </w:p>
    <w:p w:rsidR="00E23B86" w:rsidRDefault="00BA7C13">
      <w:pPr>
        <w:spacing w:after="110" w:line="248" w:lineRule="auto"/>
        <w:ind w:left="363" w:right="552" w:firstLine="708"/>
        <w:jc w:val="both"/>
      </w:pPr>
      <w:r>
        <w:rPr>
          <w:rFonts w:ascii="Arial" w:eastAsia="Arial" w:hAnsi="Arial" w:cs="Arial"/>
        </w:rPr>
        <w:t xml:space="preserve">En el presupuesto, la asunción de la deuda no tiene reflejo en la contabilidad </w:t>
      </w:r>
      <w:r>
        <w:rPr>
          <w:rFonts w:ascii="Arial" w:eastAsia="Arial" w:hAnsi="Arial" w:cs="Arial"/>
        </w:rPr>
        <w:t>presupuestaria, pero cuando se amortiza la deuda, se imputa al capítulo IX de gastos por la deuda y capítulo III, por los intereses vencidos. En la Contabilidad Nacional, la asunción, cancelación y condonación de deudas, de mutuo acuerdo, son transferencia</w:t>
      </w:r>
      <w:r>
        <w:rPr>
          <w:rFonts w:ascii="Arial" w:eastAsia="Arial" w:hAnsi="Arial" w:cs="Arial"/>
        </w:rPr>
        <w:t>s de capital, que afectan al déficit.</w:t>
      </w:r>
    </w:p>
    <w:p w:rsidR="00E23B86" w:rsidRDefault="00BA7C13">
      <w:pPr>
        <w:spacing w:after="483" w:line="248" w:lineRule="auto"/>
        <w:ind w:left="1070" w:right="552" w:hanging="10"/>
        <w:jc w:val="both"/>
      </w:pPr>
      <w:r>
        <w:rPr>
          <w:rFonts w:ascii="Arial" w:eastAsia="Arial" w:hAnsi="Arial" w:cs="Arial"/>
        </w:rPr>
        <w:t>No se han asumido ni cancelado deudas de empresas públicas.</w:t>
      </w:r>
    </w:p>
    <w:p w:rsidR="00E23B86" w:rsidRDefault="00BA7C13">
      <w:pPr>
        <w:spacing w:after="9" w:line="249" w:lineRule="auto"/>
        <w:ind w:left="347" w:right="566" w:hanging="10"/>
        <w:jc w:val="both"/>
      </w:pPr>
      <w:r>
        <w:rPr>
          <w:rFonts w:ascii="Arial" w:eastAsia="Arial" w:hAnsi="Arial" w:cs="Arial"/>
          <w:b/>
          <w:i/>
        </w:rPr>
        <w:t>14.- Gastos realizados en el ejercicio y pendientes de aplicar al Presupuesto de</w:t>
      </w:r>
    </w:p>
    <w:p w:rsidR="00E23B86" w:rsidRDefault="00BA7C13">
      <w:pPr>
        <w:spacing w:after="482" w:line="249" w:lineRule="auto"/>
        <w:ind w:left="347" w:right="566" w:hanging="10"/>
        <w:jc w:val="both"/>
      </w:pPr>
      <w:r>
        <w:rPr>
          <w:rFonts w:ascii="Arial" w:eastAsia="Arial" w:hAnsi="Arial" w:cs="Arial"/>
          <w:b/>
          <w:i/>
        </w:rPr>
        <w:t>Gastos de la Corporación Local</w:t>
      </w:r>
    </w:p>
    <w:p w:rsidR="00E23B86" w:rsidRDefault="00BA7C13">
      <w:pPr>
        <w:spacing w:after="110" w:line="248" w:lineRule="auto"/>
        <w:ind w:left="363" w:right="552" w:firstLine="708"/>
        <w:jc w:val="both"/>
      </w:pPr>
      <w:r>
        <w:rPr>
          <w:rFonts w:ascii="Arial" w:eastAsia="Arial" w:hAnsi="Arial" w:cs="Arial"/>
        </w:rPr>
        <w:t>A la fecha de cierre del ejercicio deben registrase aquellas obligaciones vencidas, líquidas y exigibles que se hayan producido, aun cuando no se hayan dictado los correspondientes actos administrativos de reconocimiento y liquidación, lo que impide su apl</w:t>
      </w:r>
      <w:r>
        <w:rPr>
          <w:rFonts w:ascii="Arial" w:eastAsia="Arial" w:hAnsi="Arial" w:cs="Arial"/>
        </w:rPr>
        <w:t xml:space="preserve">icación al presupuesto en vigor, que generalmente tiene lugar en el ejercicio siguiente, una vez se dicta el mencionado acto administrativo. Por el contrario, en el tratamiento de la contabilidad nacional, el principio de devengo, se aplica para registrar </w:t>
      </w:r>
      <w:r>
        <w:rPr>
          <w:rFonts w:ascii="Arial" w:eastAsia="Arial" w:hAnsi="Arial" w:cs="Arial"/>
        </w:rPr>
        <w:t>cualquier flujo económico, con independencia del momento en el que tiene lugar su imputación presupuestaria. Por tanto, si el saldo final de la cuenta es mayor o menor que el inicial, la diferencia dará lugar a un ajuste como mayor o menor gasto no financi</w:t>
      </w:r>
      <w:r>
        <w:rPr>
          <w:rFonts w:ascii="Arial" w:eastAsia="Arial" w:hAnsi="Arial" w:cs="Arial"/>
        </w:rPr>
        <w:t>ero en contabilidad nacional, aumentando o disminuyendo el déficit de la Corporación Local.</w:t>
      </w:r>
    </w:p>
    <w:p w:rsidR="00E23B86" w:rsidRDefault="00BA7C13">
      <w:pPr>
        <w:spacing w:after="485" w:line="248" w:lineRule="auto"/>
        <w:ind w:left="373" w:right="552" w:hanging="10"/>
        <w:jc w:val="both"/>
      </w:pPr>
      <w:r>
        <w:rPr>
          <w:noProof/>
        </w:rPr>
        <mc:AlternateContent>
          <mc:Choice Requires="wpg">
            <w:drawing>
              <wp:anchor distT="0" distB="0" distL="114300" distR="114300" simplePos="0" relativeHeight="2517114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3915" name="Group 48391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2949" name="Rectangle 1294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2950" name="Rectangle 12950"/>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w:t>
                              </w:r>
                              <w:r>
                                <w:rPr>
                                  <w:rFonts w:ascii="Arial" w:eastAsia="Arial" w:hAnsi="Arial" w:cs="Arial"/>
                                  <w:sz w:val="12"/>
                                </w:rPr>
                                <w:t xml:space="preserve">ico Gestiona | Página 52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3915" style="width:12.7031pt;height:280.35pt;position:absolute;mso-position-horizontal-relative:page;mso-position-horizontal:absolute;margin-left:681.958pt;mso-position-vertical-relative:page;margin-top:531.65pt;" coordsize="1613,35604">
                <v:rect id="Rectangle 1294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2950"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391 </w:t>
                        </w:r>
                      </w:p>
                    </w:txbxContent>
                  </v:textbox>
                </v:rect>
                <w10:wrap type="square"/>
              </v:group>
            </w:pict>
          </mc:Fallback>
        </mc:AlternateContent>
      </w:r>
      <w:r>
        <w:rPr>
          <w:rFonts w:ascii="Arial" w:eastAsia="Arial" w:hAnsi="Arial" w:cs="Arial"/>
        </w:rPr>
        <w:t xml:space="preserve"> No obstante, a través de la partida 413 de gastos pendientes de aplicar al presupuesto, hay que hacer un ajuste de 126.692,18 Euros, ya que el Saldo Final de la cuenta 41300, por importe de 367.681,25 Euros, es mayor que e</w:t>
      </w:r>
      <w:r>
        <w:rPr>
          <w:rFonts w:ascii="Arial" w:eastAsia="Arial" w:hAnsi="Arial" w:cs="Arial"/>
        </w:rPr>
        <w:t>l saldo inicial de la citada cuenta, que asciende a 494.373,43 Euros.</w:t>
      </w:r>
    </w:p>
    <w:p w:rsidR="00E23B86" w:rsidRDefault="00BA7C13">
      <w:pPr>
        <w:spacing w:after="482" w:line="249" w:lineRule="auto"/>
        <w:ind w:left="347" w:right="566" w:hanging="10"/>
        <w:jc w:val="both"/>
      </w:pPr>
      <w:r>
        <w:rPr>
          <w:rFonts w:ascii="Arial" w:eastAsia="Arial" w:hAnsi="Arial" w:cs="Arial"/>
          <w:b/>
          <w:i/>
        </w:rPr>
        <w:t>15.- Tratamiento de las operaciones de Censos.</w:t>
      </w:r>
    </w:p>
    <w:p w:rsidR="00E23B86" w:rsidRDefault="00BA7C13">
      <w:pPr>
        <w:spacing w:after="110" w:line="248" w:lineRule="auto"/>
        <w:ind w:left="363" w:right="552" w:firstLine="708"/>
        <w:jc w:val="both"/>
      </w:pPr>
      <w:r>
        <w:rPr>
          <w:rFonts w:ascii="Arial" w:eastAsia="Arial" w:hAnsi="Arial" w:cs="Arial"/>
        </w:rPr>
        <w:t>Los censos son prestaciones periódicas dinerarias anuales vinculadas a la propiedad de los inmuebles, que responde directamente de su pago.</w:t>
      </w:r>
      <w:r>
        <w:rPr>
          <w:rFonts w:ascii="Arial" w:eastAsia="Arial" w:hAnsi="Arial" w:cs="Arial"/>
        </w:rPr>
        <w:t xml:space="preserve"> El censatario es el obligado a pagar la pensión (Ayuntamiento) y censalista, el que tiene derecho a recibirla (banco).</w:t>
      </w:r>
    </w:p>
    <w:p w:rsidR="00E23B86" w:rsidRDefault="00BA7C13">
      <w:pPr>
        <w:spacing w:after="485" w:line="248" w:lineRule="auto"/>
        <w:ind w:left="363" w:right="552" w:firstLine="708"/>
        <w:jc w:val="both"/>
      </w:pPr>
      <w:r>
        <w:rPr>
          <w:rFonts w:ascii="Arial" w:eastAsia="Arial" w:hAnsi="Arial" w:cs="Arial"/>
        </w:rPr>
        <w:t xml:space="preserve">El tratamiento presupuestario registra en el capítulo VI de inversiones reales, los pagos periódicos de la operación de censo por parte </w:t>
      </w:r>
      <w:r>
        <w:rPr>
          <w:rFonts w:ascii="Arial" w:eastAsia="Arial" w:hAnsi="Arial" w:cs="Arial"/>
        </w:rPr>
        <w:t>del censatario y en el capítulo VI de ingresos por enajenación de inversiones reales, el capital recibido del censatario. Por tanto, los ingresos se registran con la constitución del censo (celebración del contrato) y los gastos, en los periodos fijados en</w:t>
      </w:r>
      <w:r>
        <w:rPr>
          <w:rFonts w:ascii="Arial" w:eastAsia="Arial" w:hAnsi="Arial" w:cs="Arial"/>
        </w:rPr>
        <w:t xml:space="preserve"> el contrato. En la Contabilidad Nacional, esta operación tiene carácter financiero y no afecta al déficit de la Corporación que la realiza.</w:t>
      </w:r>
    </w:p>
    <w:p w:rsidR="00E23B86" w:rsidRDefault="00BA7C13">
      <w:pPr>
        <w:spacing w:after="110" w:line="248" w:lineRule="auto"/>
        <w:ind w:left="363" w:right="552" w:firstLine="708"/>
        <w:jc w:val="both"/>
      </w:pPr>
      <w:r>
        <w:rPr>
          <w:rFonts w:ascii="Arial" w:eastAsia="Arial" w:hAnsi="Arial" w:cs="Arial"/>
        </w:rPr>
        <w:t>En contabilidad nacional, los pagos mensuales a cuenta de los impuestos cedidos y de los Fondos Complementario de F</w:t>
      </w:r>
      <w:r>
        <w:rPr>
          <w:rFonts w:ascii="Arial" w:eastAsia="Arial" w:hAnsi="Arial" w:cs="Arial"/>
        </w:rPr>
        <w:t>inanciación se registran en el período en que se pagan por el Estado, y la liquidación definitiva resultante, en el momento en que se determina su cuantía y se satisface.</w:t>
      </w:r>
    </w:p>
    <w:p w:rsidR="00E23B86" w:rsidRDefault="00BA7C13">
      <w:pPr>
        <w:spacing w:after="110" w:line="248" w:lineRule="auto"/>
        <w:ind w:left="373" w:right="552" w:hanging="10"/>
        <w:jc w:val="both"/>
      </w:pPr>
      <w:r>
        <w:rPr>
          <w:rFonts w:ascii="Arial" w:eastAsia="Arial" w:hAnsi="Arial" w:cs="Arial"/>
        </w:rPr>
        <w:t xml:space="preserve">    No ha habido este tipo de prestaciones en el ejercicio.</w:t>
      </w:r>
    </w:p>
    <w:p w:rsidR="00E23B86" w:rsidRDefault="00BA7C13">
      <w:pPr>
        <w:spacing w:after="110" w:line="248" w:lineRule="auto"/>
        <w:ind w:left="363" w:right="552" w:firstLine="708"/>
        <w:jc w:val="both"/>
      </w:pPr>
      <w:r>
        <w:rPr>
          <w:rFonts w:ascii="Arial" w:eastAsia="Arial" w:hAnsi="Arial" w:cs="Arial"/>
        </w:rPr>
        <w:t>Si la entidad está sometida al PGC, la capacidad o necesidad de financiación se calcula por la diferencia entre ingresos y gastos ajustados ambos al SEC.</w:t>
      </w:r>
    </w:p>
    <w:p w:rsidR="00E23B86" w:rsidRDefault="00BA7C13">
      <w:pPr>
        <w:spacing w:after="240" w:line="248" w:lineRule="auto"/>
        <w:ind w:left="363" w:right="552" w:firstLine="708"/>
        <w:jc w:val="both"/>
      </w:pPr>
      <w:r>
        <w:rPr>
          <w:noProof/>
        </w:rPr>
        <mc:AlternateContent>
          <mc:Choice Requires="wpg">
            <w:drawing>
              <wp:anchor distT="0" distB="0" distL="114300" distR="114300" simplePos="0" relativeHeight="251712512"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9721" name="Group 60972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3217" name="Rectangle 1321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3218" name="Rectangle 1321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53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9721" style="width:12.7031pt;height:280.35pt;position:absolute;mso-position-horizontal-relative:page;mso-position-horizontal:absolute;margin-left:681.958pt;mso-position-vertical-relative:page;margin-top:531.65pt;" coordsize="1613,35604">
                <v:rect id="Rectangle 1321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321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391 </w:t>
                        </w:r>
                      </w:p>
                    </w:txbxContent>
                  </v:textbox>
                </v:rect>
                <w10:wrap type="topAndBottom"/>
              </v:group>
            </w:pict>
          </mc:Fallback>
        </mc:AlternateContent>
      </w:r>
      <w:r>
        <w:rPr>
          <w:rFonts w:ascii="Arial" w:eastAsia="Arial" w:hAnsi="Arial" w:cs="Arial"/>
        </w:rPr>
        <w:t xml:space="preserve">       A continuación, se detalla en el siguiente cuadro, los derechos y obligaciones liquidadas en el ejercicio 2019, aplicando los ajustes anteriormente citado</w:t>
      </w:r>
      <w:r>
        <w:rPr>
          <w:rFonts w:ascii="Arial" w:eastAsia="Arial" w:hAnsi="Arial" w:cs="Arial"/>
        </w:rPr>
        <w:t>s, para así obtener el cálculo de la Capacidad o Necesidad de Financiación en la Liquidación del Presupuesto General del 2019:</w:t>
      </w:r>
    </w:p>
    <w:tbl>
      <w:tblPr>
        <w:tblStyle w:val="TableGrid"/>
        <w:tblW w:w="9080" w:type="dxa"/>
        <w:tblInd w:w="325" w:type="dxa"/>
        <w:tblCellMar>
          <w:top w:w="15" w:type="dxa"/>
          <w:left w:w="11" w:type="dxa"/>
          <w:bottom w:w="0" w:type="dxa"/>
          <w:right w:w="44" w:type="dxa"/>
        </w:tblCellMar>
        <w:tblLook w:val="04A0" w:firstRow="1" w:lastRow="0" w:firstColumn="1" w:lastColumn="0" w:noHBand="0" w:noVBand="1"/>
      </w:tblPr>
      <w:tblGrid>
        <w:gridCol w:w="6977"/>
        <w:gridCol w:w="2103"/>
      </w:tblGrid>
      <w:tr w:rsidR="00E23B86">
        <w:trPr>
          <w:trHeight w:val="493"/>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b/>
              </w:rPr>
              <w:t>CONCEPTOS</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IMPORTES</w:t>
            </w:r>
          </w:p>
        </w:tc>
      </w:tr>
      <w:tr w:rsidR="00E23B86">
        <w:trPr>
          <w:trHeight w:val="46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a) Derechos Reconocidos capítulos. I a VII presupuesto corriente</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29.595.138,66 €</w:t>
            </w:r>
          </w:p>
        </w:tc>
      </w:tr>
      <w:tr w:rsidR="00E23B86">
        <w:trPr>
          <w:trHeight w:val="46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b) Obligaciones Reconocidas capítulos I a VII presupuesto corriente</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23.161.397,35 €</w:t>
            </w:r>
          </w:p>
        </w:tc>
      </w:tr>
      <w:tr w:rsidR="00E23B86">
        <w:trPr>
          <w:trHeight w:val="392"/>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b/>
              </w:rPr>
              <w:t>TOTAL (a – b)</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b/>
              </w:rPr>
              <w:t>6.433.741,31 €</w:t>
            </w:r>
          </w:p>
        </w:tc>
      </w:tr>
      <w:tr w:rsidR="00E23B86">
        <w:trPr>
          <w:trHeight w:val="39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b/>
              </w:rPr>
              <w:t>AJUSTES</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 xml:space="preserve"> </w:t>
            </w:r>
          </w:p>
        </w:tc>
      </w:tr>
      <w:tr w:rsidR="00E23B86">
        <w:trPr>
          <w:trHeight w:val="392"/>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 Ajustes recaudación capítulo 1</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- 28.361,09 €</w:t>
            </w:r>
          </w:p>
        </w:tc>
      </w:tr>
      <w:tr w:rsidR="00E23B86">
        <w:trPr>
          <w:trHeight w:val="39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2) Ajustes recaudación capítulo 2</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- 3.814,67 €</w:t>
            </w:r>
          </w:p>
        </w:tc>
      </w:tr>
      <w:tr w:rsidR="00E23B86">
        <w:trPr>
          <w:trHeight w:val="392"/>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3) Ajustes recaudación capítulo 3</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-283.682,42 €</w:t>
            </w:r>
          </w:p>
        </w:tc>
      </w:tr>
      <w:tr w:rsidR="00E23B86">
        <w:trPr>
          <w:trHeight w:val="39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4) Ajuste por liquidación PIE-2008</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14.115,84 €</w:t>
            </w:r>
          </w:p>
        </w:tc>
      </w:tr>
      <w:tr w:rsidR="00E23B86">
        <w:trPr>
          <w:trHeight w:val="40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6) Ajuste por liquidación PIE-2009</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59.455,32 €</w:t>
            </w:r>
          </w:p>
        </w:tc>
      </w:tr>
      <w:tr w:rsidR="00E23B86">
        <w:trPr>
          <w:trHeight w:val="40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7) Ajuste por devengo de intereses (gasto)</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 xml:space="preserve"> 23,11</w:t>
            </w:r>
          </w:p>
        </w:tc>
      </w:tr>
      <w:tr w:rsidR="00E23B86">
        <w:trPr>
          <w:trHeight w:val="40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8) Ajustes en transferencias reconocidas de otros entes</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0,00</w:t>
            </w:r>
          </w:p>
        </w:tc>
      </w:tr>
      <w:tr w:rsidR="00E23B86">
        <w:trPr>
          <w:trHeight w:val="40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9) Inversiones realizadas por el sistema de abono total del precio</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0,00</w:t>
            </w:r>
          </w:p>
        </w:tc>
      </w:tr>
      <w:tr w:rsidR="00E23B86">
        <w:trPr>
          <w:trHeight w:val="40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10) Inversiones realizadas por cuenta de la Corporación Local</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0,00</w:t>
            </w:r>
          </w:p>
        </w:tc>
      </w:tr>
      <w:tr w:rsidR="00E23B86">
        <w:trPr>
          <w:trHeight w:val="40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11) Consolidación de transferencias entre Administraciones Públicas</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0,00</w:t>
            </w:r>
          </w:p>
        </w:tc>
      </w:tr>
      <w:tr w:rsidR="00E23B86">
        <w:trPr>
          <w:trHeight w:val="64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12) Tratamiento de los ingresos obtenidos por la Venta de Acciones, p4r privatización de empresas</w:t>
            </w:r>
          </w:p>
        </w:tc>
        <w:tc>
          <w:tcPr>
            <w:tcW w:w="2103" w:type="dxa"/>
            <w:tcBorders>
              <w:top w:val="single" w:sz="8" w:space="0" w:color="000001"/>
              <w:left w:val="single" w:sz="8" w:space="0" w:color="000001"/>
              <w:bottom w:val="single" w:sz="8" w:space="0" w:color="000001"/>
              <w:right w:val="single" w:sz="8" w:space="0" w:color="000001"/>
            </w:tcBorders>
            <w:vAlign w:val="bottom"/>
          </w:tcPr>
          <w:p w:rsidR="00E23B86" w:rsidRDefault="00BA7C13">
            <w:pPr>
              <w:spacing w:after="0"/>
            </w:pPr>
            <w:r>
              <w:rPr>
                <w:rFonts w:ascii="Arial" w:eastAsia="Arial" w:hAnsi="Arial" w:cs="Arial"/>
              </w:rPr>
              <w:t>0,00</w:t>
            </w:r>
          </w:p>
        </w:tc>
      </w:tr>
      <w:tr w:rsidR="00E23B86">
        <w:trPr>
          <w:trHeight w:val="64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 xml:space="preserve">13) Tratamiento de la Contabilidad Nacional de Dividendos y </w:t>
            </w:r>
          </w:p>
          <w:p w:rsidR="00E23B86" w:rsidRDefault="00BA7C13">
            <w:pPr>
              <w:spacing w:after="0"/>
            </w:pPr>
            <w:r>
              <w:rPr>
                <w:rFonts w:ascii="Arial" w:eastAsia="Arial" w:hAnsi="Arial" w:cs="Arial"/>
              </w:rPr>
              <w:t>Participaciones en Beneficios</w:t>
            </w:r>
          </w:p>
        </w:tc>
        <w:tc>
          <w:tcPr>
            <w:tcW w:w="2103" w:type="dxa"/>
            <w:tcBorders>
              <w:top w:val="single" w:sz="8" w:space="0" w:color="000001"/>
              <w:left w:val="single" w:sz="8" w:space="0" w:color="000001"/>
              <w:bottom w:val="single" w:sz="8" w:space="0" w:color="000001"/>
              <w:right w:val="single" w:sz="8" w:space="0" w:color="000001"/>
            </w:tcBorders>
            <w:vAlign w:val="bottom"/>
          </w:tcPr>
          <w:p w:rsidR="00E23B86" w:rsidRDefault="00BA7C13">
            <w:pPr>
              <w:spacing w:after="0"/>
            </w:pPr>
            <w:r>
              <w:rPr>
                <w:rFonts w:ascii="Arial" w:eastAsia="Arial" w:hAnsi="Arial" w:cs="Arial"/>
              </w:rPr>
              <w:t>0,00</w:t>
            </w:r>
          </w:p>
        </w:tc>
      </w:tr>
      <w:tr w:rsidR="00E23B86">
        <w:trPr>
          <w:trHeight w:val="64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14) Ingresos obtenidos del Presupuesto de la Unión Europea, a través de Fondos Estructurales o de Cohesión</w:t>
            </w:r>
          </w:p>
        </w:tc>
        <w:tc>
          <w:tcPr>
            <w:tcW w:w="2103" w:type="dxa"/>
            <w:tcBorders>
              <w:top w:val="single" w:sz="8" w:space="0" w:color="000001"/>
              <w:left w:val="single" w:sz="8" w:space="0" w:color="000001"/>
              <w:bottom w:val="single" w:sz="8" w:space="0" w:color="000001"/>
              <w:right w:val="single" w:sz="8" w:space="0" w:color="000001"/>
            </w:tcBorders>
            <w:vAlign w:val="bottom"/>
          </w:tcPr>
          <w:p w:rsidR="00E23B86" w:rsidRDefault="00BA7C13">
            <w:pPr>
              <w:spacing w:after="0"/>
            </w:pPr>
            <w:r>
              <w:rPr>
                <w:rFonts w:ascii="Arial" w:eastAsia="Arial" w:hAnsi="Arial" w:cs="Arial"/>
              </w:rPr>
              <w:t>0,00</w:t>
            </w:r>
          </w:p>
        </w:tc>
      </w:tr>
      <w:tr w:rsidR="00E23B86">
        <w:trPr>
          <w:trHeight w:val="40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15) Operaciones de Permuta Financiera (Swaps)</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0,00</w:t>
            </w:r>
          </w:p>
        </w:tc>
      </w:tr>
      <w:tr w:rsidR="00E23B86">
        <w:trPr>
          <w:trHeight w:val="40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16)</w:t>
            </w:r>
            <w:r>
              <w:rPr>
                <w:rFonts w:ascii="Arial" w:eastAsia="Arial" w:hAnsi="Arial" w:cs="Arial"/>
                <w:b/>
                <w:i/>
              </w:rPr>
              <w:t xml:space="preserve"> </w:t>
            </w:r>
            <w:r>
              <w:rPr>
                <w:rFonts w:ascii="Arial" w:eastAsia="Arial" w:hAnsi="Arial" w:cs="Arial"/>
              </w:rPr>
              <w:t>Operaciones de ejecución y reintegro de avales</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0,00</w:t>
            </w:r>
          </w:p>
        </w:tc>
      </w:tr>
      <w:tr w:rsidR="00E23B86">
        <w:trPr>
          <w:trHeight w:val="40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 xml:space="preserve">17) </w:t>
            </w:r>
            <w:r>
              <w:rPr>
                <w:rFonts w:ascii="Arial" w:eastAsia="Arial" w:hAnsi="Arial" w:cs="Arial"/>
              </w:rPr>
              <w:t>Aportaciones de capital a empresas públicas</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0,00</w:t>
            </w:r>
          </w:p>
        </w:tc>
      </w:tr>
      <w:tr w:rsidR="00E23B86">
        <w:trPr>
          <w:trHeight w:val="40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18)</w:t>
            </w:r>
            <w:r>
              <w:rPr>
                <w:rFonts w:ascii="Arial" w:eastAsia="Arial" w:hAnsi="Arial" w:cs="Arial"/>
                <w:b/>
                <w:i/>
              </w:rPr>
              <w:t xml:space="preserve"> </w:t>
            </w:r>
            <w:r>
              <w:rPr>
                <w:rFonts w:ascii="Arial" w:eastAsia="Arial" w:hAnsi="Arial" w:cs="Arial"/>
              </w:rPr>
              <w:t>Asunción y Cancelación de deudas con empresas públicas</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0,00</w:t>
            </w:r>
          </w:p>
        </w:tc>
      </w:tr>
      <w:tr w:rsidR="00E23B86">
        <w:trPr>
          <w:trHeight w:val="40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19) Ajuste por gastos pendientes de aplicar a presupuesto</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-126.692,18</w:t>
            </w:r>
          </w:p>
        </w:tc>
      </w:tr>
      <w:tr w:rsidR="00E23B86">
        <w:trPr>
          <w:trHeight w:val="40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20) Tratamiento de las operaciones de Censos</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0,00</w:t>
            </w:r>
          </w:p>
        </w:tc>
      </w:tr>
      <w:tr w:rsidR="00E23B86">
        <w:trPr>
          <w:trHeight w:val="404"/>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b/>
              </w:rPr>
              <w:t xml:space="preserve">c) TOTAL INGRESOS AJUSTADOS </w:t>
            </w:r>
            <w:r>
              <w:rPr>
                <w:rFonts w:ascii="Arial" w:eastAsia="Arial" w:hAnsi="Arial" w:cs="Arial"/>
              </w:rPr>
              <w:t>(a +/-  1, 2, 3, 4, 5, 6,11)</w:t>
            </w:r>
            <w:r>
              <w:rPr>
                <w:rFonts w:ascii="Arial" w:eastAsia="Arial" w:hAnsi="Arial" w:cs="Arial"/>
                <w:b/>
              </w:rPr>
              <w:t xml:space="preserve"> </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29.352.851,64 €</w:t>
            </w:r>
          </w:p>
        </w:tc>
      </w:tr>
      <w:tr w:rsidR="00E23B86">
        <w:trPr>
          <w:trHeight w:val="453"/>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b/>
              </w:rPr>
              <w:t xml:space="preserve">d) TOTAL GASTOS AJUSTADOS </w:t>
            </w:r>
            <w:r>
              <w:rPr>
                <w:rFonts w:ascii="Arial" w:eastAsia="Arial" w:hAnsi="Arial" w:cs="Arial"/>
              </w:rPr>
              <w:t>(b +/-  7, 8, 9,11,19)</w:t>
            </w:r>
            <w:r>
              <w:rPr>
                <w:rFonts w:ascii="Arial" w:eastAsia="Arial" w:hAnsi="Arial" w:cs="Arial"/>
                <w:b/>
              </w:rPr>
              <w:t xml:space="preserve"> </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rPr>
              <w:t>23.034.728,28 €</w:t>
            </w:r>
          </w:p>
        </w:tc>
      </w:tr>
      <w:tr w:rsidR="00E23B86">
        <w:trPr>
          <w:trHeight w:val="446"/>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ind w:left="1"/>
            </w:pPr>
            <w:r>
              <w:rPr>
                <w:rFonts w:ascii="Arial" w:eastAsia="Arial" w:hAnsi="Arial" w:cs="Arial"/>
                <w:b/>
              </w:rPr>
              <w:t>e) TOTAL CAPACIDAD/NECESIDAD DE FINANCIACIÓN(c - d)</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b/>
              </w:rPr>
              <w:t>6.318.123,36 €</w:t>
            </w:r>
          </w:p>
        </w:tc>
      </w:tr>
      <w:tr w:rsidR="00E23B86">
        <w:trPr>
          <w:trHeight w:val="397"/>
        </w:trPr>
        <w:tc>
          <w:tcPr>
            <w:tcW w:w="6976" w:type="dxa"/>
            <w:tcBorders>
              <w:top w:val="single" w:sz="8" w:space="0" w:color="000001"/>
              <w:left w:val="single" w:sz="8" w:space="0" w:color="000001"/>
              <w:bottom w:val="single" w:sz="8" w:space="0" w:color="000001"/>
              <w:right w:val="single" w:sz="8" w:space="0" w:color="000001"/>
            </w:tcBorders>
          </w:tcPr>
          <w:p w:rsidR="00E23B86" w:rsidRDefault="00BA7C13">
            <w:pPr>
              <w:spacing w:after="0"/>
              <w:ind w:left="1"/>
            </w:pPr>
            <w:r>
              <w:rPr>
                <w:rFonts w:ascii="Arial" w:eastAsia="Arial" w:hAnsi="Arial" w:cs="Arial"/>
                <w:b/>
              </w:rPr>
              <w:t>En porcentaje sobre los ingresos no financieros ajustados (</w:t>
            </w:r>
            <w:r>
              <w:rPr>
                <w:rFonts w:ascii="Arial" w:eastAsia="Arial" w:hAnsi="Arial" w:cs="Arial"/>
              </w:rPr>
              <w:t>e/c</w:t>
            </w:r>
            <w:r>
              <w:rPr>
                <w:rFonts w:ascii="Arial" w:eastAsia="Arial" w:hAnsi="Arial" w:cs="Arial"/>
                <w:b/>
              </w:rPr>
              <w:t xml:space="preserve"> )</w:t>
            </w:r>
          </w:p>
        </w:tc>
        <w:tc>
          <w:tcPr>
            <w:tcW w:w="2103" w:type="dxa"/>
            <w:tcBorders>
              <w:top w:val="single" w:sz="8" w:space="0" w:color="000001"/>
              <w:left w:val="single" w:sz="8" w:space="0" w:color="000001"/>
              <w:bottom w:val="single" w:sz="8" w:space="0" w:color="000001"/>
              <w:right w:val="single" w:sz="8" w:space="0" w:color="000001"/>
            </w:tcBorders>
          </w:tcPr>
          <w:p w:rsidR="00E23B86" w:rsidRDefault="00BA7C13">
            <w:pPr>
              <w:spacing w:after="0"/>
            </w:pPr>
            <w:r>
              <w:rPr>
                <w:rFonts w:ascii="Arial" w:eastAsia="Arial" w:hAnsi="Arial" w:cs="Arial"/>
                <w:b/>
              </w:rPr>
              <w:t>21,52 %</w:t>
            </w:r>
          </w:p>
        </w:tc>
      </w:tr>
    </w:tbl>
    <w:p w:rsidR="00E23B86" w:rsidRDefault="00BA7C13">
      <w:pPr>
        <w:spacing w:after="110" w:line="248" w:lineRule="auto"/>
        <w:ind w:left="363" w:right="552" w:firstLine="708"/>
        <w:jc w:val="both"/>
      </w:pPr>
      <w:r>
        <w:rPr>
          <w:rFonts w:ascii="Arial" w:eastAsia="Arial" w:hAnsi="Arial" w:cs="Arial"/>
        </w:rPr>
        <w:t xml:space="preserve">Ello nos da </w:t>
      </w:r>
      <w:r>
        <w:rPr>
          <w:rFonts w:ascii="Arial" w:eastAsia="Arial" w:hAnsi="Arial" w:cs="Arial"/>
          <w:b/>
        </w:rPr>
        <w:t>un saldo positivo de 6.318.123,36 Euros</w:t>
      </w:r>
      <w:r>
        <w:rPr>
          <w:rFonts w:ascii="Arial" w:eastAsia="Arial" w:hAnsi="Arial" w:cs="Arial"/>
        </w:rPr>
        <w:t xml:space="preserve"> (frente a los 2.857.171,27</w:t>
      </w:r>
      <w:r>
        <w:rPr>
          <w:rFonts w:ascii="Arial" w:eastAsia="Arial" w:hAnsi="Arial" w:cs="Arial"/>
          <w:b/>
        </w:rPr>
        <w:t xml:space="preserve"> </w:t>
      </w:r>
      <w:r>
        <w:rPr>
          <w:rFonts w:ascii="Arial" w:eastAsia="Arial" w:hAnsi="Arial" w:cs="Arial"/>
        </w:rPr>
        <w:t>Euros del año 2018)</w:t>
      </w:r>
      <w:r>
        <w:rPr>
          <w:rFonts w:ascii="Arial" w:eastAsia="Arial" w:hAnsi="Arial" w:cs="Arial"/>
          <w:b/>
        </w:rPr>
        <w:t xml:space="preserve"> </w:t>
      </w:r>
      <w:r>
        <w:rPr>
          <w:rFonts w:ascii="Arial" w:eastAsia="Arial" w:hAnsi="Arial" w:cs="Arial"/>
        </w:rPr>
        <w:t xml:space="preserve">que, en principio, podemos decir que, SI se cumple el principio de estabilidad presupuestaria, obteniendo un ratio de Estabilidad Presupuestaria de </w:t>
      </w:r>
      <w:r>
        <w:rPr>
          <w:rFonts w:ascii="Arial" w:eastAsia="Arial" w:hAnsi="Arial" w:cs="Arial"/>
          <w:b/>
        </w:rPr>
        <w:t xml:space="preserve">+ 21,52 %, </w:t>
      </w:r>
      <w:r>
        <w:rPr>
          <w:rFonts w:ascii="Arial" w:eastAsia="Arial" w:hAnsi="Arial" w:cs="Arial"/>
        </w:rPr>
        <w:t>frente al + 11,3 %, obtenido en el año anterior.</w:t>
      </w:r>
    </w:p>
    <w:p w:rsidR="00E23B86" w:rsidRDefault="00BA7C13">
      <w:pPr>
        <w:spacing w:after="485" w:line="248" w:lineRule="auto"/>
        <w:ind w:left="363" w:right="552" w:firstLine="708"/>
        <w:jc w:val="both"/>
      </w:pPr>
      <w:r>
        <w:rPr>
          <w:rFonts w:ascii="Arial" w:eastAsia="Arial" w:hAnsi="Arial" w:cs="Arial"/>
        </w:rPr>
        <w:t>Finalmente, se concluye la efectiva nivelación d</w:t>
      </w:r>
      <w:r>
        <w:rPr>
          <w:rFonts w:ascii="Arial" w:eastAsia="Arial" w:hAnsi="Arial" w:cs="Arial"/>
        </w:rPr>
        <w:t>e gastos e ingresos, con la suficiencia de estos para atender al cumplimiento de los gastos de funcionamiento de los servicios del Ilustre Ayuntamiento de Candelaria.</w:t>
      </w:r>
    </w:p>
    <w:p w:rsidR="00E23B86" w:rsidRDefault="00BA7C13">
      <w:pPr>
        <w:spacing w:after="456" w:line="278" w:lineRule="auto"/>
        <w:ind w:left="347" w:hanging="10"/>
      </w:pPr>
      <w:r>
        <w:rPr>
          <w:rFonts w:ascii="Arial" w:eastAsia="Arial" w:hAnsi="Arial" w:cs="Arial"/>
          <w:b/>
          <w:u w:val="single" w:color="000000"/>
        </w:rPr>
        <w:t xml:space="preserve">2.- CUMPLIMIENTO DE LA REGLA DE GASTO </w:t>
      </w:r>
    </w:p>
    <w:p w:rsidR="00E23B86" w:rsidRDefault="00BA7C13">
      <w:pPr>
        <w:spacing w:after="110" w:line="248" w:lineRule="auto"/>
        <w:ind w:left="363" w:right="552" w:firstLine="708"/>
        <w:jc w:val="both"/>
      </w:pPr>
      <w:r>
        <w:rPr>
          <w:rFonts w:ascii="Arial" w:eastAsia="Arial" w:hAnsi="Arial" w:cs="Arial"/>
        </w:rPr>
        <w:t>El artículo 12 de la Ley Orgánica de Estabilidad P</w:t>
      </w:r>
      <w:r>
        <w:rPr>
          <w:rFonts w:ascii="Arial" w:eastAsia="Arial" w:hAnsi="Arial" w:cs="Arial"/>
        </w:rPr>
        <w:t xml:space="preserve">resupuestaria exige también a las Entidades Locales que la variación de gasto no supere la tasa de referencia de crecimiento del PIB, correspondiendo al Ministerio su determinación. </w:t>
      </w:r>
    </w:p>
    <w:p w:rsidR="00E23B86" w:rsidRDefault="00BA7C13">
      <w:pPr>
        <w:spacing w:after="110" w:line="248" w:lineRule="auto"/>
        <w:ind w:left="363" w:right="552" w:firstLine="708"/>
        <w:jc w:val="both"/>
      </w:pPr>
      <w:r>
        <w:rPr>
          <w:rFonts w:ascii="Arial" w:eastAsia="Arial" w:hAnsi="Arial" w:cs="Arial"/>
        </w:rPr>
        <w:t>En concreto, el Gobierno elevó al Congreso, junto a los objetivos de défi</w:t>
      </w:r>
      <w:r>
        <w:rPr>
          <w:rFonts w:ascii="Arial" w:eastAsia="Arial" w:hAnsi="Arial" w:cs="Arial"/>
        </w:rPr>
        <w:t>cit público (0%) y de deuda pública (3 % del PIB) para el periodo 2019, que la regla de gasto para el ejercicio 2019, fuera del 2,7 %.</w:t>
      </w:r>
    </w:p>
    <w:p w:rsidR="00E23B86" w:rsidRDefault="00BA7C13">
      <w:pPr>
        <w:spacing w:after="0" w:line="265" w:lineRule="auto"/>
        <w:ind w:left="10" w:right="551" w:hanging="10"/>
        <w:jc w:val="right"/>
      </w:pPr>
      <w:r>
        <w:rPr>
          <w:rFonts w:ascii="Arial" w:eastAsia="Arial" w:hAnsi="Arial" w:cs="Arial"/>
        </w:rPr>
        <w:t>La tasa de variación del gasto computable de un ejercicio se calcula de</w:t>
      </w:r>
    </w:p>
    <w:p w:rsidR="00E23B86" w:rsidRDefault="00BA7C13">
      <w:pPr>
        <w:spacing w:after="483" w:line="248" w:lineRule="auto"/>
        <w:ind w:left="373" w:right="552" w:hanging="10"/>
        <w:jc w:val="both"/>
      </w:pPr>
      <w:r>
        <w:rPr>
          <w:rFonts w:ascii="Arial" w:eastAsia="Arial" w:hAnsi="Arial" w:cs="Arial"/>
        </w:rPr>
        <w:t xml:space="preserve">acuerdo con la siguiente fórmula: </w:t>
      </w:r>
    </w:p>
    <w:p w:rsidR="00E23B86" w:rsidRDefault="00BA7C13">
      <w:pPr>
        <w:spacing w:after="110" w:line="248" w:lineRule="auto"/>
        <w:ind w:left="373" w:right="552" w:hanging="10"/>
        <w:jc w:val="both"/>
      </w:pPr>
      <w:r>
        <w:rPr>
          <w:noProof/>
        </w:rPr>
        <mc:AlternateContent>
          <mc:Choice Requires="wpg">
            <w:drawing>
              <wp:anchor distT="0" distB="0" distL="114300" distR="114300" simplePos="0" relativeHeight="2517135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0215" name="Group 50021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3403" name="Rectangle 1340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3404" name="Rectangle 1340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54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0215" style="width:12.7031pt;height:280.35pt;position:absolute;mso-position-horizontal-relative:page;mso-position-horizontal:absolute;margin-left:681.958pt;mso-position-vertical-relative:page;margin-top:531.65pt;" coordsize="1613,35604">
                <v:rect id="Rectangle 1340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340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391 </w:t>
                        </w:r>
                      </w:p>
                    </w:txbxContent>
                  </v:textbox>
                </v:rect>
                <w10:wrap type="square"/>
              </v:group>
            </w:pict>
          </mc:Fallback>
        </mc:AlternateContent>
      </w:r>
      <w:r>
        <w:rPr>
          <w:rFonts w:ascii="Arial" w:eastAsia="Arial" w:hAnsi="Arial" w:cs="Arial"/>
        </w:rPr>
        <w:t>T.V. Gasto computable (%) = (Gasto</w:t>
      </w:r>
      <w:r>
        <w:rPr>
          <w:rFonts w:ascii="Arial" w:eastAsia="Arial" w:hAnsi="Arial" w:cs="Arial"/>
          <w:u w:val="single" w:color="000000"/>
        </w:rPr>
        <w:t xml:space="preserve"> computable año 2019</w:t>
      </w:r>
      <w:r>
        <w:rPr>
          <w:rFonts w:ascii="Arial" w:eastAsia="Arial" w:hAnsi="Arial" w:cs="Arial"/>
          <w:b/>
        </w:rPr>
        <w:t xml:space="preserve">    - </w:t>
      </w:r>
      <w:r>
        <w:rPr>
          <w:rFonts w:ascii="Arial" w:eastAsia="Arial" w:hAnsi="Arial" w:cs="Arial"/>
        </w:rPr>
        <w:t>1    ) * 100</w:t>
      </w:r>
    </w:p>
    <w:p w:rsidR="00E23B86" w:rsidRDefault="00BA7C13">
      <w:pPr>
        <w:spacing w:after="95" w:line="265" w:lineRule="auto"/>
        <w:ind w:left="359" w:right="203" w:hanging="10"/>
        <w:jc w:val="center"/>
      </w:pPr>
      <w:r>
        <w:rPr>
          <w:rFonts w:ascii="Arial" w:eastAsia="Arial" w:hAnsi="Arial" w:cs="Arial"/>
          <w:b/>
        </w:rPr>
        <w:t xml:space="preserve">      </w:t>
      </w:r>
      <w:r>
        <w:rPr>
          <w:rFonts w:ascii="Arial" w:eastAsia="Arial" w:hAnsi="Arial" w:cs="Arial"/>
        </w:rPr>
        <w:t>Gasto Computable año 2018</w:t>
      </w:r>
    </w:p>
    <w:p w:rsidR="00E23B86" w:rsidRDefault="00BA7C13">
      <w:pPr>
        <w:spacing w:after="110" w:line="248" w:lineRule="auto"/>
        <w:ind w:left="363" w:right="552" w:firstLine="708"/>
        <w:jc w:val="both"/>
      </w:pPr>
      <w:r>
        <w:rPr>
          <w:rFonts w:ascii="Arial" w:eastAsia="Arial" w:hAnsi="Arial" w:cs="Arial"/>
        </w:rPr>
        <w:t>La Regla del Gasto tiene como objetivo limitar el crecimiento del gasto público, estableciendo un tope de aumento máximo en función del crecimiento de la economía española.</w:t>
      </w:r>
    </w:p>
    <w:p w:rsidR="00E23B86" w:rsidRDefault="00BA7C13">
      <w:pPr>
        <w:spacing w:after="110" w:line="248" w:lineRule="auto"/>
        <w:ind w:left="363" w:right="552" w:firstLine="708"/>
        <w:jc w:val="both"/>
      </w:pPr>
      <w:r>
        <w:rPr>
          <w:rFonts w:ascii="Arial" w:eastAsia="Arial" w:hAnsi="Arial" w:cs="Arial"/>
        </w:rPr>
        <w:t>El cálculo del gasto computable del añ</w:t>
      </w:r>
      <w:r>
        <w:rPr>
          <w:rFonts w:ascii="Arial" w:eastAsia="Arial" w:hAnsi="Arial" w:cs="Arial"/>
        </w:rPr>
        <w:t xml:space="preserve">o 2018 se realizará a partir de la liquidación del Presupuesto de dicho ejercicio. El gasto computable del año 2019 se obtendrá tomando como base la información disponible en el momento del cálculo de la liquidación. </w:t>
      </w:r>
    </w:p>
    <w:p w:rsidR="00E23B86" w:rsidRDefault="00BA7C13">
      <w:pPr>
        <w:spacing w:after="485" w:line="248" w:lineRule="auto"/>
        <w:ind w:left="363" w:right="552" w:firstLine="708"/>
        <w:jc w:val="both"/>
      </w:pPr>
      <w:r>
        <w:rPr>
          <w:rFonts w:ascii="Arial" w:eastAsia="Arial" w:hAnsi="Arial" w:cs="Arial"/>
        </w:rPr>
        <w:t xml:space="preserve">La regla de gasto debe cumplirse para </w:t>
      </w:r>
      <w:r>
        <w:rPr>
          <w:rFonts w:ascii="Arial" w:eastAsia="Arial" w:hAnsi="Arial" w:cs="Arial"/>
        </w:rPr>
        <w:t xml:space="preserve">el gasto de la Corporación Local una vez consolidadas y eliminadas las transferencias dadas entre las unidades que integran la Corporación Local y que se incluyen en el artículo 2.1 de la Ley 2/2012. </w:t>
      </w:r>
    </w:p>
    <w:p w:rsidR="00E23B86" w:rsidRDefault="00BA7C13">
      <w:pPr>
        <w:spacing w:after="110" w:line="248" w:lineRule="auto"/>
        <w:ind w:left="363" w:right="552" w:firstLine="708"/>
        <w:jc w:val="both"/>
      </w:pPr>
      <w:r>
        <w:rPr>
          <w:rFonts w:ascii="Arial" w:eastAsia="Arial" w:hAnsi="Arial" w:cs="Arial"/>
        </w:rPr>
        <w:t>En las Corporaciones Locales, para la determinación del</w:t>
      </w:r>
      <w:r>
        <w:rPr>
          <w:rFonts w:ascii="Arial" w:eastAsia="Arial" w:hAnsi="Arial" w:cs="Arial"/>
        </w:rPr>
        <w:t xml:space="preserve"> gasto computable, se parte de los empleos no financieros en términos del Sistema Europeo de Cuentas excluidos los intereses de la deuda. Una vez determinado este importe, se deducirá la parte del gasto financiado con fondos de la Unión Europea y de otras </w:t>
      </w:r>
      <w:r>
        <w:rPr>
          <w:rFonts w:ascii="Arial" w:eastAsia="Arial" w:hAnsi="Arial" w:cs="Arial"/>
        </w:rPr>
        <w:t xml:space="preserve">Administraciones públicas. Igualmente se descontarán las transferencias por fondos de los sistemas de financiación dadas por las Diputaciones Forales del País Vasco a la Comunidad Autónoma, así como las dadas por los Cabildos Insulares a los Ayuntamientos </w:t>
      </w:r>
      <w:r>
        <w:rPr>
          <w:rFonts w:ascii="Arial" w:eastAsia="Arial" w:hAnsi="Arial" w:cs="Arial"/>
        </w:rPr>
        <w:t xml:space="preserve">canarios. </w:t>
      </w:r>
    </w:p>
    <w:p w:rsidR="00E23B86" w:rsidRDefault="00BA7C13">
      <w:pPr>
        <w:spacing w:after="485" w:line="248" w:lineRule="auto"/>
        <w:ind w:left="363" w:right="552" w:firstLine="708"/>
        <w:jc w:val="both"/>
      </w:pPr>
      <w:r>
        <w:rPr>
          <w:rFonts w:ascii="Arial" w:eastAsia="Arial" w:hAnsi="Arial" w:cs="Arial"/>
        </w:rPr>
        <w:t>Sobre este importe habrá que realizar una serie de ajustes que permitan aproximar los gastos presupuestarios a los empleos no financieros según los criterios del Sistema Europeo de Cuentas. A continuación, se detallan los principales ajustes a r</w:t>
      </w:r>
      <w:r>
        <w:rPr>
          <w:rFonts w:ascii="Arial" w:eastAsia="Arial" w:hAnsi="Arial" w:cs="Arial"/>
        </w:rPr>
        <w:t>ealizar partiendo de la liquidación:</w:t>
      </w:r>
    </w:p>
    <w:p w:rsidR="00E23B86" w:rsidRDefault="00BA7C13">
      <w:pPr>
        <w:spacing w:after="108" w:line="249" w:lineRule="auto"/>
        <w:ind w:left="347" w:right="566" w:hanging="10"/>
        <w:jc w:val="both"/>
      </w:pPr>
      <w:r>
        <w:rPr>
          <w:rFonts w:ascii="Arial" w:eastAsia="Arial" w:hAnsi="Arial" w:cs="Arial"/>
          <w:b/>
          <w:i/>
        </w:rPr>
        <w:t xml:space="preserve">1.- Enajenación de terrenos y demás inversiones reales. </w:t>
      </w:r>
    </w:p>
    <w:p w:rsidR="00E23B86" w:rsidRDefault="00BA7C13">
      <w:pPr>
        <w:spacing w:after="110" w:line="248" w:lineRule="auto"/>
        <w:ind w:left="363" w:right="552" w:firstLine="708"/>
        <w:jc w:val="both"/>
      </w:pPr>
      <w:r>
        <w:rPr>
          <w:rFonts w:ascii="Arial" w:eastAsia="Arial" w:hAnsi="Arial" w:cs="Arial"/>
        </w:rPr>
        <w:t>El Sistema Europeo de Cuentas considera la inversión de una unidad pública como un gasto no financiero que debe valorarse por la diferencia entre las adquisicione</w:t>
      </w:r>
      <w:r>
        <w:rPr>
          <w:rFonts w:ascii="Arial" w:eastAsia="Arial" w:hAnsi="Arial" w:cs="Arial"/>
        </w:rPr>
        <w:t xml:space="preserve">s (a precio de compra o coste de producción) y las enajenaciones (a precio de venta) de los activos fijos, materiales e inmateriales, realizadas en el ejercicio. </w:t>
      </w:r>
    </w:p>
    <w:p w:rsidR="00E23B86" w:rsidRDefault="00BA7C13">
      <w:pPr>
        <w:spacing w:after="483" w:line="248" w:lineRule="auto"/>
        <w:ind w:left="1070" w:right="552" w:hanging="10"/>
        <w:jc w:val="both"/>
      </w:pPr>
      <w:r>
        <w:rPr>
          <w:rFonts w:ascii="Arial" w:eastAsia="Arial" w:hAnsi="Arial" w:cs="Arial"/>
        </w:rPr>
        <w:t>No se ha realizado esta operación en el ejercicio 2018 y 2019.</w:t>
      </w:r>
    </w:p>
    <w:p w:rsidR="00E23B86" w:rsidRDefault="00BA7C13">
      <w:pPr>
        <w:spacing w:after="485" w:line="249" w:lineRule="auto"/>
        <w:ind w:left="355" w:right="554" w:hanging="10"/>
        <w:jc w:val="both"/>
      </w:pPr>
      <w:r>
        <w:rPr>
          <w:rFonts w:ascii="Arial" w:eastAsia="Arial" w:hAnsi="Arial" w:cs="Arial"/>
          <w:b/>
        </w:rPr>
        <w:t xml:space="preserve">2.- Inversiones realizadas por empresas que no son Administraciones públicas por cuenta de una Corporación Local. </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145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5009" name="Group 48500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3467" name="Rectangle 1346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3468" name="Rectangle 1346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Documento firmado electrónicamente des</w:t>
                              </w:r>
                              <w:r>
                                <w:rPr>
                                  <w:rFonts w:ascii="Arial" w:eastAsia="Arial" w:hAnsi="Arial" w:cs="Arial"/>
                                  <w:sz w:val="12"/>
                                </w:rPr>
                                <w:t xml:space="preserve">de la plataforma esPublico Gestiona | Página 55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5009" style="width:12.7031pt;height:280.35pt;position:absolute;mso-position-horizontal-relative:page;mso-position-horizontal:absolute;margin-left:681.958pt;mso-position-vertical-relative:page;margin-top:531.65pt;" coordsize="1613,35604">
                <v:rect id="Rectangle 1346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346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391 </w:t>
                        </w:r>
                      </w:p>
                    </w:txbxContent>
                  </v:textbox>
                </v:rect>
                <w10:wrap type="square"/>
              </v:group>
            </w:pict>
          </mc:Fallback>
        </mc:AlternateContent>
      </w:r>
      <w:r>
        <w:rPr>
          <w:rFonts w:ascii="Arial" w:eastAsia="Arial" w:hAnsi="Arial" w:cs="Arial"/>
        </w:rPr>
        <w:t>Según el Sistema Europeo de Cuentas, estas inversiones deben asignarse a la Administración pública que resulte destinataria final de la encomienda desde el inicio de su ejecución. Por tanto, la Corpor</w:t>
      </w:r>
      <w:r>
        <w:rPr>
          <w:rFonts w:ascii="Arial" w:eastAsia="Arial" w:hAnsi="Arial" w:cs="Arial"/>
        </w:rPr>
        <w:t>ación Local deberá registrar como empleo el valor de la inversión ejecutada anualmente, realizando un ajuste de mayor gasto no financiero por la diferencia entre este importe y las obligaciones reconocidas derivadas de esa encomienda en el Presupuesto de g</w:t>
      </w:r>
      <w:r>
        <w:rPr>
          <w:rFonts w:ascii="Arial" w:eastAsia="Arial" w:hAnsi="Arial" w:cs="Arial"/>
        </w:rPr>
        <w:t>astos. En los ejercicios en que las obligaciones reconocidas superen el valor de las certificaciones de obra, se procederá en sentido inverso, es decir, deberá realizarse un ajuste de menor gasto no financiero.</w:t>
      </w:r>
    </w:p>
    <w:p w:rsidR="00E23B86" w:rsidRDefault="00BA7C13">
      <w:pPr>
        <w:spacing w:after="483" w:line="248" w:lineRule="auto"/>
        <w:ind w:left="1070" w:right="552" w:hanging="10"/>
        <w:jc w:val="both"/>
      </w:pPr>
      <w:r>
        <w:rPr>
          <w:rFonts w:ascii="Arial" w:eastAsia="Arial" w:hAnsi="Arial" w:cs="Arial"/>
        </w:rPr>
        <w:t>No se han realizado este tipo de inversiones.</w:t>
      </w:r>
    </w:p>
    <w:p w:rsidR="00E23B86" w:rsidRDefault="00BA7C13">
      <w:pPr>
        <w:spacing w:after="111" w:line="249" w:lineRule="auto"/>
        <w:ind w:left="355" w:right="554" w:hanging="10"/>
        <w:jc w:val="both"/>
      </w:pPr>
      <w:r>
        <w:rPr>
          <w:rFonts w:ascii="Arial" w:eastAsia="Arial" w:hAnsi="Arial" w:cs="Arial"/>
          <w:b/>
        </w:rPr>
        <w:t xml:space="preserve">3.- Inversiones realizadas por la Corporación Local por cuenta de otra Administración pública </w:t>
      </w:r>
    </w:p>
    <w:p w:rsidR="00E23B86" w:rsidRDefault="00BA7C13">
      <w:pPr>
        <w:spacing w:after="110" w:line="248" w:lineRule="auto"/>
        <w:ind w:left="363" w:right="552" w:firstLine="708"/>
        <w:jc w:val="both"/>
      </w:pPr>
      <w:r>
        <w:rPr>
          <w:rFonts w:ascii="Arial" w:eastAsia="Arial" w:hAnsi="Arial" w:cs="Arial"/>
        </w:rPr>
        <w:t>Este supuesto tiene lugar cuando una Administración pública distinta a la Corporación Local le encomienda a la Corporación Local la realización de una inversión</w:t>
      </w:r>
      <w:r>
        <w:rPr>
          <w:rFonts w:ascii="Arial" w:eastAsia="Arial" w:hAnsi="Arial" w:cs="Arial"/>
        </w:rPr>
        <w:t xml:space="preserve"> por su cuenta, que será traspasada al balance de la Administración pública a su término. Como se señaló en el ajuste anterior (Inversiones realizadas por empresas que no son Administraciones públicas por cuenta de una Corporación Local), estas inversiones</w:t>
      </w:r>
      <w:r>
        <w:rPr>
          <w:rFonts w:ascii="Arial" w:eastAsia="Arial" w:hAnsi="Arial" w:cs="Arial"/>
        </w:rPr>
        <w:t xml:space="preserve"> deben asignarse a la Administración pública que resulte destinataria final de la encomienda desde el inicio de su ejecución. </w:t>
      </w:r>
    </w:p>
    <w:p w:rsidR="00E23B86" w:rsidRDefault="00BA7C13">
      <w:pPr>
        <w:spacing w:after="110" w:line="248" w:lineRule="auto"/>
        <w:ind w:left="363" w:right="552" w:firstLine="708"/>
        <w:jc w:val="both"/>
      </w:pPr>
      <w:r>
        <w:rPr>
          <w:rFonts w:ascii="Arial" w:eastAsia="Arial" w:hAnsi="Arial" w:cs="Arial"/>
        </w:rPr>
        <w:t>La Corporación Local tendrá que efectuar un ajuste de menor gasto no financiero por las obligaciones reconocidas derivadas de esa</w:t>
      </w:r>
      <w:r>
        <w:rPr>
          <w:rFonts w:ascii="Arial" w:eastAsia="Arial" w:hAnsi="Arial" w:cs="Arial"/>
        </w:rPr>
        <w:t xml:space="preserve"> encomienda en el Presupuesto de gastos. En cuanto a los ingresos recibidos como contraprestación de esta encomienda, éstos no se consideran ingresos de la Corporación Local según el Sistema Europeo de Cuentas y por tanto no podrán afectar al cálculo del g</w:t>
      </w:r>
      <w:r>
        <w:rPr>
          <w:rFonts w:ascii="Arial" w:eastAsia="Arial" w:hAnsi="Arial" w:cs="Arial"/>
        </w:rPr>
        <w:t xml:space="preserve">asto computable en la regla de gasto independientemente de su tratamiento presupuestario. </w:t>
      </w:r>
    </w:p>
    <w:p w:rsidR="00E23B86" w:rsidRDefault="00BA7C13">
      <w:pPr>
        <w:spacing w:after="483" w:line="248" w:lineRule="auto"/>
        <w:ind w:left="1070" w:right="552" w:hanging="10"/>
        <w:jc w:val="both"/>
      </w:pPr>
      <w:r>
        <w:rPr>
          <w:rFonts w:ascii="Arial" w:eastAsia="Arial" w:hAnsi="Arial" w:cs="Arial"/>
        </w:rPr>
        <w:t>No se ha realizado esta operación en el ejercicio 2018 y 2019.</w:t>
      </w:r>
    </w:p>
    <w:p w:rsidR="00E23B86" w:rsidRDefault="00BA7C13">
      <w:pPr>
        <w:spacing w:after="243" w:line="249" w:lineRule="auto"/>
        <w:ind w:left="1780" w:right="566" w:hanging="10"/>
        <w:jc w:val="both"/>
      </w:pPr>
      <w:r>
        <w:rPr>
          <w:rFonts w:ascii="Arial" w:eastAsia="Arial" w:hAnsi="Arial" w:cs="Arial"/>
          <w:b/>
          <w:i/>
        </w:rPr>
        <w:t>4.- Ejecución Avales.</w:t>
      </w:r>
      <w:r>
        <w:rPr>
          <w:rFonts w:ascii="Arial" w:eastAsia="Arial" w:hAnsi="Arial" w:cs="Arial"/>
        </w:rPr>
        <w:t xml:space="preserve"> </w:t>
      </w:r>
    </w:p>
    <w:p w:rsidR="00E23B86" w:rsidRDefault="00BA7C13">
      <w:pPr>
        <w:spacing w:after="133" w:line="248" w:lineRule="auto"/>
        <w:ind w:left="363" w:right="552" w:firstLine="708"/>
        <w:jc w:val="both"/>
      </w:pPr>
      <w:r>
        <w:rPr>
          <w:rFonts w:ascii="Arial" w:eastAsia="Arial" w:hAnsi="Arial" w:cs="Arial"/>
        </w:rPr>
        <w:t xml:space="preserve">Según establece el Sistema Europeo de Cuentas la ejecución de un aval es un empleo no financiero por la cuantía pagada. Pueden distinguirse dos casos: </w:t>
      </w:r>
    </w:p>
    <w:p w:rsidR="00E23B86" w:rsidRDefault="00BA7C13">
      <w:pPr>
        <w:numPr>
          <w:ilvl w:val="0"/>
          <w:numId w:val="22"/>
        </w:numPr>
        <w:spacing w:after="135" w:line="248" w:lineRule="auto"/>
        <w:ind w:right="552" w:hanging="10"/>
        <w:jc w:val="both"/>
      </w:pPr>
      <w:r>
        <w:rPr>
          <w:rFonts w:ascii="Arial" w:eastAsia="Arial" w:hAnsi="Arial" w:cs="Arial"/>
        </w:rPr>
        <w:t>Si la ejecución del aval se contabiliza en los capítulos 1 a 7 del Presupuesto degastos, se realizará un</w:t>
      </w:r>
      <w:r>
        <w:rPr>
          <w:rFonts w:ascii="Arial" w:eastAsia="Arial" w:hAnsi="Arial" w:cs="Arial"/>
        </w:rPr>
        <w:t xml:space="preserve"> ajuste por la diferencia entre la obligación reconocida y el pago efectivo. </w:t>
      </w:r>
    </w:p>
    <w:p w:rsidR="00E23B86" w:rsidRDefault="00BA7C13">
      <w:pPr>
        <w:numPr>
          <w:ilvl w:val="0"/>
          <w:numId w:val="22"/>
        </w:numPr>
        <w:spacing w:after="110" w:line="248" w:lineRule="auto"/>
        <w:ind w:right="552" w:hanging="10"/>
        <w:jc w:val="both"/>
      </w:pPr>
      <w:r>
        <w:rPr>
          <w:rFonts w:ascii="Arial" w:eastAsia="Arial" w:hAnsi="Arial" w:cs="Arial"/>
        </w:rPr>
        <w:t xml:space="preserve">Si la ejecución del aval no se contabiliza en los capítulos 1 a 7 del Presupuesto degastos, se realizará un ajuste de mayor empleo no financiero por la cuantía pagada. </w:t>
      </w:r>
    </w:p>
    <w:p w:rsidR="00E23B86" w:rsidRDefault="00BA7C13">
      <w:pPr>
        <w:spacing w:after="483" w:line="248" w:lineRule="auto"/>
        <w:ind w:left="1070" w:right="552" w:hanging="10"/>
        <w:jc w:val="both"/>
      </w:pPr>
      <w:r>
        <w:rPr>
          <w:rFonts w:ascii="Arial" w:eastAsia="Arial" w:hAnsi="Arial" w:cs="Arial"/>
        </w:rPr>
        <w:t>No se han</w:t>
      </w:r>
      <w:r>
        <w:rPr>
          <w:rFonts w:ascii="Arial" w:eastAsia="Arial" w:hAnsi="Arial" w:cs="Arial"/>
        </w:rPr>
        <w:t xml:space="preserve"> ejecutado avales.</w:t>
      </w:r>
    </w:p>
    <w:p w:rsidR="00E23B86" w:rsidRDefault="00BA7C13">
      <w:pPr>
        <w:spacing w:after="108" w:line="249" w:lineRule="auto"/>
        <w:ind w:left="1780" w:right="566" w:hanging="10"/>
        <w:jc w:val="both"/>
      </w:pPr>
      <w:r>
        <w:rPr>
          <w:rFonts w:ascii="Arial" w:eastAsia="Arial" w:hAnsi="Arial" w:cs="Arial"/>
          <w:b/>
          <w:i/>
        </w:rPr>
        <w:t xml:space="preserve">5.- Aportaciones de capital. </w:t>
      </w:r>
    </w:p>
    <w:p w:rsidR="00E23B86" w:rsidRDefault="00BA7C13">
      <w:pPr>
        <w:spacing w:after="135" w:line="248" w:lineRule="auto"/>
        <w:ind w:left="363" w:right="552" w:firstLine="708"/>
        <w:jc w:val="both"/>
      </w:pPr>
      <w:r>
        <w:rPr>
          <w:rFonts w:ascii="Arial" w:eastAsia="Arial" w:hAnsi="Arial" w:cs="Arial"/>
        </w:rPr>
        <w:t xml:space="preserve">Serán objeto de ajuste las aportaciones de capital que, de acuerdo con los criterios del Sistema Europeo de Cuentas, se consideren transferencias de capital. Pueden distinguirse varios supuestos: </w:t>
      </w:r>
    </w:p>
    <w:p w:rsidR="00E23B86" w:rsidRDefault="00BA7C13">
      <w:pPr>
        <w:numPr>
          <w:ilvl w:val="0"/>
          <w:numId w:val="22"/>
        </w:numPr>
        <w:spacing w:after="133" w:line="248" w:lineRule="auto"/>
        <w:ind w:right="552" w:hanging="10"/>
        <w:jc w:val="both"/>
      </w:pPr>
      <w:r>
        <w:rPr>
          <w:rFonts w:ascii="Arial" w:eastAsia="Arial" w:hAnsi="Arial" w:cs="Arial"/>
        </w:rPr>
        <w:t>Aportacion</w:t>
      </w:r>
      <w:r>
        <w:rPr>
          <w:rFonts w:ascii="Arial" w:eastAsia="Arial" w:hAnsi="Arial" w:cs="Arial"/>
        </w:rPr>
        <w:t>es de capital que se realicen a favor de unidades incluidas en el sectorAdministraciones públicas a las que se refiere el artículo 2.1 de la LO 2/2012. Estas aportaciones darán lugar a un ajuste de mayores empleos no financieros. Si se trata de aportacione</w:t>
      </w:r>
      <w:r>
        <w:rPr>
          <w:rFonts w:ascii="Arial" w:eastAsia="Arial" w:hAnsi="Arial" w:cs="Arial"/>
        </w:rPr>
        <w:t>s de capital entre las unidades que integran la Corporación Local, incluidas en el artículo 2.1 de la LO 2/2012, éstas se tendrán en cuenta para la consolidación de transferencias entre unidades y, por tanto, no computarán a efectos de la regla de gasto co</w:t>
      </w:r>
      <w:r>
        <w:rPr>
          <w:rFonts w:ascii="Arial" w:eastAsia="Arial" w:hAnsi="Arial" w:cs="Arial"/>
        </w:rPr>
        <w:t xml:space="preserve">mo mayores empleos no financieros. </w:t>
      </w:r>
    </w:p>
    <w:p w:rsidR="00E23B86" w:rsidRDefault="00BA7C13">
      <w:pPr>
        <w:numPr>
          <w:ilvl w:val="0"/>
          <w:numId w:val="22"/>
        </w:numPr>
        <w:spacing w:after="110" w:line="248" w:lineRule="auto"/>
        <w:ind w:right="552" w:hanging="10"/>
        <w:jc w:val="both"/>
      </w:pPr>
      <w:r>
        <w:rPr>
          <w:noProof/>
        </w:rPr>
        <mc:AlternateContent>
          <mc:Choice Requires="wpg">
            <w:drawing>
              <wp:anchor distT="0" distB="0" distL="114300" distR="114300" simplePos="0" relativeHeight="2517155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5250" name="Group 48525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3533" name="Rectangle 1353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3534" name="Rectangle 1353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56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5250" style="width:12.7031pt;height:280.35pt;position:absolute;mso-position-horizontal-relative:page;mso-position-horizontal:absolute;margin-left:681.958pt;mso-position-vertical-relative:page;margin-top:531.65pt;" coordsize="1613,35604">
                <v:rect id="Rectangle 1353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353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391 </w:t>
                        </w:r>
                      </w:p>
                    </w:txbxContent>
                  </v:textbox>
                </v:rect>
                <w10:wrap type="square"/>
              </v:group>
            </w:pict>
          </mc:Fallback>
        </mc:AlternateContent>
      </w:r>
      <w:r>
        <w:rPr>
          <w:rFonts w:ascii="Arial" w:eastAsia="Arial" w:hAnsi="Arial" w:cs="Arial"/>
        </w:rPr>
        <w:t>Aportaciones de capital que se realicen a favor de unidades no incluidas en el sectorAdministraciones públicas incluidas en el artículo 2.2 de la LO 2/2012. Estas aportaciones supondrán mayores empleos no financieros excepto cuando de estas operaciones, la</w:t>
      </w:r>
      <w:r>
        <w:rPr>
          <w:rFonts w:ascii="Arial" w:eastAsia="Arial" w:hAnsi="Arial" w:cs="Arial"/>
        </w:rPr>
        <w:t xml:space="preserve"> Administración pública espere obtener una rentabilidad económica suficiente, bien vía dividendos o bien, vía incremento de valor de los activos financieros. </w:t>
      </w:r>
    </w:p>
    <w:p w:rsidR="00E23B86" w:rsidRDefault="00BA7C13">
      <w:pPr>
        <w:spacing w:after="483" w:line="248" w:lineRule="auto"/>
        <w:ind w:left="1070" w:right="552" w:hanging="10"/>
        <w:jc w:val="both"/>
      </w:pPr>
      <w:r>
        <w:rPr>
          <w:rFonts w:ascii="Arial" w:eastAsia="Arial" w:hAnsi="Arial" w:cs="Arial"/>
        </w:rPr>
        <w:t>No se ha realizado esta operación en el ejercicio 2018 y 2019.</w:t>
      </w:r>
    </w:p>
    <w:p w:rsidR="00E23B86" w:rsidRDefault="00BA7C13">
      <w:pPr>
        <w:spacing w:after="110" w:line="249" w:lineRule="auto"/>
        <w:ind w:left="1780" w:right="566" w:hanging="10"/>
        <w:jc w:val="both"/>
      </w:pPr>
      <w:r>
        <w:rPr>
          <w:rFonts w:ascii="Arial" w:eastAsia="Arial" w:hAnsi="Arial" w:cs="Arial"/>
          <w:b/>
          <w:i/>
        </w:rPr>
        <w:t>6.- Asunción y cancelación de deud</w:t>
      </w:r>
      <w:r>
        <w:rPr>
          <w:rFonts w:ascii="Arial" w:eastAsia="Arial" w:hAnsi="Arial" w:cs="Arial"/>
          <w:b/>
          <w:i/>
        </w:rPr>
        <w:t>as.</w:t>
      </w:r>
    </w:p>
    <w:p w:rsidR="00E23B86" w:rsidRDefault="00BA7C13">
      <w:pPr>
        <w:spacing w:after="110" w:line="248" w:lineRule="auto"/>
        <w:ind w:left="363" w:right="552" w:firstLine="708"/>
        <w:jc w:val="both"/>
      </w:pPr>
      <w:r>
        <w:rPr>
          <w:rFonts w:ascii="Arial" w:eastAsia="Arial" w:hAnsi="Arial" w:cs="Arial"/>
        </w:rPr>
        <w:t xml:space="preserve">Cuando una Corporación Local asume una deuda de una entidad ó cancela/condona una deuda que una unidad tiene hacia ella, el Sistema Europeo de Cuentas considera a esta operación como una transferencia de capital. Por tanto deberá hacerse un ajuste por </w:t>
      </w:r>
      <w:r>
        <w:rPr>
          <w:rFonts w:ascii="Arial" w:eastAsia="Arial" w:hAnsi="Arial" w:cs="Arial"/>
        </w:rPr>
        <w:t>el montante total de la deuda asumida o cancelada que supondrá un mayor empleo no financiero. En el caso de que esta asunción o cancelación se realice con una unidad de las integrantes de la Corporación, incluida por tanto en el artículo 2.1 de la LO 2/201</w:t>
      </w:r>
      <w:r>
        <w:rPr>
          <w:rFonts w:ascii="Arial" w:eastAsia="Arial" w:hAnsi="Arial" w:cs="Arial"/>
        </w:rPr>
        <w:t xml:space="preserve">2, se tendrá en cuenta para la consolidación de transferencias entre unidades y, por tanto, no computará a efectos de la regla de gasto como un mayor empleo no financiero. </w:t>
      </w:r>
    </w:p>
    <w:p w:rsidR="00E23B86" w:rsidRDefault="00BA7C13">
      <w:pPr>
        <w:spacing w:after="110" w:line="248" w:lineRule="auto"/>
        <w:ind w:left="363" w:right="552" w:firstLine="708"/>
        <w:jc w:val="both"/>
      </w:pPr>
      <w:r>
        <w:rPr>
          <w:rFonts w:ascii="Arial" w:eastAsia="Arial" w:hAnsi="Arial" w:cs="Arial"/>
        </w:rPr>
        <w:t>No obstante, las asunciones o cancelaciones/condonaciones de deudas de sociedades q</w:t>
      </w:r>
      <w:r>
        <w:rPr>
          <w:rFonts w:ascii="Arial" w:eastAsia="Arial" w:hAnsi="Arial" w:cs="Arial"/>
        </w:rPr>
        <w:t>ue desaparecen como unidades institucionales, no darán lugar a ajustes ya que estas operaciones se consideran variaciones en el volumen de activos conforme al Sistema Europeo de Cuentas. Tampoco darán lugar a ajustes las asunciones o cancelaciones/condonac</w:t>
      </w:r>
      <w:r>
        <w:rPr>
          <w:rFonts w:ascii="Arial" w:eastAsia="Arial" w:hAnsi="Arial" w:cs="Arial"/>
        </w:rPr>
        <w:t xml:space="preserve">iones de deudas de sociedades públicas que se esperen privatizar en un plazo inferior a un año. </w:t>
      </w:r>
    </w:p>
    <w:p w:rsidR="00E23B86" w:rsidRDefault="00BA7C13">
      <w:pPr>
        <w:spacing w:after="110" w:line="248" w:lineRule="auto"/>
        <w:ind w:left="1070" w:right="552" w:hanging="10"/>
        <w:jc w:val="both"/>
      </w:pPr>
      <w:r>
        <w:rPr>
          <w:rFonts w:ascii="Arial" w:eastAsia="Arial" w:hAnsi="Arial" w:cs="Arial"/>
        </w:rPr>
        <w:t>No se ha realizado esta operación en el ejercicio 2018 y 2019.</w:t>
      </w:r>
    </w:p>
    <w:p w:rsidR="00E23B86" w:rsidRDefault="00BA7C13">
      <w:pPr>
        <w:spacing w:after="108" w:line="249" w:lineRule="auto"/>
        <w:ind w:left="1070" w:right="566" w:hanging="10"/>
        <w:jc w:val="both"/>
      </w:pPr>
      <w:r>
        <w:rPr>
          <w:rFonts w:ascii="Arial" w:eastAsia="Arial" w:hAnsi="Arial" w:cs="Arial"/>
          <w:b/>
          <w:i/>
        </w:rPr>
        <w:t>7.- Gastos realizados en el ejercicio pendientes de aplicar al Presupuesto.</w:t>
      </w:r>
    </w:p>
    <w:p w:rsidR="00E23B86" w:rsidRDefault="00BA7C13">
      <w:pPr>
        <w:spacing w:after="110" w:line="248" w:lineRule="auto"/>
        <w:ind w:left="363" w:right="552" w:firstLine="708"/>
        <w:jc w:val="both"/>
      </w:pPr>
      <w:r>
        <w:rPr>
          <w:rFonts w:ascii="Arial" w:eastAsia="Arial" w:hAnsi="Arial" w:cs="Arial"/>
        </w:rPr>
        <w:t>La aplicación del pr</w:t>
      </w:r>
      <w:r>
        <w:rPr>
          <w:rFonts w:ascii="Arial" w:eastAsia="Arial" w:hAnsi="Arial" w:cs="Arial"/>
        </w:rPr>
        <w:t xml:space="preserve">incipio de devengo del Sistema Europeo de Cuentas implica la imputación de cualquier gasto efectivamente realizado con independencia del momento en que se decida su imputación presupuestaria. Por tanto, las cantidades abonadas en el ejercicio en la cuenta </w:t>
      </w:r>
      <w:r>
        <w:rPr>
          <w:rFonts w:ascii="Arial" w:eastAsia="Arial" w:hAnsi="Arial" w:cs="Arial"/>
        </w:rPr>
        <w:t>413 “acreedores por operaciones pendientes de aplicar a presupuesto” darán lugar a ajustes de mayores empleos no financieros mientras que las cantidades abonadas con signo negativo, es decir aplicadas a presupuesto, implicarán ajustes de menores empleos no</w:t>
      </w:r>
      <w:r>
        <w:rPr>
          <w:rFonts w:ascii="Arial" w:eastAsia="Arial" w:hAnsi="Arial" w:cs="Arial"/>
        </w:rPr>
        <w:t xml:space="preserve"> financieros. </w:t>
      </w:r>
    </w:p>
    <w:p w:rsidR="00E23B86" w:rsidRDefault="00BA7C13">
      <w:pPr>
        <w:spacing w:after="485" w:line="248" w:lineRule="auto"/>
        <w:ind w:left="363" w:right="552" w:firstLine="708"/>
        <w:jc w:val="both"/>
      </w:pPr>
      <w:r>
        <w:rPr>
          <w:rFonts w:ascii="Arial" w:eastAsia="Arial" w:hAnsi="Arial" w:cs="Arial"/>
        </w:rPr>
        <w:t xml:space="preserve">No obstante, a través de la partida 413 de gastos pendientes de aplicar al presupuesto, hay que hacer un ajuste de 126.692,18 Euros, ya que el Saldo Final de la cuenta 41300, por importe de 367.681,25 Euros, es mayor que el saldo inicial de </w:t>
      </w:r>
      <w:r>
        <w:rPr>
          <w:rFonts w:ascii="Arial" w:eastAsia="Arial" w:hAnsi="Arial" w:cs="Arial"/>
        </w:rPr>
        <w:t>la citada cuenta, que asciende a 494.373,43 Euros.</w:t>
      </w:r>
    </w:p>
    <w:p w:rsidR="00E23B86" w:rsidRDefault="00BA7C13">
      <w:pPr>
        <w:spacing w:after="111" w:line="249" w:lineRule="auto"/>
        <w:ind w:left="1070" w:right="566" w:hanging="10"/>
        <w:jc w:val="both"/>
      </w:pPr>
      <w:r>
        <w:rPr>
          <w:rFonts w:ascii="Arial" w:eastAsia="Arial" w:hAnsi="Arial" w:cs="Arial"/>
          <w:b/>
          <w:i/>
        </w:rPr>
        <w:t xml:space="preserve">8.- Pagos a socios privados realizados en el marco de las Asociaciones Público Privadas según el Sistema Europeo de Cuentas. </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166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3872" name="Group 48387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3589" name="Rectangle 1358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3590" name="Rectangle 13590"/>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57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3872" style="width:12.7031pt;height:280.35pt;position:absolute;mso-position-horizontal-relative:page;mso-position-horizontal:absolute;margin-left:681.958pt;mso-position-vertical-relative:page;margin-top:531.65pt;" coordsize="1613,35604">
                <v:rect id="Rectangle 1358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3590"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391 </w:t>
                        </w:r>
                      </w:p>
                    </w:txbxContent>
                  </v:textbox>
                </v:rect>
                <w10:wrap type="square"/>
              </v:group>
            </w:pict>
          </mc:Fallback>
        </mc:AlternateContent>
      </w:r>
      <w:r>
        <w:rPr>
          <w:rFonts w:ascii="Arial" w:eastAsia="Arial" w:hAnsi="Arial" w:cs="Arial"/>
        </w:rPr>
        <w:t>En el caso de realización de infraestructuras a través de Asoc</w:t>
      </w:r>
      <w:r>
        <w:rPr>
          <w:rFonts w:ascii="Arial" w:eastAsia="Arial" w:hAnsi="Arial" w:cs="Arial"/>
        </w:rPr>
        <w:t>iaciones Público Privadas según el Sistema Europeo de Cuentas y, si del estudio de las características del contrato se concluye que los activos vinculados a dicho contrato deben clasificarse en el balance de la Corporación Local, ésta deberá contabilizar c</w:t>
      </w:r>
      <w:r>
        <w:rPr>
          <w:rFonts w:ascii="Arial" w:eastAsia="Arial" w:hAnsi="Arial" w:cs="Arial"/>
        </w:rPr>
        <w:t xml:space="preserve">omo empleo no financiero en cada ejercicio, el importe de la inversión ejecutada desde el momento inicial. Por tanto, cada año se realizará un ajuste de mayor empleo no financiero por el valor de la inversión ejecutada por el concesionario. Una vez que la </w:t>
      </w:r>
      <w:r>
        <w:rPr>
          <w:rFonts w:ascii="Arial" w:eastAsia="Arial" w:hAnsi="Arial" w:cs="Arial"/>
        </w:rPr>
        <w:t xml:space="preserve">Corporación Local comience a satisfacer la contraprestación al concesionario, se excluirá del gasto computable la parte de la misma que corresponde a la amortización del préstamo imputado asociado a la inversión. </w:t>
      </w:r>
    </w:p>
    <w:p w:rsidR="00E23B86" w:rsidRDefault="00BA7C13">
      <w:pPr>
        <w:spacing w:after="483" w:line="248" w:lineRule="auto"/>
        <w:ind w:left="1070" w:right="552" w:hanging="10"/>
        <w:jc w:val="both"/>
      </w:pPr>
      <w:r>
        <w:rPr>
          <w:rFonts w:ascii="Arial" w:eastAsia="Arial" w:hAnsi="Arial" w:cs="Arial"/>
        </w:rPr>
        <w:t>No se ha realizado esta operación en el ej</w:t>
      </w:r>
      <w:r>
        <w:rPr>
          <w:rFonts w:ascii="Arial" w:eastAsia="Arial" w:hAnsi="Arial" w:cs="Arial"/>
        </w:rPr>
        <w:t>ercicio 2018 y 2019.</w:t>
      </w:r>
    </w:p>
    <w:p w:rsidR="00E23B86" w:rsidRDefault="00BA7C13">
      <w:pPr>
        <w:spacing w:after="482" w:line="249" w:lineRule="auto"/>
        <w:ind w:left="1070" w:right="566" w:hanging="10"/>
        <w:jc w:val="both"/>
      </w:pPr>
      <w:r>
        <w:rPr>
          <w:rFonts w:ascii="Arial" w:eastAsia="Arial" w:hAnsi="Arial" w:cs="Arial"/>
          <w:b/>
          <w:i/>
        </w:rPr>
        <w:t xml:space="preserve">9.- Adquisiciones con pago aplazado. </w:t>
      </w:r>
    </w:p>
    <w:p w:rsidR="00E23B86" w:rsidRDefault="00BA7C13">
      <w:pPr>
        <w:spacing w:after="110" w:line="248" w:lineRule="auto"/>
        <w:ind w:left="363" w:right="552" w:firstLine="708"/>
        <w:jc w:val="both"/>
      </w:pPr>
      <w:r>
        <w:rPr>
          <w:rFonts w:ascii="Arial" w:eastAsia="Arial" w:hAnsi="Arial" w:cs="Arial"/>
        </w:rPr>
        <w:t>Según establece el Sistema Europeo de Cuentas las adquisiciones con pago aplazado deben registrarse en el momento en que tiene lugar la entrega o puesta a disposición del bien a favor de la Corpora</w:t>
      </w:r>
      <w:r>
        <w:rPr>
          <w:rFonts w:ascii="Arial" w:eastAsia="Arial" w:hAnsi="Arial" w:cs="Arial"/>
        </w:rPr>
        <w:t>ción Local por el importe total del mismo. Por tanto, en el ejercicio en que tiene lugar la entrega, deberá realizarse un ajuste de mayor gasto no financiero por la diferencia entre el valor total del activo y las obligaciones reconocidas e imputadas al Pr</w:t>
      </w:r>
      <w:r>
        <w:rPr>
          <w:rFonts w:ascii="Arial" w:eastAsia="Arial" w:hAnsi="Arial" w:cs="Arial"/>
        </w:rPr>
        <w:t xml:space="preserve">esupuesto de gastos relativas a la adquisición del bien. En los ejercicios siguientes, tendrá que efectuarse un ajuste de menor gasto no financiero por el importe aplazado e incorporado al Presupuesto como obligación reconocida para el pago del activo. </w:t>
      </w:r>
    </w:p>
    <w:p w:rsidR="00E23B86" w:rsidRDefault="00BA7C13">
      <w:pPr>
        <w:spacing w:after="483" w:line="248" w:lineRule="auto"/>
        <w:ind w:left="1070" w:right="552" w:hanging="10"/>
        <w:jc w:val="both"/>
      </w:pPr>
      <w:r>
        <w:rPr>
          <w:rFonts w:ascii="Arial" w:eastAsia="Arial" w:hAnsi="Arial" w:cs="Arial"/>
        </w:rPr>
        <w:t>No</w:t>
      </w:r>
      <w:r>
        <w:rPr>
          <w:rFonts w:ascii="Arial" w:eastAsia="Arial" w:hAnsi="Arial" w:cs="Arial"/>
        </w:rPr>
        <w:t xml:space="preserve"> se ha realizado esta operación en el ejercicio 2018 y 2019.</w:t>
      </w:r>
    </w:p>
    <w:p w:rsidR="00E23B86" w:rsidRDefault="00BA7C13">
      <w:pPr>
        <w:spacing w:after="108" w:line="249" w:lineRule="auto"/>
        <w:ind w:left="1780" w:right="566" w:hanging="10"/>
        <w:jc w:val="both"/>
      </w:pPr>
      <w:r>
        <w:rPr>
          <w:rFonts w:ascii="Arial" w:eastAsia="Arial" w:hAnsi="Arial" w:cs="Arial"/>
          <w:b/>
          <w:i/>
        </w:rPr>
        <w:t xml:space="preserve">10.- Arrendamiento financiero. </w:t>
      </w:r>
    </w:p>
    <w:p w:rsidR="00E23B86" w:rsidRDefault="00BA7C13">
      <w:pPr>
        <w:spacing w:after="110" w:line="248" w:lineRule="auto"/>
        <w:ind w:left="363" w:right="552" w:firstLine="708"/>
        <w:jc w:val="both"/>
      </w:pPr>
      <w:r>
        <w:rPr>
          <w:rFonts w:ascii="Arial" w:eastAsia="Arial" w:hAnsi="Arial" w:cs="Arial"/>
        </w:rPr>
        <w:t>De conformidad con el Sistema Europeo de Cuentas los activos adquiridos mediante arrendamiento financiero se registran en las cuentas del arrendatario en el moment</w:t>
      </w:r>
      <w:r>
        <w:rPr>
          <w:rFonts w:ascii="Arial" w:eastAsia="Arial" w:hAnsi="Arial" w:cs="Arial"/>
        </w:rPr>
        <w:t>o en que adquiere la propiedad económica del bien. Por tanto, en el ejercicio en que se produce la firma del contrato, deberá realizarse un ajuste de mayor gasto no financiero por la diferencia entre el valor total del activo y las obligaciones reconocidas</w:t>
      </w:r>
      <w:r>
        <w:rPr>
          <w:rFonts w:ascii="Arial" w:eastAsia="Arial" w:hAnsi="Arial" w:cs="Arial"/>
        </w:rPr>
        <w:t xml:space="preserve"> e imputadas al Presupuesto. En los ejercicios siguientes, tendrán que efectuarse ajustes de menores gastos no financieros por el valor de las obligaciones reconocidas e imputadas al Presupuesto de gastos.</w:t>
      </w:r>
    </w:p>
    <w:p w:rsidR="00E23B86" w:rsidRDefault="00BA7C13">
      <w:pPr>
        <w:spacing w:after="483" w:line="248" w:lineRule="auto"/>
        <w:ind w:left="1070" w:right="552" w:hanging="10"/>
        <w:jc w:val="both"/>
      </w:pPr>
      <w:r>
        <w:rPr>
          <w:rFonts w:ascii="Arial" w:eastAsia="Arial" w:hAnsi="Arial" w:cs="Arial"/>
        </w:rPr>
        <w:t xml:space="preserve">No se ha realizado esta operación en el ejercicio </w:t>
      </w:r>
      <w:r>
        <w:rPr>
          <w:rFonts w:ascii="Arial" w:eastAsia="Arial" w:hAnsi="Arial" w:cs="Arial"/>
        </w:rPr>
        <w:t>2018 y 2019.</w:t>
      </w:r>
    </w:p>
    <w:p w:rsidR="00E23B86" w:rsidRDefault="00BA7C13">
      <w:pPr>
        <w:spacing w:after="108" w:line="249" w:lineRule="auto"/>
        <w:ind w:left="1780" w:right="566" w:hanging="10"/>
        <w:jc w:val="both"/>
      </w:pPr>
      <w:r>
        <w:rPr>
          <w:rFonts w:ascii="Arial" w:eastAsia="Arial" w:hAnsi="Arial" w:cs="Arial"/>
          <w:b/>
          <w:i/>
        </w:rPr>
        <w:t xml:space="preserve">11.- Préstamos. </w:t>
      </w:r>
    </w:p>
    <w:p w:rsidR="00E23B86" w:rsidRDefault="00BA7C13">
      <w:pPr>
        <w:spacing w:after="110" w:line="248" w:lineRule="auto"/>
        <w:ind w:left="363" w:right="552" w:firstLine="708"/>
        <w:jc w:val="both"/>
      </w:pPr>
      <w:r>
        <w:rPr>
          <w:rFonts w:ascii="Arial" w:eastAsia="Arial" w:hAnsi="Arial" w:cs="Arial"/>
        </w:rPr>
        <w:t>Darán lugar a mayores empleos no financieros y por tanto, deberán realizarse ajustes por los fallidos que se produzcan en un ejercicio derivados de cualquier préstamo que conceda una Corporación Local a una unidad incluida en el artículo 2 de la LO 2/2012.</w:t>
      </w:r>
      <w:r>
        <w:rPr>
          <w:rFonts w:ascii="Arial" w:eastAsia="Arial" w:hAnsi="Arial" w:cs="Arial"/>
        </w:rPr>
        <w:t xml:space="preserve"> No obstante, cuando el fallido se produzca respecto de un préstamo concedido a una unidad integrante de la Corporación Local, incluida en el artículo 2.1 de la LO 2/2012, se tendrá en cuenta para la consolidación de transferencias entre unidades y, por ta</w:t>
      </w:r>
      <w:r>
        <w:rPr>
          <w:rFonts w:ascii="Arial" w:eastAsia="Arial" w:hAnsi="Arial" w:cs="Arial"/>
        </w:rPr>
        <w:t xml:space="preserve">nto, no computará a efectos de la regla de gasto como un mayor empleo no financiero. </w:t>
      </w:r>
    </w:p>
    <w:p w:rsidR="00E23B86" w:rsidRDefault="00BA7C13">
      <w:pPr>
        <w:spacing w:after="483" w:line="248" w:lineRule="auto"/>
        <w:ind w:left="1070" w:right="552" w:hanging="10"/>
        <w:jc w:val="both"/>
      </w:pPr>
      <w:r>
        <w:rPr>
          <w:noProof/>
        </w:rPr>
        <mc:AlternateContent>
          <mc:Choice Requires="wpg">
            <w:drawing>
              <wp:anchor distT="0" distB="0" distL="114300" distR="114300" simplePos="0" relativeHeight="2517176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3273" name="Group 52327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3738" name="Rectangle 1373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3739" name="Rectangle 1373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w:t>
                              </w:r>
                              <w:r>
                                <w:rPr>
                                  <w:rFonts w:ascii="Arial" w:eastAsia="Arial" w:hAnsi="Arial" w:cs="Arial"/>
                                  <w:sz w:val="12"/>
                                </w:rPr>
                                <w:t xml:space="preserve">stiona | Página 58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3273" style="width:12.7031pt;height:280.35pt;position:absolute;mso-position-horizontal-relative:page;mso-position-horizontal:absolute;margin-left:681.958pt;mso-position-vertical-relative:page;margin-top:531.65pt;" coordsize="1613,35604">
                <v:rect id="Rectangle 1373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373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391 </w:t>
                        </w:r>
                      </w:p>
                    </w:txbxContent>
                  </v:textbox>
                </v:rect>
                <w10:wrap type="square"/>
              </v:group>
            </w:pict>
          </mc:Fallback>
        </mc:AlternateContent>
      </w:r>
      <w:r>
        <w:rPr>
          <w:rFonts w:ascii="Arial" w:eastAsia="Arial" w:hAnsi="Arial" w:cs="Arial"/>
        </w:rPr>
        <w:t>No se han realizado préstamos fallidos.</w:t>
      </w:r>
    </w:p>
    <w:p w:rsidR="00E23B86" w:rsidRDefault="00BA7C13">
      <w:pPr>
        <w:spacing w:after="110" w:line="249" w:lineRule="auto"/>
        <w:ind w:left="1070" w:right="566" w:hanging="10"/>
        <w:jc w:val="both"/>
      </w:pPr>
      <w:r>
        <w:rPr>
          <w:rFonts w:ascii="Arial" w:eastAsia="Arial" w:hAnsi="Arial" w:cs="Arial"/>
          <w:b/>
          <w:i/>
        </w:rPr>
        <w:t xml:space="preserve">13. Ajuste por grado de ejecución del gasto </w:t>
      </w:r>
    </w:p>
    <w:p w:rsidR="00E23B86" w:rsidRDefault="00BA7C13">
      <w:pPr>
        <w:spacing w:after="110" w:line="248" w:lineRule="auto"/>
        <w:ind w:left="363" w:right="552" w:firstLine="708"/>
        <w:jc w:val="both"/>
      </w:pPr>
      <w:r>
        <w:rPr>
          <w:rFonts w:ascii="Arial" w:eastAsia="Arial" w:hAnsi="Arial" w:cs="Arial"/>
        </w:rPr>
        <w:t xml:space="preserve">En las Corporaciones Locales la ejecución presupuestaria final suele presentar desviaciones respecto de los créditos iniciales del presupuesto. </w:t>
      </w:r>
      <w:r>
        <w:rPr>
          <w:rFonts w:ascii="Arial" w:eastAsia="Arial" w:hAnsi="Arial" w:cs="Arial"/>
        </w:rPr>
        <w:t>Por este motivo para el cálculo del gasto computable en los presupuestos iniciales se realizará un “ajuste por grado de ejecución del gasto” que reducirá o aumentará los empleos no financieros Este ajuste reducirá los empleos no financieros en aquellos gas</w:t>
      </w:r>
      <w:r>
        <w:rPr>
          <w:rFonts w:ascii="Arial" w:eastAsia="Arial" w:hAnsi="Arial" w:cs="Arial"/>
        </w:rPr>
        <w:t xml:space="preserve">tos que por sus características o por su naturaleza se consideren de imposible ejecución en el ejercicio presupuestario. Y los aumentará en aquellos gastos cuya ejecución vaya a superar el importe de los créditos iniciales. </w:t>
      </w:r>
    </w:p>
    <w:p w:rsidR="00E23B86" w:rsidRDefault="00BA7C13">
      <w:pPr>
        <w:spacing w:after="110" w:line="248" w:lineRule="auto"/>
        <w:ind w:left="363" w:right="552" w:firstLine="708"/>
        <w:jc w:val="both"/>
      </w:pPr>
      <w:r>
        <w:rPr>
          <w:rFonts w:ascii="Arial" w:eastAsia="Arial" w:hAnsi="Arial" w:cs="Arial"/>
        </w:rPr>
        <w:t>El ajuste por grado de ejecució</w:t>
      </w:r>
      <w:r>
        <w:rPr>
          <w:rFonts w:ascii="Arial" w:eastAsia="Arial" w:hAnsi="Arial" w:cs="Arial"/>
        </w:rPr>
        <w:t xml:space="preserve">n del presupuesto del año n será el resultado de aplicar el porcentaje estimado del grado de ejecución de dicho presupuesto, al importe de los créditos </w:t>
      </w:r>
    </w:p>
    <w:p w:rsidR="00E23B86" w:rsidRDefault="00BA7C13">
      <w:pPr>
        <w:spacing w:after="485" w:line="248" w:lineRule="auto"/>
        <w:ind w:left="363" w:right="552" w:firstLine="708"/>
        <w:jc w:val="both"/>
      </w:pPr>
      <w:r>
        <w:rPr>
          <w:rFonts w:ascii="Arial" w:eastAsia="Arial" w:hAnsi="Arial" w:cs="Arial"/>
        </w:rPr>
        <w:t xml:space="preserve">Por tanto, no se aplica en las liquidaciones del Presupuesto sino en la aprobación de los presupuestos </w:t>
      </w:r>
      <w:r>
        <w:rPr>
          <w:rFonts w:ascii="Arial" w:eastAsia="Arial" w:hAnsi="Arial" w:cs="Arial"/>
        </w:rPr>
        <w:t>iniciales.</w:t>
      </w:r>
    </w:p>
    <w:p w:rsidR="00E23B86" w:rsidRDefault="00BA7C13">
      <w:pPr>
        <w:spacing w:after="10" w:line="248" w:lineRule="auto"/>
        <w:ind w:left="363" w:right="552" w:firstLine="708"/>
        <w:jc w:val="both"/>
      </w:pPr>
      <w:r>
        <w:rPr>
          <w:rFonts w:ascii="Arial" w:eastAsia="Arial" w:hAnsi="Arial" w:cs="Arial"/>
        </w:rPr>
        <w:t>A través del siguiente cuadro, reflejamos los datos anteriores y así obtener la regla del gasto:</w:t>
      </w:r>
    </w:p>
    <w:tbl>
      <w:tblPr>
        <w:tblStyle w:val="TableGrid"/>
        <w:tblW w:w="9664" w:type="dxa"/>
        <w:tblInd w:w="394" w:type="dxa"/>
        <w:tblCellMar>
          <w:top w:w="7" w:type="dxa"/>
          <w:left w:w="12" w:type="dxa"/>
          <w:bottom w:w="0" w:type="dxa"/>
          <w:right w:w="96" w:type="dxa"/>
        </w:tblCellMar>
        <w:tblLook w:val="04A0" w:firstRow="1" w:lastRow="0" w:firstColumn="1" w:lastColumn="0" w:noHBand="0" w:noVBand="1"/>
      </w:tblPr>
      <w:tblGrid>
        <w:gridCol w:w="5856"/>
        <w:gridCol w:w="1866"/>
        <w:gridCol w:w="1942"/>
      </w:tblGrid>
      <w:tr w:rsidR="00E23B86">
        <w:trPr>
          <w:trHeight w:val="880"/>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CAPÍTULOS DE GASTO</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both"/>
            </w:pPr>
            <w:r>
              <w:rPr>
                <w:rFonts w:ascii="Arial" w:eastAsia="Arial" w:hAnsi="Arial" w:cs="Arial"/>
                <w:b/>
              </w:rPr>
              <w:t xml:space="preserve">OBLIGACIONES </w:t>
            </w:r>
          </w:p>
          <w:p w:rsidR="00E23B86" w:rsidRDefault="00BA7C13">
            <w:pPr>
              <w:spacing w:after="0"/>
            </w:pPr>
            <w:r>
              <w:rPr>
                <w:rFonts w:ascii="Arial" w:eastAsia="Arial" w:hAnsi="Arial" w:cs="Arial"/>
                <w:b/>
              </w:rPr>
              <w:t>RECONOCIDAS 2019</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 xml:space="preserve">OBLIGACIONES </w:t>
            </w:r>
          </w:p>
          <w:p w:rsidR="00E23B86" w:rsidRDefault="00BA7C13">
            <w:pPr>
              <w:spacing w:after="0"/>
            </w:pPr>
            <w:r>
              <w:rPr>
                <w:rFonts w:ascii="Arial" w:eastAsia="Arial" w:hAnsi="Arial" w:cs="Arial"/>
                <w:b/>
              </w:rPr>
              <w:t>RECONOCIDAS 2018</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Gastos de personal</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9.494.404,18 €</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9.069.195,97 €</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Gastos en bienes y servicios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8.316.780,37 €</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8.117.362,18 €</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Gastos financieros (excluidos intereses de la Deuda)</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2.106,14 €</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6.713,98 €</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Transferencias corrientes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2.698.511,91 €</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2.703.794,48 €</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Inversiones reales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2.566.873,84 €</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1.622.142,27 €</w:t>
            </w:r>
          </w:p>
        </w:tc>
      </w:tr>
      <w:tr w:rsidR="00E23B86">
        <w:trPr>
          <w:trHeight w:val="25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w:t>
            </w:r>
            <w:r>
              <w:rPr>
                <w:rFonts w:ascii="Arial" w:eastAsia="Arial" w:hAnsi="Arial" w:cs="Arial"/>
              </w:rPr>
              <w:t>as de capital</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0,00 €</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66.143,90 €</w:t>
            </w:r>
          </w:p>
        </w:tc>
      </w:tr>
    </w:tbl>
    <w:tbl>
      <w:tblPr>
        <w:tblStyle w:val="TableGrid"/>
        <w:tblpPr w:vertAnchor="text" w:tblpX="394"/>
        <w:tblOverlap w:val="never"/>
        <w:tblW w:w="9664" w:type="dxa"/>
        <w:tblInd w:w="0" w:type="dxa"/>
        <w:tblCellMar>
          <w:top w:w="7" w:type="dxa"/>
          <w:left w:w="12" w:type="dxa"/>
          <w:bottom w:w="0" w:type="dxa"/>
          <w:right w:w="105" w:type="dxa"/>
        </w:tblCellMar>
        <w:tblLook w:val="04A0" w:firstRow="1" w:lastRow="0" w:firstColumn="1" w:lastColumn="0" w:noHBand="0" w:noVBand="1"/>
      </w:tblPr>
      <w:tblGrid>
        <w:gridCol w:w="5856"/>
        <w:gridCol w:w="1866"/>
        <w:gridCol w:w="1942"/>
      </w:tblGrid>
      <w:tr w:rsidR="00E23B86">
        <w:trPr>
          <w:trHeight w:val="372"/>
        </w:trPr>
        <w:tc>
          <w:tcPr>
            <w:tcW w:w="5856" w:type="dxa"/>
            <w:tcBorders>
              <w:top w:val="nil"/>
              <w:left w:val="single" w:sz="2" w:space="0" w:color="000001"/>
              <w:bottom w:val="single" w:sz="2" w:space="0" w:color="000001"/>
              <w:right w:val="single" w:sz="2" w:space="0" w:color="000001"/>
            </w:tcBorders>
          </w:tcPr>
          <w:p w:rsidR="00E23B86" w:rsidRDefault="00E23B86"/>
        </w:tc>
        <w:tc>
          <w:tcPr>
            <w:tcW w:w="1866" w:type="dxa"/>
            <w:tcBorders>
              <w:top w:val="nil"/>
              <w:left w:val="single" w:sz="2" w:space="0" w:color="000001"/>
              <w:bottom w:val="single" w:sz="2" w:space="0" w:color="000001"/>
              <w:right w:val="single" w:sz="2" w:space="0" w:color="000001"/>
            </w:tcBorders>
          </w:tcPr>
          <w:p w:rsidR="00E23B86" w:rsidRDefault="00E23B86"/>
        </w:tc>
        <w:tc>
          <w:tcPr>
            <w:tcW w:w="1942" w:type="dxa"/>
            <w:tcBorders>
              <w:top w:val="nil"/>
              <w:left w:val="single" w:sz="2" w:space="0" w:color="000001"/>
              <w:bottom w:val="single" w:sz="2" w:space="0" w:color="000001"/>
              <w:right w:val="single" w:sz="2" w:space="0" w:color="000001"/>
            </w:tcBorders>
          </w:tcPr>
          <w:p w:rsidR="00E23B86" w:rsidRDefault="00E23B86"/>
        </w:tc>
      </w:tr>
      <w:tr w:rsidR="00E23B86">
        <w:trPr>
          <w:trHeight w:val="628"/>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EMPLEOS (CAP. 1-7)</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 xml:space="preserve">23.078.676,44 </w:t>
            </w:r>
          </w:p>
          <w:p w:rsidR="00E23B86" w:rsidRDefault="00BA7C13">
            <w:pPr>
              <w:spacing w:after="0"/>
            </w:pPr>
            <w:r>
              <w:rPr>
                <w:rFonts w:ascii="Arial" w:eastAsia="Arial" w:hAnsi="Arial" w:cs="Arial"/>
                <w:b/>
              </w:rPr>
              <w:t>Euros</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 xml:space="preserve">21.585.352,78 </w:t>
            </w:r>
          </w:p>
          <w:p w:rsidR="00E23B86" w:rsidRDefault="00BA7C13">
            <w:pPr>
              <w:spacing w:after="0"/>
            </w:pPr>
            <w:r>
              <w:rPr>
                <w:rFonts w:ascii="Arial" w:eastAsia="Arial" w:hAnsi="Arial" w:cs="Arial"/>
                <w:b/>
              </w:rPr>
              <w:t>Euros</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 xml:space="preserve">Ajustes Contabilidad Nacional en 2017 y 2018 </w:t>
            </w:r>
          </w:p>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E23B86"/>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Enajenación de terrenos e inversiones reales </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880"/>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(+-)Inversiones realizadas por empresas que no son </w:t>
            </w:r>
          </w:p>
          <w:p w:rsidR="00E23B86" w:rsidRDefault="00BA7C13">
            <w:pPr>
              <w:spacing w:after="0"/>
            </w:pPr>
            <w:r>
              <w:rPr>
                <w:rFonts w:ascii="Arial" w:eastAsia="Arial" w:hAnsi="Arial" w:cs="Arial"/>
              </w:rPr>
              <w:t>Administraciones públicas por cuenta de una Corporación Local</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626"/>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(-)Inversiones realizadas por la Corporación Local por cuenta de otra Administración pública </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Ejecución de Avales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Aportación de Capital</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Asunción y Cancelación de deudas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Gastos realizados en el ejercicio pendiente de aplicar </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-126.692,18</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337.188,38</w:t>
            </w:r>
          </w:p>
        </w:tc>
      </w:tr>
      <w:tr w:rsidR="00E23B86">
        <w:trPr>
          <w:trHeight w:val="880"/>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(+-)Pagos a socios privados realizados en el marco de las Asociaciones Público Privadas según el Sistema Europeo de Cuentas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Adquisiciones con Pago Aplazado</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Arrendamiento Financiero</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Préstamos fallidos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Ajustes por grado de ejecución del gasto</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TOTAL AJUSTES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628"/>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 xml:space="preserve">Gasto Financiado con Fondos Finalistas en 2018 y 2017: </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3.279.674,29</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2.150.336,05</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De la Unión Europea</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Del Estado</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183.357,26</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0,00</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De la Comunidad Autónoma</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2.466.125,12</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1.894.086,79</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Del Cabildo</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630.191,91</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256.249,26</w:t>
            </w:r>
          </w:p>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Otras Administraciones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Inversiones Financieramente Sostenibles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-68.423,74</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0,00</w:t>
            </w:r>
          </w:p>
        </w:tc>
      </w:tr>
      <w:tr w:rsidR="00E23B86">
        <w:trPr>
          <w:trHeight w:val="746"/>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GASTO COMPUTABLE</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19.603.886,23</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19.772.205,11</w:t>
            </w:r>
          </w:p>
        </w:tc>
      </w:tr>
      <w:tr w:rsidR="00E23B86">
        <w:trPr>
          <w:trHeight w:val="628"/>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INCREMENTOS DE RECAUDACIÓN POR CAMBIOS NORMATIVOS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Modificación ordenanza de…….</w:t>
            </w:r>
          </w:p>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Otros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Total Incrementos </w:t>
            </w:r>
          </w:p>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bl>
    <w:p w:rsidR="00E23B86" w:rsidRDefault="00BA7C13">
      <w:pPr>
        <w:spacing w:after="0"/>
        <w:ind w:left="-2486" w:right="11894"/>
      </w:pPr>
      <w:r>
        <w:rPr>
          <w:noProof/>
        </w:rPr>
        <mc:AlternateContent>
          <mc:Choice Requires="wpg">
            <w:drawing>
              <wp:anchor distT="0" distB="0" distL="114300" distR="114300" simplePos="0" relativeHeight="251718656"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82703" name="Group 58270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4144" name="Rectangle 1414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4145" name="Rectangle 14145"/>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59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2703" style="width:12.7031pt;height:280.35pt;position:absolute;mso-position-horizontal-relative:page;mso-position-horizontal:absolute;margin-left:681.958pt;mso-position-vertical-relative:page;margin-top:531.65pt;" coordsize="1613,35604">
                <v:rect id="Rectangle 1414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4145"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391 </w:t>
                        </w:r>
                      </w:p>
                    </w:txbxContent>
                  </v:textbox>
                </v:rect>
                <w10:wrap type="topAndBottom"/>
              </v:group>
            </w:pict>
          </mc:Fallback>
        </mc:AlternateContent>
      </w:r>
      <w:r>
        <w:br w:type="page"/>
      </w:r>
    </w:p>
    <w:tbl>
      <w:tblPr>
        <w:tblStyle w:val="TableGrid"/>
        <w:tblW w:w="9664" w:type="dxa"/>
        <w:tblInd w:w="394" w:type="dxa"/>
        <w:tblCellMar>
          <w:top w:w="7" w:type="dxa"/>
          <w:left w:w="12" w:type="dxa"/>
          <w:bottom w:w="0" w:type="dxa"/>
          <w:right w:w="94" w:type="dxa"/>
        </w:tblCellMar>
        <w:tblLook w:val="04A0" w:firstRow="1" w:lastRow="0" w:firstColumn="1" w:lastColumn="0" w:noHBand="0" w:noVBand="1"/>
      </w:tblPr>
      <w:tblGrid>
        <w:gridCol w:w="5856"/>
        <w:gridCol w:w="1866"/>
        <w:gridCol w:w="1942"/>
      </w:tblGrid>
      <w:tr w:rsidR="00E23B86">
        <w:trPr>
          <w:trHeight w:val="626"/>
        </w:trPr>
        <w:tc>
          <w:tcPr>
            <w:tcW w:w="5856" w:type="dxa"/>
            <w:tcBorders>
              <w:top w:val="nil"/>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DISMINUCIONES DE RECAUDACIÓN POR CAMBIOS NORMATIVOS</w:t>
            </w:r>
          </w:p>
        </w:tc>
        <w:tc>
          <w:tcPr>
            <w:tcW w:w="1866" w:type="dxa"/>
            <w:tcBorders>
              <w:top w:val="nil"/>
              <w:left w:val="single" w:sz="2" w:space="0" w:color="000001"/>
              <w:bottom w:val="single" w:sz="2" w:space="0" w:color="000001"/>
              <w:right w:val="single" w:sz="2" w:space="0" w:color="000001"/>
            </w:tcBorders>
          </w:tcPr>
          <w:p w:rsidR="00E23B86" w:rsidRDefault="00E23B86"/>
        </w:tc>
        <w:tc>
          <w:tcPr>
            <w:tcW w:w="1942" w:type="dxa"/>
            <w:tcBorders>
              <w:top w:val="nil"/>
              <w:left w:val="single" w:sz="2" w:space="0" w:color="000001"/>
              <w:bottom w:val="single" w:sz="2" w:space="0" w:color="000001"/>
              <w:right w:val="single" w:sz="2" w:space="0" w:color="000001"/>
            </w:tcBorders>
            <w:vAlign w:val="bottom"/>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Modificación ordenanza de…….</w:t>
            </w:r>
          </w:p>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Otros</w:t>
            </w:r>
          </w:p>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Total Disminuciones </w:t>
            </w:r>
          </w:p>
        </w:tc>
        <w:tc>
          <w:tcPr>
            <w:tcW w:w="1866" w:type="dxa"/>
            <w:tcBorders>
              <w:top w:val="single" w:sz="2" w:space="0" w:color="000001"/>
              <w:left w:val="single" w:sz="2" w:space="0" w:color="000001"/>
              <w:bottom w:val="single" w:sz="2" w:space="0" w:color="000001"/>
              <w:right w:val="single" w:sz="2" w:space="0" w:color="000001"/>
            </w:tcBorders>
            <w:vAlign w:val="bottom"/>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746"/>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GASTO COMPUTABLE AJUSTADO</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19.603.886,23</w:t>
            </w:r>
          </w:p>
        </w:tc>
        <w:tc>
          <w:tcPr>
            <w:tcW w:w="1942"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19.772.205,11</w:t>
            </w:r>
          </w:p>
        </w:tc>
      </w:tr>
      <w:tr w:rsidR="00E23B86">
        <w:trPr>
          <w:trHeight w:val="628"/>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1. VARIACIÓN DEL GASTO COMPUTABLE (en porcentaje)</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-1</w:t>
            </w:r>
          </w:p>
        </w:tc>
        <w:tc>
          <w:tcPr>
            <w:tcW w:w="1942" w:type="dxa"/>
            <w:tcBorders>
              <w:top w:val="single" w:sz="2" w:space="0" w:color="000001"/>
              <w:left w:val="single" w:sz="2" w:space="0" w:color="000001"/>
              <w:bottom w:val="single" w:sz="2" w:space="0" w:color="000001"/>
              <w:right w:val="single" w:sz="2" w:space="0" w:color="000001"/>
            </w:tcBorders>
            <w:vAlign w:val="bottom"/>
          </w:tcPr>
          <w:p w:rsidR="00E23B86" w:rsidRDefault="00E23B86"/>
        </w:tc>
      </w:tr>
      <w:tr w:rsidR="00E23B86">
        <w:trPr>
          <w:trHeight w:val="626"/>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both"/>
            </w:pPr>
            <w:r>
              <w:rPr>
                <w:rFonts w:ascii="Arial" w:eastAsia="Arial" w:hAnsi="Arial" w:cs="Arial"/>
                <w:b/>
              </w:rPr>
              <w:t xml:space="preserve">2. TASA DE REFERENCIA CRECIMIENTO PIB M/P 2016 </w:t>
            </w:r>
          </w:p>
          <w:p w:rsidR="00E23B86" w:rsidRDefault="00BA7C13">
            <w:pPr>
              <w:spacing w:after="0"/>
            </w:pPr>
            <w:r>
              <w:rPr>
                <w:rFonts w:ascii="Arial" w:eastAsia="Arial" w:hAnsi="Arial" w:cs="Arial"/>
                <w:b/>
              </w:rPr>
              <w:t>(en porcentaje)</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2,7</w:t>
            </w:r>
          </w:p>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2-1. CUMPLE CON LA REGLA DEL GASTO 2 &gt;1</w:t>
            </w:r>
          </w:p>
        </w:tc>
        <w:tc>
          <w:tcPr>
            <w:tcW w:w="1866"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b/>
              </w:rPr>
              <w:t>SI</w:t>
            </w:r>
          </w:p>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E23B86"/>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374"/>
        </w:trPr>
        <w:tc>
          <w:tcPr>
            <w:tcW w:w="5856" w:type="dxa"/>
            <w:tcBorders>
              <w:top w:val="single" w:sz="2" w:space="0" w:color="000001"/>
              <w:left w:val="single" w:sz="2" w:space="0" w:color="000001"/>
              <w:bottom w:val="single" w:sz="2" w:space="0" w:color="000001"/>
              <w:right w:val="single" w:sz="2" w:space="0" w:color="000001"/>
            </w:tcBorders>
          </w:tcPr>
          <w:p w:rsidR="00E23B86" w:rsidRDefault="00E23B86"/>
        </w:tc>
        <w:tc>
          <w:tcPr>
            <w:tcW w:w="1866" w:type="dxa"/>
            <w:tcBorders>
              <w:top w:val="single" w:sz="2" w:space="0" w:color="000001"/>
              <w:left w:val="single" w:sz="2" w:space="0" w:color="000001"/>
              <w:bottom w:val="single" w:sz="2" w:space="0" w:color="000001"/>
              <w:right w:val="single" w:sz="2" w:space="0" w:color="000001"/>
            </w:tcBorders>
          </w:tcPr>
          <w:p w:rsidR="00E23B86" w:rsidRDefault="00E23B86"/>
        </w:tc>
        <w:tc>
          <w:tcPr>
            <w:tcW w:w="1942" w:type="dxa"/>
            <w:tcBorders>
              <w:top w:val="single" w:sz="2" w:space="0" w:color="000001"/>
              <w:left w:val="single" w:sz="2" w:space="0" w:color="000001"/>
              <w:bottom w:val="single" w:sz="2" w:space="0" w:color="000001"/>
              <w:right w:val="single" w:sz="2" w:space="0" w:color="000001"/>
            </w:tcBorders>
          </w:tcPr>
          <w:p w:rsidR="00E23B86" w:rsidRDefault="00E23B86"/>
        </w:tc>
      </w:tr>
    </w:tbl>
    <w:p w:rsidR="00E23B86" w:rsidRDefault="00BA7C13">
      <w:pPr>
        <w:spacing w:after="483" w:line="248" w:lineRule="auto"/>
        <w:ind w:left="1070" w:right="552" w:hanging="10"/>
        <w:jc w:val="both"/>
      </w:pPr>
      <w:r>
        <w:rPr>
          <w:rFonts w:ascii="Arial" w:eastAsia="Arial" w:hAnsi="Arial" w:cs="Arial"/>
        </w:rPr>
        <w:t>Se cumple la Regla del Gasto en 702.168,42 Euros.</w:t>
      </w:r>
    </w:p>
    <w:p w:rsidR="00E23B86" w:rsidRDefault="00BA7C13">
      <w:pPr>
        <w:spacing w:after="456" w:line="278" w:lineRule="auto"/>
        <w:ind w:left="347" w:hanging="10"/>
      </w:pPr>
      <w:r>
        <w:rPr>
          <w:rFonts w:ascii="Arial" w:eastAsia="Arial" w:hAnsi="Arial" w:cs="Arial"/>
          <w:b/>
          <w:u w:val="single" w:color="000000"/>
        </w:rPr>
        <w:t>3.- CUMPLIMIENTO DEL LÍMITE DE DEUDA</w:t>
      </w:r>
    </w:p>
    <w:p w:rsidR="00E23B86" w:rsidRDefault="00BA7C13">
      <w:pPr>
        <w:spacing w:after="110" w:line="248" w:lineRule="auto"/>
        <w:ind w:left="363" w:right="552" w:firstLine="708"/>
        <w:jc w:val="both"/>
      </w:pPr>
      <w:r>
        <w:rPr>
          <w:rFonts w:ascii="Arial" w:eastAsia="Arial" w:hAnsi="Arial" w:cs="Arial"/>
        </w:rPr>
        <w:t>La LOEPSF (art. 13) establece la obligación de no rebasar el límite de deuda pública que ha sido fijado en el 3 % del PIB, para el ejercicio 2019.</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196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3556" name="Group 51355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4407" name="Rectangle 1440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4408" name="Rectangle 1440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3556" style="width:12.7031pt;height:280.35pt;position:absolute;mso-position-horizontal-relative:page;mso-position-horizontal:absolute;margin-left:681.958pt;mso-position-vertical-relative:page;margin-top:531.65pt;" coordsize="1613,35604">
                <v:rect id="Rectangle 1440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440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391 </w:t>
                        </w:r>
                      </w:p>
                    </w:txbxContent>
                  </v:textbox>
                </v:rect>
                <w10:wrap type="square"/>
              </v:group>
            </w:pict>
          </mc:Fallback>
        </mc:AlternateContent>
      </w:r>
      <w:r>
        <w:rPr>
          <w:rFonts w:ascii="Arial" w:eastAsia="Arial" w:hAnsi="Arial" w:cs="Arial"/>
        </w:rPr>
        <w:t>El modelo diseñado por la Subdirección General de Relaciones F</w:t>
      </w:r>
      <w:r>
        <w:rPr>
          <w:rFonts w:ascii="Arial" w:eastAsia="Arial" w:hAnsi="Arial" w:cs="Arial"/>
        </w:rPr>
        <w:t>inancieras con las Entidades Locales, que se ha de cumplimentar a través de la plataforma habilitada en la Oficina Virtual del ministerio de Hacienda y Administraciones Públicas, utiliza un criterio más amplio para determinar el volumen de deuda, que el qu</w:t>
      </w:r>
      <w:r>
        <w:rPr>
          <w:rFonts w:ascii="Arial" w:eastAsia="Arial" w:hAnsi="Arial" w:cs="Arial"/>
        </w:rPr>
        <w:t xml:space="preserve">e se ha venido utilizando para estimar el porcentaje de deuda viva en términos del artículo 53 del TRLRHL para nuevas concertaciones de préstamos. Incluye el importe obtenido mediante factoring sin recurso, refiriéndose a operaciones en las que se ceden o </w:t>
      </w:r>
      <w:r>
        <w:rPr>
          <w:rFonts w:ascii="Arial" w:eastAsia="Arial" w:hAnsi="Arial" w:cs="Arial"/>
        </w:rPr>
        <w:t>endosan a entidades financieras obligaciones pago que suponen deuda para el ayuntamiento, así como el importe de los pagos aplazados, aun con reflejo presupuestario como obligación pendiente de pago, y también el saldo de los importes a devolver por las li</w:t>
      </w:r>
      <w:r>
        <w:rPr>
          <w:rFonts w:ascii="Arial" w:eastAsia="Arial" w:hAnsi="Arial" w:cs="Arial"/>
        </w:rPr>
        <w:t xml:space="preserve">quidaciones negativas de la participación en ingresos del Estado de 2008 y 2009. </w:t>
      </w:r>
    </w:p>
    <w:p w:rsidR="00E23B86" w:rsidRDefault="00BA7C13">
      <w:pPr>
        <w:spacing w:after="110" w:line="248" w:lineRule="auto"/>
        <w:ind w:left="363" w:right="552" w:firstLine="708"/>
        <w:jc w:val="both"/>
      </w:pPr>
      <w:r>
        <w:rPr>
          <w:rFonts w:ascii="Arial" w:eastAsia="Arial" w:hAnsi="Arial" w:cs="Arial"/>
        </w:rPr>
        <w:t xml:space="preserve">En este sentido la Disposición Adicional única de la Ley orgánica 4/2012, de 28 de septiembre por la que se modifica la LOEPSF señala que “el incremento del volumen de deuda </w:t>
      </w:r>
      <w:r>
        <w:rPr>
          <w:rFonts w:ascii="Arial" w:eastAsia="Arial" w:hAnsi="Arial" w:cs="Arial"/>
        </w:rPr>
        <w:t>que pueda producirse en la Administración central, de acuerdo con el Protocolo de Déficit Excesivo, como consecuencia de las operaciones de endeudamiento que realice o haya realizado el Estado, con el fin de desarrollar los mecanismos adicionales de financ</w:t>
      </w:r>
      <w:r>
        <w:rPr>
          <w:rFonts w:ascii="Arial" w:eastAsia="Arial" w:hAnsi="Arial" w:cs="Arial"/>
        </w:rPr>
        <w:t>iación, se computará respectivamente en las Comunidades Autónomas y Corporaciones Locales en la cuantía equivalente a las cantidades percibidas por dichas Administraciones con cargo a aquellos mecanismos”.</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20704"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48398" name="Group 54839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4552" name="Rectangle 1455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w:t>
                              </w:r>
                              <w:r>
                                <w:rPr>
                                  <w:rFonts w:ascii="Arial" w:eastAsia="Arial" w:hAnsi="Arial" w:cs="Arial"/>
                                  <w:sz w:val="12"/>
                                </w:rPr>
                                <w:t xml:space="preserve">rificación: https://candelaria.sedelectronica.es/ </w:t>
                              </w:r>
                            </w:p>
                          </w:txbxContent>
                        </wps:txbx>
                        <wps:bodyPr horzOverflow="overflow" vert="horz" lIns="0" tIns="0" rIns="0" bIns="0" rtlCol="0">
                          <a:noAutofit/>
                        </wps:bodyPr>
                      </wps:wsp>
                      <wps:wsp>
                        <wps:cNvPr id="14553" name="Rectangle 14553"/>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8398" style="width:12.7031pt;height:280.35pt;position:absolute;mso-position-horizontal-relative:page;mso-position-horizontal:absolute;margin-left:681.958pt;mso-position-vertical-relative:page;margin-top:531.65pt;" coordsize="1613,35604">
                <v:rect id="Rectangle 1455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4553"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391 </w:t>
                        </w:r>
                      </w:p>
                    </w:txbxContent>
                  </v:textbox>
                </v:rect>
                <w10:wrap type="topAndBottom"/>
              </v:group>
            </w:pict>
          </mc:Fallback>
        </mc:AlternateContent>
      </w:r>
      <w:r>
        <w:rPr>
          <w:rFonts w:ascii="Arial" w:eastAsia="Arial" w:hAnsi="Arial" w:cs="Arial"/>
        </w:rPr>
        <w:t>Se establece la obligación de incluir los saldos de las operaciones formalizadas no dispuestos, lo que nos co</w:t>
      </w:r>
      <w:r>
        <w:rPr>
          <w:rFonts w:ascii="Arial" w:eastAsia="Arial" w:hAnsi="Arial" w:cs="Arial"/>
        </w:rPr>
        <w:t xml:space="preserve">nduce al concepto de deuda viva potencial, cuestión de todo punto lógica si tenemos en cuenta que se incluye asimismo el importe de la operación proyectada. Sin embargo, esto supone una excepción a la valoración de las operaciones con los mismos criterios </w:t>
      </w:r>
      <w:r>
        <w:rPr>
          <w:rFonts w:ascii="Arial" w:eastAsia="Arial" w:hAnsi="Arial" w:cs="Arial"/>
        </w:rPr>
        <w:t>utilizados para su inclusión en el balance.</w:t>
      </w:r>
    </w:p>
    <w:p w:rsidR="00E23B86" w:rsidRDefault="00BA7C13">
      <w:pPr>
        <w:spacing w:after="235" w:line="248" w:lineRule="auto"/>
        <w:ind w:left="363" w:right="552" w:firstLine="708"/>
        <w:jc w:val="both"/>
      </w:pPr>
      <w:r>
        <w:rPr>
          <w:rFonts w:ascii="Arial" w:eastAsia="Arial" w:hAnsi="Arial" w:cs="Arial"/>
        </w:rPr>
        <w:t>A continuación, se detalla el volumen de Ingresos Corrientes de carácter ordinario y los ajustes correspondientes a los ingresos afectados para operaciones de capital:</w:t>
      </w:r>
    </w:p>
    <w:tbl>
      <w:tblPr>
        <w:tblStyle w:val="TableGrid"/>
        <w:tblW w:w="8598" w:type="dxa"/>
        <w:tblInd w:w="337" w:type="dxa"/>
        <w:tblCellMar>
          <w:top w:w="11" w:type="dxa"/>
          <w:left w:w="11" w:type="dxa"/>
          <w:bottom w:w="0" w:type="dxa"/>
          <w:right w:w="16" w:type="dxa"/>
        </w:tblCellMar>
        <w:tblLook w:val="04A0" w:firstRow="1" w:lastRow="0" w:firstColumn="1" w:lastColumn="0" w:noHBand="0" w:noVBand="1"/>
      </w:tblPr>
      <w:tblGrid>
        <w:gridCol w:w="6860"/>
        <w:gridCol w:w="1738"/>
      </w:tblGrid>
      <w:tr w:rsidR="00E23B86">
        <w:trPr>
          <w:trHeight w:val="381"/>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CONCEPTO</w:t>
            </w:r>
          </w:p>
        </w:tc>
        <w:tc>
          <w:tcPr>
            <w:tcW w:w="17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IMPORTE</w:t>
            </w:r>
          </w:p>
        </w:tc>
      </w:tr>
      <w:tr w:rsidR="00E23B86">
        <w:trPr>
          <w:trHeight w:val="384"/>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 Suma de los Ingresos Liquidados en los capítulos 1 a 5</w:t>
            </w:r>
          </w:p>
        </w:tc>
        <w:tc>
          <w:tcPr>
            <w:tcW w:w="1738"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26.527.733,91 €</w:t>
            </w:r>
          </w:p>
        </w:tc>
      </w:tr>
      <w:tr w:rsidR="00E23B86">
        <w:trPr>
          <w:trHeight w:val="1142"/>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(-)Ingresos por multas coercitivas, o derivados de convenios urbanísticos de planeamiento, o cualesquiera otros, que expresamente hayan sido declarados como integrantes del Patrimo</w:t>
            </w:r>
            <w:r>
              <w:rPr>
                <w:rFonts w:ascii="Arial" w:eastAsia="Arial" w:hAnsi="Arial" w:cs="Arial"/>
              </w:rPr>
              <w:t>nio Público del Suelo</w:t>
            </w:r>
          </w:p>
        </w:tc>
        <w:tc>
          <w:tcPr>
            <w:tcW w:w="1738" w:type="dxa"/>
            <w:tcBorders>
              <w:top w:val="single" w:sz="4" w:space="0" w:color="000001"/>
              <w:left w:val="single" w:sz="4" w:space="0" w:color="000001"/>
              <w:bottom w:val="single" w:sz="4" w:space="0" w:color="000001"/>
              <w:right w:val="single" w:sz="4" w:space="0" w:color="000001"/>
            </w:tcBorders>
            <w:vAlign w:val="bottom"/>
          </w:tcPr>
          <w:p w:rsidR="00E23B86" w:rsidRDefault="00BA7C13">
            <w:pPr>
              <w:spacing w:after="0"/>
            </w:pPr>
            <w:r>
              <w:rPr>
                <w:rFonts w:ascii="Arial" w:eastAsia="Arial" w:hAnsi="Arial" w:cs="Arial"/>
              </w:rPr>
              <w:t>0,00</w:t>
            </w:r>
          </w:p>
        </w:tc>
      </w:tr>
      <w:tr w:rsidR="00E23B86">
        <w:trPr>
          <w:trHeight w:val="888"/>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(-)Ingresos por actuaciones de urbanización, tales como el canon de urbanización, cuotas de urbanización, o cualquier otro de este carácter</w:t>
            </w:r>
          </w:p>
        </w:tc>
        <w:tc>
          <w:tcPr>
            <w:tcW w:w="1738" w:type="dxa"/>
            <w:tcBorders>
              <w:top w:val="single" w:sz="4" w:space="0" w:color="000001"/>
              <w:left w:val="single" w:sz="4" w:space="0" w:color="000001"/>
              <w:bottom w:val="single" w:sz="4" w:space="0" w:color="000001"/>
              <w:right w:val="single" w:sz="4" w:space="0" w:color="000001"/>
            </w:tcBorders>
            <w:vAlign w:val="bottom"/>
          </w:tcPr>
          <w:p w:rsidR="00E23B86" w:rsidRDefault="00BA7C13">
            <w:pPr>
              <w:spacing w:after="0"/>
            </w:pPr>
            <w:r>
              <w:rPr>
                <w:rFonts w:ascii="Arial" w:eastAsia="Arial" w:hAnsi="Arial" w:cs="Arial"/>
              </w:rPr>
              <w:t>0,00</w:t>
            </w:r>
          </w:p>
        </w:tc>
      </w:tr>
      <w:tr w:rsidR="00E23B86">
        <w:trPr>
          <w:trHeight w:val="1768"/>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 xml:space="preserve">(-) Aprovechamientos urbanísticos, y otros ingresos por </w:t>
            </w:r>
          </w:p>
          <w:p w:rsidR="00E23B86" w:rsidRDefault="00BA7C13">
            <w:pPr>
              <w:spacing w:after="119" w:line="240" w:lineRule="auto"/>
            </w:pPr>
            <w:r>
              <w:rPr>
                <w:rFonts w:ascii="Arial" w:eastAsia="Arial" w:hAnsi="Arial" w:cs="Arial"/>
              </w:rPr>
              <w:t>aprovechamientos edificatorios distintos de los anteriores (entre otros, los aprovechamientos edificatorios en suelo rústico, regulados en el art. 62.3 del texto refundido de las</w:t>
            </w:r>
          </w:p>
          <w:p w:rsidR="00E23B86" w:rsidRDefault="00BA7C13">
            <w:pPr>
              <w:spacing w:after="0"/>
            </w:pPr>
            <w:r>
              <w:rPr>
                <w:rFonts w:ascii="Arial" w:eastAsia="Arial" w:hAnsi="Arial" w:cs="Arial"/>
              </w:rPr>
              <w:t xml:space="preserve"> Leyes de ordenación del territorio de Canarias y Espacios Naturales de Canar</w:t>
            </w:r>
            <w:r>
              <w:rPr>
                <w:rFonts w:ascii="Arial" w:eastAsia="Arial" w:hAnsi="Arial" w:cs="Arial"/>
              </w:rPr>
              <w:t>ias)</w:t>
            </w:r>
          </w:p>
        </w:tc>
        <w:tc>
          <w:tcPr>
            <w:tcW w:w="1738" w:type="dxa"/>
            <w:tcBorders>
              <w:top w:val="single" w:sz="4" w:space="0" w:color="000001"/>
              <w:left w:val="single" w:sz="4" w:space="0" w:color="000001"/>
              <w:bottom w:val="single" w:sz="4" w:space="0" w:color="000001"/>
              <w:right w:val="single" w:sz="4" w:space="0" w:color="000001"/>
            </w:tcBorders>
            <w:vAlign w:val="bottom"/>
          </w:tcPr>
          <w:p w:rsidR="00E23B86" w:rsidRDefault="00BA7C13">
            <w:pPr>
              <w:spacing w:after="0"/>
            </w:pPr>
            <w:r>
              <w:rPr>
                <w:rFonts w:ascii="Arial" w:eastAsia="Arial" w:hAnsi="Arial" w:cs="Arial"/>
              </w:rPr>
              <w:t>0,00</w:t>
            </w:r>
          </w:p>
        </w:tc>
      </w:tr>
      <w:tr w:rsidR="00E23B86">
        <w:trPr>
          <w:trHeight w:val="1130"/>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(-)Ingresos por multas impuestas por infracciones urbanísticas, expresamente afectados a operaciones de igual carácter, que no hayan de integrarse en el Patrimonio Público del Suelo</w:t>
            </w:r>
          </w:p>
        </w:tc>
        <w:tc>
          <w:tcPr>
            <w:tcW w:w="1738" w:type="dxa"/>
            <w:tcBorders>
              <w:top w:val="single" w:sz="4" w:space="0" w:color="000001"/>
              <w:left w:val="single" w:sz="4" w:space="0" w:color="000001"/>
              <w:bottom w:val="single" w:sz="4" w:space="0" w:color="000001"/>
              <w:right w:val="single" w:sz="4" w:space="0" w:color="000001"/>
            </w:tcBorders>
            <w:vAlign w:val="bottom"/>
          </w:tcPr>
          <w:p w:rsidR="00E23B86" w:rsidRDefault="00BA7C13">
            <w:pPr>
              <w:spacing w:after="0"/>
            </w:pPr>
            <w:r>
              <w:rPr>
                <w:rFonts w:ascii="Arial" w:eastAsia="Arial" w:hAnsi="Arial" w:cs="Arial"/>
              </w:rPr>
              <w:t>0,00</w:t>
            </w:r>
          </w:p>
        </w:tc>
      </w:tr>
      <w:tr w:rsidR="00E23B86">
        <w:trPr>
          <w:trHeight w:val="1128"/>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 xml:space="preserve">(-)Contribuciones especiales afectadas a operaciones de capital </w:t>
            </w:r>
          </w:p>
        </w:tc>
        <w:tc>
          <w:tcPr>
            <w:tcW w:w="1738" w:type="dxa"/>
            <w:tcBorders>
              <w:top w:val="single" w:sz="4" w:space="0" w:color="000001"/>
              <w:left w:val="single" w:sz="4" w:space="0" w:color="000001"/>
              <w:bottom w:val="single" w:sz="4" w:space="0" w:color="000001"/>
              <w:right w:val="single" w:sz="4" w:space="0" w:color="000001"/>
            </w:tcBorders>
            <w:vAlign w:val="bottom"/>
          </w:tcPr>
          <w:p w:rsidR="00E23B86" w:rsidRDefault="00BA7C13">
            <w:pPr>
              <w:spacing w:after="0"/>
            </w:pPr>
            <w:r>
              <w:rPr>
                <w:rFonts w:ascii="Arial" w:eastAsia="Arial" w:hAnsi="Arial" w:cs="Arial"/>
              </w:rPr>
              <w:t>0,00</w:t>
            </w:r>
          </w:p>
        </w:tc>
      </w:tr>
      <w:tr w:rsidR="00E23B86">
        <w:trPr>
          <w:trHeight w:val="1396"/>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(-)Ingresos por el canon de mejora del servicio de agua o canon de saneamiento cuando esté afectado, por la normativa sectorial, a la financiación de inversiones de capital relacionadas</w:t>
            </w:r>
            <w:r>
              <w:rPr>
                <w:rFonts w:ascii="Arial" w:eastAsia="Arial" w:hAnsi="Arial" w:cs="Arial"/>
              </w:rPr>
              <w:t xml:space="preserve"> con el servicio prestado, tales como infraestructuras hidráulicas, o redes de saneamiento y depuración, entre otras</w:t>
            </w:r>
          </w:p>
        </w:tc>
        <w:tc>
          <w:tcPr>
            <w:tcW w:w="1738" w:type="dxa"/>
            <w:tcBorders>
              <w:top w:val="single" w:sz="4" w:space="0" w:color="000001"/>
              <w:left w:val="single" w:sz="4" w:space="0" w:color="000001"/>
              <w:bottom w:val="single" w:sz="4" w:space="0" w:color="000001"/>
              <w:right w:val="single" w:sz="4" w:space="0" w:color="000001"/>
            </w:tcBorders>
            <w:vAlign w:val="bottom"/>
          </w:tcPr>
          <w:p w:rsidR="00E23B86" w:rsidRDefault="00BA7C13">
            <w:pPr>
              <w:spacing w:after="0"/>
            </w:pPr>
            <w:r>
              <w:rPr>
                <w:rFonts w:ascii="Arial" w:eastAsia="Arial" w:hAnsi="Arial" w:cs="Arial"/>
              </w:rPr>
              <w:t>0,00</w:t>
            </w:r>
          </w:p>
        </w:tc>
      </w:tr>
      <w:tr w:rsidR="00E23B86">
        <w:trPr>
          <w:trHeight w:val="1394"/>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(-)Aprovechamientos agrícolas y forestales de carácter afectado; en particular el Fondo de Mejora de Montes cuando esté afectado a la realización de inversiones, tales como la ejecución de mejoras en los montes de titularidad municipal, o la realización de</w:t>
            </w:r>
            <w:r>
              <w:rPr>
                <w:rFonts w:ascii="Arial" w:eastAsia="Arial" w:hAnsi="Arial" w:cs="Arial"/>
              </w:rPr>
              <w:t xml:space="preserve"> mejoras de interés forestal general de la provincia</w:t>
            </w:r>
          </w:p>
        </w:tc>
        <w:tc>
          <w:tcPr>
            <w:tcW w:w="1738" w:type="dxa"/>
            <w:tcBorders>
              <w:top w:val="single" w:sz="4" w:space="0" w:color="000001"/>
              <w:left w:val="single" w:sz="4" w:space="0" w:color="000001"/>
              <w:bottom w:val="single" w:sz="4" w:space="0" w:color="000001"/>
              <w:right w:val="single" w:sz="4" w:space="0" w:color="000001"/>
            </w:tcBorders>
            <w:vAlign w:val="bottom"/>
          </w:tcPr>
          <w:p w:rsidR="00E23B86" w:rsidRDefault="00BA7C13">
            <w:pPr>
              <w:spacing w:after="0"/>
            </w:pPr>
            <w:r>
              <w:rPr>
                <w:rFonts w:ascii="Arial" w:eastAsia="Arial" w:hAnsi="Arial" w:cs="Arial"/>
              </w:rPr>
              <w:t>0,00</w:t>
            </w:r>
          </w:p>
        </w:tc>
      </w:tr>
      <w:tr w:rsidR="00E23B86">
        <w:trPr>
          <w:trHeight w:val="1131"/>
        </w:trPr>
        <w:tc>
          <w:tcPr>
            <w:tcW w:w="6860"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 Otras concesiones y aprovechamientos, afectados por la normativa aplicable a la financiación de operaciones de capital</w:t>
            </w:r>
          </w:p>
        </w:tc>
        <w:tc>
          <w:tcPr>
            <w:tcW w:w="1738" w:type="dxa"/>
            <w:tcBorders>
              <w:top w:val="single" w:sz="4" w:space="0" w:color="000001"/>
              <w:left w:val="single" w:sz="4" w:space="0" w:color="000001"/>
              <w:bottom w:val="single" w:sz="4" w:space="0" w:color="000001"/>
              <w:right w:val="single" w:sz="4" w:space="0" w:color="000001"/>
            </w:tcBorders>
            <w:vAlign w:val="bottom"/>
          </w:tcPr>
          <w:p w:rsidR="00E23B86" w:rsidRDefault="00BA7C13">
            <w:pPr>
              <w:spacing w:after="0"/>
            </w:pPr>
            <w:r>
              <w:rPr>
                <w:rFonts w:ascii="Arial" w:eastAsia="Arial" w:hAnsi="Arial" w:cs="Arial"/>
              </w:rPr>
              <w:t>0,00</w:t>
            </w:r>
          </w:p>
        </w:tc>
      </w:tr>
      <w:tr w:rsidR="00E23B86">
        <w:trPr>
          <w:trHeight w:val="635"/>
        </w:trPr>
        <w:tc>
          <w:tcPr>
            <w:tcW w:w="686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 Otros ingresos afectados a operaciones de capital distintos de los anteriores</w:t>
            </w:r>
          </w:p>
        </w:tc>
        <w:tc>
          <w:tcPr>
            <w:tcW w:w="173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0</w:t>
            </w:r>
          </w:p>
        </w:tc>
      </w:tr>
      <w:tr w:rsidR="00E23B86">
        <w:trPr>
          <w:trHeight w:val="385"/>
        </w:trPr>
        <w:tc>
          <w:tcPr>
            <w:tcW w:w="686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b/>
              </w:rPr>
              <w:t>TOTAL DE INGRESOS CORRIENTES DE CARÁCTER ORDINARIO</w:t>
            </w:r>
          </w:p>
        </w:tc>
        <w:tc>
          <w:tcPr>
            <w:tcW w:w="173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26.527.733,91 €</w:t>
            </w:r>
          </w:p>
        </w:tc>
      </w:tr>
    </w:tbl>
    <w:p w:rsidR="00E23B86" w:rsidRDefault="00BA7C13">
      <w:pPr>
        <w:spacing w:after="10" w:line="248" w:lineRule="auto"/>
        <w:ind w:left="373" w:right="552" w:hanging="10"/>
        <w:jc w:val="both"/>
      </w:pPr>
      <w:r>
        <w:rPr>
          <w:rFonts w:ascii="Arial" w:eastAsia="Arial" w:hAnsi="Arial" w:cs="Arial"/>
        </w:rPr>
        <w:t xml:space="preserve">             En cuanto al volumen de deuda formalizada, a 31 de diciembre de 2018, se cifra en:</w:t>
      </w:r>
    </w:p>
    <w:tbl>
      <w:tblPr>
        <w:tblStyle w:val="TableGrid"/>
        <w:tblW w:w="8686" w:type="dxa"/>
        <w:tblInd w:w="363" w:type="dxa"/>
        <w:tblCellMar>
          <w:top w:w="11" w:type="dxa"/>
          <w:left w:w="11" w:type="dxa"/>
          <w:bottom w:w="0" w:type="dxa"/>
          <w:right w:w="8" w:type="dxa"/>
        </w:tblCellMar>
        <w:tblLook w:val="04A0" w:firstRow="1" w:lastRow="0" w:firstColumn="1" w:lastColumn="0" w:noHBand="0" w:noVBand="1"/>
      </w:tblPr>
      <w:tblGrid>
        <w:gridCol w:w="6786"/>
        <w:gridCol w:w="1900"/>
      </w:tblGrid>
      <w:tr w:rsidR="00E23B86">
        <w:trPr>
          <w:trHeight w:val="263"/>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b/>
              </w:rPr>
              <w:t>ESTADO DE MOVIMIENTO Y SITUACIÓN DE LA DEUDA</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IMPORTE</w:t>
            </w:r>
          </w:p>
        </w:tc>
      </w:tr>
      <w:tr w:rsidR="00E23B86">
        <w:trPr>
          <w:trHeight w:val="262"/>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Emisiones de deuda</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r>
      <w:tr w:rsidR="00E23B86">
        <w:trPr>
          <w:trHeight w:val="264"/>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Operaciones con Entidades de Crédito formalizados</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rPr>
              <w:t>2.407.332,20 €</w:t>
            </w:r>
          </w:p>
        </w:tc>
      </w:tr>
      <w:tr w:rsidR="00E23B86">
        <w:trPr>
          <w:trHeight w:val="262"/>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Avales a entes instrumentales</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rPr>
              <w:t>0,00 €</w:t>
            </w:r>
          </w:p>
        </w:tc>
      </w:tr>
      <w:tr w:rsidR="00E23B86">
        <w:trPr>
          <w:trHeight w:val="264"/>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Factoring sin recurso</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r>
      <w:tr w:rsidR="00E23B86">
        <w:trPr>
          <w:trHeight w:val="262"/>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Avales ejecutados</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r>
      <w:tr w:rsidR="00E23B86">
        <w:trPr>
          <w:trHeight w:val="264"/>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Liquidaciones PIE -2008</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169.389,77 €</w:t>
            </w:r>
          </w:p>
        </w:tc>
      </w:tr>
      <w:tr w:rsidR="00E23B86">
        <w:trPr>
          <w:trHeight w:val="262"/>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Liquidaciones PIE -2009</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718.417,76 €</w:t>
            </w:r>
          </w:p>
        </w:tc>
      </w:tr>
      <w:tr w:rsidR="00E23B86">
        <w:trPr>
          <w:trHeight w:val="264"/>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 xml:space="preserve">Otras Deudas con Administraciones Públicas </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rPr>
              <w:t>0,00 €</w:t>
            </w:r>
          </w:p>
        </w:tc>
      </w:tr>
      <w:tr w:rsidR="00E23B86">
        <w:trPr>
          <w:trHeight w:val="262"/>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Arrendamientos Financieros</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r>
      <w:tr w:rsidR="00E23B86">
        <w:trPr>
          <w:trHeight w:val="264"/>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Pagos Aplazados</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r>
      <w:tr w:rsidR="00E23B86">
        <w:trPr>
          <w:trHeight w:val="262"/>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Inversiones con abono total del precio</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r>
      <w:tr w:rsidR="00E23B86">
        <w:trPr>
          <w:trHeight w:val="264"/>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Asociaciones Públicos Privadas</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r>
      <w:tr w:rsidR="00E23B86">
        <w:trPr>
          <w:trHeight w:val="263"/>
        </w:trPr>
        <w:tc>
          <w:tcPr>
            <w:tcW w:w="6786"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b/>
              </w:rPr>
              <w:t>TOTAL</w:t>
            </w:r>
          </w:p>
        </w:tc>
        <w:tc>
          <w:tcPr>
            <w:tcW w:w="1900"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b/>
              </w:rPr>
              <w:t>3.295.139,73 €</w:t>
            </w:r>
          </w:p>
        </w:tc>
      </w:tr>
    </w:tbl>
    <w:p w:rsidR="00E23B86" w:rsidRDefault="00BA7C13">
      <w:pPr>
        <w:spacing w:after="485" w:line="248" w:lineRule="auto"/>
        <w:ind w:left="363" w:right="552" w:firstLine="708"/>
        <w:jc w:val="both"/>
      </w:pPr>
      <w:r>
        <w:rPr>
          <w:rFonts w:ascii="Arial" w:eastAsia="Arial" w:hAnsi="Arial" w:cs="Arial"/>
        </w:rPr>
        <w:t>Por tanto, según el Protocolo de Déficit Excesivo, el porcentaje de Deuda Viva formalizada, que coincide con la estimada, sobre los Ingresos Corrientes, asciende al 12,4 %, frente al 17,5 % del año anterior.</w:t>
      </w:r>
    </w:p>
    <w:p w:rsidR="00E23B86" w:rsidRDefault="00BA7C13">
      <w:pPr>
        <w:spacing w:after="485" w:line="248" w:lineRule="auto"/>
        <w:ind w:left="363" w:right="552" w:firstLine="708"/>
        <w:jc w:val="both"/>
      </w:pPr>
      <w:r>
        <w:rPr>
          <w:noProof/>
        </w:rPr>
        <mc:AlternateContent>
          <mc:Choice Requires="wpg">
            <w:drawing>
              <wp:anchor distT="0" distB="0" distL="114300" distR="114300" simplePos="0" relativeHeight="2517217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9966" name="Group 55996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4793" name="Rectangle 1479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w:t>
                              </w: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794" name="Rectangle 1479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9966" style="width:12.7031pt;height:280.35pt;position:absolute;mso-position-horizontal-relative:page;mso-position-horizontal:absolute;margin-left:681.958pt;mso-position-vertical-relative:page;margin-top:531.65pt;" coordsize="1613,35604">
                <v:rect id="Rectangle 1479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479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391 </w:t>
                        </w:r>
                      </w:p>
                    </w:txbxContent>
                  </v:textbox>
                </v:rect>
                <w10:wrap type="square"/>
              </v:group>
            </w:pict>
          </mc:Fallback>
        </mc:AlternateContent>
      </w:r>
      <w:r>
        <w:rPr>
          <w:rFonts w:ascii="Arial" w:eastAsia="Arial" w:hAnsi="Arial" w:cs="Arial"/>
        </w:rPr>
        <w:t>Mientras el legislador no nos traduzca este 3% del PIB de deuda pública, y dada las dificultades de aplicac</w:t>
      </w:r>
      <w:r>
        <w:rPr>
          <w:rFonts w:ascii="Arial" w:eastAsia="Arial" w:hAnsi="Arial" w:cs="Arial"/>
        </w:rPr>
        <w:t>ión y que los controles habituales en sector local son sobre la deuda viva, nos centraremos en el ratio de deuda viva, por lo que el porcentaje obtenido es inferior al 110 por 100 de los recursos corrientes liquidados, en virtud del cual, no resulta necesa</w:t>
      </w:r>
      <w:r>
        <w:rPr>
          <w:rFonts w:ascii="Arial" w:eastAsia="Arial" w:hAnsi="Arial" w:cs="Arial"/>
        </w:rPr>
        <w:t xml:space="preserve">rio aprobar, por acuerdo plenario, de una Plan de Reducción de deuda para corregir el volumen de endeudamiento, en los términos definidos en la disposición final trigésima primera de la </w:t>
      </w:r>
      <w:r>
        <w:rPr>
          <w:rFonts w:ascii="Arial" w:eastAsia="Arial" w:hAnsi="Arial" w:cs="Arial"/>
          <w:color w:val="000080"/>
          <w:u w:val="single" w:color="000080"/>
        </w:rPr>
        <w:t xml:space="preserve">Ley 17/2012, de 27 de diciembre, de Presupuestos Generales del Estado </w:t>
      </w:r>
      <w:r>
        <w:rPr>
          <w:rFonts w:ascii="Arial" w:eastAsia="Arial" w:hAnsi="Arial" w:cs="Arial"/>
          <w:color w:val="000080"/>
          <w:u w:val="single" w:color="000080"/>
        </w:rPr>
        <w:t>para el año 2013</w:t>
      </w:r>
      <w:r>
        <w:rPr>
          <w:rFonts w:ascii="Arial" w:eastAsia="Arial" w:hAnsi="Arial" w:cs="Arial"/>
        </w:rPr>
        <w:t>, que establece un nuevo marco normativo para el año 2013, para la concertación de operaciones de crédito a largo plazo por las Corporaciones Locales. Se ha prorrogado para los ejercicios siguientes.</w:t>
      </w:r>
    </w:p>
    <w:p w:rsidR="00E23B86" w:rsidRDefault="00BA7C13">
      <w:pPr>
        <w:spacing w:after="485" w:line="249" w:lineRule="auto"/>
        <w:ind w:left="355" w:right="554" w:hanging="10"/>
        <w:jc w:val="both"/>
      </w:pPr>
      <w:r>
        <w:rPr>
          <w:rFonts w:ascii="Arial" w:eastAsia="Arial" w:hAnsi="Arial" w:cs="Arial"/>
          <w:b/>
        </w:rPr>
        <w:t>CONCLUSIONES SOBRE EL CUMPLIMIENTO DEL O</w:t>
      </w:r>
      <w:r>
        <w:rPr>
          <w:rFonts w:ascii="Arial" w:eastAsia="Arial" w:hAnsi="Arial" w:cs="Arial"/>
          <w:b/>
        </w:rPr>
        <w:t>BJETIVO DE ESTABILIDAD PRESUPUESTARIA, REGLA DE GASTO Y NIVEL DE DEUDA.</w:t>
      </w:r>
    </w:p>
    <w:p w:rsidR="00E23B86" w:rsidRDefault="00BA7C13">
      <w:pPr>
        <w:spacing w:after="110" w:line="248" w:lineRule="auto"/>
        <w:ind w:left="363" w:right="552" w:firstLine="708"/>
        <w:jc w:val="both"/>
      </w:pPr>
      <w:r>
        <w:rPr>
          <w:rFonts w:ascii="Arial" w:eastAsia="Arial" w:hAnsi="Arial" w:cs="Arial"/>
        </w:rPr>
        <w:t>Con base a los cálculos detallados en el expediente motivo del informe, en la liquidación de la entidad local, del ejercicio 2019, se c</w:t>
      </w:r>
      <w:r>
        <w:rPr>
          <w:rFonts w:ascii="Arial" w:eastAsia="Arial" w:hAnsi="Arial" w:cs="Arial"/>
          <w:u w:val="single" w:color="000000"/>
        </w:rPr>
        <w:t>umple el objetivo de Estabilidad Presupuestaria entendido como la situación de equilibri</w:t>
      </w:r>
      <w:r>
        <w:rPr>
          <w:rFonts w:ascii="Arial" w:eastAsia="Arial" w:hAnsi="Arial" w:cs="Arial"/>
        </w:rPr>
        <w:t>o o de superávit en términos de capacidad de financiación de acuerdo con la definición contenida en el SEC 95 y el objetivo de límite de endeudamiento, así como la Regl</w:t>
      </w:r>
      <w:r>
        <w:rPr>
          <w:rFonts w:ascii="Arial" w:eastAsia="Arial" w:hAnsi="Arial" w:cs="Arial"/>
        </w:rPr>
        <w:t>a del Gasto.</w:t>
      </w:r>
    </w:p>
    <w:p w:rsidR="00E23B86" w:rsidRDefault="00BA7C13">
      <w:pPr>
        <w:spacing w:after="110" w:line="248" w:lineRule="auto"/>
        <w:ind w:left="363" w:right="552" w:firstLine="708"/>
        <w:jc w:val="both"/>
      </w:pPr>
      <w:r>
        <w:rPr>
          <w:rFonts w:ascii="Arial" w:eastAsia="Arial" w:hAnsi="Arial" w:cs="Arial"/>
        </w:rPr>
        <w:t>Con fecha 26 de septiembre de 2019, se adoptó el acuerdo de aprobar el contenido del Plan Económico Financiero para los ejercicios 2019 y 2020, una vez puesto de manifiesto su necesidad, por incumplimiento de la Regla del Gasto, a través de la</w:t>
      </w:r>
      <w:r>
        <w:rPr>
          <w:rFonts w:ascii="Arial" w:eastAsia="Arial" w:hAnsi="Arial" w:cs="Arial"/>
        </w:rPr>
        <w:t xml:space="preserve"> Cuenta General para el ejercicio 2018, que fue aprobada el 22 de octubre de 2019.</w:t>
      </w:r>
    </w:p>
    <w:p w:rsidR="00E23B86" w:rsidRDefault="00BA7C13">
      <w:pPr>
        <w:spacing w:after="110" w:line="248" w:lineRule="auto"/>
        <w:ind w:left="363" w:right="552" w:firstLine="708"/>
        <w:jc w:val="both"/>
      </w:pPr>
      <w:r>
        <w:rPr>
          <w:rFonts w:ascii="Arial" w:eastAsia="Arial" w:hAnsi="Arial" w:cs="Arial"/>
        </w:rPr>
        <w:t xml:space="preserve">Por tanto, a la espera de consolidar los datos con los entes sectorizados como administraciones públicas, podemos decir que, en principio, se va a cumplir con el primer año </w:t>
      </w:r>
      <w:r>
        <w:rPr>
          <w:rFonts w:ascii="Arial" w:eastAsia="Arial" w:hAnsi="Arial" w:cs="Arial"/>
        </w:rPr>
        <w:t>de vigencia del Plan Económico Financiero y no será necesaria adoptar ningún acuerdo de no disponibilidad de los créditos en el presente ejercicio 2020.</w:t>
      </w:r>
    </w:p>
    <w:p w:rsidR="00E23B86" w:rsidRDefault="00BA7C13">
      <w:pPr>
        <w:spacing w:after="245" w:line="248" w:lineRule="auto"/>
        <w:ind w:left="363" w:right="552" w:firstLine="708"/>
        <w:jc w:val="both"/>
      </w:pPr>
      <w:r>
        <w:rPr>
          <w:rFonts w:ascii="Arial" w:eastAsia="Arial" w:hAnsi="Arial" w:cs="Arial"/>
        </w:rPr>
        <w:t>Por último, destacar que la aplicación del artículo 12.5 de la LOEPSF, supone que los ingresos que se o</w:t>
      </w:r>
      <w:r>
        <w:rPr>
          <w:rFonts w:ascii="Arial" w:eastAsia="Arial" w:hAnsi="Arial" w:cs="Arial"/>
        </w:rPr>
        <w:t xml:space="preserve">btengan por encima de lo previsto se destinarán íntegramente a reducir el nivel de deuda pública. </w:t>
      </w:r>
    </w:p>
    <w:p w:rsidR="00E23B86" w:rsidRDefault="00BA7C13">
      <w:pPr>
        <w:spacing w:after="245" w:line="248" w:lineRule="auto"/>
        <w:ind w:left="363" w:right="552" w:firstLine="708"/>
        <w:jc w:val="both"/>
      </w:pPr>
      <w:r>
        <w:rPr>
          <w:rFonts w:ascii="Arial" w:eastAsia="Arial" w:hAnsi="Arial" w:cs="Arial"/>
        </w:rPr>
        <w:t>El criterio que viene aplicando el Ministerio de Hacienda es que todos los ingresos de ejercicio corriente recaudados por encima de las previsiones iniciales</w:t>
      </w:r>
      <w:r>
        <w:rPr>
          <w:rFonts w:ascii="Arial" w:eastAsia="Arial" w:hAnsi="Arial" w:cs="Arial"/>
        </w:rPr>
        <w:t>, excluidos los ingresos finalistas, en el momento del cierre del ejercicio, han de destinarse obligatoriamente a la reducción de deuda vía amortización anticipada de las operaciones existentes, mediante la tramitación de un expediente de Suplemento de Cré</w:t>
      </w:r>
      <w:r>
        <w:rPr>
          <w:rFonts w:ascii="Arial" w:eastAsia="Arial" w:hAnsi="Arial" w:cs="Arial"/>
        </w:rPr>
        <w:t xml:space="preserve">dito, financiado con Remanente de Tesorería para Gastos Generales. </w:t>
      </w:r>
    </w:p>
    <w:p w:rsidR="00E23B86" w:rsidRDefault="00BA7C13">
      <w:pPr>
        <w:spacing w:after="245" w:line="248" w:lineRule="auto"/>
        <w:ind w:left="363" w:right="552" w:firstLine="708"/>
        <w:jc w:val="both"/>
      </w:pPr>
      <w:r>
        <w:rPr>
          <w:rFonts w:ascii="Arial" w:eastAsia="Arial" w:hAnsi="Arial" w:cs="Arial"/>
        </w:rPr>
        <w:t>Quedan fuera de la aplicación del artículo 12.5, dado su carácter finalista, las subvenciones, las cuotas de urbanización, los ingresos urbanísticos, las operaciones de préstamo, etc.</w:t>
      </w:r>
    </w:p>
    <w:p w:rsidR="00E23B86" w:rsidRDefault="00BA7C13">
      <w:pPr>
        <w:spacing w:after="10" w:line="248" w:lineRule="auto"/>
        <w:ind w:left="363" w:right="552" w:firstLine="708"/>
        <w:jc w:val="both"/>
      </w:pPr>
      <w:r>
        <w:rPr>
          <w:noProof/>
        </w:rPr>
        <mc:AlternateContent>
          <mc:Choice Requires="wpg">
            <w:drawing>
              <wp:anchor distT="0" distB="0" distL="114300" distR="114300" simplePos="0" relativeHeight="2517227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0701" name="Group 51070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5010" name="Rectangle 1501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w:t>
                              </w:r>
                              <w:r>
                                <w:rPr>
                                  <w:rFonts w:ascii="Arial" w:eastAsia="Arial" w:hAnsi="Arial" w:cs="Arial"/>
                                  <w:sz w:val="12"/>
                                </w:rPr>
                                <w:t xml:space="preserve">ód. Validación: 5AJ7C4GAAK3P9GMGZC2N3FZWC | Verificación: https://candelaria.sedelectronica.es/ </w:t>
                              </w:r>
                            </w:p>
                          </w:txbxContent>
                        </wps:txbx>
                        <wps:bodyPr horzOverflow="overflow" vert="horz" lIns="0" tIns="0" rIns="0" bIns="0" rtlCol="0">
                          <a:noAutofit/>
                        </wps:bodyPr>
                      </wps:wsp>
                      <wps:wsp>
                        <wps:cNvPr id="15011" name="Rectangle 15011"/>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0701" style="width:12.7031pt;height:280.35pt;position:absolute;mso-position-horizontal-relative:page;mso-position-horizontal:absolute;margin-left:681.958pt;mso-position-vertical-relative:page;margin-top:531.65pt;" coordsize="1613,35604">
                <v:rect id="Rectangle 1501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5011"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391 </w:t>
                        </w:r>
                      </w:p>
                    </w:txbxContent>
                  </v:textbox>
                </v:rect>
                <w10:wrap type="square"/>
              </v:group>
            </w:pict>
          </mc:Fallback>
        </mc:AlternateContent>
      </w:r>
      <w:r>
        <w:rPr>
          <w:rFonts w:ascii="Arial" w:eastAsia="Arial" w:hAnsi="Arial" w:cs="Arial"/>
        </w:rPr>
        <w:t>A través del siguiente cuadro, se hace una comparativa de las p</w:t>
      </w:r>
      <w:r>
        <w:rPr>
          <w:rFonts w:ascii="Arial" w:eastAsia="Arial" w:hAnsi="Arial" w:cs="Arial"/>
        </w:rPr>
        <w:t>revisiones iniciales y la recaudación líquida de los ingresos de carácter no finalista, poniendo de manifiesto, la tramitación de un expediente de modificación presupuestaria, para amortizar anticipadamente la cantidad de 516.986,97 Euros”:</w:t>
      </w:r>
    </w:p>
    <w:tbl>
      <w:tblPr>
        <w:tblStyle w:val="TableGrid"/>
        <w:tblW w:w="9555" w:type="dxa"/>
        <w:tblInd w:w="341" w:type="dxa"/>
        <w:tblCellMar>
          <w:top w:w="10" w:type="dxa"/>
          <w:left w:w="11" w:type="dxa"/>
          <w:bottom w:w="0" w:type="dxa"/>
          <w:right w:w="107" w:type="dxa"/>
        </w:tblCellMar>
        <w:tblLook w:val="04A0" w:firstRow="1" w:lastRow="0" w:firstColumn="1" w:lastColumn="0" w:noHBand="0" w:noVBand="1"/>
      </w:tblPr>
      <w:tblGrid>
        <w:gridCol w:w="2605"/>
        <w:gridCol w:w="2168"/>
        <w:gridCol w:w="2392"/>
        <w:gridCol w:w="2390"/>
      </w:tblGrid>
      <w:tr w:rsidR="00E23B86">
        <w:trPr>
          <w:trHeight w:val="514"/>
        </w:trPr>
        <w:tc>
          <w:tcPr>
            <w:tcW w:w="260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b/>
              </w:rPr>
              <w:t>INGRESO</w:t>
            </w:r>
          </w:p>
        </w:tc>
        <w:tc>
          <w:tcPr>
            <w:tcW w:w="216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PREVISI</w:t>
            </w:r>
            <w:r>
              <w:rPr>
                <w:rFonts w:ascii="Arial" w:eastAsia="Arial" w:hAnsi="Arial" w:cs="Arial"/>
                <w:b/>
              </w:rPr>
              <w:t>ONES INICIALES</w:t>
            </w:r>
          </w:p>
        </w:tc>
        <w:tc>
          <w:tcPr>
            <w:tcW w:w="239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b/>
              </w:rPr>
              <w:t>RECAUDACIÓN</w:t>
            </w:r>
          </w:p>
          <w:p w:rsidR="00E23B86" w:rsidRDefault="00BA7C13">
            <w:pPr>
              <w:spacing w:after="0"/>
            </w:pPr>
            <w:r>
              <w:rPr>
                <w:rFonts w:ascii="Arial" w:eastAsia="Arial" w:hAnsi="Arial" w:cs="Arial"/>
                <w:b/>
              </w:rPr>
              <w:t>LÍQUIDA</w:t>
            </w:r>
          </w:p>
        </w:tc>
        <w:tc>
          <w:tcPr>
            <w:tcW w:w="239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IMPORTE AMORTIZAR</w:t>
            </w:r>
          </w:p>
        </w:tc>
      </w:tr>
      <w:tr w:rsidR="00E23B86">
        <w:trPr>
          <w:trHeight w:val="264"/>
        </w:trPr>
        <w:tc>
          <w:tcPr>
            <w:tcW w:w="260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jc w:val="both"/>
            </w:pPr>
            <w:r>
              <w:rPr>
                <w:rFonts w:ascii="Arial" w:eastAsia="Arial" w:hAnsi="Arial" w:cs="Arial"/>
              </w:rPr>
              <w:t>IMPUESTOS DIRECTOS</w:t>
            </w:r>
          </w:p>
        </w:tc>
        <w:tc>
          <w:tcPr>
            <w:tcW w:w="216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8.379.385,00 €</w:t>
            </w:r>
          </w:p>
        </w:tc>
        <w:tc>
          <w:tcPr>
            <w:tcW w:w="239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8.026.368,57 €</w:t>
            </w:r>
          </w:p>
        </w:tc>
        <w:tc>
          <w:tcPr>
            <w:tcW w:w="239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0,00 €</w:t>
            </w:r>
          </w:p>
        </w:tc>
      </w:tr>
      <w:tr w:rsidR="00E23B86">
        <w:trPr>
          <w:trHeight w:val="516"/>
        </w:trPr>
        <w:tc>
          <w:tcPr>
            <w:tcW w:w="260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IMPUESTOS INDIRECTOS</w:t>
            </w:r>
          </w:p>
        </w:tc>
        <w:tc>
          <w:tcPr>
            <w:tcW w:w="216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4.635.600,00 €</w:t>
            </w:r>
          </w:p>
        </w:tc>
        <w:tc>
          <w:tcPr>
            <w:tcW w:w="239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4.757.714,66 €</w:t>
            </w:r>
          </w:p>
        </w:tc>
        <w:tc>
          <w:tcPr>
            <w:tcW w:w="239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122.114,66 €</w:t>
            </w:r>
          </w:p>
        </w:tc>
      </w:tr>
      <w:tr w:rsidR="00E23B86">
        <w:trPr>
          <w:trHeight w:val="262"/>
        </w:trPr>
        <w:tc>
          <w:tcPr>
            <w:tcW w:w="260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TASAS</w:t>
            </w:r>
          </w:p>
        </w:tc>
        <w:tc>
          <w:tcPr>
            <w:tcW w:w="216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2.319.082,00 €</w:t>
            </w:r>
          </w:p>
        </w:tc>
        <w:tc>
          <w:tcPr>
            <w:tcW w:w="239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2.249.208,71 €</w:t>
            </w:r>
          </w:p>
        </w:tc>
        <w:tc>
          <w:tcPr>
            <w:tcW w:w="239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0,00 €</w:t>
            </w:r>
          </w:p>
        </w:tc>
      </w:tr>
      <w:tr w:rsidR="00E23B86">
        <w:trPr>
          <w:trHeight w:val="516"/>
        </w:trPr>
        <w:tc>
          <w:tcPr>
            <w:tcW w:w="260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PARTICIPACIÓN</w:t>
            </w:r>
          </w:p>
          <w:p w:rsidR="00E23B86" w:rsidRDefault="00BA7C13">
            <w:pPr>
              <w:spacing w:after="0"/>
              <w:ind w:left="1"/>
            </w:pPr>
            <w:r>
              <w:rPr>
                <w:rFonts w:ascii="Arial" w:eastAsia="Arial" w:hAnsi="Arial" w:cs="Arial"/>
              </w:rPr>
              <w:t>TRIBUTOS ESTADO</w:t>
            </w:r>
          </w:p>
        </w:tc>
        <w:tc>
          <w:tcPr>
            <w:tcW w:w="216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5.000.000,00 €</w:t>
            </w:r>
          </w:p>
        </w:tc>
        <w:tc>
          <w:tcPr>
            <w:tcW w:w="239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5.373.166,18 €</w:t>
            </w:r>
          </w:p>
        </w:tc>
        <w:tc>
          <w:tcPr>
            <w:tcW w:w="239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373.166,18 €</w:t>
            </w:r>
          </w:p>
        </w:tc>
      </w:tr>
      <w:tr w:rsidR="00E23B86">
        <w:trPr>
          <w:trHeight w:val="516"/>
        </w:trPr>
        <w:tc>
          <w:tcPr>
            <w:tcW w:w="260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rPr>
              <w:t>INGRESOS</w:t>
            </w:r>
          </w:p>
          <w:p w:rsidR="00E23B86" w:rsidRDefault="00BA7C13">
            <w:pPr>
              <w:spacing w:after="0"/>
              <w:ind w:left="1"/>
            </w:pPr>
            <w:r>
              <w:rPr>
                <w:rFonts w:ascii="Arial" w:eastAsia="Arial" w:hAnsi="Arial" w:cs="Arial"/>
              </w:rPr>
              <w:t>PATRIMONIALES</w:t>
            </w:r>
          </w:p>
        </w:tc>
        <w:tc>
          <w:tcPr>
            <w:tcW w:w="216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7.955,00 €</w:t>
            </w:r>
          </w:p>
        </w:tc>
        <w:tc>
          <w:tcPr>
            <w:tcW w:w="2392" w:type="dxa"/>
            <w:tcBorders>
              <w:top w:val="single" w:sz="4" w:space="0" w:color="000001"/>
              <w:left w:val="single" w:sz="5" w:space="0" w:color="000001"/>
              <w:bottom w:val="single" w:sz="4" w:space="0" w:color="000001"/>
              <w:right w:val="single" w:sz="4" w:space="0" w:color="000001"/>
            </w:tcBorders>
          </w:tcPr>
          <w:p w:rsidR="00E23B86" w:rsidRDefault="00BA7C13">
            <w:pPr>
              <w:spacing w:after="0"/>
            </w:pPr>
            <w:r>
              <w:rPr>
                <w:rFonts w:ascii="Arial" w:eastAsia="Arial" w:hAnsi="Arial" w:cs="Arial"/>
              </w:rPr>
              <w:t>29.661,13 €</w:t>
            </w:r>
          </w:p>
        </w:tc>
        <w:tc>
          <w:tcPr>
            <w:tcW w:w="239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21.706,13 €</w:t>
            </w:r>
          </w:p>
        </w:tc>
      </w:tr>
      <w:tr w:rsidR="00E23B86">
        <w:trPr>
          <w:trHeight w:val="264"/>
        </w:trPr>
        <w:tc>
          <w:tcPr>
            <w:tcW w:w="2605" w:type="dxa"/>
            <w:tcBorders>
              <w:top w:val="single" w:sz="4" w:space="0" w:color="000001"/>
              <w:left w:val="single" w:sz="4" w:space="0" w:color="000001"/>
              <w:bottom w:val="single" w:sz="4" w:space="0" w:color="000001"/>
              <w:right w:val="single" w:sz="5" w:space="0" w:color="000001"/>
            </w:tcBorders>
          </w:tcPr>
          <w:p w:rsidR="00E23B86" w:rsidRDefault="00E23B86"/>
        </w:tc>
        <w:tc>
          <w:tcPr>
            <w:tcW w:w="2168" w:type="dxa"/>
            <w:tcBorders>
              <w:top w:val="single" w:sz="4" w:space="0" w:color="000001"/>
              <w:left w:val="single" w:sz="5" w:space="0" w:color="000001"/>
              <w:bottom w:val="single" w:sz="4" w:space="0" w:color="000001"/>
              <w:right w:val="single" w:sz="5" w:space="0" w:color="000001"/>
            </w:tcBorders>
          </w:tcPr>
          <w:p w:rsidR="00E23B86" w:rsidRDefault="00E23B86"/>
        </w:tc>
        <w:tc>
          <w:tcPr>
            <w:tcW w:w="2392" w:type="dxa"/>
            <w:tcBorders>
              <w:top w:val="single" w:sz="4" w:space="0" w:color="000001"/>
              <w:left w:val="single" w:sz="5" w:space="0" w:color="000001"/>
              <w:bottom w:val="single" w:sz="4" w:space="0" w:color="000001"/>
              <w:right w:val="single" w:sz="4" w:space="0" w:color="000001"/>
            </w:tcBorders>
            <w:vAlign w:val="bottom"/>
          </w:tcPr>
          <w:p w:rsidR="00E23B86" w:rsidRDefault="00E23B86"/>
        </w:tc>
        <w:tc>
          <w:tcPr>
            <w:tcW w:w="2390"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3"/>
        </w:trPr>
        <w:tc>
          <w:tcPr>
            <w:tcW w:w="2605"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
            </w:pPr>
            <w:r>
              <w:rPr>
                <w:rFonts w:ascii="Arial" w:eastAsia="Arial" w:hAnsi="Arial" w:cs="Arial"/>
                <w:b/>
              </w:rPr>
              <w:t>TOTAL</w:t>
            </w:r>
          </w:p>
        </w:tc>
        <w:tc>
          <w:tcPr>
            <w:tcW w:w="2168" w:type="dxa"/>
            <w:tcBorders>
              <w:top w:val="single" w:sz="4" w:space="0" w:color="000001"/>
              <w:left w:val="single" w:sz="5" w:space="0" w:color="000001"/>
              <w:bottom w:val="single" w:sz="4" w:space="0" w:color="000001"/>
              <w:right w:val="single" w:sz="5" w:space="0" w:color="000001"/>
            </w:tcBorders>
          </w:tcPr>
          <w:p w:rsidR="00E23B86" w:rsidRDefault="00E23B86"/>
        </w:tc>
        <w:tc>
          <w:tcPr>
            <w:tcW w:w="2392" w:type="dxa"/>
            <w:tcBorders>
              <w:top w:val="single" w:sz="4" w:space="0" w:color="000001"/>
              <w:left w:val="single" w:sz="5" w:space="0" w:color="000001"/>
              <w:bottom w:val="single" w:sz="4" w:space="0" w:color="000001"/>
              <w:right w:val="single" w:sz="4" w:space="0" w:color="000001"/>
            </w:tcBorders>
          </w:tcPr>
          <w:p w:rsidR="00E23B86" w:rsidRDefault="00E23B86"/>
        </w:tc>
        <w:tc>
          <w:tcPr>
            <w:tcW w:w="2390"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b/>
              </w:rPr>
              <w:t>516.986,97 €</w:t>
            </w:r>
          </w:p>
        </w:tc>
      </w:tr>
    </w:tbl>
    <w:p w:rsidR="00E23B86" w:rsidRDefault="00BA7C13">
      <w:pPr>
        <w:spacing w:after="485" w:line="249" w:lineRule="auto"/>
        <w:ind w:left="355" w:right="554" w:hanging="10"/>
        <w:jc w:val="both"/>
      </w:pPr>
      <w:r>
        <w:rPr>
          <w:rFonts w:ascii="Arial" w:eastAsia="Arial" w:hAnsi="Arial" w:cs="Arial"/>
          <w:b/>
        </w:rPr>
        <w:t xml:space="preserve">   Consta en el expediente propuesta del Concejal delegado de Hacienda, D. Airam Pérez Chinea, de fecha 11 de febrero de 2020, que transcrito literalmente dice:</w:t>
      </w:r>
    </w:p>
    <w:p w:rsidR="00E23B86" w:rsidRDefault="00BA7C13">
      <w:pPr>
        <w:spacing w:after="111" w:line="249" w:lineRule="auto"/>
        <w:ind w:left="355" w:right="554" w:hanging="10"/>
        <w:jc w:val="both"/>
      </w:pPr>
      <w:r>
        <w:rPr>
          <w:rFonts w:ascii="Arial" w:eastAsia="Arial" w:hAnsi="Arial" w:cs="Arial"/>
          <w:b/>
        </w:rPr>
        <w:t xml:space="preserve">“PROPUESTA CONCEJAL DE HACIENDA </w:t>
      </w:r>
    </w:p>
    <w:p w:rsidR="00E23B86" w:rsidRDefault="00BA7C13">
      <w:pPr>
        <w:spacing w:after="614" w:line="249" w:lineRule="auto"/>
        <w:ind w:left="355" w:right="554" w:hanging="10"/>
        <w:jc w:val="both"/>
      </w:pPr>
      <w:r>
        <w:rPr>
          <w:rFonts w:ascii="Arial" w:eastAsia="Arial" w:hAnsi="Arial" w:cs="Arial"/>
          <w:b/>
        </w:rPr>
        <w:t>Asunto: APROBACIÓN DE LA LIQUIDACIÓN DEL PRESUPUESTO 2019</w:t>
      </w:r>
    </w:p>
    <w:p w:rsidR="00E23B86" w:rsidRDefault="00BA7C13">
      <w:pPr>
        <w:spacing w:after="498" w:line="249" w:lineRule="auto"/>
        <w:ind w:left="337" w:right="555" w:firstLine="708"/>
      </w:pPr>
      <w:r>
        <w:rPr>
          <w:rFonts w:ascii="Arial" w:eastAsia="Arial" w:hAnsi="Arial" w:cs="Arial"/>
        </w:rPr>
        <w:t>Vistos los informes de intervención, que, en líneas generales, ponen de manifiesto las siguientes magnitudes relativas a la Liquidación del Presupuesto del ejercicio 2019:</w:t>
      </w:r>
    </w:p>
    <w:p w:rsidR="00E23B86" w:rsidRDefault="00BA7C13">
      <w:pPr>
        <w:spacing w:after="243"/>
        <w:ind w:left="1067" w:hanging="10"/>
      </w:pPr>
      <w:r>
        <w:rPr>
          <w:rFonts w:ascii="Arial" w:eastAsia="Arial" w:hAnsi="Arial" w:cs="Arial"/>
          <w:color w:val="1F4D78"/>
        </w:rPr>
        <w:t>1.- RESULTADO PRESUPUESTARIO</w:t>
      </w:r>
    </w:p>
    <w:p w:rsidR="00E23B86" w:rsidRDefault="00BA7C13">
      <w:pPr>
        <w:pBdr>
          <w:top w:val="single" w:sz="4" w:space="0" w:color="000001"/>
          <w:left w:val="single" w:sz="5" w:space="0" w:color="000001"/>
          <w:bottom w:val="single" w:sz="4" w:space="0" w:color="000001"/>
          <w:right w:val="single" w:sz="5" w:space="0" w:color="000001"/>
        </w:pBdr>
        <w:spacing w:after="0"/>
        <w:ind w:right="511"/>
        <w:jc w:val="right"/>
      </w:pPr>
      <w:r>
        <w:rPr>
          <w:noProof/>
        </w:rPr>
        <mc:AlternateContent>
          <mc:Choice Requires="wpg">
            <w:drawing>
              <wp:anchor distT="0" distB="0" distL="114300" distR="114300" simplePos="0" relativeHeight="2517237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8356" name="Group 53835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5328" name="Rectangle 1532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w:t>
                              </w:r>
                              <w:r>
                                <w:rPr>
                                  <w:rFonts w:ascii="Arial" w:eastAsia="Arial" w:hAnsi="Arial" w:cs="Arial"/>
                                  <w:sz w:val="12"/>
                                </w:rPr>
                                <w:t xml:space="preserve">ación: https://candelaria.sedelectronica.es/ </w:t>
                              </w:r>
                            </w:p>
                          </w:txbxContent>
                        </wps:txbx>
                        <wps:bodyPr horzOverflow="overflow" vert="horz" lIns="0" tIns="0" rIns="0" bIns="0" rtlCol="0">
                          <a:noAutofit/>
                        </wps:bodyPr>
                      </wps:wsp>
                      <wps:wsp>
                        <wps:cNvPr id="15329" name="Rectangle 1532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8356" style="width:12.7031pt;height:280.35pt;position:absolute;mso-position-horizontal-relative:page;mso-position-horizontal:absolute;margin-left:681.958pt;mso-position-vertical-relative:page;margin-top:531.65pt;" coordsize="1613,35604">
                <v:rect id="Rectangle 1532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532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391 </w:t>
                        </w:r>
                      </w:p>
                    </w:txbxContent>
                  </v:textbox>
                </v:rect>
                <w10:wrap type="square"/>
              </v:group>
            </w:pict>
          </mc:Fallback>
        </mc:AlternateContent>
      </w:r>
      <w:r>
        <w:rPr>
          <w:rFonts w:ascii="Arial" w:eastAsia="Arial" w:hAnsi="Arial" w:cs="Arial"/>
          <w:b/>
        </w:rPr>
        <w:t xml:space="preserve">RESULTADO  PRESUPUESTARIO                    PRESUPUESTO 2019    ( Euros )         </w:t>
      </w:r>
    </w:p>
    <w:tbl>
      <w:tblPr>
        <w:tblStyle w:val="TableGrid"/>
        <w:tblW w:w="9116" w:type="dxa"/>
        <w:tblInd w:w="343" w:type="dxa"/>
        <w:tblCellMar>
          <w:top w:w="11" w:type="dxa"/>
          <w:left w:w="11" w:type="dxa"/>
          <w:bottom w:w="0" w:type="dxa"/>
          <w:right w:w="7" w:type="dxa"/>
        </w:tblCellMar>
        <w:tblLook w:val="04A0" w:firstRow="1" w:lastRow="0" w:firstColumn="1" w:lastColumn="0" w:noHBand="0" w:noVBand="1"/>
      </w:tblPr>
      <w:tblGrid>
        <w:gridCol w:w="4512"/>
        <w:gridCol w:w="1420"/>
        <w:gridCol w:w="1422"/>
        <w:gridCol w:w="1762"/>
      </w:tblGrid>
      <w:tr w:rsidR="00E23B86">
        <w:trPr>
          <w:trHeight w:val="515"/>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1. DERECHOS RECONOCIDOS NETOS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29.595.138,6</w:t>
            </w:r>
          </w:p>
          <w:p w:rsidR="00E23B86" w:rsidRDefault="00BA7C13">
            <w:pPr>
              <w:spacing w:after="0"/>
            </w:pPr>
            <w:r>
              <w:rPr>
                <w:rFonts w:ascii="Arial" w:eastAsia="Arial" w:hAnsi="Arial" w:cs="Arial"/>
                <w:b/>
              </w:rPr>
              <w:t>6</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Operaciones Corrientes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26.527.733,9 1</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Otras Operaciones no </w:t>
            </w:r>
          </w:p>
          <w:p w:rsidR="00E23B86" w:rsidRDefault="00BA7C13">
            <w:pPr>
              <w:spacing w:after="0"/>
            </w:pPr>
            <w:r>
              <w:rPr>
                <w:rFonts w:ascii="Arial" w:eastAsia="Arial" w:hAnsi="Arial" w:cs="Arial"/>
              </w:rPr>
              <w:t>Financieras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6"/>
            </w:pPr>
            <w:r>
              <w:rPr>
                <w:rFonts w:ascii="Arial" w:eastAsia="Arial" w:hAnsi="Arial" w:cs="Arial"/>
              </w:rPr>
              <w:t>3.067.404,75</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2"/>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Activos Financieros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4"/>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 xml:space="preserve">                                      + Pasivos Financieros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2"/>
        </w:trPr>
        <w:tc>
          <w:tcPr>
            <w:tcW w:w="4512" w:type="dxa"/>
            <w:tcBorders>
              <w:top w:val="single" w:sz="4" w:space="0" w:color="000001"/>
              <w:left w:val="single" w:sz="5" w:space="0" w:color="000001"/>
              <w:bottom w:val="single" w:sz="4" w:space="0" w:color="000001"/>
              <w:right w:val="single" w:sz="5" w:space="0" w:color="000001"/>
            </w:tcBorders>
          </w:tcPr>
          <w:p w:rsidR="00E23B86" w:rsidRDefault="00E23B86"/>
        </w:tc>
        <w:tc>
          <w:tcPr>
            <w:tcW w:w="1420" w:type="dxa"/>
            <w:tcBorders>
              <w:top w:val="single" w:sz="4" w:space="0" w:color="000001"/>
              <w:left w:val="single" w:sz="5" w:space="0" w:color="000001"/>
              <w:bottom w:val="single" w:sz="4" w:space="0" w:color="000001"/>
              <w:right w:val="single" w:sz="5" w:space="0" w:color="000001"/>
            </w:tcBorders>
          </w:tcPr>
          <w:p w:rsidR="00E23B86" w:rsidRDefault="00E23B86"/>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2. OBLIGACIONES RECONOCIDAS NETAS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b/>
              </w:rPr>
              <w:t>24.148.847,2</w:t>
            </w:r>
          </w:p>
          <w:p w:rsidR="00E23B86" w:rsidRDefault="00BA7C13">
            <w:pPr>
              <w:spacing w:after="0"/>
            </w:pPr>
            <w:r>
              <w:rPr>
                <w:rFonts w:ascii="Arial" w:eastAsia="Arial" w:hAnsi="Arial" w:cs="Arial"/>
                <w:b/>
              </w:rPr>
              <w:t>5</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Operaciones Corrientes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20.594.523,5 1</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Otras Operaciones no </w:t>
            </w:r>
          </w:p>
          <w:p w:rsidR="00E23B86" w:rsidRDefault="00BA7C13">
            <w:pPr>
              <w:spacing w:after="0"/>
            </w:pPr>
            <w:r>
              <w:rPr>
                <w:rFonts w:ascii="Arial" w:eastAsia="Arial" w:hAnsi="Arial" w:cs="Arial"/>
              </w:rPr>
              <w:t>Financieras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6"/>
            </w:pPr>
            <w:r>
              <w:rPr>
                <w:rFonts w:ascii="Arial" w:eastAsia="Arial" w:hAnsi="Arial" w:cs="Arial"/>
              </w:rPr>
              <w:t>2.566.873,84</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4"/>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 Activos Financieros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0,00</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2"/>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both"/>
            </w:pPr>
            <w:r>
              <w:rPr>
                <w:rFonts w:ascii="Arial" w:eastAsia="Arial" w:hAnsi="Arial" w:cs="Arial"/>
              </w:rPr>
              <w:t xml:space="preserve">                                      + Pasivos Financieros</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rPr>
              <w:t>987.449,90</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264"/>
        </w:trPr>
        <w:tc>
          <w:tcPr>
            <w:tcW w:w="4512" w:type="dxa"/>
            <w:tcBorders>
              <w:top w:val="single" w:sz="4" w:space="0" w:color="000001"/>
              <w:left w:val="single" w:sz="5" w:space="0" w:color="000001"/>
              <w:bottom w:val="single" w:sz="4" w:space="0" w:color="000001"/>
              <w:right w:val="single" w:sz="5" w:space="0" w:color="000001"/>
            </w:tcBorders>
          </w:tcPr>
          <w:p w:rsidR="00E23B86" w:rsidRDefault="00E23B86"/>
        </w:tc>
        <w:tc>
          <w:tcPr>
            <w:tcW w:w="1420" w:type="dxa"/>
            <w:tcBorders>
              <w:top w:val="single" w:sz="4" w:space="0" w:color="000001"/>
              <w:left w:val="single" w:sz="5" w:space="0" w:color="000001"/>
              <w:bottom w:val="single" w:sz="4" w:space="0" w:color="000001"/>
              <w:right w:val="single" w:sz="5" w:space="0" w:color="000001"/>
            </w:tcBorders>
          </w:tcPr>
          <w:p w:rsidR="00E23B86" w:rsidRDefault="00E23B86"/>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3. RESULTADO PRESUPUESTARIO ( 1 – </w:t>
            </w:r>
          </w:p>
          <w:p w:rsidR="00E23B86" w:rsidRDefault="00BA7C13">
            <w:pPr>
              <w:spacing w:after="0"/>
            </w:pPr>
            <w:r>
              <w:rPr>
                <w:rFonts w:ascii="Arial" w:eastAsia="Arial" w:hAnsi="Arial" w:cs="Arial"/>
              </w:rPr>
              <w:t>2 )</w:t>
            </w:r>
          </w:p>
        </w:tc>
        <w:tc>
          <w:tcPr>
            <w:tcW w:w="1420" w:type="dxa"/>
            <w:tcBorders>
              <w:top w:val="single" w:sz="4" w:space="0" w:color="000001"/>
              <w:left w:val="single" w:sz="5" w:space="0" w:color="000001"/>
              <w:bottom w:val="single" w:sz="4" w:space="0" w:color="000001"/>
              <w:right w:val="single" w:sz="5" w:space="0" w:color="000001"/>
            </w:tcBorders>
          </w:tcPr>
          <w:p w:rsidR="00E23B86" w:rsidRDefault="00E23B86"/>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rPr>
              <w:t>5.446.291,41</w:t>
            </w:r>
          </w:p>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4. DESVIACIONES POSITIVAS  </w:t>
            </w:r>
          </w:p>
          <w:p w:rsidR="00E23B86" w:rsidRDefault="00BA7C13">
            <w:pPr>
              <w:spacing w:after="0"/>
            </w:pPr>
            <w:r>
              <w:rPr>
                <w:rFonts w:ascii="Arial" w:eastAsia="Arial" w:hAnsi="Arial" w:cs="Arial"/>
              </w:rPr>
              <w:t xml:space="preserve">FINANCIACION </w:t>
            </w:r>
          </w:p>
        </w:tc>
        <w:tc>
          <w:tcPr>
            <w:tcW w:w="1420" w:type="dxa"/>
            <w:tcBorders>
              <w:top w:val="single" w:sz="4" w:space="0" w:color="000001"/>
              <w:left w:val="single" w:sz="5" w:space="0" w:color="000001"/>
              <w:bottom w:val="single" w:sz="4" w:space="0" w:color="000001"/>
              <w:right w:val="single" w:sz="5" w:space="0" w:color="000001"/>
            </w:tcBorders>
          </w:tcPr>
          <w:p w:rsidR="00E23B86" w:rsidRDefault="00E23B86"/>
        </w:tc>
        <w:tc>
          <w:tcPr>
            <w:tcW w:w="1422" w:type="dxa"/>
            <w:tcBorders>
              <w:top w:val="single" w:sz="4" w:space="0" w:color="000001"/>
              <w:left w:val="single" w:sz="5" w:space="0" w:color="000001"/>
              <w:bottom w:val="single" w:sz="4" w:space="0" w:color="000001"/>
              <w:right w:val="single" w:sz="4" w:space="0" w:color="000001"/>
            </w:tcBorders>
          </w:tcPr>
          <w:p w:rsidR="00E23B86" w:rsidRDefault="00BA7C13">
            <w:pPr>
              <w:spacing w:after="0"/>
              <w:ind w:left="118"/>
            </w:pPr>
            <w:r>
              <w:rPr>
                <w:rFonts w:ascii="Arial" w:eastAsia="Arial" w:hAnsi="Arial" w:cs="Arial"/>
              </w:rPr>
              <w:t>1.439.802,59</w:t>
            </w:r>
          </w:p>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6"/>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5. DESVIACIONES NEGATIVAS  </w:t>
            </w:r>
          </w:p>
          <w:p w:rsidR="00E23B86" w:rsidRDefault="00BA7C13">
            <w:pPr>
              <w:spacing w:after="0"/>
            </w:pPr>
            <w:r>
              <w:rPr>
                <w:rFonts w:ascii="Arial" w:eastAsia="Arial" w:hAnsi="Arial" w:cs="Arial"/>
              </w:rPr>
              <w:t>FINANCIACION</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6"/>
            </w:pPr>
            <w:r>
              <w:rPr>
                <w:rFonts w:ascii="Arial" w:eastAsia="Arial" w:hAnsi="Arial" w:cs="Arial"/>
              </w:rPr>
              <w:t>2.410.391,73</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r w:rsidR="00E23B86">
        <w:trPr>
          <w:trHeight w:val="517"/>
        </w:trPr>
        <w:tc>
          <w:tcPr>
            <w:tcW w:w="451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6. GASTOS FINANCIADOS CON RTE </w:t>
            </w:r>
          </w:p>
          <w:p w:rsidR="00E23B86" w:rsidRDefault="00BA7C13">
            <w:pPr>
              <w:spacing w:after="0"/>
            </w:pPr>
            <w:r>
              <w:rPr>
                <w:rFonts w:ascii="Arial" w:eastAsia="Arial" w:hAnsi="Arial" w:cs="Arial"/>
              </w:rPr>
              <w:t>TESORERIA</w:t>
            </w:r>
          </w:p>
        </w:tc>
        <w:tc>
          <w:tcPr>
            <w:tcW w:w="1420"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2"/>
              <w:jc w:val="right"/>
            </w:pPr>
            <w:r>
              <w:rPr>
                <w:rFonts w:ascii="Arial" w:eastAsia="Arial" w:hAnsi="Arial" w:cs="Arial"/>
              </w:rPr>
              <w:t>68.423,74</w:t>
            </w:r>
          </w:p>
        </w:tc>
        <w:tc>
          <w:tcPr>
            <w:tcW w:w="1422" w:type="dxa"/>
            <w:tcBorders>
              <w:top w:val="single" w:sz="4" w:space="0" w:color="000001"/>
              <w:left w:val="single" w:sz="5" w:space="0" w:color="000001"/>
              <w:bottom w:val="single" w:sz="4" w:space="0" w:color="000001"/>
              <w:right w:val="single" w:sz="4" w:space="0" w:color="000001"/>
            </w:tcBorders>
          </w:tcPr>
          <w:p w:rsidR="00E23B86" w:rsidRDefault="00E23B86"/>
        </w:tc>
        <w:tc>
          <w:tcPr>
            <w:tcW w:w="1762" w:type="dxa"/>
            <w:tcBorders>
              <w:top w:val="single" w:sz="4" w:space="0" w:color="000001"/>
              <w:left w:val="single" w:sz="4" w:space="0" w:color="000001"/>
              <w:bottom w:val="single" w:sz="4" w:space="0" w:color="000001"/>
              <w:right w:val="single" w:sz="5" w:space="0" w:color="000001"/>
            </w:tcBorders>
          </w:tcPr>
          <w:p w:rsidR="00E23B86" w:rsidRDefault="00E23B86"/>
        </w:tc>
      </w:tr>
    </w:tbl>
    <w:p w:rsidR="00E23B86" w:rsidRDefault="00BA7C13">
      <w:pPr>
        <w:pBdr>
          <w:top w:val="single" w:sz="4" w:space="0" w:color="000001"/>
          <w:left w:val="single" w:sz="5" w:space="0" w:color="000001"/>
          <w:bottom w:val="single" w:sz="4" w:space="0" w:color="000001"/>
          <w:right w:val="single" w:sz="5" w:space="0" w:color="000001"/>
        </w:pBdr>
        <w:spacing w:after="3" w:line="265" w:lineRule="auto"/>
        <w:ind w:left="313" w:hanging="10"/>
      </w:pPr>
      <w:r>
        <w:rPr>
          <w:rFonts w:ascii="Arial" w:eastAsia="Arial" w:hAnsi="Arial" w:cs="Arial"/>
          <w:b/>
        </w:rPr>
        <w:t>7. RESULTADO PRESUPUESTARIO AJUSTADO                           6.485.304,29    ( 3-</w:t>
      </w:r>
    </w:p>
    <w:p w:rsidR="00E23B86" w:rsidRDefault="00BA7C13">
      <w:pPr>
        <w:pBdr>
          <w:top w:val="single" w:sz="4" w:space="0" w:color="000001"/>
          <w:left w:val="single" w:sz="5" w:space="0" w:color="000001"/>
          <w:bottom w:val="single" w:sz="4" w:space="0" w:color="000001"/>
          <w:right w:val="single" w:sz="5" w:space="0" w:color="000001"/>
        </w:pBdr>
        <w:spacing w:after="743" w:line="265" w:lineRule="auto"/>
        <w:ind w:left="313" w:hanging="10"/>
      </w:pPr>
      <w:r>
        <w:rPr>
          <w:rFonts w:ascii="Arial" w:eastAsia="Arial" w:hAnsi="Arial" w:cs="Arial"/>
          <w:b/>
        </w:rPr>
        <w:t>4+5+6 )</w:t>
      </w:r>
    </w:p>
    <w:p w:rsidR="00E23B86" w:rsidRDefault="00BA7C13">
      <w:pPr>
        <w:spacing w:after="506" w:line="249" w:lineRule="auto"/>
        <w:ind w:left="1514" w:right="554" w:hanging="10"/>
        <w:jc w:val="both"/>
      </w:pPr>
      <w:r>
        <w:rPr>
          <w:rFonts w:ascii="Arial" w:eastAsia="Arial" w:hAnsi="Arial" w:cs="Arial"/>
          <w:b/>
        </w:rPr>
        <w:t>2.- REMANENTE DE TESORERIA</w:t>
      </w:r>
    </w:p>
    <w:p w:rsidR="00E23B86" w:rsidRDefault="00BA7C13">
      <w:pPr>
        <w:pBdr>
          <w:top w:val="single" w:sz="4" w:space="0" w:color="000001"/>
          <w:left w:val="single" w:sz="5" w:space="0" w:color="000001"/>
          <w:bottom w:val="single" w:sz="4" w:space="0" w:color="000001"/>
          <w:right w:val="single" w:sz="5" w:space="0" w:color="000001"/>
        </w:pBdr>
        <w:spacing w:after="3" w:line="265" w:lineRule="auto"/>
        <w:ind w:left="966" w:hanging="10"/>
      </w:pPr>
      <w:r>
        <w:rPr>
          <w:rFonts w:ascii="Arial" w:eastAsia="Arial" w:hAnsi="Arial" w:cs="Arial"/>
          <w:b/>
        </w:rPr>
        <w:t>REMANENTE DE TESORERIA                             PRESUPUESTO  2019 ( Euros )</w:t>
      </w:r>
    </w:p>
    <w:p w:rsidR="00E23B86" w:rsidRDefault="00BA7C13">
      <w:pPr>
        <w:numPr>
          <w:ilvl w:val="0"/>
          <w:numId w:val="23"/>
        </w:numPr>
        <w:pBdr>
          <w:top w:val="single" w:sz="4" w:space="0" w:color="000001"/>
          <w:left w:val="single" w:sz="5" w:space="0" w:color="000001"/>
          <w:bottom w:val="single" w:sz="4" w:space="0" w:color="000001"/>
          <w:right w:val="single" w:sz="5" w:space="0" w:color="000001"/>
        </w:pBdr>
        <w:spacing w:after="0"/>
        <w:ind w:left="647" w:hanging="342"/>
      </w:pPr>
      <w:r>
        <w:rPr>
          <w:rFonts w:ascii="Arial" w:eastAsia="Arial" w:hAnsi="Arial" w:cs="Arial"/>
        </w:rPr>
        <w:t xml:space="preserve">DERECHOS PENDIENTES DE COBRO                                                 </w:t>
      </w:r>
      <w:r>
        <w:rPr>
          <w:rFonts w:ascii="Arial" w:eastAsia="Arial" w:hAnsi="Arial" w:cs="Arial"/>
          <w:b/>
        </w:rPr>
        <w:t>11.099.430,86</w:t>
      </w:r>
    </w:p>
    <w:tbl>
      <w:tblPr>
        <w:tblStyle w:val="TableGrid"/>
        <w:tblW w:w="8552" w:type="dxa"/>
        <w:tblInd w:w="885" w:type="dxa"/>
        <w:tblCellMar>
          <w:top w:w="10" w:type="dxa"/>
          <w:left w:w="11" w:type="dxa"/>
          <w:bottom w:w="0" w:type="dxa"/>
          <w:right w:w="8" w:type="dxa"/>
        </w:tblCellMar>
        <w:tblLook w:val="04A0" w:firstRow="1" w:lastRow="0" w:firstColumn="1" w:lastColumn="0" w:noHBand="0" w:noVBand="1"/>
      </w:tblPr>
      <w:tblGrid>
        <w:gridCol w:w="5522"/>
        <w:gridCol w:w="3030"/>
      </w:tblGrid>
      <w:tr w:rsidR="00E23B86">
        <w:trPr>
          <w:trHeight w:val="262"/>
        </w:trPr>
        <w:tc>
          <w:tcPr>
            <w:tcW w:w="552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DE PRESUPUESTO DE INGRESOS, CORRIENTE </w:t>
            </w:r>
          </w:p>
        </w:tc>
        <w:tc>
          <w:tcPr>
            <w:tcW w:w="303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668.567,58</w:t>
            </w:r>
          </w:p>
        </w:tc>
      </w:tr>
      <w:tr w:rsidR="00E23B86">
        <w:trPr>
          <w:trHeight w:val="262"/>
        </w:trPr>
        <w:tc>
          <w:tcPr>
            <w:tcW w:w="552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DE PRESUPUESTO DE INGRESOS , CERRADOS</w:t>
            </w:r>
          </w:p>
        </w:tc>
        <w:tc>
          <w:tcPr>
            <w:tcW w:w="303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10.185.756,45</w:t>
            </w:r>
          </w:p>
        </w:tc>
      </w:tr>
      <w:tr w:rsidR="00E23B86">
        <w:trPr>
          <w:trHeight w:val="517"/>
        </w:trPr>
        <w:tc>
          <w:tcPr>
            <w:tcW w:w="552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xml:space="preserve">+ DE OTRAS OPERACIONES NO </w:t>
            </w:r>
          </w:p>
          <w:p w:rsidR="00E23B86" w:rsidRDefault="00BA7C13">
            <w:pPr>
              <w:spacing w:after="0"/>
            </w:pPr>
            <w:r>
              <w:rPr>
                <w:rFonts w:ascii="Arial" w:eastAsia="Arial" w:hAnsi="Arial" w:cs="Arial"/>
              </w:rPr>
              <w:t>PRESUPUESTARIAS</w:t>
            </w:r>
          </w:p>
        </w:tc>
        <w:tc>
          <w:tcPr>
            <w:tcW w:w="303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245.106,83</w:t>
            </w:r>
          </w:p>
        </w:tc>
      </w:tr>
    </w:tbl>
    <w:p w:rsidR="00E23B86" w:rsidRDefault="00BA7C13">
      <w:pPr>
        <w:numPr>
          <w:ilvl w:val="0"/>
          <w:numId w:val="23"/>
        </w:numPr>
        <w:spacing w:after="0"/>
        <w:ind w:hanging="342"/>
      </w:pPr>
      <w:r>
        <w:rPr>
          <w:rFonts w:ascii="Arial" w:eastAsia="Arial" w:hAnsi="Arial" w:cs="Arial"/>
          <w:bdr w:val="single" w:sz="10" w:space="0" w:color="000001"/>
        </w:rPr>
        <w:t xml:space="preserve">OBLIGACIONES PENDIENTES DE PAGO                                                      </w:t>
      </w:r>
      <w:r>
        <w:rPr>
          <w:rFonts w:ascii="Arial" w:eastAsia="Arial" w:hAnsi="Arial" w:cs="Arial"/>
          <w:b/>
          <w:bdr w:val="single" w:sz="10" w:space="0" w:color="000001"/>
        </w:rPr>
        <w:t>3.251.533,59</w:t>
      </w:r>
    </w:p>
    <w:tbl>
      <w:tblPr>
        <w:tblStyle w:val="TableGrid"/>
        <w:tblW w:w="8618" w:type="dxa"/>
        <w:tblInd w:w="847" w:type="dxa"/>
        <w:tblCellMar>
          <w:top w:w="11" w:type="dxa"/>
          <w:left w:w="11" w:type="dxa"/>
          <w:bottom w:w="0" w:type="dxa"/>
          <w:right w:w="8" w:type="dxa"/>
        </w:tblCellMar>
        <w:tblLook w:val="04A0" w:firstRow="1" w:lastRow="0" w:firstColumn="1" w:lastColumn="0" w:noHBand="0" w:noVBand="1"/>
      </w:tblPr>
      <w:tblGrid>
        <w:gridCol w:w="5708"/>
        <w:gridCol w:w="2910"/>
      </w:tblGrid>
      <w:tr w:rsidR="00E23B86">
        <w:trPr>
          <w:trHeight w:val="261"/>
        </w:trPr>
        <w:tc>
          <w:tcPr>
            <w:tcW w:w="570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DE PRESUPUESTO DE GASTOS, CORRIENTE</w:t>
            </w:r>
          </w:p>
        </w:tc>
        <w:tc>
          <w:tcPr>
            <w:tcW w:w="291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1.405.644,49</w:t>
            </w:r>
          </w:p>
        </w:tc>
      </w:tr>
      <w:tr w:rsidR="00E23B86">
        <w:trPr>
          <w:trHeight w:val="264"/>
        </w:trPr>
        <w:tc>
          <w:tcPr>
            <w:tcW w:w="570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DE PRESUPUESTO DE GASTOS , CERRADOS</w:t>
            </w:r>
          </w:p>
        </w:tc>
        <w:tc>
          <w:tcPr>
            <w:tcW w:w="291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476.451,70</w:t>
            </w:r>
          </w:p>
        </w:tc>
      </w:tr>
      <w:tr w:rsidR="00E23B86">
        <w:trPr>
          <w:trHeight w:val="263"/>
        </w:trPr>
        <w:tc>
          <w:tcPr>
            <w:tcW w:w="570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 DE OPERACIONES NO PRESUPUESTARIAS</w:t>
            </w:r>
          </w:p>
        </w:tc>
        <w:tc>
          <w:tcPr>
            <w:tcW w:w="2910" w:type="dxa"/>
            <w:tcBorders>
              <w:top w:val="single" w:sz="4" w:space="0" w:color="000001"/>
              <w:left w:val="single" w:sz="5" w:space="0" w:color="000001"/>
              <w:bottom w:val="single" w:sz="4" w:space="0" w:color="000001"/>
              <w:right w:val="single" w:sz="5" w:space="0" w:color="000001"/>
            </w:tcBorders>
          </w:tcPr>
          <w:p w:rsidR="00E23B86" w:rsidRDefault="00BA7C13">
            <w:pPr>
              <w:spacing w:after="0"/>
              <w:jc w:val="right"/>
            </w:pPr>
            <w:r>
              <w:rPr>
                <w:rFonts w:ascii="Arial" w:eastAsia="Arial" w:hAnsi="Arial" w:cs="Arial"/>
              </w:rPr>
              <w:t>1.369.437,40</w:t>
            </w:r>
          </w:p>
        </w:tc>
      </w:tr>
    </w:tbl>
    <w:p w:rsidR="00E23B86" w:rsidRDefault="00BA7C13">
      <w:pPr>
        <w:numPr>
          <w:ilvl w:val="0"/>
          <w:numId w:val="23"/>
        </w:numPr>
        <w:pBdr>
          <w:top w:val="single" w:sz="2" w:space="0" w:color="000001"/>
          <w:left w:val="single" w:sz="2" w:space="0" w:color="000001"/>
          <w:bottom w:val="single" w:sz="2" w:space="0" w:color="000001"/>
          <w:right w:val="single" w:sz="2" w:space="0" w:color="000001"/>
        </w:pBdr>
        <w:spacing w:after="0"/>
        <w:ind w:left="748" w:hanging="342"/>
      </w:pPr>
      <w:r>
        <w:rPr>
          <w:noProof/>
        </w:rPr>
        <mc:AlternateContent>
          <mc:Choice Requires="wpg">
            <w:drawing>
              <wp:anchor distT="0" distB="0" distL="114300" distR="114300" simplePos="0" relativeHeight="2517248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6769" name="Group 58676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5656" name="Rectangle 1565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5657" name="Rectangle 15657"/>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6769" style="width:12.7031pt;height:280.35pt;position:absolute;mso-position-horizontal-relative:page;mso-position-horizontal:absolute;margin-left:681.958pt;mso-position-vertical-relative:page;margin-top:531.65pt;" coordsize="1613,35604">
                <v:rect id="Rectangle 1565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5657"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391 </w:t>
                        </w:r>
                      </w:p>
                    </w:txbxContent>
                  </v:textbox>
                </v:rect>
                <w10:wrap type="square"/>
              </v:group>
            </w:pict>
          </mc:Fallback>
        </mc:AlternateContent>
      </w:r>
      <w:r>
        <w:rPr>
          <w:rFonts w:ascii="Arial" w:eastAsia="Arial" w:hAnsi="Arial" w:cs="Arial"/>
        </w:rPr>
        <w:t>PARTIDAS PENDIENTES DE APLICACIÓN.......................................................</w:t>
      </w:r>
      <w:r>
        <w:rPr>
          <w:rFonts w:ascii="Arial" w:eastAsia="Arial" w:hAnsi="Arial" w:cs="Arial"/>
          <w:b/>
        </w:rPr>
        <w:t>-66.838,33</w:t>
      </w:r>
    </w:p>
    <w:tbl>
      <w:tblPr>
        <w:tblStyle w:val="TableGrid"/>
        <w:tblW w:w="8600" w:type="dxa"/>
        <w:tblInd w:w="850" w:type="dxa"/>
        <w:tblCellMar>
          <w:top w:w="7" w:type="dxa"/>
          <w:left w:w="12" w:type="dxa"/>
          <w:bottom w:w="0" w:type="dxa"/>
          <w:right w:w="7" w:type="dxa"/>
        </w:tblCellMar>
        <w:tblLook w:val="04A0" w:firstRow="1" w:lastRow="0" w:firstColumn="1" w:lastColumn="0" w:noHBand="0" w:noVBand="1"/>
      </w:tblPr>
      <w:tblGrid>
        <w:gridCol w:w="6168"/>
        <w:gridCol w:w="2432"/>
      </w:tblGrid>
      <w:tr w:rsidR="00E23B86">
        <w:trPr>
          <w:trHeight w:val="506"/>
        </w:trPr>
        <w:tc>
          <w:tcPr>
            <w:tcW w:w="616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COBROS REALIZADOS PENDIENTES DE APLICACIÓN </w:t>
            </w:r>
          </w:p>
          <w:p w:rsidR="00E23B86" w:rsidRDefault="00BA7C13">
            <w:pPr>
              <w:spacing w:after="0"/>
            </w:pPr>
            <w:r>
              <w:rPr>
                <w:rFonts w:ascii="Arial" w:eastAsia="Arial" w:hAnsi="Arial" w:cs="Arial"/>
              </w:rPr>
              <w:t>DEFINITIVA</w:t>
            </w:r>
          </w:p>
        </w:tc>
        <w:tc>
          <w:tcPr>
            <w:tcW w:w="24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66.838</w:t>
            </w:r>
            <w:r>
              <w:rPr>
                <w:rFonts w:ascii="Arial" w:eastAsia="Arial" w:hAnsi="Arial" w:cs="Arial"/>
              </w:rPr>
              <w:t>,33</w:t>
            </w:r>
          </w:p>
        </w:tc>
      </w:tr>
      <w:tr w:rsidR="00E23B86">
        <w:trPr>
          <w:trHeight w:val="508"/>
        </w:trPr>
        <w:tc>
          <w:tcPr>
            <w:tcW w:w="616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 PAGOS REALIZADOS PENDIENTES DE APLICACIÓN </w:t>
            </w:r>
          </w:p>
          <w:p w:rsidR="00E23B86" w:rsidRDefault="00BA7C13">
            <w:pPr>
              <w:spacing w:after="0"/>
            </w:pPr>
            <w:r>
              <w:rPr>
                <w:rFonts w:ascii="Arial" w:eastAsia="Arial" w:hAnsi="Arial" w:cs="Arial"/>
              </w:rPr>
              <w:t>DEFINITIVA</w:t>
            </w:r>
          </w:p>
        </w:tc>
        <w:tc>
          <w:tcPr>
            <w:tcW w:w="24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w:t>
            </w:r>
          </w:p>
        </w:tc>
      </w:tr>
    </w:tbl>
    <w:p w:rsidR="00E23B86" w:rsidRDefault="00BA7C13">
      <w:pPr>
        <w:numPr>
          <w:ilvl w:val="0"/>
          <w:numId w:val="23"/>
        </w:numPr>
        <w:pBdr>
          <w:top w:val="single" w:sz="4" w:space="0" w:color="000001"/>
          <w:left w:val="single" w:sz="5" w:space="0" w:color="000001"/>
          <w:bottom w:val="single" w:sz="4" w:space="0" w:color="000001"/>
          <w:right w:val="single" w:sz="5" w:space="0" w:color="000001"/>
        </w:pBdr>
        <w:spacing w:after="0"/>
        <w:ind w:left="646" w:hanging="342"/>
      </w:pPr>
      <w:r>
        <w:rPr>
          <w:rFonts w:ascii="Arial" w:eastAsia="Arial" w:hAnsi="Arial" w:cs="Arial"/>
        </w:rPr>
        <w:t xml:space="preserve">FONDOS LÍQUIDOS DE TESORERIA                                                                 </w:t>
      </w:r>
    </w:p>
    <w:p w:rsidR="00E23B86" w:rsidRDefault="00BA7C13">
      <w:pPr>
        <w:pBdr>
          <w:top w:val="single" w:sz="4" w:space="0" w:color="000001"/>
          <w:left w:val="single" w:sz="5" w:space="0" w:color="000001"/>
          <w:bottom w:val="single" w:sz="4" w:space="0" w:color="000001"/>
          <w:right w:val="single" w:sz="5" w:space="0" w:color="000001"/>
        </w:pBdr>
        <w:spacing w:after="261" w:line="250" w:lineRule="auto"/>
        <w:ind w:left="314" w:hanging="10"/>
      </w:pPr>
      <w:r>
        <w:rPr>
          <w:rFonts w:ascii="Arial" w:eastAsia="Arial" w:hAnsi="Arial" w:cs="Arial"/>
          <w:b/>
        </w:rPr>
        <w:t>23.252.418,09</w:t>
      </w:r>
    </w:p>
    <w:p w:rsidR="00E23B86" w:rsidRDefault="00BA7C13">
      <w:pPr>
        <w:pBdr>
          <w:top w:val="single" w:sz="4" w:space="0" w:color="000001"/>
          <w:left w:val="single" w:sz="5" w:space="0" w:color="000001"/>
          <w:bottom w:val="single" w:sz="4" w:space="0" w:color="000001"/>
          <w:right w:val="single" w:sz="5" w:space="0" w:color="000001"/>
        </w:pBdr>
        <w:spacing w:after="8" w:line="250" w:lineRule="auto"/>
        <w:ind w:left="313" w:hanging="10"/>
      </w:pPr>
      <w:r>
        <w:rPr>
          <w:rFonts w:ascii="Arial" w:eastAsia="Arial" w:hAnsi="Arial" w:cs="Arial"/>
          <w:b/>
        </w:rPr>
        <w:t xml:space="preserve">F) REMANENTE DE TESORERIA  TOTAL                                                     31.033.477,03    </w:t>
      </w:r>
    </w:p>
    <w:p w:rsidR="00E23B86" w:rsidRDefault="00BA7C13">
      <w:pPr>
        <w:pBdr>
          <w:top w:val="single" w:sz="4" w:space="0" w:color="000001"/>
          <w:left w:val="single" w:sz="5" w:space="0" w:color="000001"/>
          <w:bottom w:val="single" w:sz="4" w:space="0" w:color="000001"/>
          <w:right w:val="single" w:sz="5" w:space="0" w:color="000001"/>
        </w:pBdr>
        <w:spacing w:after="8" w:line="250" w:lineRule="auto"/>
        <w:ind w:left="313" w:hanging="10"/>
      </w:pPr>
      <w:r>
        <w:rPr>
          <w:rFonts w:ascii="Arial" w:eastAsia="Arial" w:hAnsi="Arial" w:cs="Arial"/>
          <w:b/>
        </w:rPr>
        <w:t>( A – B + C)</w:t>
      </w:r>
    </w:p>
    <w:tbl>
      <w:tblPr>
        <w:tblStyle w:val="TableGrid"/>
        <w:tblW w:w="9152" w:type="dxa"/>
        <w:tblInd w:w="303" w:type="dxa"/>
        <w:tblCellMar>
          <w:top w:w="11" w:type="dxa"/>
          <w:left w:w="11" w:type="dxa"/>
          <w:bottom w:w="0" w:type="dxa"/>
          <w:right w:w="115" w:type="dxa"/>
        </w:tblCellMar>
        <w:tblLook w:val="04A0" w:firstRow="1" w:lastRow="0" w:firstColumn="1" w:lastColumn="0" w:noHBand="0" w:noVBand="1"/>
      </w:tblPr>
      <w:tblGrid>
        <w:gridCol w:w="9152"/>
      </w:tblGrid>
      <w:tr w:rsidR="00E23B86">
        <w:trPr>
          <w:trHeight w:val="516"/>
        </w:trPr>
        <w:tc>
          <w:tcPr>
            <w:tcW w:w="9152"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i/>
                <w:color w:val="2E74B5"/>
              </w:rPr>
              <w:t xml:space="preserve">G) SALDOS DE DUDOSO COBRO                                                                         </w:t>
            </w:r>
          </w:p>
          <w:p w:rsidR="00E23B86" w:rsidRDefault="00BA7C13">
            <w:pPr>
              <w:spacing w:after="0"/>
              <w:ind w:left="864"/>
            </w:pPr>
            <w:r>
              <w:rPr>
                <w:rFonts w:ascii="Arial" w:eastAsia="Arial" w:hAnsi="Arial" w:cs="Arial"/>
                <w:i/>
                <w:color w:val="2E74B5"/>
              </w:rPr>
              <w:t>8.990.041,49</w:t>
            </w:r>
          </w:p>
        </w:tc>
      </w:tr>
    </w:tbl>
    <w:p w:rsidR="00E23B86" w:rsidRDefault="00BA7C13">
      <w:pPr>
        <w:numPr>
          <w:ilvl w:val="0"/>
          <w:numId w:val="24"/>
        </w:numPr>
        <w:spacing w:after="253"/>
        <w:ind w:hanging="293"/>
      </w:pPr>
      <w:r>
        <w:rPr>
          <w:rFonts w:ascii="Arial" w:eastAsia="Arial" w:hAnsi="Arial" w:cs="Arial"/>
          <w:b/>
          <w:bdr w:val="single" w:sz="10" w:space="0" w:color="000001"/>
        </w:rPr>
        <w:t>EXCESO DE FINANCIACION AFECTADA</w:t>
      </w:r>
      <w:r>
        <w:rPr>
          <w:rFonts w:ascii="Arial" w:eastAsia="Arial" w:hAnsi="Arial" w:cs="Arial"/>
          <w:bdr w:val="single" w:sz="10" w:space="0" w:color="000001"/>
        </w:rPr>
        <w:t xml:space="preserve">                                                     </w:t>
      </w:r>
      <w:r>
        <w:rPr>
          <w:rFonts w:ascii="Arial" w:eastAsia="Arial" w:hAnsi="Arial" w:cs="Arial"/>
          <w:b/>
          <w:bdr w:val="single" w:sz="10" w:space="0" w:color="000001"/>
        </w:rPr>
        <w:t>3.823.758,27</w:t>
      </w:r>
    </w:p>
    <w:p w:rsidR="00E23B86" w:rsidRDefault="00BA7C13">
      <w:pPr>
        <w:numPr>
          <w:ilvl w:val="0"/>
          <w:numId w:val="24"/>
        </w:numPr>
        <w:pBdr>
          <w:top w:val="single" w:sz="4" w:space="0" w:color="000001"/>
          <w:left w:val="single" w:sz="5" w:space="0" w:color="000001"/>
          <w:bottom w:val="single" w:sz="4" w:space="0" w:color="000001"/>
          <w:right w:val="single" w:sz="5" w:space="0" w:color="000001"/>
        </w:pBdr>
        <w:spacing w:after="3" w:line="265" w:lineRule="auto"/>
        <w:ind w:left="596" w:hanging="293"/>
      </w:pPr>
      <w:r>
        <w:rPr>
          <w:rFonts w:ascii="Arial" w:eastAsia="Arial" w:hAnsi="Arial" w:cs="Arial"/>
          <w:b/>
        </w:rPr>
        <w:t xml:space="preserve">REMANENTE DE TESORERÍA PARA GASTOS GENERALES                + 18.219.677,27  </w:t>
      </w:r>
    </w:p>
    <w:p w:rsidR="00E23B86" w:rsidRDefault="00BA7C13">
      <w:pPr>
        <w:pBdr>
          <w:top w:val="single" w:sz="4" w:space="0" w:color="000001"/>
          <w:left w:val="single" w:sz="5" w:space="0" w:color="000001"/>
          <w:bottom w:val="single" w:sz="4" w:space="0" w:color="000001"/>
          <w:right w:val="single" w:sz="5" w:space="0" w:color="000001"/>
        </w:pBdr>
        <w:spacing w:after="517" w:line="265" w:lineRule="auto"/>
        <w:ind w:left="313" w:hanging="10"/>
      </w:pPr>
      <w:r>
        <w:rPr>
          <w:rFonts w:ascii="Arial" w:eastAsia="Arial" w:hAnsi="Arial" w:cs="Arial"/>
          <w:b/>
        </w:rPr>
        <w:t>( D - E - F )</w:t>
      </w:r>
    </w:p>
    <w:p w:rsidR="00E23B86" w:rsidRDefault="00BA7C13">
      <w:pPr>
        <w:spacing w:after="21" w:line="248" w:lineRule="auto"/>
        <w:ind w:left="363" w:right="552" w:firstLine="708"/>
        <w:jc w:val="both"/>
      </w:pPr>
      <w:r>
        <w:rPr>
          <w:rFonts w:ascii="Arial" w:eastAsia="Arial" w:hAnsi="Arial" w:cs="Arial"/>
        </w:rPr>
        <w:t>Así, de los datos obtenidos de ejercicios cerrados, tenemos detalla</w:t>
      </w:r>
      <w:r>
        <w:rPr>
          <w:rFonts w:ascii="Arial" w:eastAsia="Arial" w:hAnsi="Arial" w:cs="Arial"/>
        </w:rPr>
        <w:t>dos los importes cobrados en dichos ejercicios, la cantidad que está pendiente de cobro y el saldo de dudoso cobro, de acuerdo con los porcentajes establecidos en las Bases del Presupuesto:</w:t>
      </w:r>
    </w:p>
    <w:tbl>
      <w:tblPr>
        <w:tblStyle w:val="TableGrid"/>
        <w:tblW w:w="9163" w:type="dxa"/>
        <w:tblInd w:w="336" w:type="dxa"/>
        <w:tblCellMar>
          <w:top w:w="11" w:type="dxa"/>
          <w:left w:w="0" w:type="dxa"/>
          <w:bottom w:w="0" w:type="dxa"/>
          <w:right w:w="9" w:type="dxa"/>
        </w:tblCellMar>
        <w:tblLook w:val="04A0" w:firstRow="1" w:lastRow="0" w:firstColumn="1" w:lastColumn="0" w:noHBand="0" w:noVBand="1"/>
      </w:tblPr>
      <w:tblGrid>
        <w:gridCol w:w="2046"/>
        <w:gridCol w:w="2255"/>
        <w:gridCol w:w="1726"/>
        <w:gridCol w:w="376"/>
        <w:gridCol w:w="168"/>
        <w:gridCol w:w="1617"/>
        <w:gridCol w:w="975"/>
      </w:tblGrid>
      <w:tr w:rsidR="00E23B86">
        <w:trPr>
          <w:trHeight w:val="769"/>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b/>
              </w:rPr>
              <w:t>EJERCICIO</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b/>
              </w:rPr>
              <w:t>IMPORTES COBRADOS</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b/>
              </w:rPr>
              <w:t>IMPORTES</w:t>
            </w:r>
          </w:p>
          <w:p w:rsidR="00E23B86" w:rsidRDefault="00BA7C13">
            <w:pPr>
              <w:spacing w:after="0"/>
              <w:ind w:left="11"/>
            </w:pPr>
            <w:r>
              <w:rPr>
                <w:rFonts w:ascii="Arial" w:eastAsia="Arial" w:hAnsi="Arial" w:cs="Arial"/>
                <w:b/>
              </w:rPr>
              <w:t>PENDIENTES</w:t>
            </w:r>
          </w:p>
          <w:p w:rsidR="00E23B86" w:rsidRDefault="00BA7C13">
            <w:pPr>
              <w:spacing w:after="0"/>
              <w:ind w:left="11"/>
            </w:pPr>
            <w:r>
              <w:rPr>
                <w:rFonts w:ascii="Arial" w:eastAsia="Arial" w:hAnsi="Arial" w:cs="Arial"/>
                <w:b/>
              </w:rPr>
              <w:t>31/12/2019</w:t>
            </w:r>
          </w:p>
        </w:tc>
        <w:tc>
          <w:tcPr>
            <w:tcW w:w="376" w:type="dxa"/>
            <w:tcBorders>
              <w:top w:val="single" w:sz="4" w:space="0" w:color="000001"/>
              <w:left w:val="nil"/>
              <w:bottom w:val="single" w:sz="4" w:space="0" w:color="000001"/>
              <w:right w:val="nil"/>
            </w:tcBorders>
            <w:vAlign w:val="center"/>
          </w:tcPr>
          <w:p w:rsidR="00E23B86" w:rsidRDefault="00BA7C13">
            <w:pPr>
              <w:spacing w:after="0"/>
            </w:pPr>
            <w:r>
              <w:rPr>
                <w:rFonts w:ascii="Arial" w:eastAsia="Arial" w:hAnsi="Arial" w:cs="Arial"/>
                <w:b/>
              </w:rPr>
              <w:t xml:space="preserve"> </w:t>
            </w:r>
          </w:p>
        </w:tc>
        <w:tc>
          <w:tcPr>
            <w:tcW w:w="167" w:type="dxa"/>
            <w:tcBorders>
              <w:top w:val="single" w:sz="4" w:space="0" w:color="000001"/>
              <w:left w:val="nil"/>
              <w:bottom w:val="single" w:sz="4" w:space="0" w:color="000001"/>
              <w:right w:val="single" w:sz="4" w:space="0" w:color="000001"/>
            </w:tcBorders>
            <w:vAlign w:val="center"/>
          </w:tcPr>
          <w:p w:rsidR="00E23B86" w:rsidRDefault="00BA7C13">
            <w:pPr>
              <w:spacing w:after="0"/>
              <w:jc w:val="both"/>
            </w:pPr>
            <w:r>
              <w:rPr>
                <w:rFonts w:ascii="Arial" w:eastAsia="Arial" w:hAnsi="Arial" w:cs="Arial"/>
                <w:b/>
              </w:rPr>
              <w:t>A</w:t>
            </w:r>
          </w:p>
        </w:tc>
        <w:tc>
          <w:tcPr>
            <w:tcW w:w="1617" w:type="dxa"/>
            <w:tcBorders>
              <w:top w:val="single" w:sz="4" w:space="0" w:color="000001"/>
              <w:left w:val="single" w:sz="4" w:space="0" w:color="000001"/>
              <w:bottom w:val="single" w:sz="4" w:space="0" w:color="000001"/>
              <w:right w:val="nil"/>
            </w:tcBorders>
          </w:tcPr>
          <w:p w:rsidR="00E23B86" w:rsidRDefault="00BA7C13">
            <w:pPr>
              <w:tabs>
                <w:tab w:val="center" w:pos="1169"/>
              </w:tabs>
              <w:spacing w:after="0"/>
            </w:pPr>
            <w:r>
              <w:rPr>
                <w:rFonts w:ascii="Arial" w:eastAsia="Arial" w:hAnsi="Arial" w:cs="Arial"/>
                <w:b/>
              </w:rPr>
              <w:t>SALDO</w:t>
            </w:r>
            <w:r>
              <w:rPr>
                <w:rFonts w:ascii="Arial" w:eastAsia="Arial" w:hAnsi="Arial" w:cs="Arial"/>
                <w:b/>
              </w:rPr>
              <w:tab/>
              <w:t xml:space="preserve"> </w:t>
            </w:r>
          </w:p>
          <w:p w:rsidR="00E23B86" w:rsidRDefault="00BA7C13">
            <w:pPr>
              <w:spacing w:after="0"/>
              <w:ind w:left="12"/>
            </w:pPr>
            <w:r>
              <w:rPr>
                <w:rFonts w:ascii="Arial" w:eastAsia="Arial" w:hAnsi="Arial" w:cs="Arial"/>
                <w:b/>
              </w:rPr>
              <w:t>COBRO</w:t>
            </w:r>
          </w:p>
        </w:tc>
        <w:tc>
          <w:tcPr>
            <w:tcW w:w="974" w:type="dxa"/>
            <w:tcBorders>
              <w:top w:val="single" w:sz="4" w:space="0" w:color="000001"/>
              <w:left w:val="nil"/>
              <w:bottom w:val="single" w:sz="4" w:space="0" w:color="000001"/>
              <w:right w:val="single" w:sz="5" w:space="0" w:color="000001"/>
            </w:tcBorders>
          </w:tcPr>
          <w:p w:rsidR="00E23B86" w:rsidRDefault="00BA7C13">
            <w:pPr>
              <w:spacing w:after="0"/>
              <w:jc w:val="both"/>
            </w:pPr>
            <w:r>
              <w:rPr>
                <w:rFonts w:ascii="Arial" w:eastAsia="Arial" w:hAnsi="Arial" w:cs="Arial"/>
                <w:b/>
              </w:rPr>
              <w:t>DUDOSO</w:t>
            </w:r>
          </w:p>
        </w:tc>
      </w:tr>
      <w:tr w:rsidR="00E23B86">
        <w:trPr>
          <w:trHeight w:val="262"/>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2018</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307.752,03</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567.330,67</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142.082,67</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4"/>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2017</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108.563,61</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877.968,88</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219.492,22</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2"/>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2016</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44.107,51</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290.757,11</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145.378,56</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4"/>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2015</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39.382,58</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233.505,61</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175.129,21</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2"/>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2014</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12.911,95</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214.455,61</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160.841,71</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4"/>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rPr>
              <w:t>2013-1991</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rPr>
              <w:t>43.309,00</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rPr>
              <w:t>8.147.117,12</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rPr>
              <w:t>8.147.117,12</w:t>
            </w:r>
          </w:p>
        </w:tc>
        <w:tc>
          <w:tcPr>
            <w:tcW w:w="974" w:type="dxa"/>
            <w:tcBorders>
              <w:top w:val="single" w:sz="4" w:space="0" w:color="000001"/>
              <w:left w:val="nil"/>
              <w:bottom w:val="single" w:sz="4" w:space="0" w:color="000001"/>
              <w:right w:val="single" w:sz="5" w:space="0" w:color="000001"/>
            </w:tcBorders>
          </w:tcPr>
          <w:p w:rsidR="00E23B86" w:rsidRDefault="00E23B86"/>
        </w:tc>
      </w:tr>
      <w:tr w:rsidR="00E23B86">
        <w:trPr>
          <w:trHeight w:val="263"/>
        </w:trPr>
        <w:tc>
          <w:tcPr>
            <w:tcW w:w="2047" w:type="dxa"/>
            <w:tcBorders>
              <w:top w:val="single" w:sz="4" w:space="0" w:color="000001"/>
              <w:left w:val="single" w:sz="4" w:space="0" w:color="000001"/>
              <w:bottom w:val="single" w:sz="4" w:space="0" w:color="000001"/>
              <w:right w:val="single" w:sz="5" w:space="0" w:color="000001"/>
            </w:tcBorders>
          </w:tcPr>
          <w:p w:rsidR="00E23B86" w:rsidRDefault="00BA7C13">
            <w:pPr>
              <w:spacing w:after="0"/>
              <w:ind w:left="12"/>
            </w:pPr>
            <w:r>
              <w:rPr>
                <w:rFonts w:ascii="Arial" w:eastAsia="Arial" w:hAnsi="Arial" w:cs="Arial"/>
                <w:b/>
              </w:rPr>
              <w:t>TOTAL</w:t>
            </w:r>
          </w:p>
        </w:tc>
        <w:tc>
          <w:tcPr>
            <w:tcW w:w="2256"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left="11"/>
            </w:pPr>
            <w:r>
              <w:rPr>
                <w:rFonts w:ascii="Arial" w:eastAsia="Arial" w:hAnsi="Arial" w:cs="Arial"/>
                <w:b/>
              </w:rPr>
              <w:t>556.026,68</w:t>
            </w:r>
          </w:p>
        </w:tc>
        <w:tc>
          <w:tcPr>
            <w:tcW w:w="1726" w:type="dxa"/>
            <w:tcBorders>
              <w:top w:val="single" w:sz="4" w:space="0" w:color="000001"/>
              <w:left w:val="single" w:sz="5" w:space="0" w:color="000001"/>
              <w:bottom w:val="single" w:sz="4" w:space="0" w:color="000001"/>
              <w:right w:val="nil"/>
            </w:tcBorders>
          </w:tcPr>
          <w:p w:rsidR="00E23B86" w:rsidRDefault="00BA7C13">
            <w:pPr>
              <w:spacing w:after="0"/>
              <w:ind w:left="11"/>
            </w:pPr>
            <w:r>
              <w:rPr>
                <w:rFonts w:ascii="Arial" w:eastAsia="Arial" w:hAnsi="Arial" w:cs="Arial"/>
                <w:b/>
              </w:rPr>
              <w:t>10.185.756,45</w:t>
            </w:r>
          </w:p>
        </w:tc>
        <w:tc>
          <w:tcPr>
            <w:tcW w:w="376" w:type="dxa"/>
            <w:tcBorders>
              <w:top w:val="single" w:sz="4" w:space="0" w:color="000001"/>
              <w:left w:val="nil"/>
              <w:bottom w:val="single" w:sz="4" w:space="0" w:color="000001"/>
              <w:right w:val="nil"/>
            </w:tcBorders>
          </w:tcPr>
          <w:p w:rsidR="00E23B86" w:rsidRDefault="00E23B86"/>
        </w:tc>
        <w:tc>
          <w:tcPr>
            <w:tcW w:w="167" w:type="dxa"/>
            <w:tcBorders>
              <w:top w:val="single" w:sz="4" w:space="0" w:color="000001"/>
              <w:left w:val="nil"/>
              <w:bottom w:val="single" w:sz="4" w:space="0" w:color="000001"/>
              <w:right w:val="single" w:sz="4" w:space="0" w:color="000001"/>
            </w:tcBorders>
          </w:tcPr>
          <w:p w:rsidR="00E23B86" w:rsidRDefault="00E23B86"/>
        </w:tc>
        <w:tc>
          <w:tcPr>
            <w:tcW w:w="1617" w:type="dxa"/>
            <w:tcBorders>
              <w:top w:val="single" w:sz="4" w:space="0" w:color="000001"/>
              <w:left w:val="single" w:sz="4" w:space="0" w:color="000001"/>
              <w:bottom w:val="single" w:sz="4" w:space="0" w:color="000001"/>
              <w:right w:val="nil"/>
            </w:tcBorders>
          </w:tcPr>
          <w:p w:rsidR="00E23B86" w:rsidRDefault="00BA7C13">
            <w:pPr>
              <w:spacing w:after="0"/>
              <w:ind w:left="12"/>
            </w:pPr>
            <w:r>
              <w:rPr>
                <w:rFonts w:ascii="Arial" w:eastAsia="Arial" w:hAnsi="Arial" w:cs="Arial"/>
                <w:b/>
              </w:rPr>
              <w:t>8.990.041,49</w:t>
            </w:r>
          </w:p>
        </w:tc>
        <w:tc>
          <w:tcPr>
            <w:tcW w:w="974" w:type="dxa"/>
            <w:tcBorders>
              <w:top w:val="single" w:sz="4" w:space="0" w:color="000001"/>
              <w:left w:val="nil"/>
              <w:bottom w:val="single" w:sz="4" w:space="0" w:color="000001"/>
              <w:right w:val="single" w:sz="5" w:space="0" w:color="000001"/>
            </w:tcBorders>
          </w:tcPr>
          <w:p w:rsidR="00E23B86" w:rsidRDefault="00E23B86"/>
        </w:tc>
      </w:tr>
    </w:tbl>
    <w:p w:rsidR="00E23B86" w:rsidRDefault="00BA7C13">
      <w:pPr>
        <w:spacing w:after="245" w:line="249" w:lineRule="auto"/>
        <w:ind w:left="355" w:right="554" w:hanging="10"/>
        <w:jc w:val="both"/>
      </w:pPr>
      <w:r>
        <w:rPr>
          <w:rFonts w:ascii="Arial" w:eastAsia="Arial" w:hAnsi="Arial" w:cs="Arial"/>
          <w:b/>
        </w:rPr>
        <w:t>3.-INDICADORES DE SANEAMIENTO Y CONDICIONANTES DE LIBRE DISPOSICIÓN, QUE SE IMPONEN PARA LA DISTRIBUCIÓN DEL FONDO CANARIO DE FINANCIACIÓN MUNICIPAL DEL EJERCICIO 2019</w:t>
      </w:r>
    </w:p>
    <w:p w:rsidR="00E23B86" w:rsidRDefault="00BA7C13">
      <w:pPr>
        <w:spacing w:after="560" w:line="248" w:lineRule="auto"/>
        <w:ind w:left="634" w:right="552" w:firstLine="1136"/>
        <w:jc w:val="both"/>
      </w:pPr>
      <w:r>
        <w:rPr>
          <w:rFonts w:ascii="Arial" w:eastAsia="Arial" w:hAnsi="Arial" w:cs="Arial"/>
        </w:rPr>
        <w:t>La Ley 3/1999 de 4 de febrero, del Fondo Canario de Financiación Municipal, regula cinco indicadores de saneamiento y condicionantes de libre disposición, esto es, remanente de tesorería para gastos generales, gestión recaudatoria, endeudamiento a largo pl</w:t>
      </w:r>
      <w:r>
        <w:rPr>
          <w:rFonts w:ascii="Arial" w:eastAsia="Arial" w:hAnsi="Arial" w:cs="Arial"/>
        </w:rPr>
        <w:t>azo, esfuerzo fiscal y el ratio de Ahorro Neto.</w:t>
      </w:r>
    </w:p>
    <w:p w:rsidR="00E23B86" w:rsidRDefault="00BA7C13">
      <w:pPr>
        <w:numPr>
          <w:ilvl w:val="0"/>
          <w:numId w:val="25"/>
        </w:numPr>
        <w:spacing w:after="322" w:line="248" w:lineRule="auto"/>
        <w:ind w:right="552" w:hanging="360"/>
        <w:jc w:val="both"/>
      </w:pPr>
      <w:r>
        <w:rPr>
          <w:rFonts w:ascii="Arial" w:eastAsia="Arial" w:hAnsi="Arial" w:cs="Arial"/>
          <w:b/>
          <w:i/>
        </w:rPr>
        <w:t>Remanente de Tesorería para Gastos Generales</w:t>
      </w:r>
      <w:r>
        <w:rPr>
          <w:rFonts w:ascii="Arial" w:eastAsia="Arial" w:hAnsi="Arial" w:cs="Arial"/>
        </w:rPr>
        <w:t>, que importa la cantidad de 18.219.677,27 Euros, se impone que sea superior al 1 %, de los derechos reconocidos netos por capítulos I al V de Ingresos en la Liquid</w:t>
      </w:r>
      <w:r>
        <w:rPr>
          <w:rFonts w:ascii="Arial" w:eastAsia="Arial" w:hAnsi="Arial" w:cs="Arial"/>
        </w:rPr>
        <w:t>ación del Presupuesto, que asciende a 26.527.733,91 Euros, sale positivo en el 68,7 % frente al 51,40 %, también con signo positivo, del ejercicio anterior.</w:t>
      </w:r>
    </w:p>
    <w:p w:rsidR="00E23B86" w:rsidRDefault="00BA7C13">
      <w:pPr>
        <w:numPr>
          <w:ilvl w:val="0"/>
          <w:numId w:val="25"/>
        </w:numPr>
        <w:spacing w:after="365" w:line="248" w:lineRule="auto"/>
        <w:ind w:right="552" w:hanging="360"/>
        <w:jc w:val="both"/>
      </w:pPr>
      <w:r>
        <w:rPr>
          <w:noProof/>
        </w:rPr>
        <mc:AlternateContent>
          <mc:Choice Requires="wpg">
            <w:drawing>
              <wp:anchor distT="0" distB="0" distL="114300" distR="114300" simplePos="0" relativeHeight="2517258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4488" name="Group 48448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5737" name="Rectangle 1573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15738" name="Rectangle 1573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66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4488" style="width:12.7031pt;height:280.35pt;position:absolute;mso-position-horizontal-relative:page;mso-position-horizontal:absolute;margin-left:681.958pt;mso-position-vertical-relative:page;margin-top:531.65pt;" coordsize="1613,35604">
                <v:rect id="Rectangle 1573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573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391 </w:t>
                        </w:r>
                      </w:p>
                    </w:txbxContent>
                  </v:textbox>
                </v:rect>
                <w10:wrap type="square"/>
              </v:group>
            </w:pict>
          </mc:Fallback>
        </mc:AlternateContent>
      </w:r>
      <w:r>
        <w:rPr>
          <w:rFonts w:ascii="Arial" w:eastAsia="Arial" w:hAnsi="Arial" w:cs="Arial"/>
          <w:b/>
          <w:i/>
        </w:rPr>
        <w:t>Ahorro Neto,</w:t>
      </w:r>
      <w:r>
        <w:rPr>
          <w:rFonts w:ascii="Arial" w:eastAsia="Arial" w:hAnsi="Arial" w:cs="Arial"/>
        </w:rPr>
        <w:t xml:space="preserve"> es un ratio que, a diferencia del ratio de ahorro bruto que mide la capacidad de autofinanciación de las inversiones, es un ratio que nos indica </w:t>
      </w:r>
      <w:r>
        <w:rPr>
          <w:rFonts w:ascii="Arial" w:eastAsia="Arial" w:hAnsi="Arial" w:cs="Arial"/>
        </w:rPr>
        <w:t>la capacidad  de</w:t>
      </w:r>
      <w:r>
        <w:rPr>
          <w:rFonts w:ascii="Arial" w:eastAsia="Arial" w:hAnsi="Arial" w:cs="Arial"/>
          <w:b/>
          <w:i/>
        </w:rPr>
        <w:t xml:space="preserve"> </w:t>
      </w:r>
      <w:r>
        <w:rPr>
          <w:rFonts w:ascii="Arial" w:eastAsia="Arial" w:hAnsi="Arial" w:cs="Arial"/>
        </w:rPr>
        <w:t>endeudamiento de la entidad Local, que se establece que sea superior al 6 por 100  de los derechos reconocidos netos por capítulos I al V de Ingresos en la Liquidación del presupuesto, viene dado por la diferencia de los derechos reconocid</w:t>
      </w:r>
      <w:r>
        <w:rPr>
          <w:rFonts w:ascii="Arial" w:eastAsia="Arial" w:hAnsi="Arial" w:cs="Arial"/>
        </w:rPr>
        <w:t xml:space="preserve">os netos por los capítulos I al V de Ingresos (26.527.733,91 Euros) y las obligaciones reconocidas netas por los capítulos I, II y IV (20.509.696,46 Euros) y una anualidad teórica de amortización (1.072.276,95 Euros), que incluye los capítulos III y IX. </w:t>
      </w:r>
    </w:p>
    <w:p w:rsidR="00E23B86" w:rsidRDefault="00BA7C13">
      <w:pPr>
        <w:spacing w:after="322" w:line="248" w:lineRule="auto"/>
        <w:ind w:left="712" w:right="552" w:firstLine="348"/>
        <w:jc w:val="both"/>
      </w:pPr>
      <w:r>
        <w:rPr>
          <w:rFonts w:ascii="Arial" w:eastAsia="Arial" w:hAnsi="Arial" w:cs="Arial"/>
        </w:rPr>
        <w:t>E</w:t>
      </w:r>
      <w:r>
        <w:rPr>
          <w:rFonts w:ascii="Arial" w:eastAsia="Arial" w:hAnsi="Arial" w:cs="Arial"/>
        </w:rPr>
        <w:t xml:space="preserve">llo nos da un Ahorro Neto positivo de 4.945.760,50 Euros (2.045.403,06 Euros en el año 2018), esto es, un porcentaje del 18,6 %, de los derechos reconocidos netos por capítulos I al V de Ingresos en la Liquidación del Presupuesto, diez puntos porcentuales </w:t>
      </w:r>
      <w:r>
        <w:rPr>
          <w:rFonts w:ascii="Arial" w:eastAsia="Arial" w:hAnsi="Arial" w:cs="Arial"/>
        </w:rPr>
        <w:t xml:space="preserve">más que en el ejercicio anterior. </w:t>
      </w:r>
    </w:p>
    <w:p w:rsidR="00E23B86" w:rsidRDefault="00BA7C13">
      <w:pPr>
        <w:numPr>
          <w:ilvl w:val="0"/>
          <w:numId w:val="25"/>
        </w:numPr>
        <w:spacing w:after="244" w:line="248" w:lineRule="auto"/>
        <w:ind w:right="552" w:hanging="360"/>
        <w:jc w:val="both"/>
      </w:pPr>
      <w:r>
        <w:rPr>
          <w:rFonts w:ascii="Arial" w:eastAsia="Arial" w:hAnsi="Arial" w:cs="Arial"/>
          <w:b/>
          <w:i/>
        </w:rPr>
        <w:t>Endeudamiento a Largo Plazo</w:t>
      </w:r>
      <w:r>
        <w:rPr>
          <w:rFonts w:ascii="Arial" w:eastAsia="Arial" w:hAnsi="Arial" w:cs="Arial"/>
        </w:rPr>
        <w:t xml:space="preserve"> que se impone que sea inferior al 70 por 100 de los derechos reconocidos netos por capítulos I al V de Ingresos en la Liquidación del Presupuesto. </w:t>
      </w:r>
    </w:p>
    <w:p w:rsidR="00E23B86" w:rsidRDefault="00BA7C13">
      <w:pPr>
        <w:spacing w:after="0" w:line="265" w:lineRule="auto"/>
        <w:ind w:left="10" w:right="551" w:hanging="10"/>
        <w:jc w:val="right"/>
      </w:pPr>
      <w:r>
        <w:rPr>
          <w:rFonts w:ascii="Arial" w:eastAsia="Arial" w:hAnsi="Arial" w:cs="Arial"/>
        </w:rPr>
        <w:t>La deuda financiera del Ayuntamiento, a 31 de</w:t>
      </w:r>
      <w:r>
        <w:rPr>
          <w:rFonts w:ascii="Arial" w:eastAsia="Arial" w:hAnsi="Arial" w:cs="Arial"/>
        </w:rPr>
        <w:t xml:space="preserve"> diciembre de 2019, asciende a</w:t>
      </w:r>
    </w:p>
    <w:p w:rsidR="00E23B86" w:rsidRDefault="00BA7C13">
      <w:pPr>
        <w:spacing w:after="280" w:line="248" w:lineRule="auto"/>
        <w:ind w:left="722" w:right="552" w:hanging="10"/>
        <w:jc w:val="both"/>
      </w:pPr>
      <w:r>
        <w:rPr>
          <w:rFonts w:ascii="Arial" w:eastAsia="Arial" w:hAnsi="Arial" w:cs="Arial"/>
        </w:rPr>
        <w:t>2.407.332,20 Euros, procedente de:</w:t>
      </w:r>
    </w:p>
    <w:p w:rsidR="00E23B86" w:rsidRDefault="00BA7C13">
      <w:pPr>
        <w:numPr>
          <w:ilvl w:val="1"/>
          <w:numId w:val="26"/>
        </w:numPr>
        <w:spacing w:after="10" w:line="248" w:lineRule="auto"/>
        <w:ind w:right="552" w:hanging="360"/>
        <w:jc w:val="both"/>
      </w:pPr>
      <w:r>
        <w:rPr>
          <w:rFonts w:ascii="Arial" w:eastAsia="Arial" w:hAnsi="Arial" w:cs="Arial"/>
        </w:rPr>
        <w:t>Préstamo 301516-53 de La Caixa, por importe de 925.169,98 Euros.</w:t>
      </w:r>
    </w:p>
    <w:p w:rsidR="00E23B86" w:rsidRDefault="00BA7C13">
      <w:pPr>
        <w:numPr>
          <w:ilvl w:val="1"/>
          <w:numId w:val="26"/>
        </w:numPr>
        <w:spacing w:after="461" w:line="248" w:lineRule="auto"/>
        <w:ind w:right="552" w:hanging="360"/>
        <w:jc w:val="both"/>
      </w:pPr>
      <w:r>
        <w:rPr>
          <w:rFonts w:ascii="Arial" w:eastAsia="Arial" w:hAnsi="Arial" w:cs="Arial"/>
        </w:rPr>
        <w:t>Préstamo 0830003865 BBVA, por importe de 1.482.162,22 Euros.</w:t>
      </w:r>
    </w:p>
    <w:p w:rsidR="00E23B86" w:rsidRDefault="00BA7C13">
      <w:pPr>
        <w:spacing w:after="110" w:line="248" w:lineRule="auto"/>
        <w:ind w:left="363" w:right="552" w:firstLine="360"/>
        <w:jc w:val="both"/>
      </w:pPr>
      <w:r>
        <w:rPr>
          <w:rFonts w:ascii="Arial" w:eastAsia="Arial" w:hAnsi="Arial" w:cs="Arial"/>
        </w:rPr>
        <w:t>Dado que los derechos reconocidos netos por los capítulos I al V de Ingresos, asciende a 26.527.733,91 Euros, este Ratio importa un 9,07 %, frente al 13,70 %, obtenido en la Liquidación del presupuesto del ejercicio 2018.</w:t>
      </w:r>
    </w:p>
    <w:p w:rsidR="00E23B86" w:rsidRDefault="00BA7C13">
      <w:pPr>
        <w:numPr>
          <w:ilvl w:val="0"/>
          <w:numId w:val="25"/>
        </w:numPr>
        <w:spacing w:after="322" w:line="248" w:lineRule="auto"/>
        <w:ind w:right="552" w:hanging="360"/>
        <w:jc w:val="both"/>
      </w:pPr>
      <w:r>
        <w:rPr>
          <w:rFonts w:ascii="Arial" w:eastAsia="Arial" w:hAnsi="Arial" w:cs="Arial"/>
          <w:b/>
          <w:i/>
        </w:rPr>
        <w:t>Gestión Recaudatoria</w:t>
      </w:r>
      <w:r>
        <w:rPr>
          <w:rFonts w:ascii="Arial" w:eastAsia="Arial" w:hAnsi="Arial" w:cs="Arial"/>
        </w:rPr>
        <w:t xml:space="preserve"> superior al 7</w:t>
      </w:r>
      <w:r>
        <w:rPr>
          <w:rFonts w:ascii="Arial" w:eastAsia="Arial" w:hAnsi="Arial" w:cs="Arial"/>
        </w:rPr>
        <w:t>5 % de los derechos reconocidos netos por capítulos I al III de Ingresos en la Liquidación del Presupuesto, viene dado por el cociente entre los derechos recaudados por esos capítulos de ingresos (15.025.447,80 Euros) y los derechos reconocidos netos por l</w:t>
      </w:r>
      <w:r>
        <w:rPr>
          <w:rFonts w:ascii="Arial" w:eastAsia="Arial" w:hAnsi="Arial" w:cs="Arial"/>
        </w:rPr>
        <w:t>os mismos capítulos I, II y III (15.694.015,38 Euros), llega al 95,74 %, frente al 94,30 % del ejercicio</w:t>
      </w:r>
    </w:p>
    <w:p w:rsidR="00E23B86" w:rsidRDefault="00BA7C13">
      <w:pPr>
        <w:spacing w:after="322" w:line="248" w:lineRule="auto"/>
        <w:ind w:left="723" w:right="552" w:hanging="360"/>
        <w:jc w:val="both"/>
      </w:pPr>
      <w:r>
        <w:rPr>
          <w:rFonts w:ascii="Arial" w:eastAsia="Arial" w:hAnsi="Arial" w:cs="Arial"/>
        </w:rPr>
        <w:t xml:space="preserve">2018. </w:t>
      </w:r>
    </w:p>
    <w:p w:rsidR="00E23B86" w:rsidRDefault="00BA7C13">
      <w:pPr>
        <w:numPr>
          <w:ilvl w:val="0"/>
          <w:numId w:val="25"/>
        </w:numPr>
        <w:spacing w:after="749" w:line="248" w:lineRule="auto"/>
        <w:ind w:right="552" w:hanging="360"/>
        <w:jc w:val="both"/>
      </w:pPr>
      <w:r>
        <w:rPr>
          <w:rFonts w:ascii="Arial" w:eastAsia="Arial" w:hAnsi="Arial" w:cs="Arial"/>
          <w:b/>
          <w:i/>
        </w:rPr>
        <w:t>Esfuerzo Fiscal</w:t>
      </w:r>
      <w:r>
        <w:rPr>
          <w:rFonts w:ascii="Arial" w:eastAsia="Arial" w:hAnsi="Arial" w:cs="Arial"/>
        </w:rPr>
        <w:t>, que se exige que sea superior al 70,66 por 100, se encuentra por encima del ochenta y cinco por ciento, como en el ejercicio de</w:t>
      </w:r>
      <w:r>
        <w:rPr>
          <w:rFonts w:ascii="Arial" w:eastAsia="Arial" w:hAnsi="Arial" w:cs="Arial"/>
        </w:rPr>
        <w:t>l 2018.</w:t>
      </w:r>
    </w:p>
    <w:p w:rsidR="00E23B86" w:rsidRDefault="00BA7C13">
      <w:pPr>
        <w:spacing w:after="245" w:line="249" w:lineRule="auto"/>
        <w:ind w:left="705" w:right="554" w:hanging="360"/>
        <w:jc w:val="both"/>
      </w:pPr>
      <w:r>
        <w:rPr>
          <w:rFonts w:ascii="Arial" w:eastAsia="Arial" w:hAnsi="Arial" w:cs="Arial"/>
          <w:b/>
        </w:rPr>
        <w:t>4.-</w:t>
      </w:r>
      <w:r>
        <w:rPr>
          <w:rFonts w:ascii="Arial" w:eastAsia="Arial" w:hAnsi="Arial" w:cs="Arial"/>
        </w:rPr>
        <w:t xml:space="preserve"> </w:t>
      </w:r>
      <w:r>
        <w:rPr>
          <w:rFonts w:ascii="Arial" w:eastAsia="Arial" w:hAnsi="Arial" w:cs="Arial"/>
          <w:b/>
        </w:rPr>
        <w:t>CUMPLIMIENTO DE LOS OBJETIVOS DE ESTABILIDAD PRESUPUESTARIA, REGLA DEL GASTO Y LÍMITES DE DEUDA</w:t>
      </w:r>
      <w:r>
        <w:rPr>
          <w:rFonts w:ascii="Arial" w:eastAsia="Arial" w:hAnsi="Arial" w:cs="Arial"/>
        </w:rPr>
        <w:t xml:space="preserve"> </w:t>
      </w:r>
      <w:r>
        <w:rPr>
          <w:rFonts w:ascii="Arial" w:eastAsia="Arial" w:hAnsi="Arial" w:cs="Arial"/>
          <w:b/>
        </w:rPr>
        <w:t>DEL</w:t>
      </w:r>
      <w:r>
        <w:rPr>
          <w:rFonts w:ascii="Arial" w:eastAsia="Arial" w:hAnsi="Arial" w:cs="Arial"/>
        </w:rPr>
        <w:t xml:space="preserve"> </w:t>
      </w:r>
      <w:r>
        <w:rPr>
          <w:rFonts w:ascii="Arial" w:eastAsia="Arial" w:hAnsi="Arial" w:cs="Arial"/>
          <w:b/>
        </w:rPr>
        <w:t>EJERCICIO 2019:</w:t>
      </w:r>
    </w:p>
    <w:p w:rsidR="00E23B86" w:rsidRDefault="00BA7C13">
      <w:pPr>
        <w:spacing w:after="245" w:line="248" w:lineRule="auto"/>
        <w:ind w:left="1227" w:right="552" w:hanging="864"/>
        <w:jc w:val="both"/>
      </w:pPr>
      <w:r>
        <w:rPr>
          <w:rFonts w:ascii="Arial" w:eastAsia="Arial" w:hAnsi="Arial" w:cs="Arial"/>
          <w:b/>
          <w:i/>
        </w:rPr>
        <w:t xml:space="preserve">   Cumplimiento del Objetivo de Estabilidad Presupuestaria</w:t>
      </w:r>
      <w:r>
        <w:rPr>
          <w:rFonts w:ascii="Arial" w:eastAsia="Arial" w:hAnsi="Arial" w:cs="Arial"/>
        </w:rPr>
        <w:t xml:space="preserve">: Existe Capacidad de Financiación, dado que nos da </w:t>
      </w:r>
      <w:r>
        <w:rPr>
          <w:rFonts w:ascii="Arial" w:eastAsia="Arial" w:hAnsi="Arial" w:cs="Arial"/>
          <w:b/>
        </w:rPr>
        <w:t xml:space="preserve">un saldo positivo de 6.318.123,36 Euros </w:t>
      </w:r>
      <w:r>
        <w:rPr>
          <w:rFonts w:ascii="Arial" w:eastAsia="Arial" w:hAnsi="Arial" w:cs="Arial"/>
        </w:rPr>
        <w:t>(frente a los 2.857.171,27 Euros</w:t>
      </w:r>
      <w:r>
        <w:rPr>
          <w:rFonts w:ascii="Arial" w:eastAsia="Arial" w:hAnsi="Arial" w:cs="Arial"/>
          <w:b/>
        </w:rPr>
        <w:t xml:space="preserve"> </w:t>
      </w:r>
      <w:r>
        <w:rPr>
          <w:rFonts w:ascii="Arial" w:eastAsia="Arial" w:hAnsi="Arial" w:cs="Arial"/>
        </w:rPr>
        <w:t xml:space="preserve">del año 2018) que, en principio, podemos decir que, SI se cumple el principio de estabilidad presupuestaria, obteniendo un ratio de Estabilidad Presupuestaria de + 21,52 %, frente al </w:t>
      </w:r>
      <w:r>
        <w:rPr>
          <w:rFonts w:ascii="Arial" w:eastAsia="Arial" w:hAnsi="Arial" w:cs="Arial"/>
        </w:rPr>
        <w:t>+ 11,3 %, obtenido en el año anterior, en base a los siguientes datos:</w:t>
      </w:r>
    </w:p>
    <w:p w:rsidR="00E23B86" w:rsidRDefault="00BA7C13">
      <w:pPr>
        <w:numPr>
          <w:ilvl w:val="0"/>
          <w:numId w:val="27"/>
        </w:numPr>
        <w:spacing w:after="244" w:line="249" w:lineRule="auto"/>
        <w:ind w:right="552" w:hanging="161"/>
        <w:jc w:val="both"/>
      </w:pPr>
      <w:r>
        <w:rPr>
          <w:noProof/>
        </w:rPr>
        <mc:AlternateContent>
          <mc:Choice Requires="wpg">
            <w:drawing>
              <wp:anchor distT="0" distB="0" distL="114300" distR="114300" simplePos="0" relativeHeight="2517268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5314" name="Group 48531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5821" name="Rectangle 1582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5822" name="Rectangle 1582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Página</w:t>
                              </w:r>
                              <w:r>
                                <w:rPr>
                                  <w:rFonts w:ascii="Arial" w:eastAsia="Arial" w:hAnsi="Arial" w:cs="Arial"/>
                                  <w:sz w:val="12"/>
                                </w:rPr>
                                <w:t xml:space="preserve"> 67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5314" style="width:12.7031pt;height:280.35pt;position:absolute;mso-position-horizontal-relative:page;mso-position-horizontal:absolute;margin-left:681.958pt;mso-position-vertical-relative:page;margin-top:531.65pt;" coordsize="1613,35604">
                <v:rect id="Rectangle 1582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582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391 </w:t>
                        </w:r>
                      </w:p>
                    </w:txbxContent>
                  </v:textbox>
                </v:rect>
                <w10:wrap type="square"/>
              </v:group>
            </w:pict>
          </mc:Fallback>
        </mc:AlternateContent>
      </w:r>
      <w:r>
        <w:rPr>
          <w:rFonts w:ascii="Arial" w:eastAsia="Arial" w:hAnsi="Arial" w:cs="Arial"/>
        </w:rPr>
        <w:t>Recursos no Financieros (Capítulos I al VII de Ingresos): + 29.595.138,66 €.- Empleos no Financieros (Capítulos I al VII de Gastos): - 23.161.397,35 € - Ajustes: - 115.617,95 €.</w:t>
      </w:r>
    </w:p>
    <w:p w:rsidR="00E23B86" w:rsidRDefault="00BA7C13">
      <w:pPr>
        <w:spacing w:after="245" w:line="248" w:lineRule="auto"/>
        <w:ind w:left="1083" w:right="552" w:hanging="720"/>
        <w:jc w:val="both"/>
      </w:pPr>
      <w:r>
        <w:rPr>
          <w:rFonts w:ascii="Arial" w:eastAsia="Arial" w:hAnsi="Arial" w:cs="Arial"/>
        </w:rPr>
        <w:t xml:space="preserve">     </w:t>
      </w:r>
      <w:r>
        <w:rPr>
          <w:rFonts w:ascii="Arial" w:eastAsia="Arial" w:hAnsi="Arial" w:cs="Arial"/>
          <w:b/>
          <w:i/>
        </w:rPr>
        <w:t>Cumplimiento de la Regla del Gasto</w:t>
      </w:r>
      <w:r>
        <w:rPr>
          <w:rFonts w:ascii="Arial" w:eastAsia="Arial" w:hAnsi="Arial" w:cs="Arial"/>
        </w:rPr>
        <w:t>: El objetivo es limitar el</w:t>
      </w:r>
      <w:r>
        <w:rPr>
          <w:rFonts w:ascii="Arial" w:eastAsia="Arial" w:hAnsi="Arial" w:cs="Arial"/>
        </w:rPr>
        <w:t xml:space="preserve"> crecimiento del gasto público, estableciendo un tope de aumento máximo en función del crecimiento de la economía española, que para el ejercicio 2019 es del 2,7 % y se cumple, al obtener un Gasto Computable ajustado de 19.603.886,23 Euros, esto es, una ca</w:t>
      </w:r>
      <w:r>
        <w:rPr>
          <w:rFonts w:ascii="Arial" w:eastAsia="Arial" w:hAnsi="Arial" w:cs="Arial"/>
        </w:rPr>
        <w:t>ída del 1 %, en base a los siguientes datos:</w:t>
      </w:r>
    </w:p>
    <w:p w:rsidR="00E23B86" w:rsidRDefault="00BA7C13">
      <w:pPr>
        <w:numPr>
          <w:ilvl w:val="0"/>
          <w:numId w:val="27"/>
        </w:numPr>
        <w:spacing w:after="10" w:line="248" w:lineRule="auto"/>
        <w:ind w:right="552" w:hanging="161"/>
        <w:jc w:val="both"/>
      </w:pPr>
      <w:r>
        <w:rPr>
          <w:rFonts w:ascii="Arial" w:eastAsia="Arial" w:hAnsi="Arial" w:cs="Arial"/>
        </w:rPr>
        <w:t>Empleos no Financieros (Capítulos I al VII de Gastos, excluidos Intereses deuda)):</w:t>
      </w:r>
    </w:p>
    <w:p w:rsidR="00E23B86" w:rsidRDefault="00BA7C13">
      <w:pPr>
        <w:spacing w:after="10" w:line="248" w:lineRule="auto"/>
        <w:ind w:left="794" w:right="552" w:hanging="10"/>
        <w:jc w:val="both"/>
      </w:pPr>
      <w:r>
        <w:rPr>
          <w:rFonts w:ascii="Arial" w:eastAsia="Arial" w:hAnsi="Arial" w:cs="Arial"/>
        </w:rPr>
        <w:t xml:space="preserve">23.078.676,44 €. </w:t>
      </w:r>
    </w:p>
    <w:p w:rsidR="00E23B86" w:rsidRDefault="00BA7C13">
      <w:pPr>
        <w:numPr>
          <w:ilvl w:val="0"/>
          <w:numId w:val="27"/>
        </w:numPr>
        <w:spacing w:after="244" w:line="249" w:lineRule="auto"/>
        <w:ind w:right="552" w:hanging="161"/>
        <w:jc w:val="both"/>
      </w:pPr>
      <w:r>
        <w:rPr>
          <w:rFonts w:ascii="Arial" w:eastAsia="Arial" w:hAnsi="Arial" w:cs="Arial"/>
        </w:rPr>
        <w:t>Gastos financiados con fondos Finalistas: -3.279.674,29 €.- Inversiones Financieramente Sostenibles: - 68.423,</w:t>
      </w:r>
      <w:r>
        <w:rPr>
          <w:rFonts w:ascii="Arial" w:eastAsia="Arial" w:hAnsi="Arial" w:cs="Arial"/>
        </w:rPr>
        <w:t>74 € - Otros Ajustes: -126.692,18 €.</w:t>
      </w:r>
    </w:p>
    <w:p w:rsidR="00E23B86" w:rsidRDefault="00BA7C13">
      <w:pPr>
        <w:spacing w:after="245" w:line="248" w:lineRule="auto"/>
        <w:ind w:left="1083" w:right="552" w:hanging="720"/>
        <w:jc w:val="both"/>
      </w:pPr>
      <w:r>
        <w:rPr>
          <w:rFonts w:ascii="Arial" w:eastAsia="Arial" w:hAnsi="Arial" w:cs="Arial"/>
          <w:b/>
          <w:i/>
        </w:rPr>
        <w:t xml:space="preserve">      Cumplimiento del Límite de Deuda: </w:t>
      </w:r>
      <w:r>
        <w:rPr>
          <w:rFonts w:ascii="Arial" w:eastAsia="Arial" w:hAnsi="Arial" w:cs="Arial"/>
        </w:rPr>
        <w:t>De acuerdo con el</w:t>
      </w:r>
      <w:r>
        <w:rPr>
          <w:rFonts w:ascii="Arial" w:eastAsia="Arial" w:hAnsi="Arial" w:cs="Arial"/>
          <w:b/>
          <w:i/>
        </w:rPr>
        <w:t xml:space="preserve"> </w:t>
      </w:r>
      <w:r>
        <w:rPr>
          <w:rFonts w:ascii="Arial" w:eastAsia="Arial" w:hAnsi="Arial" w:cs="Arial"/>
        </w:rPr>
        <w:t xml:space="preserve">Protocolo de Déficit Excesivo, el porcentaje de Deuda Viva formalizada, que coincide con la estimada, sobre los Ingresos Corrientes liquidados, asciende al 12,4 </w:t>
      </w:r>
      <w:r>
        <w:rPr>
          <w:rFonts w:ascii="Arial" w:eastAsia="Arial" w:hAnsi="Arial" w:cs="Arial"/>
        </w:rPr>
        <w:t>% frente al 17,5 %, del ejercicio anterior, en base a los siguientes datos:</w:t>
      </w:r>
    </w:p>
    <w:p w:rsidR="00E23B86" w:rsidRDefault="00BA7C13">
      <w:pPr>
        <w:numPr>
          <w:ilvl w:val="0"/>
          <w:numId w:val="27"/>
        </w:numPr>
        <w:spacing w:after="10" w:line="248" w:lineRule="auto"/>
        <w:ind w:right="552" w:hanging="161"/>
        <w:jc w:val="both"/>
      </w:pPr>
      <w:r>
        <w:rPr>
          <w:rFonts w:ascii="Arial" w:eastAsia="Arial" w:hAnsi="Arial" w:cs="Arial"/>
        </w:rPr>
        <w:t>Ingresos Liquidados de los Capítulos I al V: 26.527.733,91 €.</w:t>
      </w:r>
    </w:p>
    <w:p w:rsidR="00E23B86" w:rsidRDefault="00BA7C13">
      <w:pPr>
        <w:numPr>
          <w:ilvl w:val="0"/>
          <w:numId w:val="27"/>
        </w:numPr>
        <w:spacing w:after="10" w:line="248" w:lineRule="auto"/>
        <w:ind w:right="552" w:hanging="161"/>
        <w:jc w:val="both"/>
      </w:pPr>
      <w:r>
        <w:rPr>
          <w:rFonts w:ascii="Arial" w:eastAsia="Arial" w:hAnsi="Arial" w:cs="Arial"/>
        </w:rPr>
        <w:t>Ingresos Afectados corrientes para Gastos de capital: 0,00 €.</w:t>
      </w:r>
    </w:p>
    <w:p w:rsidR="00E23B86" w:rsidRDefault="00BA7C13">
      <w:pPr>
        <w:numPr>
          <w:ilvl w:val="0"/>
          <w:numId w:val="27"/>
        </w:numPr>
        <w:spacing w:after="495" w:line="248" w:lineRule="auto"/>
        <w:ind w:right="552" w:hanging="161"/>
        <w:jc w:val="both"/>
      </w:pPr>
      <w:r>
        <w:rPr>
          <w:rFonts w:ascii="Arial" w:eastAsia="Arial" w:hAnsi="Arial" w:cs="Arial"/>
        </w:rPr>
        <w:t>Deuda Viva del Ayuntamiento: 3.295.139,73 €</w:t>
      </w:r>
    </w:p>
    <w:p w:rsidR="00E23B86" w:rsidRDefault="00BA7C13">
      <w:pPr>
        <w:spacing w:after="752" w:line="248" w:lineRule="auto"/>
        <w:ind w:left="363" w:right="552" w:firstLine="708"/>
        <w:jc w:val="both"/>
      </w:pPr>
      <w:r>
        <w:rPr>
          <w:rFonts w:ascii="Arial" w:eastAsia="Arial" w:hAnsi="Arial" w:cs="Arial"/>
        </w:rPr>
        <w:t>Dicha deuda es inferior al 110 por 100 de los recursos corrientes liquidados, en virtud del cual, no resulta necesario aprobar, por acuerdo plenario, de un Plan de Reducción de deuda para corregir el volumen de endeudamiento, en los términos definidos en l</w:t>
      </w:r>
      <w:r>
        <w:rPr>
          <w:rFonts w:ascii="Arial" w:eastAsia="Arial" w:hAnsi="Arial" w:cs="Arial"/>
        </w:rPr>
        <w:t xml:space="preserve">a disposición final trigésima primera de la </w:t>
      </w:r>
      <w:r>
        <w:rPr>
          <w:rFonts w:ascii="Arial" w:eastAsia="Arial" w:hAnsi="Arial" w:cs="Arial"/>
          <w:color w:val="000080"/>
          <w:u w:val="single" w:color="000080"/>
        </w:rPr>
        <w:t>Ley 17/2012, de 27 de diciembre, de Presupuestos Generales del Estado para el año 2013</w:t>
      </w:r>
      <w:r>
        <w:rPr>
          <w:rFonts w:ascii="Arial" w:eastAsia="Arial" w:hAnsi="Arial" w:cs="Arial"/>
        </w:rPr>
        <w:t>, que establece un nuevo marco normativo para el año 2013, para la concertación de operaciones de crédito a largo plazo por la</w:t>
      </w:r>
      <w:r>
        <w:rPr>
          <w:rFonts w:ascii="Arial" w:eastAsia="Arial" w:hAnsi="Arial" w:cs="Arial"/>
        </w:rPr>
        <w:t>s Corporaciones Locales, prorrogado para el 2019.</w:t>
      </w:r>
    </w:p>
    <w:p w:rsidR="00E23B86" w:rsidRDefault="00BA7C13">
      <w:pPr>
        <w:spacing w:after="483" w:line="248" w:lineRule="auto"/>
        <w:ind w:left="1780" w:right="552" w:hanging="10"/>
        <w:jc w:val="both"/>
      </w:pPr>
      <w:r>
        <w:rPr>
          <w:rFonts w:ascii="Arial" w:eastAsia="Arial" w:hAnsi="Arial" w:cs="Arial"/>
        </w:rPr>
        <w:t>Por ello, este Concejal de Hacienda Propone:</w:t>
      </w:r>
    </w:p>
    <w:p w:rsidR="00E23B86" w:rsidRDefault="00BA7C13">
      <w:pPr>
        <w:spacing w:after="110" w:line="248" w:lineRule="auto"/>
        <w:ind w:left="373" w:right="552" w:hanging="10"/>
        <w:jc w:val="both"/>
      </w:pPr>
      <w:r>
        <w:rPr>
          <w:rFonts w:ascii="Arial" w:eastAsia="Arial" w:hAnsi="Arial" w:cs="Arial"/>
          <w:b/>
        </w:rPr>
        <w:t>PRIMERO:</w:t>
      </w:r>
      <w:r>
        <w:rPr>
          <w:rFonts w:ascii="Arial" w:eastAsia="Arial" w:hAnsi="Arial" w:cs="Arial"/>
        </w:rPr>
        <w:t xml:space="preserve"> Aprobar la Liquidación del Presupuesto del ejercicio 2019.</w:t>
      </w:r>
    </w:p>
    <w:p w:rsidR="00E23B86" w:rsidRDefault="00BA7C13">
      <w:pPr>
        <w:spacing w:after="499" w:line="248" w:lineRule="auto"/>
        <w:ind w:left="373" w:right="552" w:hanging="10"/>
        <w:jc w:val="both"/>
      </w:pPr>
      <w:r>
        <w:rPr>
          <w:rFonts w:ascii="Arial" w:eastAsia="Arial" w:hAnsi="Arial" w:cs="Arial"/>
          <w:b/>
        </w:rPr>
        <w:t xml:space="preserve">SEGUNDO: </w:t>
      </w:r>
      <w:r>
        <w:rPr>
          <w:rFonts w:ascii="Arial" w:eastAsia="Arial" w:hAnsi="Arial" w:cs="Arial"/>
        </w:rPr>
        <w:t>Dar cuenta al Pleno de la presente aprobación en la primera sesión que celebre para su conocimiento a los efectos previstos en el párrafo 4º del art. 174 del Real Decreto Legislativo 2/2004, de 5 de marzo, por el que se aprueba el Texto Refundido de la Ley</w:t>
      </w:r>
      <w:r>
        <w:rPr>
          <w:rFonts w:ascii="Arial" w:eastAsia="Arial" w:hAnsi="Arial" w:cs="Arial"/>
        </w:rPr>
        <w:t xml:space="preserve"> Reguladora de las Haciendas Locales”</w:t>
      </w:r>
    </w:p>
    <w:p w:rsidR="00E23B86" w:rsidRDefault="00BA7C13">
      <w:pPr>
        <w:spacing w:after="111" w:line="249" w:lineRule="auto"/>
        <w:ind w:left="355" w:right="554" w:hanging="10"/>
        <w:jc w:val="both"/>
      </w:pPr>
      <w:r>
        <w:rPr>
          <w:rFonts w:ascii="Arial" w:eastAsia="Arial" w:hAnsi="Arial" w:cs="Arial"/>
          <w:b/>
        </w:rPr>
        <w:t>DICTAMEN DE LA COMISIÓN INFORMATIVA DE HACIENDA, RECURSOS HUMANOS Y SERVICIOS GENERALES.</w:t>
      </w:r>
    </w:p>
    <w:p w:rsidR="00E23B86" w:rsidRDefault="00BA7C13">
      <w:pPr>
        <w:spacing w:after="110" w:line="248" w:lineRule="auto"/>
        <w:ind w:left="373" w:right="552" w:hanging="10"/>
        <w:jc w:val="both"/>
      </w:pPr>
      <w:r>
        <w:rPr>
          <w:rFonts w:ascii="Arial" w:eastAsia="Arial" w:hAnsi="Arial" w:cs="Arial"/>
        </w:rPr>
        <w:t>La Comisión Informativa quedó enterada.</w:t>
      </w:r>
    </w:p>
    <w:p w:rsidR="00E23B86" w:rsidRDefault="00BA7C13">
      <w:pPr>
        <w:spacing w:after="111" w:line="249" w:lineRule="auto"/>
        <w:ind w:left="355" w:right="554" w:hanging="10"/>
        <w:jc w:val="both"/>
      </w:pPr>
      <w:r>
        <w:rPr>
          <w:rFonts w:ascii="Arial" w:eastAsia="Arial" w:hAnsi="Arial" w:cs="Arial"/>
          <w:b/>
        </w:rPr>
        <w:t>JUNTA DE PORTAVOCES</w:t>
      </w:r>
    </w:p>
    <w:p w:rsidR="00E23B86" w:rsidRDefault="00BA7C13">
      <w:pPr>
        <w:spacing w:after="110" w:line="248" w:lineRule="auto"/>
        <w:ind w:left="373" w:right="552" w:hanging="10"/>
        <w:jc w:val="both"/>
      </w:pPr>
      <w:r>
        <w:rPr>
          <w:noProof/>
        </w:rPr>
        <mc:AlternateContent>
          <mc:Choice Requires="wpg">
            <w:drawing>
              <wp:anchor distT="0" distB="0" distL="114300" distR="114300" simplePos="0" relativeHeight="2517278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5756" name="Group 48575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5903" name="Rectangle 1590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15904" name="Rectangle 1590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68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5756" style="width:12.7031pt;height:280.35pt;position:absolute;mso-position-horizontal-relative:page;mso-position-horizontal:absolute;margin-left:681.958pt;mso-position-vertical-relative:page;margin-top:531.65pt;" coordsize="1613,35604">
                <v:rect id="Rectangle 1590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590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391 </w:t>
                        </w:r>
                      </w:p>
                    </w:txbxContent>
                  </v:textbox>
                </v:rect>
                <w10:wrap type="square"/>
              </v:group>
            </w:pict>
          </mc:Fallback>
        </mc:AlternateContent>
      </w:r>
      <w:r>
        <w:rPr>
          <w:rFonts w:ascii="Arial" w:eastAsia="Arial" w:hAnsi="Arial" w:cs="Arial"/>
        </w:rPr>
        <w:t>Quedó oída.</w:t>
      </w:r>
    </w:p>
    <w:p w:rsidR="00E23B86" w:rsidRDefault="00BA7C13">
      <w:pPr>
        <w:spacing w:after="111" w:line="249" w:lineRule="auto"/>
        <w:ind w:left="355" w:right="554" w:hanging="10"/>
        <w:jc w:val="both"/>
      </w:pPr>
      <w:r>
        <w:rPr>
          <w:rFonts w:ascii="Arial" w:eastAsia="Arial" w:hAnsi="Arial" w:cs="Arial"/>
          <w:b/>
        </w:rPr>
        <w:t>TOMA DE CONOCIMENTO EN EL PLENO</w:t>
      </w:r>
    </w:p>
    <w:p w:rsidR="00E23B86" w:rsidRDefault="00BA7C13">
      <w:pPr>
        <w:spacing w:after="111" w:line="249" w:lineRule="auto"/>
        <w:ind w:left="355" w:right="554" w:hanging="10"/>
        <w:jc w:val="both"/>
      </w:pPr>
      <w:r>
        <w:rPr>
          <w:rFonts w:ascii="Arial" w:eastAsia="Arial" w:hAnsi="Arial" w:cs="Arial"/>
          <w:b/>
        </w:rPr>
        <w:t>Los 18 concejales presentes tomaron conocimiento:</w:t>
      </w:r>
    </w:p>
    <w:p w:rsidR="00E23B86" w:rsidRDefault="00BA7C13">
      <w:pPr>
        <w:spacing w:after="110" w:line="248" w:lineRule="auto"/>
        <w:ind w:left="373" w:right="552" w:hanging="10"/>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Chinea, 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E23B86" w:rsidRDefault="00BA7C13">
      <w:pPr>
        <w:numPr>
          <w:ilvl w:val="0"/>
          <w:numId w:val="28"/>
        </w:numPr>
        <w:spacing w:after="110" w:line="248" w:lineRule="auto"/>
        <w:ind w:right="552" w:hanging="10"/>
        <w:jc w:val="both"/>
      </w:pPr>
      <w:r>
        <w:rPr>
          <w:rFonts w:ascii="Arial" w:eastAsia="Arial" w:hAnsi="Arial" w:cs="Arial"/>
        </w:rPr>
        <w:t>concejales del Grupo Popular: Don Juan Miguel Olivera González, Don JacoboLópez Fariña y Doña Raquel Mart</w:t>
      </w:r>
      <w:r>
        <w:rPr>
          <w:rFonts w:ascii="Arial" w:eastAsia="Arial" w:hAnsi="Arial" w:cs="Arial"/>
        </w:rPr>
        <w:t xml:space="preserve">ín Castro. </w:t>
      </w:r>
    </w:p>
    <w:p w:rsidR="00E23B86" w:rsidRDefault="00BA7C13">
      <w:pPr>
        <w:numPr>
          <w:ilvl w:val="0"/>
          <w:numId w:val="28"/>
        </w:numPr>
        <w:spacing w:after="485" w:line="248" w:lineRule="auto"/>
        <w:ind w:right="552" w:hanging="10"/>
        <w:jc w:val="both"/>
      </w:pPr>
      <w:r>
        <w:rPr>
          <w:rFonts w:ascii="Arial" w:eastAsia="Arial" w:hAnsi="Arial" w:cs="Arial"/>
        </w:rPr>
        <w:t>concejales del Grupo Mixto: Doña María del Carmen Coello González y Doña Maríadel Pilar Maceín Núñez (SSP), Doña Ángela Cruz Perera (CC-PNC) y Don José Fernando Gómez Martín (PvxC).</w:t>
      </w:r>
    </w:p>
    <w:p w:rsidR="00E23B86" w:rsidRDefault="00BA7C13">
      <w:pPr>
        <w:pStyle w:val="Ttulo3"/>
        <w:spacing w:after="227" w:line="265" w:lineRule="auto"/>
        <w:ind w:left="682" w:right="1276"/>
        <w:jc w:val="center"/>
      </w:pPr>
      <w:r>
        <w:rPr>
          <w:i w:val="0"/>
          <w:color w:val="000000"/>
        </w:rPr>
        <w:t>ACUERDO DEL PLENO</w:t>
      </w:r>
    </w:p>
    <w:p w:rsidR="00E23B86" w:rsidRDefault="00BA7C13">
      <w:pPr>
        <w:spacing w:after="110" w:line="248" w:lineRule="auto"/>
        <w:ind w:left="373" w:right="552" w:hanging="10"/>
        <w:jc w:val="both"/>
      </w:pPr>
      <w:r>
        <w:rPr>
          <w:rFonts w:ascii="Arial" w:eastAsia="Arial" w:hAnsi="Arial" w:cs="Arial"/>
        </w:rPr>
        <w:t>El Pleno queda enterado de la liquidación de</w:t>
      </w:r>
      <w:r>
        <w:rPr>
          <w:rFonts w:ascii="Arial" w:eastAsia="Arial" w:hAnsi="Arial" w:cs="Arial"/>
        </w:rPr>
        <w:t>l Presupuesto del ejercicio 2019 aprobada por Decreto de la Alcaldía-Presidencia 326/2020, de 11 de febrero de 2020.</w:t>
      </w:r>
    </w:p>
    <w:p w:rsidR="00E23B86" w:rsidRDefault="00BA7C13">
      <w:pPr>
        <w:spacing w:after="838" w:line="250" w:lineRule="auto"/>
        <w:ind w:left="355" w:right="223" w:hanging="10"/>
        <w:jc w:val="both"/>
      </w:pPr>
      <w:r>
        <w:rPr>
          <w:rFonts w:ascii="Arial" w:eastAsia="Arial" w:hAnsi="Arial" w:cs="Arial"/>
          <w:b/>
          <w:sz w:val="24"/>
        </w:rPr>
        <w:t>3.- Expediente 11873/2019. Aprobación definitiva del Presupuesto General del ejercicio 2020.</w:t>
      </w:r>
    </w:p>
    <w:p w:rsidR="00E23B86" w:rsidRDefault="00BA7C13">
      <w:pPr>
        <w:spacing w:after="857" w:line="249" w:lineRule="auto"/>
        <w:ind w:left="355" w:right="554" w:hanging="10"/>
        <w:jc w:val="both"/>
      </w:pPr>
      <w:r>
        <w:rPr>
          <w:rFonts w:ascii="Arial" w:eastAsia="Arial" w:hAnsi="Arial" w:cs="Arial"/>
          <w:b/>
        </w:rPr>
        <w:t xml:space="preserve">   Consta en el expediente Informe de Interven</w:t>
      </w:r>
      <w:r>
        <w:rPr>
          <w:rFonts w:ascii="Arial" w:eastAsia="Arial" w:hAnsi="Arial" w:cs="Arial"/>
          <w:b/>
        </w:rPr>
        <w:t>ción emitido por Don Nicolás Rojo Garnica, que desempeña el puesto de trabajo de Interventor Municipal, de 12 de febrero de 2020, del siguiente tenor literal:</w:t>
      </w:r>
    </w:p>
    <w:p w:rsidR="00E23B86" w:rsidRDefault="00BA7C13">
      <w:pPr>
        <w:pStyle w:val="Ttulo3"/>
        <w:spacing w:line="265" w:lineRule="auto"/>
        <w:ind w:left="682" w:right="876"/>
        <w:jc w:val="center"/>
      </w:pPr>
      <w:r>
        <w:rPr>
          <w:i w:val="0"/>
          <w:color w:val="000000"/>
        </w:rPr>
        <w:t>“Informe de Intervención</w:t>
      </w:r>
    </w:p>
    <w:p w:rsidR="00E23B86" w:rsidRDefault="00BA7C13">
      <w:pPr>
        <w:spacing w:after="495" w:line="248" w:lineRule="auto"/>
        <w:ind w:left="373" w:right="552" w:hanging="10"/>
        <w:jc w:val="both"/>
      </w:pPr>
      <w:r>
        <w:rPr>
          <w:rFonts w:ascii="Arial" w:eastAsia="Arial" w:hAnsi="Arial" w:cs="Arial"/>
        </w:rPr>
        <w:t>Asunto: Reclamaciones contra del Presupuesto General del Ejercicio 2020</w:t>
      </w:r>
    </w:p>
    <w:p w:rsidR="00E23B86" w:rsidRDefault="00BA7C13">
      <w:pPr>
        <w:spacing w:after="245" w:line="248" w:lineRule="auto"/>
        <w:ind w:left="363" w:right="552" w:firstLine="708"/>
        <w:jc w:val="both"/>
      </w:pPr>
      <w:r>
        <w:rPr>
          <w:rFonts w:ascii="Arial" w:eastAsia="Arial" w:hAnsi="Arial" w:cs="Arial"/>
        </w:rPr>
        <w:t xml:space="preserve">Vista las reclamaciones, contra el Presupuesto General del ejercicio 2020, aprobada inicialmente en sesión plenaria ordinaria de fecha 26 de diciembre de 2019, este Interventor INFORMA: </w:t>
      </w:r>
    </w:p>
    <w:p w:rsidR="00E23B86" w:rsidRDefault="00BA7C13">
      <w:pPr>
        <w:spacing w:after="245" w:line="248" w:lineRule="auto"/>
        <w:ind w:left="373" w:right="552" w:hanging="10"/>
        <w:jc w:val="both"/>
      </w:pPr>
      <w:r>
        <w:rPr>
          <w:noProof/>
        </w:rPr>
        <mc:AlternateContent>
          <mc:Choice Requires="wpg">
            <w:drawing>
              <wp:anchor distT="0" distB="0" distL="114300" distR="114300" simplePos="0" relativeHeight="2517288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5388" name="Group 48538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5967" name="Rectangle 1596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15968" name="Rectangle 1596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69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5388" style="width:12.7031pt;height:280.35pt;position:absolute;mso-position-horizontal-relative:page;mso-position-horizontal:absolute;margin-left:681.958pt;mso-position-vertical-relative:page;margin-top:531.65pt;" coordsize="1613,35604">
                <v:rect id="Rectangle 1596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596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391 </w:t>
                        </w:r>
                      </w:p>
                    </w:txbxContent>
                  </v:textbox>
                </v:rect>
                <w10:wrap type="square"/>
              </v:group>
            </w:pict>
          </mc:Fallback>
        </mc:AlternateContent>
      </w:r>
      <w:r>
        <w:rPr>
          <w:rFonts w:ascii="Arial" w:eastAsia="Arial" w:hAnsi="Arial" w:cs="Arial"/>
          <w:b/>
        </w:rPr>
        <w:t>Primero:</w:t>
      </w:r>
      <w:r>
        <w:rPr>
          <w:rFonts w:ascii="Arial" w:eastAsia="Arial" w:hAnsi="Arial" w:cs="Arial"/>
        </w:rPr>
        <w:t xml:space="preserve"> Que tienen la consideración de interesados, para reclamar contra el Presupuesto General: - Los habitantes en el territo</w:t>
      </w:r>
      <w:r>
        <w:rPr>
          <w:rFonts w:ascii="Arial" w:eastAsia="Arial" w:hAnsi="Arial" w:cs="Arial"/>
        </w:rPr>
        <w:t xml:space="preserve">rio de la respectiva entidad local. Los que resulten directamente afectados, aunque no habiten en el territorio de la entidad local. - Los colegios oficiales, cámaras oficiales, sindicatos, asociaciones y demás entidades legalmente constituidas para velar </w:t>
      </w:r>
      <w:r>
        <w:rPr>
          <w:rFonts w:ascii="Arial" w:eastAsia="Arial" w:hAnsi="Arial" w:cs="Arial"/>
        </w:rPr>
        <w:t>por intereses profesionales o económicos y vecinales, cuando actúen en defensa de los que les son propios.</w:t>
      </w:r>
    </w:p>
    <w:p w:rsidR="00E23B86" w:rsidRDefault="00BA7C13">
      <w:pPr>
        <w:spacing w:after="92" w:line="249" w:lineRule="auto"/>
        <w:ind w:left="347" w:right="555" w:hanging="10"/>
      </w:pPr>
      <w:r>
        <w:rPr>
          <w:rFonts w:ascii="Arial" w:eastAsia="Arial" w:hAnsi="Arial" w:cs="Arial"/>
          <w:b/>
        </w:rPr>
        <w:t>Segundo</w:t>
      </w:r>
      <w:r>
        <w:rPr>
          <w:rFonts w:ascii="Arial" w:eastAsia="Arial" w:hAnsi="Arial" w:cs="Arial"/>
        </w:rPr>
        <w:t>: Que únicamente podrán entablarse reclamaciones contra el presupuesto, de conformidad con el artículo 170.2 del Real Decreto Legislativo 2/20</w:t>
      </w:r>
      <w:r>
        <w:rPr>
          <w:rFonts w:ascii="Arial" w:eastAsia="Arial" w:hAnsi="Arial" w:cs="Arial"/>
        </w:rPr>
        <w:t>04, de 5 de marzo, por el que se aprueba el Texto Refundido de la Ley reguladora de las Haciendas Locales:</w:t>
      </w:r>
    </w:p>
    <w:p w:rsidR="00E23B86" w:rsidRDefault="00BA7C13">
      <w:pPr>
        <w:spacing w:after="0" w:line="248" w:lineRule="auto"/>
        <w:ind w:left="373" w:right="552" w:hanging="10"/>
        <w:jc w:val="both"/>
      </w:pPr>
      <w:r>
        <w:rPr>
          <w:rFonts w:ascii="Arial" w:eastAsia="Arial" w:hAnsi="Arial" w:cs="Arial"/>
        </w:rPr>
        <w:t>1.- Por no haberse ajustado su elaboración y aprobación a los trámites establecidos en esta Ley.</w:t>
      </w:r>
    </w:p>
    <w:p w:rsidR="00E23B86" w:rsidRDefault="00BA7C13">
      <w:pPr>
        <w:spacing w:after="0" w:line="248" w:lineRule="auto"/>
        <w:ind w:left="373" w:right="552" w:hanging="10"/>
        <w:jc w:val="both"/>
      </w:pPr>
      <w:r>
        <w:rPr>
          <w:rFonts w:ascii="Arial" w:eastAsia="Arial" w:hAnsi="Arial" w:cs="Arial"/>
        </w:rPr>
        <w:t>2.- Por omitir el crédito necesario para el cumplimi</w:t>
      </w:r>
      <w:r>
        <w:rPr>
          <w:rFonts w:ascii="Arial" w:eastAsia="Arial" w:hAnsi="Arial" w:cs="Arial"/>
        </w:rPr>
        <w:t>ento de obligaciones exigibles a la entidad local, en virtud de precepto legal o de cualquier otro título legítimo.</w:t>
      </w:r>
    </w:p>
    <w:p w:rsidR="00E23B86" w:rsidRDefault="00BA7C13">
      <w:pPr>
        <w:spacing w:after="110" w:line="248" w:lineRule="auto"/>
        <w:ind w:left="373" w:right="552" w:hanging="10"/>
        <w:jc w:val="both"/>
      </w:pPr>
      <w:r>
        <w:rPr>
          <w:rFonts w:ascii="Arial" w:eastAsia="Arial" w:hAnsi="Arial" w:cs="Arial"/>
        </w:rPr>
        <w:t>3.- Por ser de manifiesta insuficiencia los ingresos con relación a los gastos presupuestados o bien de estos respecto a las necesidades para las que esté previsto.</w:t>
      </w:r>
    </w:p>
    <w:p w:rsidR="00E23B86" w:rsidRDefault="00BA7C13">
      <w:pPr>
        <w:spacing w:after="106" w:line="249" w:lineRule="auto"/>
        <w:ind w:left="337" w:right="842" w:firstLine="708"/>
      </w:pPr>
      <w:r>
        <w:rPr>
          <w:rFonts w:ascii="Arial" w:eastAsia="Arial" w:hAnsi="Arial" w:cs="Arial"/>
        </w:rPr>
        <w:t>Debe hacerse hincapié en que los motivos de reclamación están tasados. Es decir, la reclama</w:t>
      </w:r>
      <w:r>
        <w:rPr>
          <w:rFonts w:ascii="Arial" w:eastAsia="Arial" w:hAnsi="Arial" w:cs="Arial"/>
        </w:rPr>
        <w:t>ción puede presentarse exclusivamente por alguno de ellos (lo deja claro el artículo considerado al señalar que “</w:t>
      </w:r>
      <w:r>
        <w:rPr>
          <w:rFonts w:ascii="Arial" w:eastAsia="Arial" w:hAnsi="Arial" w:cs="Arial"/>
          <w:i/>
        </w:rPr>
        <w:t>Únicamente podrán entablarse reclamaciones contra el presupuesto (…)</w:t>
      </w:r>
      <w:r>
        <w:rPr>
          <w:rFonts w:ascii="Arial" w:eastAsia="Arial" w:hAnsi="Arial" w:cs="Arial"/>
        </w:rPr>
        <w:t>”). Desarrollando cada una de las citadas reclamaciones:</w:t>
      </w:r>
    </w:p>
    <w:p w:rsidR="00E23B86" w:rsidRDefault="00BA7C13">
      <w:pPr>
        <w:spacing w:after="269" w:line="249" w:lineRule="auto"/>
        <w:ind w:left="355" w:right="554" w:hanging="10"/>
        <w:jc w:val="both"/>
      </w:pPr>
      <w:r>
        <w:rPr>
          <w:rFonts w:ascii="Arial" w:eastAsia="Arial" w:hAnsi="Arial" w:cs="Arial"/>
          <w:b/>
        </w:rPr>
        <w:t>a.- Por no haberse</w:t>
      </w:r>
      <w:r>
        <w:rPr>
          <w:rFonts w:ascii="Arial" w:eastAsia="Arial" w:hAnsi="Arial" w:cs="Arial"/>
          <w:b/>
        </w:rPr>
        <w:t xml:space="preserve"> ajustado su elaboración y aprobación a los trámites establecidos en esta Ley.</w:t>
      </w:r>
    </w:p>
    <w:p w:rsidR="00E23B86" w:rsidRDefault="00BA7C13">
      <w:pPr>
        <w:spacing w:after="244" w:line="248" w:lineRule="auto"/>
        <w:ind w:left="363" w:right="552" w:firstLine="708"/>
        <w:jc w:val="both"/>
      </w:pPr>
      <w:r>
        <w:rPr>
          <w:rFonts w:ascii="Arial" w:eastAsia="Arial" w:hAnsi="Arial" w:cs="Arial"/>
        </w:rPr>
        <w:t>Deberá entenderse en este punto la omisión de alguno de los documentos (que pueden ser los propios Presupuestos o de los estados de previsión de ingresos y gastos de las Entidad</w:t>
      </w:r>
      <w:r>
        <w:rPr>
          <w:rFonts w:ascii="Arial" w:eastAsia="Arial" w:hAnsi="Arial" w:cs="Arial"/>
        </w:rPr>
        <w:t>es Públicas Empresariales y Sociedades Mercantiles –artículo 164 TRLRHL-, los Anexos que deben acompañar al Presupuesto de la Entidad Local – artículo 168 TRLRHL- y los Anexos que deberán incorporarse al Presupuesto General –artículo 167 TRLRHL-.).</w:t>
      </w:r>
    </w:p>
    <w:p w:rsidR="00E23B86" w:rsidRDefault="00BA7C13">
      <w:pPr>
        <w:spacing w:after="243" w:line="248" w:lineRule="auto"/>
        <w:ind w:left="373" w:right="552" w:hanging="10"/>
        <w:jc w:val="both"/>
      </w:pPr>
      <w:r>
        <w:rPr>
          <w:rFonts w:ascii="Arial" w:eastAsia="Arial" w:hAnsi="Arial" w:cs="Arial"/>
        </w:rPr>
        <w:t>La jurisprudencia del Tribunal Supremo ofrece dos consideraciones relevantes:</w:t>
      </w:r>
    </w:p>
    <w:p w:rsidR="00E23B86" w:rsidRDefault="00BA7C13">
      <w:pPr>
        <w:numPr>
          <w:ilvl w:val="0"/>
          <w:numId w:val="29"/>
        </w:numPr>
        <w:spacing w:after="245" w:line="248" w:lineRule="auto"/>
        <w:ind w:right="552" w:hanging="10"/>
        <w:jc w:val="both"/>
      </w:pPr>
      <w:r>
        <w:rPr>
          <w:rFonts w:ascii="Arial" w:eastAsia="Arial" w:hAnsi="Arial" w:cs="Arial"/>
        </w:rPr>
        <w:t>La omisión de documentación e informes debe ponerse en relación con la fase detramitación del Presupuesto. En su fase de aprobación inicial tendrá la consideración de irregularid</w:t>
      </w:r>
      <w:r>
        <w:rPr>
          <w:rFonts w:ascii="Arial" w:eastAsia="Arial" w:hAnsi="Arial" w:cs="Arial"/>
        </w:rPr>
        <w:t>ad no invalidante, siempre que las omisiones observadas sean subsanadas entre el momento de la aprobación inicial y la definitiva, y de este modo los Concejales vean cumplido su derecho a obtener la información exigida por la Ley (STS de 4 de marzo de 1992</w:t>
      </w:r>
      <w:r>
        <w:rPr>
          <w:rFonts w:ascii="Arial" w:eastAsia="Arial" w:hAnsi="Arial" w:cs="Arial"/>
        </w:rPr>
        <w:t xml:space="preserve"> –RJ 1992/2132-) y tendrá la naturaleza de vicio de legalidad que determinará la anulación del Presupuesto cuando la omisión se produzca en la aprobación definitiva (STS de 13 de mayo de 1998 –RJ 1998/3674-).</w:t>
      </w:r>
    </w:p>
    <w:p w:rsidR="00E23B86" w:rsidRDefault="00BA7C13">
      <w:pPr>
        <w:numPr>
          <w:ilvl w:val="0"/>
          <w:numId w:val="29"/>
        </w:numPr>
        <w:spacing w:after="497" w:line="248" w:lineRule="auto"/>
        <w:ind w:right="552" w:hanging="10"/>
        <w:jc w:val="both"/>
      </w:pPr>
      <w:r>
        <w:rPr>
          <w:rFonts w:ascii="Arial" w:eastAsia="Arial" w:hAnsi="Arial" w:cs="Arial"/>
        </w:rPr>
        <w:t>Debe tenerse en cuenta, adicionalmente, la rele</w:t>
      </w:r>
      <w:r>
        <w:rPr>
          <w:rFonts w:ascii="Arial" w:eastAsia="Arial" w:hAnsi="Arial" w:cs="Arial"/>
        </w:rPr>
        <w:t>vancia de la documentación omitida.En este sentido, el Tribunal Supremo, aplicando la doctrina “favor acti”, entiende que no cualquier omisión debe ser sancionada con la anulación del Presupuesto. Es motivo de anulación la omisión del informe del Intervent</w:t>
      </w:r>
      <w:r>
        <w:rPr>
          <w:rFonts w:ascii="Arial" w:eastAsia="Arial" w:hAnsi="Arial" w:cs="Arial"/>
        </w:rPr>
        <w:t>or (STS de 13 de mayo de 1998 –RJ 1998/3874-), pero no la existencia de irregularidades en el Anexo de Inversiones o de Personal (STS de 22 de mayo de 2000 –RJ 2000/4314-).</w:t>
      </w:r>
    </w:p>
    <w:p w:rsidR="00E23B86" w:rsidRDefault="00BA7C13">
      <w:pPr>
        <w:spacing w:after="245" w:line="249" w:lineRule="auto"/>
        <w:ind w:left="355" w:right="554" w:hanging="10"/>
        <w:jc w:val="both"/>
      </w:pPr>
      <w:r>
        <w:rPr>
          <w:rFonts w:ascii="Arial" w:eastAsia="Arial" w:hAnsi="Arial" w:cs="Arial"/>
          <w:b/>
        </w:rPr>
        <w:t>b.- Por omitir el crédito necesario para el cumplimiento de obligaciones atribuible</w:t>
      </w:r>
      <w:r>
        <w:rPr>
          <w:rFonts w:ascii="Arial" w:eastAsia="Arial" w:hAnsi="Arial" w:cs="Arial"/>
          <w:b/>
        </w:rPr>
        <w:t>s a la Entidad.</w:t>
      </w:r>
    </w:p>
    <w:p w:rsidR="00E23B86" w:rsidRDefault="00BA7C13">
      <w:pPr>
        <w:spacing w:after="245" w:line="248" w:lineRule="auto"/>
        <w:ind w:left="363" w:right="552" w:firstLine="708"/>
        <w:jc w:val="both"/>
      </w:pPr>
      <w:r>
        <w:rPr>
          <w:noProof/>
        </w:rPr>
        <mc:AlternateContent>
          <mc:Choice Requires="wpg">
            <w:drawing>
              <wp:anchor distT="0" distB="0" distL="114300" distR="114300" simplePos="0" relativeHeight="2517299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3928" name="Group 48392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033" name="Rectangle 1603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034" name="Rectangle 1603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70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3928" style="width:12.7031pt;height:280.35pt;position:absolute;mso-position-horizontal-relative:page;mso-position-horizontal:absolute;margin-left:681.958pt;mso-position-vertical-relative:page;margin-top:531.65pt;" coordsize="1613,35604">
                <v:rect id="Rectangle 1603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03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391 </w:t>
                        </w:r>
                      </w:p>
                    </w:txbxContent>
                  </v:textbox>
                </v:rect>
                <w10:wrap type="square"/>
              </v:group>
            </w:pict>
          </mc:Fallback>
        </mc:AlternateContent>
      </w:r>
      <w:r>
        <w:rPr>
          <w:rFonts w:ascii="Arial" w:eastAsia="Arial" w:hAnsi="Arial" w:cs="Arial"/>
        </w:rPr>
        <w:t>En caso de ser cierta, obligaría a practicar la correspondiente rectificación, bien a costa de reducir las consignaciones de gastos voluntarios, bien mediante la búsqueda de nuevas fuentes de ingresos.</w:t>
      </w:r>
    </w:p>
    <w:p w:rsidR="00E23B86" w:rsidRDefault="00BA7C13">
      <w:pPr>
        <w:spacing w:after="245" w:line="248" w:lineRule="auto"/>
        <w:ind w:left="363" w:right="552" w:firstLine="708"/>
        <w:jc w:val="both"/>
      </w:pPr>
      <w:r>
        <w:rPr>
          <w:rFonts w:ascii="Arial" w:eastAsia="Arial" w:hAnsi="Arial" w:cs="Arial"/>
        </w:rPr>
        <w:t>Conforme el artículo 173 del TRLRHL, señala que las ob</w:t>
      </w:r>
      <w:r>
        <w:rPr>
          <w:rFonts w:ascii="Arial" w:eastAsia="Arial" w:hAnsi="Arial" w:cs="Arial"/>
        </w:rPr>
        <w:t xml:space="preserve">ligaciones serán exigibles cuando resulten de la ejecución del presupuesto y las derivadas de la ejecución de sentencia judicial firme. La exigibilidad de las obligaciones es diferente del nacimiento de las mismas. Las obligaciones nacen de la Ley, de los </w:t>
      </w:r>
      <w:r>
        <w:rPr>
          <w:rFonts w:ascii="Arial" w:eastAsia="Arial" w:hAnsi="Arial" w:cs="Arial"/>
        </w:rPr>
        <w:t>negocios jurídicos, de los actos o hechos que, según la Ley las generan</w:t>
      </w:r>
    </w:p>
    <w:p w:rsidR="00E23B86" w:rsidRDefault="00BA7C13">
      <w:pPr>
        <w:spacing w:after="499" w:line="248" w:lineRule="auto"/>
        <w:ind w:left="363" w:right="552" w:firstLine="708"/>
        <w:jc w:val="both"/>
      </w:pPr>
      <w:r>
        <w:rPr>
          <w:rFonts w:ascii="Arial" w:eastAsia="Arial" w:hAnsi="Arial" w:cs="Arial"/>
        </w:rPr>
        <w:t>En este supuesto resulta relevante considerar los supuestos en los que la falta de inclusión del crédito necesario se produce como consecuencia de la existencia de una deuda abultada o</w:t>
      </w:r>
      <w:r>
        <w:rPr>
          <w:rFonts w:ascii="Arial" w:eastAsia="Arial" w:hAnsi="Arial" w:cs="Arial"/>
        </w:rPr>
        <w:t xml:space="preserve"> de una situación financiera precaria (Remanente de Tesorería negativo). La jurisprudencia considera en este punto la necesidad de que el Ayuntamiento siga prestando los servicios. En este sentido, y aunque el Tribunal Supremo no desciende al detalle sobre</w:t>
      </w:r>
      <w:r>
        <w:rPr>
          <w:rFonts w:ascii="Arial" w:eastAsia="Arial" w:hAnsi="Arial" w:cs="Arial"/>
        </w:rPr>
        <w:t xml:space="preserve"> esta cuestión, se entiende que los servicios que el Ayuntamiento debe prestar son los obligatorios establecidos en el artículo 26 de la Ley 7/1985 de 2 de abril, reguladora de las bases del Régimen Local (LBRL). </w:t>
      </w:r>
    </w:p>
    <w:p w:rsidR="00E23B86" w:rsidRDefault="00BA7C13">
      <w:pPr>
        <w:spacing w:after="245" w:line="249" w:lineRule="auto"/>
        <w:ind w:left="355" w:right="554" w:hanging="10"/>
        <w:jc w:val="both"/>
      </w:pPr>
      <w:r>
        <w:rPr>
          <w:rFonts w:ascii="Arial" w:eastAsia="Arial" w:hAnsi="Arial" w:cs="Arial"/>
          <w:b/>
        </w:rPr>
        <w:t>c.- Por ser de manifiesta insuficiencia lo</w:t>
      </w:r>
      <w:r>
        <w:rPr>
          <w:rFonts w:ascii="Arial" w:eastAsia="Arial" w:hAnsi="Arial" w:cs="Arial"/>
          <w:b/>
        </w:rPr>
        <w:t>s ingresos con relación a los gastos presupuestados o bien de estos respecto a las necesidades para las que esté previsto.</w:t>
      </w:r>
    </w:p>
    <w:p w:rsidR="00E23B86" w:rsidRDefault="00BA7C13">
      <w:pPr>
        <w:spacing w:after="110" w:line="248" w:lineRule="auto"/>
        <w:ind w:left="373" w:right="552" w:hanging="10"/>
        <w:jc w:val="both"/>
      </w:pPr>
      <w:r>
        <w:rPr>
          <w:rFonts w:ascii="Arial" w:eastAsia="Arial" w:hAnsi="Arial" w:cs="Arial"/>
        </w:rPr>
        <w:t xml:space="preserve">          Dos son los supuestos que aquí se tratan: el de la nivelación presupuestaria y el de la insuficiencia de los créditos para </w:t>
      </w:r>
      <w:r>
        <w:rPr>
          <w:rFonts w:ascii="Arial" w:eastAsia="Arial" w:hAnsi="Arial" w:cs="Arial"/>
        </w:rPr>
        <w:t>atender las necesidades públicas del territorio de la entidad.</w:t>
      </w:r>
    </w:p>
    <w:p w:rsidR="00E23B86" w:rsidRDefault="00BA7C13">
      <w:pPr>
        <w:spacing w:after="245" w:line="248" w:lineRule="auto"/>
        <w:ind w:left="363" w:right="552" w:firstLine="708"/>
        <w:jc w:val="both"/>
      </w:pPr>
      <w:r>
        <w:rPr>
          <w:rFonts w:ascii="Arial" w:eastAsia="Arial" w:hAnsi="Arial" w:cs="Arial"/>
        </w:rPr>
        <w:t>La suficiencia de los ingresos se justifica en el informe económico financiero que se une al presupuesto, en la que se exponen las bases utilizadas para la evaluación de los ingresos y la efect</w:t>
      </w:r>
      <w:r>
        <w:rPr>
          <w:rFonts w:ascii="Arial" w:eastAsia="Arial" w:hAnsi="Arial" w:cs="Arial"/>
        </w:rPr>
        <w:t>iva nivelación presupuestaria.</w:t>
      </w:r>
    </w:p>
    <w:p w:rsidR="00E23B86" w:rsidRDefault="00BA7C13">
      <w:pPr>
        <w:spacing w:after="245" w:line="248" w:lineRule="auto"/>
        <w:ind w:left="363" w:right="552" w:firstLine="708"/>
        <w:jc w:val="both"/>
      </w:pPr>
      <w:r>
        <w:rPr>
          <w:rFonts w:ascii="Arial" w:eastAsia="Arial" w:hAnsi="Arial" w:cs="Arial"/>
        </w:rPr>
        <w:t>Dentro de este apartado deben considerarse los supuestos en los que, pese a que la nivelación presupuestaria nominalmente existe (el Presupuesto se aprueba sin déficit inicial, de acuerdo con lo que determina el TRLRHL) exist</w:t>
      </w:r>
      <w:r>
        <w:rPr>
          <w:rFonts w:ascii="Arial" w:eastAsia="Arial" w:hAnsi="Arial" w:cs="Arial"/>
        </w:rPr>
        <w:t xml:space="preserve">e un inadecuado cálculo de los ingresos o una insuficiencia dotación de los créditos para gastos necesarios. </w:t>
      </w:r>
    </w:p>
    <w:p w:rsidR="00E23B86" w:rsidRDefault="00BA7C13">
      <w:pPr>
        <w:spacing w:after="521" w:line="248" w:lineRule="auto"/>
        <w:ind w:left="363" w:right="552" w:firstLine="708"/>
        <w:jc w:val="both"/>
      </w:pPr>
      <w:r>
        <w:rPr>
          <w:rFonts w:ascii="Arial" w:eastAsia="Arial" w:hAnsi="Arial" w:cs="Arial"/>
        </w:rPr>
        <w:t>En general, los Tribunales Superiores de Justicia se han manifestado reacios a entrar en estas cuestiones. Es paradigmática, en este sentido, la S</w:t>
      </w:r>
      <w:r>
        <w:rPr>
          <w:rFonts w:ascii="Arial" w:eastAsia="Arial" w:hAnsi="Arial" w:cs="Arial"/>
        </w:rPr>
        <w:t>entencia del Tribunal Superior de Justicia de la Comunidad Valenciana de 30 de junio de 2010 (JUR 2010/397851) que elude considerar en profundidad la alegación formulada de que los ingresos por la actividad urbanística del Municipio habían sido sobrevalora</w:t>
      </w:r>
      <w:r>
        <w:rPr>
          <w:rFonts w:ascii="Arial" w:eastAsia="Arial" w:hAnsi="Arial" w:cs="Arial"/>
        </w:rPr>
        <w:t>dos, señalando que “</w:t>
      </w:r>
      <w:r>
        <w:rPr>
          <w:rFonts w:ascii="Arial" w:eastAsia="Arial" w:hAnsi="Arial" w:cs="Arial"/>
          <w:i/>
        </w:rPr>
        <w:t>por ser de manifiesta insuficiencia los ingresos con relación a los gastos presupuestados o bien de estos respecto a las necesidades para las que esté previsto) los desastrosos resultados de los ingresos previstos no constituyeron en ni</w:t>
      </w:r>
      <w:r>
        <w:rPr>
          <w:rFonts w:ascii="Arial" w:eastAsia="Arial" w:hAnsi="Arial" w:cs="Arial"/>
          <w:i/>
        </w:rPr>
        <w:t>ngún momento "déficit inicial" en la ya referida atmosfera social de imparable progreso y de confianza en un efecto multiplicador que se venía produciendo en los últimos años</w:t>
      </w:r>
      <w:r>
        <w:rPr>
          <w:rFonts w:ascii="Arial" w:eastAsia="Arial" w:hAnsi="Arial" w:cs="Arial"/>
        </w:rPr>
        <w:t>”.</w:t>
      </w:r>
    </w:p>
    <w:p w:rsidR="00E23B86" w:rsidRDefault="00BA7C13">
      <w:pPr>
        <w:spacing w:after="245" w:line="248" w:lineRule="auto"/>
        <w:ind w:left="363" w:right="552" w:firstLine="708"/>
        <w:jc w:val="both"/>
      </w:pPr>
      <w:r>
        <w:rPr>
          <w:noProof/>
        </w:rPr>
        <mc:AlternateContent>
          <mc:Choice Requires="wpg">
            <w:drawing>
              <wp:anchor distT="0" distB="0" distL="114300" distR="114300" simplePos="0" relativeHeight="2517309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6810" name="Group 48681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096" name="Rectangle 1609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097" name="Rectangle 16097"/>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71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6810" style="width:12.7031pt;height:280.35pt;position:absolute;mso-position-horizontal-relative:page;mso-position-horizontal:absolute;margin-left:681.958pt;mso-position-vertical-relative:page;margin-top:531.65pt;" coordsize="1613,35604">
                <v:rect id="Rectangle 1609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097"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391 </w:t>
                        </w:r>
                      </w:p>
                    </w:txbxContent>
                  </v:textbox>
                </v:rect>
                <w10:wrap type="square"/>
              </v:group>
            </w:pict>
          </mc:Fallback>
        </mc:AlternateContent>
      </w:r>
      <w:r>
        <w:rPr>
          <w:rFonts w:ascii="Arial" w:eastAsia="Arial" w:hAnsi="Arial" w:cs="Arial"/>
        </w:rPr>
        <w:t>En cuanto a la suficiencia de los gastos para atender las nece</w:t>
      </w:r>
      <w:r>
        <w:rPr>
          <w:rFonts w:ascii="Arial" w:eastAsia="Arial" w:hAnsi="Arial" w:cs="Arial"/>
        </w:rPr>
        <w:t>sidades previstas, también se acredita en el informe económico financiero mencionado, que ha de justificar la suficiencia de los créditos para el cumplimiento de las obligaciones exigibles y los gastos de funcionamiento de los servicios.</w:t>
      </w:r>
    </w:p>
    <w:p w:rsidR="00E23B86" w:rsidRDefault="00BA7C13">
      <w:pPr>
        <w:spacing w:after="245" w:line="248" w:lineRule="auto"/>
        <w:ind w:left="363" w:right="552" w:firstLine="708"/>
        <w:jc w:val="both"/>
      </w:pPr>
      <w:r>
        <w:rPr>
          <w:rFonts w:ascii="Arial" w:eastAsia="Arial" w:hAnsi="Arial" w:cs="Arial"/>
        </w:rPr>
        <w:t>En este aspecto, s</w:t>
      </w:r>
      <w:r>
        <w:rPr>
          <w:rFonts w:ascii="Arial" w:eastAsia="Arial" w:hAnsi="Arial" w:cs="Arial"/>
        </w:rPr>
        <w:t>e debe prestar especial atención a los compromisos de gastos plurianuales, de la plantilla de personal, de la prestación de los servicios mínimos previstos en el artículo 26 de la LRBRL y de otros gastos fijos y corrientes necesarios para el funcionamiento</w:t>
      </w:r>
      <w:r>
        <w:rPr>
          <w:rFonts w:ascii="Arial" w:eastAsia="Arial" w:hAnsi="Arial" w:cs="Arial"/>
        </w:rPr>
        <w:t xml:space="preserve"> normal de la entidad local, de forma que el crédito presupuestado sea suficiente para atender tales compromisos.</w:t>
      </w:r>
    </w:p>
    <w:p w:rsidR="00E23B86" w:rsidRDefault="00BA7C13">
      <w:pPr>
        <w:spacing w:after="245" w:line="248" w:lineRule="auto"/>
        <w:ind w:left="363" w:right="552" w:firstLine="708"/>
        <w:jc w:val="both"/>
      </w:pPr>
      <w:r>
        <w:rPr>
          <w:rFonts w:ascii="Arial" w:eastAsia="Arial" w:hAnsi="Arial" w:cs="Arial"/>
        </w:rPr>
        <w:t>Conforme la STSJ de Baleares, de 1 de diciembre de 2000, para que prospere la reclamación, tanto la insuficiencia de los ingresos como la de l</w:t>
      </w:r>
      <w:r>
        <w:rPr>
          <w:rFonts w:ascii="Arial" w:eastAsia="Arial" w:hAnsi="Arial" w:cs="Arial"/>
        </w:rPr>
        <w:t>os créditos, ha de ser “manifiesta”, debe acreditarse mediante informe pericial u otro medio de pruebas suficiente, no bastando que sea posible.</w:t>
      </w:r>
    </w:p>
    <w:p w:rsidR="00E23B86" w:rsidRDefault="00BA7C13">
      <w:pPr>
        <w:spacing w:after="772" w:line="249" w:lineRule="auto"/>
        <w:ind w:left="347" w:right="555" w:hanging="10"/>
      </w:pPr>
      <w:r>
        <w:rPr>
          <w:rFonts w:ascii="Arial" w:eastAsia="Arial" w:hAnsi="Arial" w:cs="Arial"/>
          <w:b/>
        </w:rPr>
        <w:t>Tercero</w:t>
      </w:r>
      <w:r>
        <w:rPr>
          <w:rFonts w:ascii="Arial" w:eastAsia="Arial" w:hAnsi="Arial" w:cs="Arial"/>
        </w:rPr>
        <w:t>: Que contra la aprobación definitiva del presupuesto podrá interponerse directamente recurso contencios</w:t>
      </w:r>
      <w:r>
        <w:rPr>
          <w:rFonts w:ascii="Arial" w:eastAsia="Arial" w:hAnsi="Arial" w:cs="Arial"/>
        </w:rPr>
        <w:t>o-administrativo, en la forma y plazos que establecen las normas de dicha jurisdicción. La interposición de recursos no suspenderá por sí sola la aplicación del presupuesto definitivamente aprobado por la corporación.</w:t>
      </w:r>
    </w:p>
    <w:p w:rsidR="00E23B86" w:rsidRDefault="00BA7C13">
      <w:pPr>
        <w:spacing w:after="110" w:line="248" w:lineRule="auto"/>
        <w:ind w:left="373" w:right="552" w:hanging="10"/>
        <w:jc w:val="both"/>
      </w:pPr>
      <w:r>
        <w:rPr>
          <w:rFonts w:ascii="Arial" w:eastAsia="Arial" w:hAnsi="Arial" w:cs="Arial"/>
          <w:b/>
        </w:rPr>
        <w:t>Cuarto:</w:t>
      </w:r>
      <w:r>
        <w:rPr>
          <w:rFonts w:ascii="Arial" w:eastAsia="Arial" w:hAnsi="Arial" w:cs="Arial"/>
        </w:rPr>
        <w:t xml:space="preserve"> Que las reclamaciones y alegac</w:t>
      </w:r>
      <w:r>
        <w:rPr>
          <w:rFonts w:ascii="Arial" w:eastAsia="Arial" w:hAnsi="Arial" w:cs="Arial"/>
        </w:rPr>
        <w:t>iones presentadas por parte del partido político Coalición Canaria, encuadrado dentro del Grupo Mixto, el día 27 de enero de 2020, que tiene la consideración de interesado, han sido presentadas en plazo y las fundamentaciones se basan en los siguientes sup</w:t>
      </w:r>
      <w:r>
        <w:rPr>
          <w:rFonts w:ascii="Arial" w:eastAsia="Arial" w:hAnsi="Arial" w:cs="Arial"/>
        </w:rPr>
        <w:t>uestos:</w:t>
      </w:r>
    </w:p>
    <w:p w:rsidR="00E23B86" w:rsidRDefault="00BA7C13">
      <w:pPr>
        <w:spacing w:after="243" w:line="249" w:lineRule="auto"/>
        <w:ind w:left="337" w:right="566" w:firstLine="708"/>
        <w:jc w:val="both"/>
      </w:pPr>
      <w:r>
        <w:rPr>
          <w:rFonts w:ascii="Arial" w:eastAsia="Arial" w:hAnsi="Arial" w:cs="Arial"/>
          <w:b/>
          <w:i/>
        </w:rPr>
        <w:t>1.-</w:t>
      </w:r>
      <w:r>
        <w:rPr>
          <w:rFonts w:ascii="Arial" w:eastAsia="Arial" w:hAnsi="Arial" w:cs="Arial"/>
        </w:rPr>
        <w:t xml:space="preserve"> </w:t>
      </w:r>
      <w:r>
        <w:rPr>
          <w:rFonts w:ascii="Arial" w:eastAsia="Arial" w:hAnsi="Arial" w:cs="Arial"/>
          <w:b/>
          <w:i/>
        </w:rPr>
        <w:t>Que se incumple con este Presupuesto los plazos establecidos en artículo 168 y 169 del TRLRHL, para adecuada aprobación, publicación y entrada en vigor de los presupuestos.</w:t>
      </w:r>
    </w:p>
    <w:p w:rsidR="00E23B86" w:rsidRDefault="00BA7C13">
      <w:pPr>
        <w:spacing w:after="245" w:line="248" w:lineRule="auto"/>
        <w:ind w:left="363" w:right="552" w:firstLine="708"/>
        <w:jc w:val="both"/>
      </w:pPr>
      <w:r>
        <w:rPr>
          <w:rFonts w:ascii="Arial" w:eastAsia="Arial" w:hAnsi="Arial" w:cs="Arial"/>
        </w:rPr>
        <w:t>La norma establece unos plazos para la elaboración y aprobación del Pre</w:t>
      </w:r>
      <w:r>
        <w:rPr>
          <w:rFonts w:ascii="Arial" w:eastAsia="Arial" w:hAnsi="Arial" w:cs="Arial"/>
        </w:rPr>
        <w:t>supuesto General, para su entrada en vigor al comienzo del ejercicio. SI no se cumplen, las normas vigentes, arbitran una serie de medidas que permitan el funcionamiento de la entidad y la prestación de servicios públicos básicos. Ello explica que el apart</w:t>
      </w:r>
      <w:r>
        <w:rPr>
          <w:rFonts w:ascii="Arial" w:eastAsia="Arial" w:hAnsi="Arial" w:cs="Arial"/>
        </w:rPr>
        <w:t>ado 6 del artículo 169 del TRLRHL:</w:t>
      </w:r>
    </w:p>
    <w:p w:rsidR="00E23B86" w:rsidRDefault="00BA7C13">
      <w:pPr>
        <w:spacing w:after="499" w:line="248" w:lineRule="auto"/>
        <w:ind w:left="363" w:right="552" w:firstLine="708"/>
        <w:jc w:val="both"/>
      </w:pPr>
      <w:r>
        <w:rPr>
          <w:rFonts w:ascii="Arial" w:eastAsia="Arial" w:hAnsi="Arial" w:cs="Arial"/>
        </w:rPr>
        <w:t>“Si al iniciarse el ejercicio económico no hubiese entrado en vigor el presupuesto correspondiente, se considerará automáticamente prorrogado el del anterior, con sus créditos iniciales, sin perjuicio de las modificacione</w:t>
      </w:r>
      <w:r>
        <w:rPr>
          <w:rFonts w:ascii="Arial" w:eastAsia="Arial" w:hAnsi="Arial" w:cs="Arial"/>
        </w:rPr>
        <w:t>s que se realicen conforme a lo dispuesto en los artículos 177, 178 y 179 de esta ley y hasta la entrada en vigor del nuevo presupuesto. La prórroga no afectará a los créditos para servicios o programas que deban concluir en el ejercicio anterior o que est</w:t>
      </w:r>
      <w:r>
        <w:rPr>
          <w:rFonts w:ascii="Arial" w:eastAsia="Arial" w:hAnsi="Arial" w:cs="Arial"/>
        </w:rPr>
        <w:t>én financiados con crédito u otros ingresos específicos o afectados”.</w:t>
      </w:r>
    </w:p>
    <w:p w:rsidR="00E23B86" w:rsidRDefault="00BA7C13">
      <w:pPr>
        <w:spacing w:after="749" w:line="248" w:lineRule="auto"/>
        <w:ind w:left="1070" w:right="552" w:hanging="10"/>
        <w:jc w:val="both"/>
      </w:pPr>
      <w:r>
        <w:rPr>
          <w:rFonts w:ascii="Arial" w:eastAsia="Arial" w:hAnsi="Arial" w:cs="Arial"/>
        </w:rPr>
        <w:t>Se informa negativamente la presente reclamación.</w:t>
      </w:r>
    </w:p>
    <w:p w:rsidR="00E23B86" w:rsidRDefault="00BA7C13">
      <w:pPr>
        <w:spacing w:after="243" w:line="249" w:lineRule="auto"/>
        <w:ind w:left="347" w:right="566" w:hanging="10"/>
        <w:jc w:val="both"/>
      </w:pPr>
      <w:r>
        <w:rPr>
          <w:noProof/>
        </w:rPr>
        <mc:AlternateContent>
          <mc:Choice Requires="wpg">
            <w:drawing>
              <wp:anchor distT="0" distB="0" distL="114300" distR="114300" simplePos="0" relativeHeight="2517319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6777" name="Group 48677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150" name="Rectangle 1615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151" name="Rectangle 16151"/>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72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6777" style="width:12.7031pt;height:280.35pt;position:absolute;mso-position-horizontal-relative:page;mso-position-horizontal:absolute;margin-left:681.958pt;mso-position-vertical-relative:page;margin-top:531.65pt;" coordsize="1613,35604">
                <v:rect id="Rectangle 1615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151"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391 </w:t>
                        </w:r>
                      </w:p>
                    </w:txbxContent>
                  </v:textbox>
                </v:rect>
                <w10:wrap type="square"/>
              </v:group>
            </w:pict>
          </mc:Fallback>
        </mc:AlternateContent>
      </w:r>
      <w:r>
        <w:rPr>
          <w:rFonts w:ascii="Arial" w:eastAsia="Arial" w:hAnsi="Arial" w:cs="Arial"/>
          <w:b/>
          <w:i/>
        </w:rPr>
        <w:t>2.- Considerable aumento de los créditos del gasto a órganos de gobierno y personal eventual.</w:t>
      </w:r>
    </w:p>
    <w:p w:rsidR="00E23B86" w:rsidRDefault="00BA7C13">
      <w:pPr>
        <w:spacing w:after="364" w:line="249" w:lineRule="auto"/>
        <w:ind w:left="337" w:right="555" w:firstLine="708"/>
      </w:pPr>
      <w:r>
        <w:rPr>
          <w:rFonts w:ascii="Arial" w:eastAsia="Arial" w:hAnsi="Arial" w:cs="Arial"/>
        </w:rPr>
        <w:t>Las dotaciones de créditos a personal político y eventual, dan cober</w:t>
      </w:r>
      <w:r>
        <w:rPr>
          <w:rFonts w:ascii="Arial" w:eastAsia="Arial" w:hAnsi="Arial" w:cs="Arial"/>
        </w:rPr>
        <w:t xml:space="preserve">tura al acuerdo plenario de constitución de la presente Corporación municipal, en cuanto al número y retribuciones atribuidos a dicho personal político y eventual.  </w:t>
      </w:r>
    </w:p>
    <w:p w:rsidR="00E23B86" w:rsidRDefault="00BA7C13">
      <w:pPr>
        <w:spacing w:after="749" w:line="248" w:lineRule="auto"/>
        <w:ind w:left="1070" w:right="552" w:hanging="10"/>
        <w:jc w:val="both"/>
      </w:pPr>
      <w:r>
        <w:rPr>
          <w:rFonts w:ascii="Arial" w:eastAsia="Arial" w:hAnsi="Arial" w:cs="Arial"/>
        </w:rPr>
        <w:t>Se informa negativamente la presente reclamación.</w:t>
      </w:r>
    </w:p>
    <w:p w:rsidR="00E23B86" w:rsidRDefault="00BA7C13">
      <w:pPr>
        <w:spacing w:after="243" w:line="249" w:lineRule="auto"/>
        <w:ind w:left="337" w:right="566" w:firstLine="708"/>
        <w:jc w:val="both"/>
      </w:pPr>
      <w:r>
        <w:rPr>
          <w:rFonts w:ascii="Arial" w:eastAsia="Arial" w:hAnsi="Arial" w:cs="Arial"/>
          <w:b/>
          <w:i/>
        </w:rPr>
        <w:t>3.- Considerable decremento de los Créditos del Gasto en las partidas destinadas a Inversiones reales.</w:t>
      </w:r>
    </w:p>
    <w:p w:rsidR="00E23B86" w:rsidRDefault="00BA7C13">
      <w:pPr>
        <w:spacing w:after="0" w:line="248" w:lineRule="auto"/>
        <w:ind w:left="363" w:right="552" w:firstLine="708"/>
        <w:jc w:val="both"/>
      </w:pPr>
      <w:r>
        <w:rPr>
          <w:rFonts w:ascii="Arial" w:eastAsia="Arial" w:hAnsi="Arial" w:cs="Arial"/>
        </w:rPr>
        <w:t>No hay limitaciones legales en cuanto a las dotaciones iniciales de créditos con destino a inversiones, salvo que exista obligación legal.</w:t>
      </w:r>
    </w:p>
    <w:p w:rsidR="00E23B86" w:rsidRDefault="00BA7C13">
      <w:pPr>
        <w:spacing w:after="243" w:line="248" w:lineRule="auto"/>
        <w:ind w:left="1070" w:right="552" w:hanging="10"/>
        <w:jc w:val="both"/>
      </w:pPr>
      <w:r>
        <w:rPr>
          <w:rFonts w:ascii="Arial" w:eastAsia="Arial" w:hAnsi="Arial" w:cs="Arial"/>
        </w:rPr>
        <w:t>Se informa neg</w:t>
      </w:r>
      <w:r>
        <w:rPr>
          <w:rFonts w:ascii="Arial" w:eastAsia="Arial" w:hAnsi="Arial" w:cs="Arial"/>
        </w:rPr>
        <w:t>ativamente la presente reclamación.</w:t>
      </w:r>
    </w:p>
    <w:p w:rsidR="00E23B86" w:rsidRDefault="00BA7C13">
      <w:pPr>
        <w:spacing w:after="9" w:line="249" w:lineRule="auto"/>
        <w:ind w:left="355" w:right="554" w:hanging="10"/>
        <w:jc w:val="both"/>
      </w:pPr>
      <w:r>
        <w:rPr>
          <w:rFonts w:ascii="Arial" w:eastAsia="Arial" w:hAnsi="Arial" w:cs="Arial"/>
          <w:b/>
        </w:rPr>
        <w:t>4.- Considerable bajada de Transferencias Corrientes a Servicios Sociales.</w:t>
      </w:r>
    </w:p>
    <w:p w:rsidR="00E23B86" w:rsidRDefault="00BA7C13">
      <w:pPr>
        <w:spacing w:after="0" w:line="248" w:lineRule="auto"/>
        <w:ind w:left="363" w:right="552" w:firstLine="708"/>
        <w:jc w:val="both"/>
      </w:pPr>
      <w:r>
        <w:rPr>
          <w:rFonts w:ascii="Arial" w:eastAsia="Arial" w:hAnsi="Arial" w:cs="Arial"/>
        </w:rPr>
        <w:t>No hay limitaciones legales en cuanto a las dotaciones iniciales de créditos con destino a subvenciones, salvo que exista obligación legal.</w:t>
      </w:r>
    </w:p>
    <w:p w:rsidR="00E23B86" w:rsidRDefault="00BA7C13">
      <w:pPr>
        <w:spacing w:after="497" w:line="248" w:lineRule="auto"/>
        <w:ind w:left="1070"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5.- Baja Financiación en Gastos corrientes en bienes y servicios para Mujer, Menor y Familia.</w:t>
      </w:r>
    </w:p>
    <w:p w:rsidR="00E23B86" w:rsidRDefault="00BA7C13">
      <w:pPr>
        <w:spacing w:after="110" w:line="248" w:lineRule="auto"/>
        <w:ind w:left="363" w:right="552" w:firstLine="708"/>
        <w:jc w:val="both"/>
      </w:pPr>
      <w:r>
        <w:rPr>
          <w:rFonts w:ascii="Arial" w:eastAsia="Arial" w:hAnsi="Arial" w:cs="Arial"/>
        </w:rPr>
        <w:t xml:space="preserve">No hay limitaciones legales en cuanto a las dotaciones iniciales de créditos con destino a gastos corrientes de </w:t>
      </w:r>
      <w:r>
        <w:rPr>
          <w:rFonts w:ascii="Arial" w:eastAsia="Arial" w:hAnsi="Arial" w:cs="Arial"/>
        </w:rPr>
        <w:t>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6.- Eliminación de Gastos corrientes y la Subvención al Centro de la Tercera Edad.</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w:t>
      </w:r>
      <w:r>
        <w:rPr>
          <w:rFonts w:ascii="Arial" w:eastAsia="Arial" w:hAnsi="Arial" w:cs="Arial"/>
        </w:rPr>
        <w:t>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7.- Desaparición de Inversiones en materia de Saneamiento y pluviales.</w:t>
      </w:r>
    </w:p>
    <w:p w:rsidR="00E23B86" w:rsidRDefault="00BA7C13">
      <w:pPr>
        <w:spacing w:after="110" w:line="248" w:lineRule="auto"/>
        <w:ind w:left="363" w:right="552" w:firstLine="708"/>
        <w:jc w:val="both"/>
      </w:pPr>
      <w:r>
        <w:rPr>
          <w:rFonts w:ascii="Arial" w:eastAsia="Arial" w:hAnsi="Arial" w:cs="Arial"/>
        </w:rPr>
        <w:t>No hay limitaciones legales en cuanto a las dotacione</w:t>
      </w:r>
      <w:r>
        <w:rPr>
          <w:rFonts w:ascii="Arial" w:eastAsia="Arial" w:hAnsi="Arial" w:cs="Arial"/>
        </w:rPr>
        <w:t>s iniciales de créditos con destino a inversiones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8.- Disminución de los créditos de los subprogramas de limpieza viario y recogida de residuos.</w:t>
      </w:r>
    </w:p>
    <w:p w:rsidR="00E23B86" w:rsidRDefault="00BA7C13">
      <w:pPr>
        <w:spacing w:after="110" w:line="249" w:lineRule="auto"/>
        <w:ind w:left="337" w:right="555" w:firstLine="708"/>
      </w:pPr>
      <w:r>
        <w:rPr>
          <w:rFonts w:ascii="Arial" w:eastAsia="Arial" w:hAnsi="Arial" w:cs="Arial"/>
        </w:rPr>
        <w:t xml:space="preserve">Se han previsto las dotaciones de créditos que dan cobertura al presente servicio de recogida y limpieza viaria, conforme el contrato vigente, más la previsión de revisión de precios del contrato. </w:t>
      </w:r>
    </w:p>
    <w:p w:rsidR="00E23B86" w:rsidRDefault="00BA7C13">
      <w:pPr>
        <w:spacing w:after="110" w:line="248" w:lineRule="auto"/>
        <w:ind w:left="1070"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9.- Firm</w:t>
      </w:r>
      <w:r>
        <w:rPr>
          <w:rFonts w:ascii="Arial" w:eastAsia="Arial" w:hAnsi="Arial" w:cs="Arial"/>
          <w:b/>
        </w:rPr>
        <w:t>a de Convenio de Colaboración con el Cabildo Insular para la defensa jurídica del Ayuntamiento, a efectos de reducir los gastos jurídicos.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w:t>
      </w:r>
      <w:r>
        <w:rPr>
          <w:rFonts w:ascii="Arial" w:eastAsia="Arial" w:hAnsi="Arial" w:cs="Arial"/>
        </w:rPr>
        <w:t xml:space="preserve"> salvo que exista obligación legal.</w:t>
      </w:r>
    </w:p>
    <w:p w:rsidR="00E23B86" w:rsidRDefault="00BA7C13">
      <w:pPr>
        <w:spacing w:after="110" w:line="248" w:lineRule="auto"/>
        <w:ind w:left="373" w:right="552" w:hanging="10"/>
        <w:jc w:val="both"/>
      </w:pPr>
      <w:r>
        <w:rPr>
          <w:noProof/>
        </w:rPr>
        <mc:AlternateContent>
          <mc:Choice Requires="wpg">
            <w:drawing>
              <wp:anchor distT="0" distB="0" distL="114300" distR="114300" simplePos="0" relativeHeight="2517329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7096" name="Group 48709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209" name="Rectangle 1620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210" name="Rectangle 16210"/>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73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7096" style="width:12.7031pt;height:280.35pt;position:absolute;mso-position-horizontal-relative:page;mso-position-horizontal:absolute;margin-left:681.958pt;mso-position-vertical-relative:page;margin-top:531.65pt;" coordsize="1613,35604">
                <v:rect id="Rectangle 1620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210"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391 </w:t>
                        </w:r>
                      </w:p>
                    </w:txbxContent>
                  </v:textbox>
                </v:rect>
                <w10:wrap type="square"/>
              </v:group>
            </w:pict>
          </mc:Fallback>
        </mc:AlternateContent>
      </w:r>
      <w:r>
        <w:rPr>
          <w:rFonts w:ascii="Arial" w:eastAsia="Arial" w:hAnsi="Arial" w:cs="Arial"/>
        </w:rPr>
        <w:t>Se informa negativament</w:t>
      </w:r>
      <w:r>
        <w:rPr>
          <w:rFonts w:ascii="Arial" w:eastAsia="Arial" w:hAnsi="Arial" w:cs="Arial"/>
        </w:rPr>
        <w:t>e la presente reclamación.</w:t>
      </w:r>
    </w:p>
    <w:p w:rsidR="00E23B86" w:rsidRDefault="00BA7C13">
      <w:pPr>
        <w:spacing w:after="111" w:line="249" w:lineRule="auto"/>
        <w:ind w:left="355" w:right="554" w:hanging="10"/>
        <w:jc w:val="both"/>
      </w:pPr>
      <w:r>
        <w:rPr>
          <w:rFonts w:ascii="Arial" w:eastAsia="Arial" w:hAnsi="Arial" w:cs="Arial"/>
          <w:b/>
        </w:rPr>
        <w:t>10.- Descenso de dotación de créditos al Subprograma de Protección de salubridad pública.</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w:t>
      </w:r>
      <w:r>
        <w:rPr>
          <w:rFonts w:ascii="Arial" w:eastAsia="Arial" w:hAnsi="Arial" w:cs="Arial"/>
        </w:rPr>
        <w:t>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11.- Baja Dotación de créditos en Subprograma de Funcionamiento de Centros de Prescolar y Primaria.</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w:t>
      </w:r>
      <w:r>
        <w:rPr>
          <w:rFonts w:ascii="Arial" w:eastAsia="Arial" w:hAnsi="Arial" w:cs="Arial"/>
        </w:rPr>
        <w:t>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12.- Elevada Dotación de créditos en Subprograma de Cultura.</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13.- Bajada en la Dotación de créditos en Banda de la</w:t>
      </w:r>
      <w:r>
        <w:rPr>
          <w:rFonts w:ascii="Arial" w:eastAsia="Arial" w:hAnsi="Arial" w:cs="Arial"/>
          <w:b/>
        </w:rPr>
        <w:t>s Candelas.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14.- Fuerte Dotación de créditos en Subpr</w:t>
      </w:r>
      <w:r>
        <w:rPr>
          <w:rFonts w:ascii="Arial" w:eastAsia="Arial" w:hAnsi="Arial" w:cs="Arial"/>
          <w:b/>
        </w:rPr>
        <w:t>ograma de Deportes.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481"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15.- Escasa Dotación de créditos en Subprograma de Desarrollo Rural.</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w:t>
      </w:r>
      <w:r>
        <w:rPr>
          <w:rFonts w:ascii="Arial" w:eastAsia="Arial" w:hAnsi="Arial" w:cs="Arial"/>
        </w:rPr>
        <w:t>te reclamación.</w:t>
      </w:r>
    </w:p>
    <w:p w:rsidR="00E23B86" w:rsidRDefault="00BA7C13">
      <w:pPr>
        <w:spacing w:after="111" w:line="249" w:lineRule="auto"/>
        <w:ind w:left="355" w:right="554" w:hanging="10"/>
        <w:jc w:val="both"/>
      </w:pPr>
      <w:r>
        <w:rPr>
          <w:rFonts w:ascii="Arial" w:eastAsia="Arial" w:hAnsi="Arial" w:cs="Arial"/>
          <w:b/>
        </w:rPr>
        <w:t>16.- Insuficiente Dotación de créditos en Subprograma de Comercio.</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w:t>
      </w:r>
      <w:r>
        <w:rPr>
          <w:rFonts w:ascii="Arial" w:eastAsia="Arial" w:hAnsi="Arial" w:cs="Arial"/>
        </w:rPr>
        <w:t>ente la presente reclamación.</w:t>
      </w:r>
    </w:p>
    <w:p w:rsidR="00E23B86" w:rsidRDefault="00BA7C13">
      <w:pPr>
        <w:spacing w:after="111" w:line="249" w:lineRule="auto"/>
        <w:ind w:left="355" w:right="554" w:hanging="10"/>
        <w:jc w:val="both"/>
      </w:pPr>
      <w:r>
        <w:rPr>
          <w:rFonts w:ascii="Arial" w:eastAsia="Arial" w:hAnsi="Arial" w:cs="Arial"/>
          <w:b/>
        </w:rPr>
        <w:t>17.- Insuficiente Dotación de créditos en Subprograma de Turismo.</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w:t>
      </w:r>
      <w:r>
        <w:rPr>
          <w:rFonts w:ascii="Arial" w:eastAsia="Arial" w:hAnsi="Arial" w:cs="Arial"/>
        </w:rPr>
        <w:t>rma negativamente la presente reclamación.</w:t>
      </w:r>
    </w:p>
    <w:p w:rsidR="00E23B86" w:rsidRDefault="00BA7C13">
      <w:pPr>
        <w:spacing w:after="111" w:line="249" w:lineRule="auto"/>
        <w:ind w:left="355" w:right="554" w:hanging="10"/>
        <w:jc w:val="both"/>
      </w:pPr>
      <w:r>
        <w:rPr>
          <w:rFonts w:ascii="Arial" w:eastAsia="Arial" w:hAnsi="Arial" w:cs="Arial"/>
          <w:b/>
        </w:rPr>
        <w:t>18.- Insuficiente Dotación de créditos en Subprograma de Servicios Complementarios de Educación.</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340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7187" name="Group 48718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277" name="Rectangle 1627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278" name="Rectangle 1627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74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7187" style="width:12.7031pt;height:280.35pt;position:absolute;mso-position-horizontal-relative:page;mso-position-horizontal:absolute;margin-left:681.958pt;mso-position-vertical-relative:page;margin-top:531.65pt;" coordsize="1613,35604">
                <v:rect id="Rectangle 1627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27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391 </w:t>
                        </w:r>
                      </w:p>
                    </w:txbxContent>
                  </v:textbox>
                </v:rect>
                <w10:wrap type="square"/>
              </v:group>
            </w:pict>
          </mc:Fallback>
        </mc:AlternateContent>
      </w: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w:t>
      </w:r>
      <w:r>
        <w:rPr>
          <w:rFonts w:ascii="Arial" w:eastAsia="Arial" w:hAnsi="Arial" w:cs="Arial"/>
        </w:rPr>
        <w:t>a negativamente la presente reclamación.</w:t>
      </w:r>
    </w:p>
    <w:p w:rsidR="00E23B86" w:rsidRDefault="00BA7C13">
      <w:pPr>
        <w:spacing w:after="111" w:line="249" w:lineRule="auto"/>
        <w:ind w:left="355" w:right="554" w:hanging="10"/>
        <w:jc w:val="both"/>
      </w:pPr>
      <w:r>
        <w:rPr>
          <w:rFonts w:ascii="Arial" w:eastAsia="Arial" w:hAnsi="Arial" w:cs="Arial"/>
          <w:b/>
        </w:rPr>
        <w:t>19.- Insuficiente Dotación de créditos en Subprograma de Participación Ciudadana.</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w:t>
      </w:r>
      <w:r>
        <w:rPr>
          <w:rFonts w:ascii="Arial" w:eastAsia="Arial" w:hAnsi="Arial" w:cs="Arial"/>
        </w:rPr>
        <w: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20.- Incumplimiento de Moción plenaria sobre Accesibilidad Universal.</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w:t>
      </w:r>
      <w:r>
        <w:rPr>
          <w:rFonts w:ascii="Arial" w:eastAsia="Arial" w:hAnsi="Arial" w:cs="Arial"/>
        </w:rPr>
        <w:t xml:space="preserve">, salvo que exista obligación legal. </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21.- Eliminación Dotación de créditos en Subprograma de OMIC.</w:t>
      </w:r>
    </w:p>
    <w:p w:rsidR="00E23B86" w:rsidRDefault="00BA7C13">
      <w:pPr>
        <w:spacing w:after="110" w:line="248" w:lineRule="auto"/>
        <w:ind w:left="363" w:right="552" w:firstLine="708"/>
        <w:jc w:val="both"/>
      </w:pPr>
      <w:r>
        <w:rPr>
          <w:rFonts w:ascii="Arial" w:eastAsia="Arial" w:hAnsi="Arial" w:cs="Arial"/>
        </w:rPr>
        <w:t xml:space="preserve">No hay limitaciones legales en cuanto a las dotaciones iniciales de créditos con destino a gastos de esta </w:t>
      </w:r>
      <w:r>
        <w:rPr>
          <w:rFonts w:ascii="Arial" w:eastAsia="Arial" w:hAnsi="Arial" w:cs="Arial"/>
        </w:rPr>
        <w:t>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22.- Creación de aplicación presupuestaria para Gastos de Comunicación y Publicidad Institucional.</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w:t>
      </w:r>
      <w:r>
        <w:rPr>
          <w:rFonts w:ascii="Arial" w:eastAsia="Arial" w:hAnsi="Arial" w:cs="Arial"/>
        </w:rPr>
        <w:t>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23.- Subida en la Dotación de créditos en Subprograma de Festejos.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24.- Insuficiente Dotación de créditos en Subprograma</w:t>
      </w:r>
      <w:r>
        <w:rPr>
          <w:rFonts w:ascii="Arial" w:eastAsia="Arial" w:hAnsi="Arial" w:cs="Arial"/>
          <w:b/>
        </w:rPr>
        <w:t xml:space="preserve"> de Medio Ambiente.</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345" w:line="248" w:lineRule="auto"/>
        <w:ind w:left="373" w:right="552" w:hanging="10"/>
        <w:jc w:val="both"/>
      </w:pPr>
      <w:r>
        <w:rPr>
          <w:rFonts w:ascii="Arial" w:eastAsia="Arial" w:hAnsi="Arial" w:cs="Arial"/>
          <w:b/>
        </w:rPr>
        <w:t>Quinto</w:t>
      </w:r>
      <w:r>
        <w:rPr>
          <w:rFonts w:ascii="Arial" w:eastAsia="Arial" w:hAnsi="Arial" w:cs="Arial"/>
        </w:rPr>
        <w:t>: Que las reclamaciones y a</w:t>
      </w:r>
      <w:r>
        <w:rPr>
          <w:rFonts w:ascii="Arial" w:eastAsia="Arial" w:hAnsi="Arial" w:cs="Arial"/>
        </w:rPr>
        <w:t>legaciones presentadas por parte del partido político Sé Se Puede, dentro del grupo Mixto, el día 27 de enero de 2020, que tiene la consideración de interesado, han sido presentadas en plazo y las fundamentaciones se basan en los siguientes supuestos:</w:t>
      </w:r>
    </w:p>
    <w:p w:rsidR="00E23B86" w:rsidRDefault="00BA7C13">
      <w:pPr>
        <w:spacing w:after="119" w:line="240" w:lineRule="auto"/>
        <w:ind w:left="362" w:right="598" w:hanging="10"/>
      </w:pPr>
      <w:r>
        <w:rPr>
          <w:rFonts w:ascii="Arial" w:eastAsia="Arial" w:hAnsi="Arial" w:cs="Arial"/>
          <w:b/>
        </w:rPr>
        <w:t xml:space="preserve">1.- </w:t>
      </w:r>
      <w:r>
        <w:rPr>
          <w:rFonts w:ascii="Arial" w:eastAsia="Arial" w:hAnsi="Arial" w:cs="Arial"/>
          <w:b/>
        </w:rPr>
        <w:t>Que la aprobación del Presupuesto se ajuste a los plazos y trámites legales establecidos, permitiendo una mayor transparencia, publicidad y participación de los vecinos y vecinas en la elaboración y conocimiento del mismo.</w:t>
      </w:r>
    </w:p>
    <w:p w:rsidR="00E23B86" w:rsidRDefault="00BA7C13">
      <w:pPr>
        <w:spacing w:after="245" w:line="248" w:lineRule="auto"/>
        <w:ind w:left="363" w:right="552" w:firstLine="708"/>
        <w:jc w:val="both"/>
      </w:pPr>
      <w:r>
        <w:rPr>
          <w:rFonts w:ascii="Arial" w:eastAsia="Arial" w:hAnsi="Arial" w:cs="Arial"/>
        </w:rPr>
        <w:t>La norma establece unos plazos pa</w:t>
      </w:r>
      <w:r>
        <w:rPr>
          <w:rFonts w:ascii="Arial" w:eastAsia="Arial" w:hAnsi="Arial" w:cs="Arial"/>
        </w:rPr>
        <w:t>ra la elaboración y aprobación del Presupuesto General, para su entrada en vigor al comienzo del ejercicio. SI no se cumplen, las normas vigentes, arbitran una serie de medidas que permitan el funcionamiento de la entidad y la prestación de servicios públi</w:t>
      </w:r>
      <w:r>
        <w:rPr>
          <w:rFonts w:ascii="Arial" w:eastAsia="Arial" w:hAnsi="Arial" w:cs="Arial"/>
        </w:rPr>
        <w:t>cos básicos. Ello explica que el apartado 6 del artículo 169 del TRLRHL:</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350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7335" name="Group 48733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349" name="Rectangle 1634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350" name="Rectangle 16350"/>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75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7335" style="width:12.7031pt;height:280.35pt;position:absolute;mso-position-horizontal-relative:page;mso-position-horizontal:absolute;margin-left:681.958pt;mso-position-vertical-relative:page;margin-top:531.65pt;" coordsize="1613,35604">
                <v:rect id="Rectangle 1634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350"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391 </w:t>
                        </w:r>
                      </w:p>
                    </w:txbxContent>
                  </v:textbox>
                </v:rect>
                <w10:wrap type="square"/>
              </v:group>
            </w:pict>
          </mc:Fallback>
        </mc:AlternateContent>
      </w:r>
      <w:r>
        <w:rPr>
          <w:rFonts w:ascii="Arial" w:eastAsia="Arial" w:hAnsi="Arial" w:cs="Arial"/>
        </w:rPr>
        <w:t>“Si al iniciarse el ejercicio económico no hubiese entrado en vigor el presupuesto correspondiente, se considerará automáticamente prorrogado el del anterior, con sus créditos iniciales, sin perjuicio de las modificaciones que se realicen conforme a lo dis</w:t>
      </w:r>
      <w:r>
        <w:rPr>
          <w:rFonts w:ascii="Arial" w:eastAsia="Arial" w:hAnsi="Arial" w:cs="Arial"/>
        </w:rPr>
        <w:t xml:space="preserve">puesto en los artículos 177, 178 y 179 de esta ley y hasta la entrada en vigor del nuevo presupuesto. La prórroga no afectará a los créditos para servicios o programas que deban concluir en el ejercicio anterior o que estén financiados con crédito u otros </w:t>
      </w:r>
      <w:r>
        <w:rPr>
          <w:rFonts w:ascii="Arial" w:eastAsia="Arial" w:hAnsi="Arial" w:cs="Arial"/>
        </w:rPr>
        <w:t>ingresos específicos o afectados”.</w:t>
      </w:r>
    </w:p>
    <w:p w:rsidR="00E23B86" w:rsidRDefault="00BA7C13">
      <w:pPr>
        <w:spacing w:after="110" w:line="248" w:lineRule="auto"/>
        <w:ind w:left="363" w:right="552" w:firstLine="708"/>
        <w:jc w:val="both"/>
      </w:pPr>
      <w:r>
        <w:rPr>
          <w:rFonts w:ascii="Arial" w:eastAsia="Arial" w:hAnsi="Arial" w:cs="Arial"/>
        </w:rPr>
        <w:t>El Presupuesto se ha publicado en los medios de publicidad establecidos legalmente.</w:t>
      </w:r>
    </w:p>
    <w:p w:rsidR="00E23B86" w:rsidRDefault="00BA7C13">
      <w:pPr>
        <w:spacing w:after="9" w:line="249" w:lineRule="auto"/>
        <w:ind w:left="355" w:right="554" w:hanging="10"/>
        <w:jc w:val="both"/>
      </w:pPr>
      <w:r>
        <w:rPr>
          <w:rFonts w:ascii="Arial" w:eastAsia="Arial" w:hAnsi="Arial" w:cs="Arial"/>
          <w:b/>
        </w:rPr>
        <w:t xml:space="preserve">2.- Necesidad de Regularización de figuras impositivas y bajos ingresos en </w:t>
      </w:r>
    </w:p>
    <w:p w:rsidR="00E23B86" w:rsidRDefault="00BA7C13">
      <w:pPr>
        <w:spacing w:after="111" w:line="249" w:lineRule="auto"/>
        <w:ind w:left="355" w:right="554" w:hanging="10"/>
        <w:jc w:val="both"/>
      </w:pPr>
      <w:r>
        <w:rPr>
          <w:rFonts w:ascii="Arial" w:eastAsia="Arial" w:hAnsi="Arial" w:cs="Arial"/>
          <w:b/>
        </w:rPr>
        <w:t>Tasas de ocupación de vía pública y de actividades administra</w:t>
      </w:r>
      <w:r>
        <w:rPr>
          <w:rFonts w:ascii="Arial" w:eastAsia="Arial" w:hAnsi="Arial" w:cs="Arial"/>
          <w:b/>
        </w:rPr>
        <w:t>tivas</w:t>
      </w:r>
    </w:p>
    <w:p w:rsidR="00E23B86" w:rsidRDefault="00BA7C13">
      <w:pPr>
        <w:spacing w:after="110" w:line="249" w:lineRule="auto"/>
        <w:ind w:left="337" w:right="555" w:firstLine="708"/>
      </w:pPr>
      <w:r>
        <w:rPr>
          <w:rFonts w:ascii="Arial" w:eastAsia="Arial" w:hAnsi="Arial" w:cs="Arial"/>
        </w:rPr>
        <w:t>Las Previsiones de Ingresos en el Presupuesto General, han sido calculados conforme el criterio de caja, tal como se ha informado en el Informe económico financiero, que se incorpora al expediente presupuestario.</w:t>
      </w:r>
    </w:p>
    <w:p w:rsidR="00E23B86" w:rsidRDefault="00BA7C13">
      <w:pPr>
        <w:spacing w:after="481" w:line="248" w:lineRule="auto"/>
        <w:ind w:left="373" w:right="552" w:hanging="10"/>
        <w:jc w:val="both"/>
      </w:pPr>
      <w:r>
        <w:rPr>
          <w:rFonts w:ascii="Arial" w:eastAsia="Arial" w:hAnsi="Arial" w:cs="Arial"/>
        </w:rPr>
        <w:t xml:space="preserve">Se informa negativamente la presente </w:t>
      </w:r>
      <w:r>
        <w:rPr>
          <w:rFonts w:ascii="Arial" w:eastAsia="Arial" w:hAnsi="Arial" w:cs="Arial"/>
        </w:rPr>
        <w:t>reclamación.</w:t>
      </w:r>
    </w:p>
    <w:p w:rsidR="00E23B86" w:rsidRDefault="00BA7C13">
      <w:pPr>
        <w:spacing w:after="111" w:line="249" w:lineRule="auto"/>
        <w:ind w:left="355" w:right="554" w:hanging="10"/>
        <w:jc w:val="both"/>
      </w:pPr>
      <w:r>
        <w:rPr>
          <w:rFonts w:ascii="Arial" w:eastAsia="Arial" w:hAnsi="Arial" w:cs="Arial"/>
          <w:b/>
        </w:rPr>
        <w:t>3.- Dotación de créditos para Campaña de Empadronamiento municipal y reflejar la población real de Candelaria y las necesidades a cubrir.</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w:t>
      </w:r>
      <w:r>
        <w:rPr>
          <w:rFonts w:ascii="Arial" w:eastAsia="Arial" w:hAnsi="Arial" w:cs="Arial"/>
        </w:rPr>
        <w:t xml:space="preserve">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4.- Regularización de condiciones laborales, una RPT, un Manual de Valoración y un Convenio para EPELCAN.</w:t>
      </w:r>
    </w:p>
    <w:p w:rsidR="00E23B86" w:rsidRDefault="00BA7C13">
      <w:pPr>
        <w:spacing w:after="110" w:line="248" w:lineRule="auto"/>
        <w:ind w:left="373" w:right="552" w:hanging="10"/>
        <w:jc w:val="both"/>
      </w:pPr>
      <w:r>
        <w:rPr>
          <w:rFonts w:ascii="Arial" w:eastAsia="Arial" w:hAnsi="Arial" w:cs="Arial"/>
        </w:rPr>
        <w:t>No es materia de reclamación al Presupuesto General</w:t>
      </w:r>
    </w:p>
    <w:p w:rsidR="00E23B86" w:rsidRDefault="00BA7C13">
      <w:pPr>
        <w:spacing w:after="481"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5.- Presupuestos Participativos y mayor dotación en el subprograma de Participación Ciudadana.</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6.- Partida Presupuestaria para elaborar y actualizar</w:t>
      </w:r>
      <w:r>
        <w:rPr>
          <w:rFonts w:ascii="Arial" w:eastAsia="Arial" w:hAnsi="Arial" w:cs="Arial"/>
          <w:b/>
        </w:rPr>
        <w:t xml:space="preserve"> el Inventario de Bienes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7.- Dotación de créditos par</w:t>
      </w:r>
      <w:r>
        <w:rPr>
          <w:rFonts w:ascii="Arial" w:eastAsia="Arial" w:hAnsi="Arial" w:cs="Arial"/>
          <w:b/>
        </w:rPr>
        <w:t>a políticas medioambientales y reflejar en la RPT puestos específicos.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w:t>
      </w:r>
      <w:r>
        <w:rPr>
          <w:rFonts w:ascii="Arial" w:eastAsia="Arial" w:hAnsi="Arial" w:cs="Arial"/>
        </w:rPr>
        <w:t>ente reclamación</w:t>
      </w:r>
    </w:p>
    <w:p w:rsidR="00E23B86" w:rsidRDefault="00BA7C13">
      <w:pPr>
        <w:spacing w:after="111" w:line="249" w:lineRule="auto"/>
        <w:ind w:left="355" w:right="554" w:hanging="10"/>
        <w:jc w:val="both"/>
      </w:pPr>
      <w:r>
        <w:rPr>
          <w:rFonts w:ascii="Arial" w:eastAsia="Arial" w:hAnsi="Arial" w:cs="Arial"/>
          <w:b/>
        </w:rPr>
        <w:t>8.- Actuaciones efectivas para consumo energético y proyectos de autoconsumo con renovables para instalaciones municipales.</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360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7497" name="Group 48749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411" name="Rectangle 1641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412" name="Rectangle 1641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Documento fi</w:t>
                              </w:r>
                              <w:r>
                                <w:rPr>
                                  <w:rFonts w:ascii="Arial" w:eastAsia="Arial" w:hAnsi="Arial" w:cs="Arial"/>
                                  <w:sz w:val="12"/>
                                </w:rPr>
                                <w:t xml:space="preserve">rmado electrónicamente desde la plataforma esPublico Gestiona | Página 76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7497" style="width:12.7031pt;height:280.35pt;position:absolute;mso-position-horizontal-relative:page;mso-position-horizontal:absolute;margin-left:681.958pt;mso-position-vertical-relative:page;margin-top:531.65pt;" coordsize="1613,35604">
                <v:rect id="Rectangle 1641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41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391 </w:t>
                        </w:r>
                      </w:p>
                    </w:txbxContent>
                  </v:textbox>
                </v:rect>
                <w10:wrap type="square"/>
              </v:group>
            </w:pict>
          </mc:Fallback>
        </mc:AlternateContent>
      </w: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w:t>
      </w:r>
      <w:r>
        <w:rPr>
          <w:rFonts w:ascii="Arial" w:eastAsia="Arial" w:hAnsi="Arial" w:cs="Arial"/>
        </w:rPr>
        <w:t>nte la presente reclamación.</w:t>
      </w:r>
    </w:p>
    <w:p w:rsidR="00E23B86" w:rsidRDefault="00BA7C13">
      <w:pPr>
        <w:spacing w:after="111" w:line="249" w:lineRule="auto"/>
        <w:ind w:left="355" w:right="554" w:hanging="10"/>
        <w:jc w:val="both"/>
      </w:pPr>
      <w:r>
        <w:rPr>
          <w:rFonts w:ascii="Arial" w:eastAsia="Arial" w:hAnsi="Arial" w:cs="Arial"/>
          <w:b/>
        </w:rPr>
        <w:t>9.- Creación de partidas para Elaboración Pliego de recogida de residuos y limpieza viaria que defina las estrategias y políticas medioambientales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w:t>
      </w:r>
      <w:r>
        <w:rPr>
          <w:rFonts w:ascii="Arial" w:eastAsia="Arial" w:hAnsi="Arial" w:cs="Arial"/>
        </w:rPr>
        <w:t xml:space="preserve">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10.- Creación de partidas para proyectos y obras de alcantarillado de aguas residuales y de aguas pluviales.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11.- Aumento de dotación de créditos hasta el 10 % pa</w:t>
      </w:r>
      <w:r>
        <w:rPr>
          <w:rFonts w:ascii="Arial" w:eastAsia="Arial" w:hAnsi="Arial" w:cs="Arial"/>
          <w:b/>
        </w:rPr>
        <w:t>ra Servicios Sociales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12.- Creación aplicación presup</w:t>
      </w:r>
      <w:r>
        <w:rPr>
          <w:rFonts w:ascii="Arial" w:eastAsia="Arial" w:hAnsi="Arial" w:cs="Arial"/>
          <w:b/>
        </w:rPr>
        <w:t>uestaria finalista para alquileres de viviendas para personas en situación de emergencia.</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w:t>
      </w:r>
      <w:r>
        <w:rPr>
          <w:rFonts w:ascii="Arial" w:eastAsia="Arial" w:hAnsi="Arial" w:cs="Arial"/>
        </w:rPr>
        <w:t>gativamente la presente reclamación.</w:t>
      </w:r>
    </w:p>
    <w:p w:rsidR="00E23B86" w:rsidRDefault="00BA7C13">
      <w:pPr>
        <w:spacing w:after="111" w:line="249" w:lineRule="auto"/>
        <w:ind w:left="355" w:right="554" w:hanging="10"/>
        <w:jc w:val="both"/>
      </w:pPr>
      <w:r>
        <w:rPr>
          <w:rFonts w:ascii="Arial" w:eastAsia="Arial" w:hAnsi="Arial" w:cs="Arial"/>
          <w:b/>
        </w:rPr>
        <w:t>13.- Creación partida 21.000 Euros para Fundación Candesol y otra para ayudas extraordinarias por empeoramiento socioeconómico.</w:t>
      </w:r>
    </w:p>
    <w:p w:rsidR="00E23B86" w:rsidRDefault="00BA7C13">
      <w:pPr>
        <w:spacing w:after="110" w:line="248" w:lineRule="auto"/>
        <w:ind w:left="363" w:right="552" w:firstLine="708"/>
        <w:jc w:val="both"/>
      </w:pPr>
      <w:r>
        <w:rPr>
          <w:rFonts w:ascii="Arial" w:eastAsia="Arial" w:hAnsi="Arial" w:cs="Arial"/>
        </w:rPr>
        <w:t xml:space="preserve">No hay limitaciones legales en cuanto a las dotaciones iniciales de créditos con destino a </w:t>
      </w:r>
      <w:r>
        <w:rPr>
          <w:rFonts w:ascii="Arial" w:eastAsia="Arial" w:hAnsi="Arial" w:cs="Arial"/>
        </w:rPr>
        <w:t>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14.- Dotación presupuestaria finalista para garantizar la accesibilidad universal</w:t>
      </w:r>
    </w:p>
    <w:p w:rsidR="00E23B86" w:rsidRDefault="00BA7C13">
      <w:pPr>
        <w:spacing w:after="110" w:line="248" w:lineRule="auto"/>
        <w:ind w:left="373" w:right="552" w:hanging="10"/>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15.- Mayor dotación económica y de recursos humanos p</w:t>
      </w:r>
      <w:r>
        <w:rPr>
          <w:rFonts w:ascii="Arial" w:eastAsia="Arial" w:hAnsi="Arial" w:cs="Arial"/>
          <w:b/>
        </w:rPr>
        <w:t>ara sectores como comercio, desarrollo rural, pesca y turismo.</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destino a gastos de esta naturaleza, salvo que exista obligación legal.</w:t>
      </w:r>
    </w:p>
    <w:p w:rsidR="00E23B86" w:rsidRDefault="00BA7C13">
      <w:pPr>
        <w:spacing w:after="110" w:line="248" w:lineRule="auto"/>
        <w:ind w:left="373" w:right="552" w:hanging="10"/>
        <w:jc w:val="both"/>
      </w:pPr>
      <w:r>
        <w:rPr>
          <w:rFonts w:ascii="Arial" w:eastAsia="Arial" w:hAnsi="Arial" w:cs="Arial"/>
        </w:rPr>
        <w:t>Se informa negativamente la presente rec</w:t>
      </w:r>
      <w:r>
        <w:rPr>
          <w:rFonts w:ascii="Arial" w:eastAsia="Arial" w:hAnsi="Arial" w:cs="Arial"/>
        </w:rPr>
        <w:t>lamación.</w:t>
      </w:r>
    </w:p>
    <w:p w:rsidR="00E23B86" w:rsidRDefault="00BA7C13">
      <w:pPr>
        <w:spacing w:after="111" w:line="249" w:lineRule="auto"/>
        <w:ind w:left="355" w:right="554" w:hanging="10"/>
        <w:jc w:val="both"/>
      </w:pPr>
      <w:r>
        <w:rPr>
          <w:rFonts w:ascii="Arial" w:eastAsia="Arial" w:hAnsi="Arial" w:cs="Arial"/>
          <w:b/>
        </w:rPr>
        <w:t>16.- Disminución de dotación de créditos para las aplicaciones presupuestarias de Fiestas.</w:t>
      </w:r>
    </w:p>
    <w:p w:rsidR="00E23B86" w:rsidRDefault="00BA7C13">
      <w:pPr>
        <w:spacing w:after="110" w:line="248" w:lineRule="auto"/>
        <w:ind w:left="363" w:right="552" w:firstLine="708"/>
        <w:jc w:val="both"/>
      </w:pPr>
      <w:r>
        <w:rPr>
          <w:rFonts w:ascii="Arial" w:eastAsia="Arial" w:hAnsi="Arial" w:cs="Arial"/>
        </w:rPr>
        <w:t>No hay limitaciones legales en cuanto a las dotaciones iniciales de créditos con destina a gastos de esta naturaleza, salvo que exista obligación legal.</w:t>
      </w:r>
    </w:p>
    <w:p w:rsidR="00E23B86" w:rsidRDefault="00BA7C13">
      <w:pPr>
        <w:spacing w:after="481"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noProof/>
        </w:rPr>
        <mc:AlternateContent>
          <mc:Choice Requires="wpg">
            <w:drawing>
              <wp:anchor distT="0" distB="0" distL="114300" distR="114300" simplePos="0" relativeHeight="2517370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7813" name="Group 48781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473" name="Rectangle 1647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6474" name="Rectangle 1647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77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7813" style="width:12.7031pt;height:280.35pt;position:absolute;mso-position-horizontal-relative:page;mso-position-horizontal:absolute;margin-left:681.958pt;mso-position-vertical-relative:page;margin-top:531.65pt;" coordsize="1613,35604">
                <v:rect id="Rectangle 1647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47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391 </w:t>
                        </w:r>
                      </w:p>
                    </w:txbxContent>
                  </v:textbox>
                </v:rect>
                <w10:wrap type="square"/>
              </v:group>
            </w:pict>
          </mc:Fallback>
        </mc:AlternateContent>
      </w:r>
      <w:r>
        <w:rPr>
          <w:rFonts w:ascii="Arial" w:eastAsia="Arial" w:hAnsi="Arial" w:cs="Arial"/>
          <w:b/>
        </w:rPr>
        <w:t>17.-Dotac</w:t>
      </w:r>
      <w:r>
        <w:rPr>
          <w:rFonts w:ascii="Arial" w:eastAsia="Arial" w:hAnsi="Arial" w:cs="Arial"/>
          <w:b/>
        </w:rPr>
        <w:t>ión presupuestaria específica para rehabilitación, mantenimiento y promoción patrimonio histórico cultural de Candelaria</w:t>
      </w:r>
    </w:p>
    <w:p w:rsidR="00E23B86" w:rsidRDefault="00BA7C13">
      <w:pPr>
        <w:spacing w:after="110" w:line="248" w:lineRule="auto"/>
        <w:ind w:left="363" w:right="552" w:firstLine="708"/>
        <w:jc w:val="both"/>
      </w:pPr>
      <w:r>
        <w:rPr>
          <w:rFonts w:ascii="Arial" w:eastAsia="Arial" w:hAnsi="Arial" w:cs="Arial"/>
        </w:rPr>
        <w:t xml:space="preserve">No hay limitaciones legales en cuanto a las dotaciones iniciales de créditos con destino a gastos de esta naturaleza, salvo que exista </w:t>
      </w:r>
      <w:r>
        <w:rPr>
          <w:rFonts w:ascii="Arial" w:eastAsia="Arial" w:hAnsi="Arial" w:cs="Arial"/>
        </w:rPr>
        <w:t>obligación legal.</w:t>
      </w:r>
    </w:p>
    <w:p w:rsidR="00E23B86" w:rsidRDefault="00BA7C13">
      <w:pPr>
        <w:spacing w:after="481" w:line="248" w:lineRule="auto"/>
        <w:ind w:left="373" w:right="552" w:hanging="10"/>
        <w:jc w:val="both"/>
      </w:pPr>
      <w:r>
        <w:rPr>
          <w:rFonts w:ascii="Arial" w:eastAsia="Arial" w:hAnsi="Arial" w:cs="Arial"/>
        </w:rPr>
        <w:t>Se informa negativamente la presente reclamación.</w:t>
      </w:r>
    </w:p>
    <w:p w:rsidR="00E23B86" w:rsidRDefault="00BA7C13">
      <w:pPr>
        <w:spacing w:after="111" w:line="249" w:lineRule="auto"/>
        <w:ind w:left="355" w:right="554" w:hanging="10"/>
        <w:jc w:val="both"/>
      </w:pPr>
      <w:r>
        <w:rPr>
          <w:rFonts w:ascii="Arial" w:eastAsia="Arial" w:hAnsi="Arial" w:cs="Arial"/>
          <w:b/>
        </w:rPr>
        <w:t>18.- Dotación presupuestaria para actuaciones varias en el municipio.</w:t>
      </w:r>
    </w:p>
    <w:p w:rsidR="00E23B86" w:rsidRDefault="00BA7C13">
      <w:pPr>
        <w:spacing w:after="110" w:line="248" w:lineRule="auto"/>
        <w:ind w:left="363" w:right="552" w:firstLine="708"/>
        <w:jc w:val="both"/>
      </w:pPr>
      <w:r>
        <w:rPr>
          <w:rFonts w:ascii="Arial" w:eastAsia="Arial" w:hAnsi="Arial" w:cs="Arial"/>
        </w:rPr>
        <w:t xml:space="preserve">No hay limitaciones legales en cuanto a las dotaciones iniciales de créditos con destino a gastos de esta naturaleza, </w:t>
      </w:r>
      <w:r>
        <w:rPr>
          <w:rFonts w:ascii="Arial" w:eastAsia="Arial" w:hAnsi="Arial" w:cs="Arial"/>
        </w:rPr>
        <w:t>salvo que exista obligación legal.</w:t>
      </w:r>
    </w:p>
    <w:p w:rsidR="00E23B86" w:rsidRDefault="00BA7C13">
      <w:pPr>
        <w:spacing w:after="481" w:line="248" w:lineRule="auto"/>
        <w:ind w:left="373" w:right="552" w:hanging="10"/>
        <w:jc w:val="both"/>
      </w:pPr>
      <w:r>
        <w:rPr>
          <w:rFonts w:ascii="Arial" w:eastAsia="Arial" w:hAnsi="Arial" w:cs="Arial"/>
        </w:rPr>
        <w:t>Se informa negativamente la presente reclamación.</w:t>
      </w:r>
    </w:p>
    <w:p w:rsidR="00E23B86" w:rsidRDefault="00BA7C13">
      <w:pPr>
        <w:spacing w:after="483" w:line="240" w:lineRule="auto"/>
        <w:ind w:left="362" w:right="598" w:hanging="10"/>
      </w:pPr>
      <w:r>
        <w:rPr>
          <w:rFonts w:ascii="Arial" w:eastAsia="Arial" w:hAnsi="Arial" w:cs="Arial"/>
          <w:b/>
        </w:rPr>
        <w:t xml:space="preserve">19.-  Mayor claridad y transparencia en el capítulo de inversiones que permita un control efectivo del gasto por vecinos y vecinas del municipio. </w:t>
      </w:r>
      <w:r>
        <w:rPr>
          <w:rFonts w:ascii="Arial" w:eastAsia="Arial" w:hAnsi="Arial" w:cs="Arial"/>
        </w:rPr>
        <w:t>No es materia de reclamac</w:t>
      </w:r>
      <w:r>
        <w:rPr>
          <w:rFonts w:ascii="Arial" w:eastAsia="Arial" w:hAnsi="Arial" w:cs="Arial"/>
        </w:rPr>
        <w:t>ión al Presupuesto General</w:t>
      </w:r>
    </w:p>
    <w:p w:rsidR="00E23B86" w:rsidRDefault="00BA7C13">
      <w:pPr>
        <w:spacing w:after="481" w:line="248" w:lineRule="auto"/>
        <w:ind w:left="373" w:right="552" w:hanging="10"/>
        <w:jc w:val="both"/>
      </w:pPr>
      <w:r>
        <w:rPr>
          <w:rFonts w:ascii="Arial" w:eastAsia="Arial" w:hAnsi="Arial" w:cs="Arial"/>
        </w:rPr>
        <w:t>Se informa negativamente la presente reclamación.”</w:t>
      </w:r>
    </w:p>
    <w:p w:rsidR="00E23B86" w:rsidRDefault="00BA7C13">
      <w:pPr>
        <w:spacing w:after="101"/>
        <w:ind w:left="352"/>
      </w:pPr>
      <w:r>
        <w:rPr>
          <w:rFonts w:ascii="Arial" w:eastAsia="Arial" w:hAnsi="Arial" w:cs="Arial"/>
          <w:b/>
        </w:rPr>
        <w:t xml:space="preserve"> </w:t>
      </w:r>
    </w:p>
    <w:p w:rsidR="00E23B86" w:rsidRDefault="00BA7C13">
      <w:pPr>
        <w:spacing w:after="0" w:line="248" w:lineRule="auto"/>
        <w:ind w:left="373" w:right="552" w:hanging="10"/>
        <w:jc w:val="both"/>
      </w:pPr>
      <w:r>
        <w:rPr>
          <w:rFonts w:ascii="Arial" w:eastAsia="Arial" w:hAnsi="Arial" w:cs="Arial"/>
          <w:b/>
        </w:rPr>
        <w:t xml:space="preserve"> Consta en el expediente propuesta del Concejal delegado de Hacienda, D. Airam Pérez Chinea, de fecha 17 de febrero de 2020, que transcrito literalmente dice: </w:t>
      </w:r>
      <w:r>
        <w:rPr>
          <w:rFonts w:ascii="Arial" w:eastAsia="Arial" w:hAnsi="Arial" w:cs="Arial"/>
        </w:rPr>
        <w:t>“Dado el expediente de Presupuesto General de esta Corporación para el ejercicio 2020, seguido el trámite expresamente previsto para su confección por el Texto Refundido de la Ley de Haciendas Locales 2/2004, y sometido a aprobación del Pleno, en sesión or</w:t>
      </w:r>
      <w:r>
        <w:rPr>
          <w:rFonts w:ascii="Arial" w:eastAsia="Arial" w:hAnsi="Arial" w:cs="Arial"/>
        </w:rPr>
        <w:t>dinaria de este órgano de fecha 26 de diciembre de 2019, se adopta acuerdo de aprobación inicial del expediente.</w:t>
      </w:r>
    </w:p>
    <w:p w:rsidR="00E23B86" w:rsidRDefault="00BA7C13">
      <w:pPr>
        <w:spacing w:after="0" w:line="248" w:lineRule="auto"/>
        <w:ind w:left="363" w:right="552" w:firstLine="708"/>
        <w:jc w:val="both"/>
      </w:pPr>
      <w:r>
        <w:rPr>
          <w:rFonts w:ascii="Arial" w:eastAsia="Arial" w:hAnsi="Arial" w:cs="Arial"/>
        </w:rPr>
        <w:t>Sometido a exposición pública mediante anuncio en el BOP nº 2,  de 3 de enero de 2020, de conformidad con lo previsto en el art 169 del Texto R</w:t>
      </w:r>
      <w:r>
        <w:rPr>
          <w:rFonts w:ascii="Arial" w:eastAsia="Arial" w:hAnsi="Arial" w:cs="Arial"/>
        </w:rPr>
        <w:t>efundido de la Ley de Haciendas Locales aprobado por real Decreto Legislativo 2/2004, de 5 de marzo, y el artículo 20 del Real Decreto Legislativo 500/1990 de 20 de abril, por los interesados se han presentado dentro del plazo legal de los quince días a pa</w:t>
      </w:r>
      <w:r>
        <w:rPr>
          <w:rFonts w:ascii="Arial" w:eastAsia="Arial" w:hAnsi="Arial" w:cs="Arial"/>
        </w:rPr>
        <w:t>rtir de la referida publicación, las siguientes reclamaciones - alegaciones incorporadas al expediente:</w:t>
      </w:r>
    </w:p>
    <w:p w:rsidR="00E23B86" w:rsidRDefault="00BA7C13">
      <w:pPr>
        <w:numPr>
          <w:ilvl w:val="0"/>
          <w:numId w:val="30"/>
        </w:numPr>
        <w:spacing w:after="0" w:line="248" w:lineRule="auto"/>
        <w:ind w:right="667" w:hanging="356"/>
        <w:jc w:val="both"/>
      </w:pPr>
      <w:r>
        <w:rPr>
          <w:rFonts w:ascii="Arial" w:eastAsia="Arial" w:hAnsi="Arial" w:cs="Arial"/>
        </w:rPr>
        <w:t>Por Grupo Político Mixto Ayuntamiento de Candelaria PLN/2019/9 con fecha 27 de enero de 2020 y nº de registro de entrada 2020-E-RC-1459.</w:t>
      </w:r>
    </w:p>
    <w:p w:rsidR="00E23B86" w:rsidRDefault="00BA7C13">
      <w:pPr>
        <w:numPr>
          <w:ilvl w:val="0"/>
          <w:numId w:val="30"/>
        </w:numPr>
        <w:spacing w:after="0" w:line="248" w:lineRule="auto"/>
        <w:ind w:right="667" w:hanging="356"/>
        <w:jc w:val="both"/>
      </w:pPr>
      <w:r>
        <w:rPr>
          <w:rFonts w:ascii="Arial" w:eastAsia="Arial" w:hAnsi="Arial" w:cs="Arial"/>
        </w:rPr>
        <w:t>Por Coalición d</w:t>
      </w:r>
      <w:r>
        <w:rPr>
          <w:rFonts w:ascii="Arial" w:eastAsia="Arial" w:hAnsi="Arial" w:cs="Arial"/>
        </w:rPr>
        <w:t>e Canaria con fecha 27 de enero de 2020 y nº de registro de entrada 2020-ERC-1443, 2020-ERC-1441, 2020-ERC-1440, 2020-ERC1438, 2020-ERC-1437, 2020-ERC-1436, 2020-ERC-1435, 2020-ERC-1434, 2020-ERC-1432, 2020-ERC-1431, 2020-ERC-1430, 2020-ERC-1428, 2020ERC-1</w:t>
      </w:r>
      <w:r>
        <w:rPr>
          <w:rFonts w:ascii="Arial" w:eastAsia="Arial" w:hAnsi="Arial" w:cs="Arial"/>
        </w:rPr>
        <w:t>427, 2020-ERC-1426, 2020-ERC-1425, 2020-ERC-1424, 2020-ERC1423, 2020-ERC-1422, 2020-ERC-1421, 2020-ERC-1420, 2020-ERC-1419, 2020-ERC-1418, 2020-ERC-1417, 2020-ERC-1414.</w:t>
      </w:r>
    </w:p>
    <w:p w:rsidR="00E23B86" w:rsidRDefault="00BA7C13">
      <w:pPr>
        <w:spacing w:after="0" w:line="248" w:lineRule="auto"/>
        <w:ind w:left="363" w:right="552" w:firstLine="708"/>
        <w:jc w:val="both"/>
      </w:pPr>
      <w:r>
        <w:rPr>
          <w:noProof/>
        </w:rPr>
        <mc:AlternateContent>
          <mc:Choice Requires="wpg">
            <w:drawing>
              <wp:anchor distT="0" distB="0" distL="114300" distR="114300" simplePos="0" relativeHeight="2517381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4186" name="Group 49418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6602" name="Rectangle 1660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https://candelaria.sedele</w:t>
                              </w:r>
                              <w:r>
                                <w:rPr>
                                  <w:rFonts w:ascii="Arial" w:eastAsia="Arial" w:hAnsi="Arial" w:cs="Arial"/>
                                  <w:sz w:val="12"/>
                                </w:rPr>
                                <w:t xml:space="preserve">ctronica.es/ </w:t>
                              </w:r>
                            </w:p>
                          </w:txbxContent>
                        </wps:txbx>
                        <wps:bodyPr horzOverflow="overflow" vert="horz" lIns="0" tIns="0" rIns="0" bIns="0" rtlCol="0">
                          <a:noAutofit/>
                        </wps:bodyPr>
                      </wps:wsp>
                      <wps:wsp>
                        <wps:cNvPr id="16603" name="Rectangle 16603"/>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78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4186" style="width:12.7031pt;height:280.35pt;position:absolute;mso-position-horizontal-relative:page;mso-position-horizontal:absolute;margin-left:681.958pt;mso-position-vertical-relative:page;margin-top:531.65pt;" coordsize="1613,35604">
                <v:rect id="Rectangle 1660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6603"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391 </w:t>
                        </w:r>
                      </w:p>
                    </w:txbxContent>
                  </v:textbox>
                </v:rect>
                <w10:wrap type="square"/>
              </v:group>
            </w:pict>
          </mc:Fallback>
        </mc:AlternateContent>
      </w:r>
      <w:r>
        <w:rPr>
          <w:rFonts w:ascii="Arial" w:eastAsia="Arial" w:hAnsi="Arial" w:cs="Arial"/>
        </w:rPr>
        <w:t>Vistas las alegaciones – reclamaciones formuladas, por la Intervención de Fondos se ha emitido informe de cada una de ellas, siendo todas ellas in</w:t>
      </w:r>
      <w:r>
        <w:rPr>
          <w:rFonts w:ascii="Arial" w:eastAsia="Arial" w:hAnsi="Arial" w:cs="Arial"/>
        </w:rPr>
        <w:t>formadas negativamente, al no estar en ningún supuesto de los señalados en el artículo 170 del R.D.L. 2/2004, de 5 de marzo, por el que se aprueba el Texto Refundido de la Ley Reguladora de las Haciendas Locales.</w:t>
      </w:r>
    </w:p>
    <w:p w:rsidR="00E23B86" w:rsidRDefault="00BA7C13">
      <w:pPr>
        <w:spacing w:after="245" w:line="248" w:lineRule="auto"/>
        <w:ind w:left="363" w:right="552" w:firstLine="708"/>
        <w:jc w:val="both"/>
      </w:pPr>
      <w:r>
        <w:rPr>
          <w:rFonts w:ascii="Arial" w:eastAsia="Arial" w:hAnsi="Arial" w:cs="Arial"/>
        </w:rPr>
        <w:t>Por todo ello, y en consonancia con informe</w:t>
      </w:r>
      <w:r>
        <w:rPr>
          <w:rFonts w:ascii="Arial" w:eastAsia="Arial" w:hAnsi="Arial" w:cs="Arial"/>
        </w:rPr>
        <w:t xml:space="preserve"> favorable de la Intervención General, obrante igualmente en el expediente, por esta Concejalía se Propone la adopción del siguiente acuerdo:</w:t>
      </w:r>
    </w:p>
    <w:p w:rsidR="00E23B86" w:rsidRDefault="00BA7C13">
      <w:pPr>
        <w:spacing w:after="365" w:line="248" w:lineRule="auto"/>
        <w:ind w:left="373" w:right="552" w:hanging="10"/>
        <w:jc w:val="both"/>
      </w:pPr>
      <w:r>
        <w:rPr>
          <w:rFonts w:ascii="Arial" w:eastAsia="Arial" w:hAnsi="Arial" w:cs="Arial"/>
          <w:b/>
        </w:rPr>
        <w:t>PRIMERO. -</w:t>
      </w:r>
      <w:r>
        <w:rPr>
          <w:rFonts w:ascii="Arial" w:eastAsia="Arial" w:hAnsi="Arial" w:cs="Arial"/>
        </w:rPr>
        <w:t xml:space="preserve"> Desestimar las reclamaciones - alegaciones presentadas por los interesados, y en consecuencia aprobar d</w:t>
      </w:r>
      <w:r>
        <w:rPr>
          <w:rFonts w:ascii="Arial" w:eastAsia="Arial" w:hAnsi="Arial" w:cs="Arial"/>
        </w:rPr>
        <w:t xml:space="preserve">efinitivamente el </w:t>
      </w:r>
      <w:r>
        <w:rPr>
          <w:rFonts w:ascii="Arial" w:eastAsia="Arial" w:hAnsi="Arial" w:cs="Arial"/>
          <w:b/>
        </w:rPr>
        <w:t>Presupuesto General del ejercicio 2020, al que se incorpora Plantilla Orgánica y Plan Presupuestario</w:t>
      </w:r>
      <w:r>
        <w:rPr>
          <w:rFonts w:ascii="Arial" w:eastAsia="Arial" w:hAnsi="Arial" w:cs="Arial"/>
        </w:rPr>
        <w:t>, con el siguiente resumen:</w:t>
      </w:r>
    </w:p>
    <w:p w:rsidR="00E23B86" w:rsidRDefault="00BA7C13">
      <w:pPr>
        <w:spacing w:after="482" w:line="249" w:lineRule="auto"/>
        <w:ind w:left="355" w:right="554" w:hanging="10"/>
        <w:jc w:val="both"/>
      </w:pPr>
      <w:r>
        <w:rPr>
          <w:rFonts w:ascii="Arial" w:eastAsia="Arial" w:hAnsi="Arial" w:cs="Arial"/>
          <w:b/>
        </w:rPr>
        <w:t>I.-Estado de gastos e ingresos consolidados:</w:t>
      </w:r>
    </w:p>
    <w:p w:rsidR="00E23B86" w:rsidRDefault="00BA7C13">
      <w:pPr>
        <w:spacing w:after="0" w:line="249" w:lineRule="auto"/>
        <w:ind w:left="768" w:right="7727" w:hanging="304"/>
        <w:jc w:val="both"/>
      </w:pPr>
      <w:r>
        <w:rPr>
          <w:rFonts w:ascii="Arial" w:eastAsia="Arial" w:hAnsi="Arial" w:cs="Arial"/>
          <w:b/>
        </w:rPr>
        <w:t>ESTADO DE</w:t>
      </w:r>
    </w:p>
    <w:p w:rsidR="00E23B86" w:rsidRDefault="00BA7C13">
      <w:pPr>
        <w:spacing w:after="9" w:line="249" w:lineRule="auto"/>
        <w:ind w:left="355" w:right="554" w:hanging="10"/>
        <w:jc w:val="both"/>
      </w:pPr>
      <w:r>
        <w:rPr>
          <w:rFonts w:ascii="Arial" w:eastAsia="Arial" w:hAnsi="Arial" w:cs="Arial"/>
          <w:b/>
        </w:rPr>
        <w:t>CONSOLI</w:t>
      </w:r>
    </w:p>
    <w:p w:rsidR="00E23B86" w:rsidRDefault="00BA7C13">
      <w:pPr>
        <w:spacing w:after="0" w:line="249" w:lineRule="auto"/>
        <w:ind w:left="768" w:right="7750" w:hanging="280"/>
        <w:jc w:val="both"/>
      </w:pPr>
      <w:r>
        <w:rPr>
          <w:rFonts w:ascii="Arial" w:eastAsia="Arial" w:hAnsi="Arial" w:cs="Arial"/>
          <w:b/>
        </w:rPr>
        <w:t>DACION DE</w:t>
      </w:r>
    </w:p>
    <w:p w:rsidR="00E23B86" w:rsidRDefault="00BA7C13">
      <w:pPr>
        <w:spacing w:after="247" w:line="249" w:lineRule="auto"/>
        <w:ind w:left="355" w:right="554" w:hanging="10"/>
        <w:jc w:val="both"/>
      </w:pPr>
      <w:r>
        <w:rPr>
          <w:rFonts w:ascii="Arial" w:eastAsia="Arial" w:hAnsi="Arial" w:cs="Arial"/>
          <w:b/>
        </w:rPr>
        <w:t xml:space="preserve">GASTOS </w:t>
      </w:r>
    </w:p>
    <w:tbl>
      <w:tblPr>
        <w:tblStyle w:val="TableGrid"/>
        <w:tblW w:w="7680" w:type="dxa"/>
        <w:tblInd w:w="281" w:type="dxa"/>
        <w:tblCellMar>
          <w:top w:w="10" w:type="dxa"/>
          <w:left w:w="79" w:type="dxa"/>
          <w:bottom w:w="0" w:type="dxa"/>
          <w:right w:w="68" w:type="dxa"/>
        </w:tblCellMar>
        <w:tblLook w:val="04A0" w:firstRow="1" w:lastRow="0" w:firstColumn="1" w:lastColumn="0" w:noHBand="0" w:noVBand="1"/>
      </w:tblPr>
      <w:tblGrid>
        <w:gridCol w:w="1279"/>
        <w:gridCol w:w="1280"/>
        <w:gridCol w:w="1281"/>
        <w:gridCol w:w="1282"/>
        <w:gridCol w:w="1279"/>
        <w:gridCol w:w="1279"/>
      </w:tblGrid>
      <w:tr w:rsidR="00E23B86">
        <w:trPr>
          <w:trHeight w:val="769"/>
        </w:trPr>
        <w:tc>
          <w:tcPr>
            <w:tcW w:w="1280" w:type="dxa"/>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60"/>
            </w:pPr>
            <w:r>
              <w:rPr>
                <w:rFonts w:ascii="Arial" w:eastAsia="Arial" w:hAnsi="Arial" w:cs="Arial"/>
                <w:b/>
              </w:rPr>
              <w:t>Capítulos</w:t>
            </w:r>
          </w:p>
        </w:tc>
        <w:tc>
          <w:tcPr>
            <w:tcW w:w="1280" w:type="dxa"/>
            <w:tcBorders>
              <w:top w:val="nil"/>
              <w:left w:val="single" w:sz="5" w:space="0" w:color="00000A"/>
              <w:bottom w:val="single" w:sz="4" w:space="0" w:color="00000A"/>
              <w:right w:val="single" w:sz="5" w:space="0" w:color="00000A"/>
            </w:tcBorders>
            <w:vAlign w:val="center"/>
          </w:tcPr>
          <w:p w:rsidR="00E23B86" w:rsidRDefault="00BA7C13">
            <w:pPr>
              <w:spacing w:after="0"/>
              <w:jc w:val="center"/>
            </w:pPr>
            <w:r>
              <w:rPr>
                <w:rFonts w:ascii="Arial" w:eastAsia="Arial" w:hAnsi="Arial" w:cs="Arial"/>
                <w:b/>
              </w:rPr>
              <w:t>Ayuntamie nto</w:t>
            </w:r>
          </w:p>
        </w:tc>
        <w:tc>
          <w:tcPr>
            <w:tcW w:w="1280" w:type="dxa"/>
            <w:tcBorders>
              <w:top w:val="nil"/>
              <w:left w:val="single" w:sz="5" w:space="0" w:color="00000A"/>
              <w:bottom w:val="single" w:sz="4" w:space="0" w:color="00000A"/>
              <w:right w:val="single" w:sz="4" w:space="0" w:color="00000A"/>
            </w:tcBorders>
            <w:vAlign w:val="center"/>
          </w:tcPr>
          <w:p w:rsidR="00E23B86" w:rsidRDefault="00BA7C13">
            <w:pPr>
              <w:spacing w:after="0"/>
              <w:ind w:left="36"/>
              <w:jc w:val="both"/>
            </w:pPr>
            <w:r>
              <w:rPr>
                <w:rFonts w:ascii="Arial" w:eastAsia="Arial" w:hAnsi="Arial" w:cs="Arial"/>
                <w:b/>
              </w:rPr>
              <w:t>EPELCAN</w:t>
            </w:r>
          </w:p>
        </w:tc>
        <w:tc>
          <w:tcPr>
            <w:tcW w:w="1280" w:type="dxa"/>
            <w:tcBorders>
              <w:top w:val="nil"/>
              <w:left w:val="single" w:sz="4" w:space="0" w:color="00000A"/>
              <w:bottom w:val="single" w:sz="4" w:space="0" w:color="00000A"/>
              <w:right w:val="single" w:sz="4" w:space="0" w:color="00000A"/>
            </w:tcBorders>
          </w:tcPr>
          <w:p w:rsidR="00E23B86" w:rsidRDefault="00BA7C13">
            <w:pPr>
              <w:spacing w:after="0"/>
              <w:ind w:right="11"/>
              <w:jc w:val="center"/>
            </w:pPr>
            <w:r>
              <w:rPr>
                <w:rFonts w:ascii="Arial" w:eastAsia="Arial" w:hAnsi="Arial" w:cs="Arial"/>
                <w:b/>
              </w:rPr>
              <w:t>Sdad.</w:t>
            </w:r>
          </w:p>
          <w:p w:rsidR="00E23B86" w:rsidRDefault="00BA7C13">
            <w:pPr>
              <w:spacing w:after="0"/>
              <w:ind w:left="54"/>
            </w:pPr>
            <w:r>
              <w:rPr>
                <w:rFonts w:ascii="Arial" w:eastAsia="Arial" w:hAnsi="Arial" w:cs="Arial"/>
                <w:b/>
              </w:rPr>
              <w:t>Municipal</w:t>
            </w:r>
          </w:p>
          <w:p w:rsidR="00E23B86" w:rsidRDefault="00BA7C13">
            <w:pPr>
              <w:spacing w:after="0"/>
              <w:ind w:left="48"/>
            </w:pPr>
            <w:r>
              <w:rPr>
                <w:rFonts w:ascii="Arial" w:eastAsia="Arial" w:hAnsi="Arial" w:cs="Arial"/>
                <w:b/>
              </w:rPr>
              <w:t>Viviendas</w:t>
            </w:r>
          </w:p>
        </w:tc>
        <w:tc>
          <w:tcPr>
            <w:tcW w:w="1280" w:type="dxa"/>
            <w:tcBorders>
              <w:top w:val="nil"/>
              <w:left w:val="single" w:sz="4" w:space="0" w:color="00000A"/>
              <w:bottom w:val="single" w:sz="4" w:space="0" w:color="00000A"/>
              <w:right w:val="single" w:sz="5" w:space="0" w:color="00000A"/>
            </w:tcBorders>
            <w:vAlign w:val="center"/>
          </w:tcPr>
          <w:p w:rsidR="00E23B86" w:rsidRDefault="00BA7C13">
            <w:pPr>
              <w:spacing w:after="0"/>
              <w:ind w:right="14"/>
              <w:jc w:val="center"/>
            </w:pPr>
            <w:r>
              <w:rPr>
                <w:rFonts w:ascii="Arial" w:eastAsia="Arial" w:hAnsi="Arial" w:cs="Arial"/>
                <w:b/>
              </w:rPr>
              <w:t>Total</w:t>
            </w:r>
          </w:p>
        </w:tc>
        <w:tc>
          <w:tcPr>
            <w:tcW w:w="1280" w:type="dxa"/>
            <w:tcBorders>
              <w:top w:val="nil"/>
              <w:left w:val="single" w:sz="5" w:space="0" w:color="00000A"/>
              <w:bottom w:val="single" w:sz="4" w:space="0" w:color="00000A"/>
              <w:right w:val="single" w:sz="5" w:space="0" w:color="00000A"/>
            </w:tcBorders>
            <w:vAlign w:val="center"/>
          </w:tcPr>
          <w:p w:rsidR="00E23B86" w:rsidRDefault="00BA7C13">
            <w:pPr>
              <w:spacing w:after="0"/>
              <w:jc w:val="center"/>
            </w:pPr>
            <w:r>
              <w:rPr>
                <w:rFonts w:ascii="Arial" w:eastAsia="Arial" w:hAnsi="Arial" w:cs="Arial"/>
                <w:b/>
              </w:rPr>
              <w:t>Eliminacio nes</w:t>
            </w:r>
          </w:p>
        </w:tc>
      </w:tr>
      <w:tr w:rsidR="00E23B86">
        <w:trPr>
          <w:trHeight w:val="517"/>
        </w:trPr>
        <w:tc>
          <w:tcPr>
            <w:tcW w:w="1280" w:type="dxa"/>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right="10"/>
              <w:jc w:val="center"/>
            </w:pPr>
            <w:r>
              <w:rPr>
                <w:rFonts w:ascii="Arial" w:eastAsia="Arial" w:hAnsi="Arial" w:cs="Arial"/>
              </w:rPr>
              <w:t>1</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9.584.679, 97</w:t>
            </w:r>
          </w:p>
        </w:tc>
        <w:tc>
          <w:tcPr>
            <w:tcW w:w="1280"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left="32"/>
            </w:pPr>
            <w:r>
              <w:rPr>
                <w:rFonts w:ascii="Arial" w:eastAsia="Arial" w:hAnsi="Arial" w:cs="Arial"/>
              </w:rPr>
              <w:t>570.646,64</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3"/>
            </w:pPr>
            <w:r>
              <w:rPr>
                <w:rFonts w:ascii="Arial" w:eastAsia="Arial" w:hAnsi="Arial" w:cs="Arial"/>
              </w:rPr>
              <w:t>865.357,56</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11.020.684 ,17</w:t>
            </w:r>
          </w:p>
        </w:tc>
        <w:tc>
          <w:tcPr>
            <w:tcW w:w="1280" w:type="dxa"/>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jc w:val="right"/>
            </w:pPr>
            <w:r>
              <w:rPr>
                <w:rFonts w:ascii="Arial" w:eastAsia="Arial" w:hAnsi="Arial" w:cs="Arial"/>
              </w:rPr>
              <w:t xml:space="preserve"> </w:t>
            </w:r>
          </w:p>
        </w:tc>
      </w:tr>
      <w:tr w:rsidR="00E23B86">
        <w:trPr>
          <w:trHeight w:val="514"/>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42"/>
              <w:jc w:val="center"/>
            </w:pPr>
            <w:r>
              <w:rPr>
                <w:rFonts w:ascii="Arial" w:eastAsia="Arial" w:hAnsi="Arial" w:cs="Arial"/>
              </w:rPr>
              <w:t>2</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8.311.414, 42</w:t>
            </w:r>
          </w:p>
        </w:tc>
        <w:tc>
          <w:tcPr>
            <w:tcW w:w="1280"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pPr>
            <w:r>
              <w:rPr>
                <w:rFonts w:ascii="Arial" w:eastAsia="Arial" w:hAnsi="Arial" w:cs="Arial"/>
              </w:rPr>
              <w:t>419.929,08</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25.504,30</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8.756.847, 80</w:t>
            </w:r>
          </w:p>
        </w:tc>
        <w:tc>
          <w:tcPr>
            <w:tcW w:w="1280" w:type="dxa"/>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right="1"/>
              <w:jc w:val="right"/>
            </w:pPr>
            <w:r>
              <w:rPr>
                <w:rFonts w:ascii="Arial" w:eastAsia="Arial" w:hAnsi="Arial" w:cs="Arial"/>
              </w:rPr>
              <w:t>0,00</w:t>
            </w:r>
          </w:p>
        </w:tc>
      </w:tr>
      <w:tr w:rsidR="00E23B86">
        <w:trPr>
          <w:trHeight w:val="264"/>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42"/>
              <w:jc w:val="center"/>
            </w:pPr>
            <w:r>
              <w:rPr>
                <w:rFonts w:ascii="Arial" w:eastAsia="Arial" w:hAnsi="Arial" w:cs="Arial"/>
              </w:rPr>
              <w:t>3</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pPr>
            <w:r>
              <w:rPr>
                <w:rFonts w:ascii="Arial" w:eastAsia="Arial" w:hAnsi="Arial" w:cs="Arial"/>
              </w:rPr>
              <w:t>135.618,29</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pPr>
            <w:r>
              <w:rPr>
                <w:rFonts w:ascii="Arial" w:eastAsia="Arial" w:hAnsi="Arial" w:cs="Arial"/>
              </w:rPr>
              <w:t>135.618,29</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516"/>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42"/>
              <w:jc w:val="center"/>
            </w:pPr>
            <w:r>
              <w:rPr>
                <w:rFonts w:ascii="Arial" w:eastAsia="Arial" w:hAnsi="Arial" w:cs="Arial"/>
              </w:rPr>
              <w:t>4</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2.881.900, 35</w:t>
            </w:r>
          </w:p>
        </w:tc>
        <w:tc>
          <w:tcPr>
            <w:tcW w:w="1280"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E23B86"/>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2.881.900, 35</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1.122.404, 46</w:t>
            </w:r>
          </w:p>
        </w:tc>
      </w:tr>
      <w:tr w:rsidR="00E23B86">
        <w:trPr>
          <w:trHeight w:val="262"/>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42"/>
              <w:jc w:val="center"/>
            </w:pPr>
            <w:r>
              <w:rPr>
                <w:rFonts w:ascii="Arial" w:eastAsia="Arial" w:hAnsi="Arial" w:cs="Arial"/>
              </w:rPr>
              <w:t>5</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0,00</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264"/>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42"/>
              <w:jc w:val="center"/>
            </w:pPr>
            <w:r>
              <w:rPr>
                <w:rFonts w:ascii="Arial" w:eastAsia="Arial" w:hAnsi="Arial" w:cs="Arial"/>
              </w:rPr>
              <w:t>6</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pPr>
            <w:r>
              <w:rPr>
                <w:rFonts w:ascii="Arial" w:eastAsia="Arial" w:hAnsi="Arial" w:cs="Arial"/>
              </w:rPr>
              <w:t>313.387,97</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pPr>
            <w:r>
              <w:rPr>
                <w:rFonts w:ascii="Arial" w:eastAsia="Arial" w:hAnsi="Arial" w:cs="Arial"/>
              </w:rPr>
              <w:t>313.387,97</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262"/>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42"/>
              <w:jc w:val="center"/>
            </w:pPr>
            <w:r>
              <w:rPr>
                <w:rFonts w:ascii="Arial" w:eastAsia="Arial" w:hAnsi="Arial" w:cs="Arial"/>
              </w:rPr>
              <w:t>7</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0,00</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264"/>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42"/>
              <w:jc w:val="center"/>
            </w:pPr>
            <w:r>
              <w:rPr>
                <w:rFonts w:ascii="Arial" w:eastAsia="Arial" w:hAnsi="Arial" w:cs="Arial"/>
              </w:rPr>
              <w:t>8</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50.000,00</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50.000,00</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262"/>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42"/>
              <w:jc w:val="center"/>
            </w:pPr>
            <w:r>
              <w:rPr>
                <w:rFonts w:ascii="Arial" w:eastAsia="Arial" w:hAnsi="Arial" w:cs="Arial"/>
              </w:rPr>
              <w:t>9</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pPr>
            <w:r>
              <w:rPr>
                <w:rFonts w:ascii="Arial" w:eastAsia="Arial" w:hAnsi="Arial" w:cs="Arial"/>
              </w:rPr>
              <w:t>612.852,83</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pPr>
            <w:r>
              <w:rPr>
                <w:rFonts w:ascii="Arial" w:eastAsia="Arial" w:hAnsi="Arial" w:cs="Arial"/>
              </w:rPr>
              <w:t>612.852,83</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517"/>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165"/>
            </w:pPr>
            <w:r>
              <w:rPr>
                <w:rFonts w:ascii="Arial" w:eastAsia="Arial" w:hAnsi="Arial" w:cs="Arial"/>
                <w:b/>
              </w:rPr>
              <w:t>TOTAL</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b/>
              </w:rPr>
              <w:t>21.889.853 ,83</w:t>
            </w:r>
          </w:p>
        </w:tc>
        <w:tc>
          <w:tcPr>
            <w:tcW w:w="1280"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pPr>
            <w:r>
              <w:rPr>
                <w:rFonts w:ascii="Arial" w:eastAsia="Arial" w:hAnsi="Arial" w:cs="Arial"/>
                <w:b/>
              </w:rPr>
              <w:t>990.575,72</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1"/>
            </w:pPr>
            <w:r>
              <w:rPr>
                <w:rFonts w:ascii="Arial" w:eastAsia="Arial" w:hAnsi="Arial" w:cs="Arial"/>
                <w:b/>
              </w:rPr>
              <w:t>890.861,86</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b/>
              </w:rPr>
              <w:t>23.771.291 ,41</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b/>
              </w:rPr>
              <w:t>1.122.404, 46</w:t>
            </w:r>
          </w:p>
        </w:tc>
      </w:tr>
    </w:tbl>
    <w:p w:rsidR="00E23B86" w:rsidRDefault="00BA7C13">
      <w:pPr>
        <w:spacing w:after="0" w:line="249" w:lineRule="auto"/>
        <w:ind w:left="768" w:right="7727" w:hanging="304"/>
        <w:jc w:val="both"/>
      </w:pPr>
      <w:r>
        <w:rPr>
          <w:rFonts w:ascii="Arial" w:eastAsia="Arial" w:hAnsi="Arial" w:cs="Arial"/>
          <w:b/>
        </w:rPr>
        <w:t>ESTADO DE</w:t>
      </w:r>
    </w:p>
    <w:p w:rsidR="00E23B86" w:rsidRDefault="00BA7C13">
      <w:pPr>
        <w:spacing w:after="9" w:line="249" w:lineRule="auto"/>
        <w:ind w:left="355" w:right="554" w:hanging="10"/>
        <w:jc w:val="both"/>
      </w:pPr>
      <w:r>
        <w:rPr>
          <w:rFonts w:ascii="Arial" w:eastAsia="Arial" w:hAnsi="Arial" w:cs="Arial"/>
          <w:b/>
        </w:rPr>
        <w:t>CONSOLI</w:t>
      </w:r>
    </w:p>
    <w:p w:rsidR="00E23B86" w:rsidRDefault="00BA7C13">
      <w:pPr>
        <w:spacing w:after="0" w:line="249" w:lineRule="auto"/>
        <w:ind w:left="768" w:right="7750" w:hanging="280"/>
        <w:jc w:val="both"/>
      </w:pPr>
      <w:r>
        <w:rPr>
          <w:rFonts w:ascii="Arial" w:eastAsia="Arial" w:hAnsi="Arial" w:cs="Arial"/>
          <w:b/>
        </w:rPr>
        <w:t>DACION DE</w:t>
      </w:r>
    </w:p>
    <w:p w:rsidR="00E23B86" w:rsidRDefault="00BA7C13">
      <w:pPr>
        <w:spacing w:after="9" w:line="249" w:lineRule="auto"/>
        <w:ind w:left="779" w:right="7837" w:hanging="434"/>
        <w:jc w:val="both"/>
      </w:pPr>
      <w:r>
        <w:rPr>
          <w:noProof/>
        </w:rPr>
        <mc:AlternateContent>
          <mc:Choice Requires="wpg">
            <w:drawing>
              <wp:anchor distT="0" distB="0" distL="114300" distR="114300" simplePos="0" relativeHeight="2517391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1271" name="Group 57127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7241" name="Rectangle 1724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7242" name="Rectangle 1724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79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1271" style="width:12.7031pt;height:280.35pt;position:absolute;mso-position-horizontal-relative:page;mso-position-horizontal:absolute;margin-left:681.958pt;mso-position-vertical-relative:page;margin-top:531.65pt;" coordsize="1613,35604">
                <v:rect id="Rectangle 1724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724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391 </w:t>
                        </w:r>
                      </w:p>
                    </w:txbxContent>
                  </v:textbox>
                </v:rect>
                <w10:wrap type="square"/>
              </v:group>
            </w:pict>
          </mc:Fallback>
        </mc:AlternateContent>
      </w:r>
      <w:r>
        <w:rPr>
          <w:rFonts w:ascii="Arial" w:eastAsia="Arial" w:hAnsi="Arial" w:cs="Arial"/>
          <w:b/>
        </w:rPr>
        <w:t>INGRESO S</w:t>
      </w:r>
    </w:p>
    <w:tbl>
      <w:tblPr>
        <w:tblStyle w:val="TableGrid"/>
        <w:tblW w:w="7680" w:type="dxa"/>
        <w:tblInd w:w="281" w:type="dxa"/>
        <w:tblCellMar>
          <w:top w:w="11" w:type="dxa"/>
          <w:left w:w="80" w:type="dxa"/>
          <w:bottom w:w="0" w:type="dxa"/>
          <w:right w:w="68" w:type="dxa"/>
        </w:tblCellMar>
        <w:tblLook w:val="04A0" w:firstRow="1" w:lastRow="0" w:firstColumn="1" w:lastColumn="0" w:noHBand="0" w:noVBand="1"/>
      </w:tblPr>
      <w:tblGrid>
        <w:gridCol w:w="1275"/>
        <w:gridCol w:w="1282"/>
        <w:gridCol w:w="1282"/>
        <w:gridCol w:w="1282"/>
        <w:gridCol w:w="1282"/>
        <w:gridCol w:w="1277"/>
      </w:tblGrid>
      <w:tr w:rsidR="00E23B86">
        <w:trPr>
          <w:trHeight w:val="769"/>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60"/>
            </w:pPr>
            <w:r>
              <w:rPr>
                <w:rFonts w:ascii="Arial" w:eastAsia="Arial" w:hAnsi="Arial" w:cs="Arial"/>
                <w:b/>
              </w:rPr>
              <w:t>Capítulos</w:t>
            </w:r>
          </w:p>
        </w:tc>
        <w:tc>
          <w:tcPr>
            <w:tcW w:w="1280" w:type="dxa"/>
            <w:tcBorders>
              <w:top w:val="nil"/>
              <w:left w:val="single" w:sz="4" w:space="0" w:color="00000A"/>
              <w:bottom w:val="single" w:sz="4" w:space="0" w:color="00000A"/>
              <w:right w:val="single" w:sz="4" w:space="0" w:color="00000A"/>
            </w:tcBorders>
            <w:vAlign w:val="center"/>
          </w:tcPr>
          <w:p w:rsidR="00E23B86" w:rsidRDefault="00BA7C13">
            <w:pPr>
              <w:spacing w:after="0"/>
              <w:jc w:val="center"/>
            </w:pPr>
            <w:r>
              <w:rPr>
                <w:rFonts w:ascii="Arial" w:eastAsia="Arial" w:hAnsi="Arial" w:cs="Arial"/>
                <w:b/>
              </w:rPr>
              <w:t>Ayuntamie nto</w:t>
            </w:r>
          </w:p>
        </w:tc>
        <w:tc>
          <w:tcPr>
            <w:tcW w:w="1280" w:type="dxa"/>
            <w:tcBorders>
              <w:top w:val="nil"/>
              <w:left w:val="single" w:sz="4" w:space="0" w:color="00000A"/>
              <w:bottom w:val="single" w:sz="4" w:space="0" w:color="00000A"/>
              <w:right w:val="single" w:sz="4" w:space="0" w:color="00000A"/>
            </w:tcBorders>
            <w:vAlign w:val="center"/>
          </w:tcPr>
          <w:p w:rsidR="00E23B86" w:rsidRDefault="00BA7C13">
            <w:pPr>
              <w:spacing w:after="0"/>
              <w:ind w:left="36"/>
              <w:jc w:val="both"/>
            </w:pPr>
            <w:r>
              <w:rPr>
                <w:rFonts w:ascii="Arial" w:eastAsia="Arial" w:hAnsi="Arial" w:cs="Arial"/>
                <w:b/>
              </w:rPr>
              <w:t>EPELCAN</w:t>
            </w:r>
          </w:p>
        </w:tc>
        <w:tc>
          <w:tcPr>
            <w:tcW w:w="1280" w:type="dxa"/>
            <w:tcBorders>
              <w:top w:val="nil"/>
              <w:left w:val="single" w:sz="4" w:space="0" w:color="00000A"/>
              <w:bottom w:val="single" w:sz="4" w:space="0" w:color="00000A"/>
              <w:right w:val="single" w:sz="4" w:space="0" w:color="00000A"/>
            </w:tcBorders>
          </w:tcPr>
          <w:p w:rsidR="00E23B86" w:rsidRDefault="00BA7C13">
            <w:pPr>
              <w:spacing w:after="0"/>
              <w:ind w:right="12"/>
              <w:jc w:val="center"/>
            </w:pPr>
            <w:r>
              <w:rPr>
                <w:rFonts w:ascii="Arial" w:eastAsia="Arial" w:hAnsi="Arial" w:cs="Arial"/>
                <w:b/>
              </w:rPr>
              <w:t>Sdad.</w:t>
            </w:r>
          </w:p>
          <w:p w:rsidR="00E23B86" w:rsidRDefault="00BA7C13">
            <w:pPr>
              <w:spacing w:after="0"/>
              <w:ind w:left="54"/>
            </w:pPr>
            <w:r>
              <w:rPr>
                <w:rFonts w:ascii="Arial" w:eastAsia="Arial" w:hAnsi="Arial" w:cs="Arial"/>
                <w:b/>
              </w:rPr>
              <w:t>Municipal</w:t>
            </w:r>
          </w:p>
          <w:p w:rsidR="00E23B86" w:rsidRDefault="00BA7C13">
            <w:pPr>
              <w:spacing w:after="0"/>
              <w:ind w:left="48"/>
            </w:pPr>
            <w:r>
              <w:rPr>
                <w:rFonts w:ascii="Arial" w:eastAsia="Arial" w:hAnsi="Arial" w:cs="Arial"/>
                <w:b/>
              </w:rPr>
              <w:t>Viviendas</w:t>
            </w:r>
          </w:p>
        </w:tc>
        <w:tc>
          <w:tcPr>
            <w:tcW w:w="1280" w:type="dxa"/>
            <w:tcBorders>
              <w:top w:val="nil"/>
              <w:left w:val="single" w:sz="4" w:space="0" w:color="00000A"/>
              <w:bottom w:val="single" w:sz="4" w:space="0" w:color="00000A"/>
              <w:right w:val="single" w:sz="5" w:space="0" w:color="00000A"/>
            </w:tcBorders>
            <w:vAlign w:val="center"/>
          </w:tcPr>
          <w:p w:rsidR="00E23B86" w:rsidRDefault="00BA7C13">
            <w:pPr>
              <w:spacing w:after="0"/>
              <w:ind w:right="15"/>
              <w:jc w:val="center"/>
            </w:pPr>
            <w:r>
              <w:rPr>
                <w:rFonts w:ascii="Arial" w:eastAsia="Arial" w:hAnsi="Arial" w:cs="Arial"/>
                <w:b/>
              </w:rPr>
              <w:t>Total</w:t>
            </w:r>
          </w:p>
        </w:tc>
        <w:tc>
          <w:tcPr>
            <w:tcW w:w="1279" w:type="dxa"/>
            <w:tcBorders>
              <w:top w:val="nil"/>
              <w:left w:val="single" w:sz="5" w:space="0" w:color="00000A"/>
              <w:bottom w:val="single" w:sz="4" w:space="0" w:color="00000A"/>
              <w:right w:val="single" w:sz="4" w:space="0" w:color="00000A"/>
            </w:tcBorders>
            <w:vAlign w:val="center"/>
          </w:tcPr>
          <w:p w:rsidR="00E23B86" w:rsidRDefault="00BA7C13">
            <w:pPr>
              <w:spacing w:after="0"/>
              <w:jc w:val="center"/>
            </w:pPr>
            <w:r>
              <w:rPr>
                <w:rFonts w:ascii="Arial" w:eastAsia="Arial" w:hAnsi="Arial" w:cs="Arial"/>
                <w:b/>
              </w:rPr>
              <w:t>Eliminacio nes</w:t>
            </w:r>
          </w:p>
        </w:tc>
      </w:tr>
      <w:tr w:rsidR="00E23B86">
        <w:trPr>
          <w:trHeight w:val="516"/>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1"/>
              <w:jc w:val="center"/>
            </w:pPr>
            <w:r>
              <w:rPr>
                <w:rFonts w:ascii="Arial" w:eastAsia="Arial" w:hAnsi="Arial" w:cs="Arial"/>
              </w:rPr>
              <w:t>1</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7.839.385, 00</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7.839.385, 00</w:t>
            </w:r>
          </w:p>
        </w:tc>
        <w:tc>
          <w:tcPr>
            <w:tcW w:w="1279"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r>
      <w:tr w:rsidR="00E23B86">
        <w:trPr>
          <w:trHeight w:val="516"/>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1"/>
              <w:jc w:val="center"/>
            </w:pPr>
            <w:r>
              <w:rPr>
                <w:rFonts w:ascii="Arial" w:eastAsia="Arial" w:hAnsi="Arial" w:cs="Arial"/>
              </w:rPr>
              <w:t>2</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4.635.600, 00</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4.635.600, 00</w:t>
            </w:r>
          </w:p>
        </w:tc>
        <w:tc>
          <w:tcPr>
            <w:tcW w:w="1279"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r>
      <w:tr w:rsidR="00E23B86">
        <w:trPr>
          <w:trHeight w:val="516"/>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1"/>
              <w:jc w:val="center"/>
            </w:pPr>
            <w:r>
              <w:rPr>
                <w:rFonts w:ascii="Arial" w:eastAsia="Arial" w:hAnsi="Arial" w:cs="Arial"/>
              </w:rPr>
              <w:t>3</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1.975.450, 00</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2"/>
            </w:pPr>
            <w:r>
              <w:rPr>
                <w:rFonts w:ascii="Arial" w:eastAsia="Arial" w:hAnsi="Arial" w:cs="Arial"/>
              </w:rPr>
              <w:t>538.929,45</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5.000,00</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2.519.379, 45</w:t>
            </w:r>
          </w:p>
        </w:tc>
        <w:tc>
          <w:tcPr>
            <w:tcW w:w="1279"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r>
      <w:tr w:rsidR="00E23B86">
        <w:trPr>
          <w:trHeight w:val="516"/>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1"/>
              <w:jc w:val="center"/>
            </w:pPr>
            <w:r>
              <w:rPr>
                <w:rFonts w:ascii="Arial" w:eastAsia="Arial" w:hAnsi="Arial" w:cs="Arial"/>
              </w:rPr>
              <w:t>4</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7.022.228, 63</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2"/>
            </w:pPr>
            <w:r>
              <w:rPr>
                <w:rFonts w:ascii="Arial" w:eastAsia="Arial" w:hAnsi="Arial" w:cs="Arial"/>
              </w:rPr>
              <w:t>451.646,27</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2"/>
            </w:pPr>
            <w:r>
              <w:rPr>
                <w:rFonts w:ascii="Arial" w:eastAsia="Arial" w:hAnsi="Arial" w:cs="Arial"/>
              </w:rPr>
              <w:t>885.861,86</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8.359.736, 76</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1.122.404, 46</w:t>
            </w:r>
          </w:p>
        </w:tc>
      </w:tr>
      <w:tr w:rsidR="00E23B86">
        <w:trPr>
          <w:trHeight w:val="262"/>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1"/>
              <w:jc w:val="center"/>
            </w:pPr>
            <w:r>
              <w:rPr>
                <w:rFonts w:ascii="Arial" w:eastAsia="Arial" w:hAnsi="Arial" w:cs="Arial"/>
              </w:rPr>
              <w:t>5</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7.955,00</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7.955,00</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r>
      <w:tr w:rsidR="00E23B86">
        <w:trPr>
          <w:trHeight w:val="264"/>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1"/>
              <w:jc w:val="center"/>
            </w:pPr>
            <w:r>
              <w:rPr>
                <w:rFonts w:ascii="Arial" w:eastAsia="Arial" w:hAnsi="Arial" w:cs="Arial"/>
              </w:rPr>
              <w:t>7</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2"/>
            </w:pPr>
            <w:r>
              <w:rPr>
                <w:rFonts w:ascii="Arial" w:eastAsia="Arial" w:hAnsi="Arial" w:cs="Arial"/>
              </w:rPr>
              <w:t>409.235,20</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2"/>
            </w:pPr>
            <w:r>
              <w:rPr>
                <w:rFonts w:ascii="Arial" w:eastAsia="Arial" w:hAnsi="Arial" w:cs="Arial"/>
              </w:rPr>
              <w:t>409.235,20</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r>
      <w:tr w:rsidR="00E23B86">
        <w:trPr>
          <w:trHeight w:val="262"/>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1"/>
              <w:jc w:val="center"/>
            </w:pPr>
            <w:r>
              <w:rPr>
                <w:rFonts w:ascii="Arial" w:eastAsia="Arial" w:hAnsi="Arial" w:cs="Arial"/>
              </w:rPr>
              <w:t>8</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0,00</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r>
      <w:tr w:rsidR="00E23B86">
        <w:trPr>
          <w:trHeight w:val="264"/>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1"/>
              <w:jc w:val="center"/>
            </w:pPr>
            <w:r>
              <w:rPr>
                <w:rFonts w:ascii="Arial" w:eastAsia="Arial" w:hAnsi="Arial" w:cs="Arial"/>
              </w:rPr>
              <w:t>9</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0,00</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r>
      <w:tr w:rsidR="00E23B86">
        <w:trPr>
          <w:trHeight w:val="517"/>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196"/>
            </w:pPr>
            <w:r>
              <w:rPr>
                <w:rFonts w:ascii="Arial" w:eastAsia="Arial" w:hAnsi="Arial" w:cs="Arial"/>
                <w:b/>
              </w:rPr>
              <w:t>TOTAL</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b/>
              </w:rPr>
              <w:t>21.889.853 ,83</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2"/>
            </w:pPr>
            <w:r>
              <w:rPr>
                <w:rFonts w:ascii="Arial" w:eastAsia="Arial" w:hAnsi="Arial" w:cs="Arial"/>
                <w:b/>
              </w:rPr>
              <w:t>990.575,72</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2"/>
            </w:pPr>
            <w:r>
              <w:rPr>
                <w:rFonts w:ascii="Arial" w:eastAsia="Arial" w:hAnsi="Arial" w:cs="Arial"/>
                <w:b/>
              </w:rPr>
              <w:t>890.861,86</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b/>
              </w:rPr>
              <w:t>23.771.291 ,41</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b/>
              </w:rPr>
              <w:t>1.122.404, 46</w:t>
            </w:r>
          </w:p>
        </w:tc>
      </w:tr>
      <w:tr w:rsidR="00E23B86">
        <w:trPr>
          <w:trHeight w:val="264"/>
        </w:trPr>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b/>
              </w:rPr>
              <w:t>Superávit</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b/>
              </w:rPr>
              <w:t>0,00</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b/>
              </w:rPr>
              <w:t>0,00</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b/>
              </w:rPr>
              <w:t>0,00</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b/>
              </w:rPr>
              <w:t>0,00</w:t>
            </w:r>
          </w:p>
        </w:tc>
        <w:tc>
          <w:tcPr>
            <w:tcW w:w="1279"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b/>
              </w:rPr>
              <w:t>0,00</w:t>
            </w:r>
          </w:p>
        </w:tc>
      </w:tr>
    </w:tbl>
    <w:p w:rsidR="00E23B86" w:rsidRDefault="00BA7C13">
      <w:pPr>
        <w:spacing w:after="111" w:line="249" w:lineRule="auto"/>
        <w:ind w:left="355" w:right="554" w:hanging="10"/>
        <w:jc w:val="both"/>
      </w:pPr>
      <w:r>
        <w:rPr>
          <w:rFonts w:ascii="Arial" w:eastAsia="Arial" w:hAnsi="Arial" w:cs="Arial"/>
          <w:b/>
        </w:rPr>
        <w:t>II.-  Plantilla Orgánica</w:t>
      </w:r>
    </w:p>
    <w:p w:rsidR="00E23B86" w:rsidRDefault="00BA7C13">
      <w:pPr>
        <w:numPr>
          <w:ilvl w:val="0"/>
          <w:numId w:val="31"/>
        </w:numPr>
        <w:spacing w:after="9" w:line="249" w:lineRule="auto"/>
        <w:ind w:right="554" w:hanging="708"/>
        <w:jc w:val="both"/>
      </w:pPr>
      <w:r>
        <w:rPr>
          <w:rFonts w:ascii="Arial" w:eastAsia="Arial" w:hAnsi="Arial" w:cs="Arial"/>
          <w:b/>
        </w:rPr>
        <w:t>PLAZAS RESERVADAS A FUNCIONARIOS/AS</w:t>
      </w:r>
    </w:p>
    <w:tbl>
      <w:tblPr>
        <w:tblStyle w:val="TableGrid"/>
        <w:tblW w:w="7792" w:type="dxa"/>
        <w:tblInd w:w="243" w:type="dxa"/>
        <w:tblCellMar>
          <w:top w:w="10" w:type="dxa"/>
          <w:left w:w="109" w:type="dxa"/>
          <w:bottom w:w="0" w:type="dxa"/>
          <w:right w:w="107" w:type="dxa"/>
        </w:tblCellMar>
        <w:tblLook w:val="04A0" w:firstRow="1" w:lastRow="0" w:firstColumn="1" w:lastColumn="0" w:noHBand="0" w:noVBand="1"/>
      </w:tblPr>
      <w:tblGrid>
        <w:gridCol w:w="4282"/>
        <w:gridCol w:w="1051"/>
        <w:gridCol w:w="1276"/>
        <w:gridCol w:w="1183"/>
      </w:tblGrid>
      <w:tr w:rsidR="00E23B86">
        <w:trPr>
          <w:trHeight w:val="380"/>
        </w:trPr>
        <w:tc>
          <w:tcPr>
            <w:tcW w:w="4296"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b/>
              </w:rPr>
              <w:t>Plazas</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both"/>
            </w:pPr>
            <w:r>
              <w:rPr>
                <w:rFonts w:ascii="Arial" w:eastAsia="Arial" w:hAnsi="Arial" w:cs="Arial"/>
                <w:b/>
              </w:rPr>
              <w:t>Número</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3"/>
              <w:jc w:val="both"/>
            </w:pPr>
            <w:r>
              <w:rPr>
                <w:rFonts w:ascii="Arial" w:eastAsia="Arial" w:hAnsi="Arial" w:cs="Arial"/>
                <w:b/>
              </w:rPr>
              <w:t>Subgrupo</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both"/>
            </w:pPr>
            <w:r>
              <w:rPr>
                <w:rFonts w:ascii="Arial" w:eastAsia="Arial" w:hAnsi="Arial" w:cs="Arial"/>
                <w:b/>
              </w:rPr>
              <w:t>Vacantes</w:t>
            </w:r>
          </w:p>
        </w:tc>
      </w:tr>
      <w:tr w:rsidR="00E23B86">
        <w:trPr>
          <w:trHeight w:val="636"/>
        </w:trPr>
        <w:tc>
          <w:tcPr>
            <w:tcW w:w="4296"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b/>
              </w:rPr>
              <w:t>I.- FUNCIONARIOS CON HABILITACIÓN NACIONAL</w:t>
            </w:r>
          </w:p>
        </w:tc>
        <w:tc>
          <w:tcPr>
            <w:tcW w:w="1048" w:type="dxa"/>
            <w:tcBorders>
              <w:top w:val="single" w:sz="4" w:space="0" w:color="00000A"/>
              <w:left w:val="single" w:sz="4" w:space="0" w:color="00000A"/>
              <w:bottom w:val="single" w:sz="4" w:space="0" w:color="00000A"/>
              <w:right w:val="single" w:sz="4" w:space="0" w:color="00000A"/>
            </w:tcBorders>
          </w:tcPr>
          <w:p w:rsidR="00E23B86" w:rsidRDefault="00E23B86"/>
        </w:tc>
        <w:tc>
          <w:tcPr>
            <w:tcW w:w="1276" w:type="dxa"/>
            <w:tcBorders>
              <w:top w:val="single" w:sz="4" w:space="0" w:color="00000A"/>
              <w:left w:val="single" w:sz="4"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5"/>
        </w:trPr>
        <w:tc>
          <w:tcPr>
            <w:tcW w:w="4296"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Interventor/a</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0</w:t>
            </w:r>
          </w:p>
        </w:tc>
      </w:tr>
    </w:tbl>
    <w:tbl>
      <w:tblPr>
        <w:tblStyle w:val="TableGrid"/>
        <w:tblpPr w:vertAnchor="text" w:tblpX="243"/>
        <w:tblOverlap w:val="never"/>
        <w:tblW w:w="7792" w:type="dxa"/>
        <w:tblInd w:w="0" w:type="dxa"/>
        <w:tblCellMar>
          <w:top w:w="11" w:type="dxa"/>
          <w:left w:w="109" w:type="dxa"/>
          <w:bottom w:w="0" w:type="dxa"/>
          <w:right w:w="96" w:type="dxa"/>
        </w:tblCellMar>
        <w:tblLook w:val="04A0" w:firstRow="1" w:lastRow="0" w:firstColumn="1" w:lastColumn="0" w:noHBand="0" w:noVBand="1"/>
      </w:tblPr>
      <w:tblGrid>
        <w:gridCol w:w="4296"/>
        <w:gridCol w:w="1048"/>
        <w:gridCol w:w="1276"/>
        <w:gridCol w:w="1172"/>
      </w:tblGrid>
      <w:tr w:rsidR="00E23B86">
        <w:trPr>
          <w:trHeight w:val="383"/>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Secretario/a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0</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Tesorero/a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0</w:t>
            </w:r>
          </w:p>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ind w:right="12"/>
              <w:jc w:val="right"/>
            </w:pPr>
            <w:r>
              <w:rPr>
                <w:rFonts w:ascii="Arial" w:eastAsia="Arial" w:hAnsi="Arial" w:cs="Arial"/>
                <w:b/>
              </w:rPr>
              <w:t>Total Habilitados Nacionales</w:t>
            </w:r>
          </w:p>
        </w:tc>
        <w:tc>
          <w:tcPr>
            <w:tcW w:w="1048"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BA7C13">
            <w:pPr>
              <w:spacing w:after="0"/>
              <w:ind w:right="9"/>
              <w:jc w:val="center"/>
            </w:pPr>
            <w:r>
              <w:rPr>
                <w:rFonts w:ascii="Arial" w:eastAsia="Arial" w:hAnsi="Arial" w:cs="Arial"/>
                <w:b/>
              </w:rPr>
              <w:t>3</w:t>
            </w:r>
          </w:p>
        </w:tc>
        <w:tc>
          <w:tcPr>
            <w:tcW w:w="1276"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E23B86"/>
        </w:tc>
        <w:tc>
          <w:tcPr>
            <w:tcW w:w="1172"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BA7C13">
            <w:pPr>
              <w:spacing w:after="0"/>
              <w:ind w:right="13"/>
              <w:jc w:val="center"/>
            </w:pPr>
            <w:r>
              <w:rPr>
                <w:rFonts w:ascii="Arial" w:eastAsia="Arial" w:hAnsi="Arial" w:cs="Arial"/>
                <w:b/>
              </w:rPr>
              <w:t>0</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shd w:val="clear" w:color="auto" w:fill="FFFFFF"/>
          </w:tcPr>
          <w:p w:rsidR="00E23B86" w:rsidRDefault="00BA7C13">
            <w:pPr>
              <w:spacing w:after="0"/>
            </w:pPr>
            <w:r>
              <w:rPr>
                <w:rFonts w:ascii="Arial" w:eastAsia="Arial" w:hAnsi="Arial" w:cs="Arial"/>
                <w:b/>
              </w:rPr>
              <w:t>II.- ADMINISTRACIÓN GENERAL</w:t>
            </w:r>
          </w:p>
        </w:tc>
        <w:tc>
          <w:tcPr>
            <w:tcW w:w="1048"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c>
          <w:tcPr>
            <w:tcW w:w="1276"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c>
          <w:tcPr>
            <w:tcW w:w="1172"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60"/>
            </w:pPr>
            <w:r>
              <w:rPr>
                <w:rFonts w:ascii="Arial" w:eastAsia="Arial" w:hAnsi="Arial" w:cs="Arial"/>
                <w:b/>
              </w:rPr>
              <w:t xml:space="preserve">A) SUBESCALA TÉCNICA </w:t>
            </w:r>
          </w:p>
        </w:tc>
        <w:tc>
          <w:tcPr>
            <w:tcW w:w="104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Jurídico Alcaldía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Jurídico Área Gobierno</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6</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6</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Gestión Presupuestaria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636"/>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Contratación, compras y patrimonio</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Jurídico Gestión Tributaria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251"/>
              <w:jc w:val="center"/>
            </w:pPr>
            <w:r>
              <w:rPr>
                <w:rFonts w:ascii="Arial" w:eastAsia="Arial" w:hAnsi="Arial" w:cs="Arial"/>
                <w:b/>
              </w:rPr>
              <w:t>B) SUBESCALA ADMINISTRATIVA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Administrativo/a Área de Gobierno</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4</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C1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4</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60"/>
            </w:pPr>
            <w:r>
              <w:rPr>
                <w:rFonts w:ascii="Arial" w:eastAsia="Arial" w:hAnsi="Arial" w:cs="Arial"/>
                <w:b/>
              </w:rPr>
              <w:t>C) SUBESCALA AUXILIAR</w:t>
            </w:r>
          </w:p>
        </w:tc>
        <w:tc>
          <w:tcPr>
            <w:tcW w:w="104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Auxiliar Apoyo Servicios Informáticos</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C2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Auxiliar Áreas de Gobierno</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39</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C2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32</w:t>
            </w:r>
          </w:p>
        </w:tc>
      </w:tr>
      <w:tr w:rsidR="00E23B86">
        <w:trPr>
          <w:trHeight w:val="636"/>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Gestor/a de Información y atención ciudadana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5</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C2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4</w:t>
            </w:r>
          </w:p>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ind w:right="12"/>
              <w:jc w:val="right"/>
            </w:pPr>
            <w:r>
              <w:rPr>
                <w:rFonts w:ascii="Arial" w:eastAsia="Arial" w:hAnsi="Arial" w:cs="Arial"/>
                <w:b/>
              </w:rPr>
              <w:t>Total Administración General</w:t>
            </w:r>
          </w:p>
        </w:tc>
        <w:tc>
          <w:tcPr>
            <w:tcW w:w="1048"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BA7C13">
            <w:pPr>
              <w:spacing w:after="0"/>
              <w:ind w:right="11"/>
              <w:jc w:val="center"/>
            </w:pPr>
            <w:r>
              <w:rPr>
                <w:rFonts w:ascii="Arial" w:eastAsia="Arial" w:hAnsi="Arial" w:cs="Arial"/>
                <w:b/>
              </w:rPr>
              <w:t>59</w:t>
            </w:r>
          </w:p>
        </w:tc>
        <w:tc>
          <w:tcPr>
            <w:tcW w:w="1276"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E23B86"/>
        </w:tc>
        <w:tc>
          <w:tcPr>
            <w:tcW w:w="1172"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BA7C13">
            <w:pPr>
              <w:spacing w:after="0"/>
              <w:ind w:right="11"/>
              <w:jc w:val="center"/>
            </w:pPr>
            <w:r>
              <w:rPr>
                <w:rFonts w:ascii="Arial" w:eastAsia="Arial" w:hAnsi="Arial" w:cs="Arial"/>
                <w:b/>
              </w:rPr>
              <w:t>51</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shd w:val="clear" w:color="auto" w:fill="FFFFFF"/>
          </w:tcPr>
          <w:p w:rsidR="00E23B86" w:rsidRDefault="00BA7C13">
            <w:pPr>
              <w:spacing w:after="0"/>
            </w:pPr>
            <w:r>
              <w:rPr>
                <w:rFonts w:ascii="Arial" w:eastAsia="Arial" w:hAnsi="Arial" w:cs="Arial"/>
                <w:b/>
              </w:rPr>
              <w:t>III.- ADMINISTRACIÓN ESPECIAL</w:t>
            </w:r>
          </w:p>
        </w:tc>
        <w:tc>
          <w:tcPr>
            <w:tcW w:w="1048"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c>
          <w:tcPr>
            <w:tcW w:w="1276"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c>
          <w:tcPr>
            <w:tcW w:w="1172"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r>
      <w:tr w:rsidR="00E23B86">
        <w:trPr>
          <w:trHeight w:val="516"/>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tabs>
                <w:tab w:val="center" w:pos="1225"/>
                <w:tab w:val="center" w:pos="2565"/>
                <w:tab w:val="center" w:pos="3602"/>
              </w:tabs>
              <w:spacing w:after="0"/>
            </w:pPr>
            <w:r>
              <w:tab/>
            </w:r>
            <w:r>
              <w:rPr>
                <w:rFonts w:ascii="Arial" w:eastAsia="Arial" w:hAnsi="Arial" w:cs="Arial"/>
              </w:rPr>
              <w:t xml:space="preserve">A) </w:t>
            </w:r>
            <w:r>
              <w:rPr>
                <w:rFonts w:ascii="Arial" w:eastAsia="Arial" w:hAnsi="Arial" w:cs="Arial"/>
                <w:b/>
              </w:rPr>
              <w:t>SUBESCALA</w:t>
            </w:r>
            <w:r>
              <w:rPr>
                <w:rFonts w:ascii="Arial" w:eastAsia="Arial" w:hAnsi="Arial" w:cs="Arial"/>
                <w:b/>
              </w:rPr>
              <w:tab/>
              <w:t xml:space="preserve"> </w:t>
            </w:r>
            <w:r>
              <w:rPr>
                <w:rFonts w:ascii="Arial" w:eastAsia="Arial" w:hAnsi="Arial" w:cs="Arial"/>
                <w:b/>
              </w:rPr>
              <w:tab/>
              <w:t>TÉCNICA</w:t>
            </w:r>
          </w:p>
          <w:p w:rsidR="00E23B86" w:rsidRDefault="00BA7C13">
            <w:pPr>
              <w:spacing w:after="0"/>
              <w:ind w:left="720"/>
            </w:pPr>
            <w:r>
              <w:rPr>
                <w:rFonts w:ascii="Arial" w:eastAsia="Arial" w:hAnsi="Arial" w:cs="Arial"/>
                <w:b/>
              </w:rPr>
              <w:t>SUPERIOR</w:t>
            </w:r>
          </w:p>
        </w:tc>
        <w:tc>
          <w:tcPr>
            <w:tcW w:w="104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Arquitecto/a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de Accesibilidad</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Psicólogo/a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Pedagogo/a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Logopeda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de Sanidad</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636"/>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de Identidad Canaria, Tradiciones y museo</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636"/>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de Desarrollo y Medio Ambiente</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636"/>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de Recursos patrimoniales, artesanía y etnografía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264"/>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en Participación ciudadana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Agente de Desarrollo Local</w:t>
            </w:r>
          </w:p>
        </w:tc>
        <w:tc>
          <w:tcPr>
            <w:tcW w:w="104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9"/>
              <w:jc w:val="center"/>
            </w:pPr>
            <w:r>
              <w:rPr>
                <w:rFonts w:ascii="Arial" w:eastAsia="Arial" w:hAnsi="Arial" w:cs="Arial"/>
              </w:rPr>
              <w:t>3</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A1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3</w:t>
            </w:r>
          </w:p>
        </w:tc>
      </w:tr>
      <w:tr w:rsidR="00E23B86">
        <w:trPr>
          <w:trHeight w:val="385"/>
        </w:trPr>
        <w:tc>
          <w:tcPr>
            <w:tcW w:w="429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50"/>
              <w:jc w:val="center"/>
            </w:pPr>
            <w:r>
              <w:rPr>
                <w:rFonts w:ascii="Arial" w:eastAsia="Arial" w:hAnsi="Arial" w:cs="Arial"/>
                <w:b/>
              </w:rPr>
              <w:t>B) SUBESCALA TÉCNICA MEDIA</w:t>
            </w:r>
          </w:p>
        </w:tc>
        <w:tc>
          <w:tcPr>
            <w:tcW w:w="104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E23B86"/>
        </w:tc>
      </w:tr>
    </w:tbl>
    <w:p w:rsidR="00E23B86" w:rsidRDefault="00BA7C13">
      <w:pPr>
        <w:spacing w:after="0"/>
        <w:ind w:left="-2486" w:right="1374"/>
      </w:pPr>
      <w:r>
        <w:rPr>
          <w:noProof/>
        </w:rPr>
        <mc:AlternateContent>
          <mc:Choice Requires="wpg">
            <w:drawing>
              <wp:anchor distT="0" distB="0" distL="114300" distR="114300" simplePos="0" relativeHeight="251740160"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3477" name="Group 60347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7833" name="Rectangle 1783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7834" name="Rectangle 1783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80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3477" style="width:12.7031pt;height:280.35pt;position:absolute;mso-position-horizontal-relative:page;mso-position-horizontal:absolute;margin-left:681.958pt;mso-position-vertical-relative:page;margin-top:531.65pt;" coordsize="1613,35604">
                <v:rect id="Rectangle 1783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783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391 </w:t>
                        </w:r>
                      </w:p>
                    </w:txbxContent>
                  </v:textbox>
                </v:rect>
                <w10:wrap type="topAndBottom"/>
              </v:group>
            </w:pict>
          </mc:Fallback>
        </mc:AlternateContent>
      </w:r>
      <w:r>
        <w:br w:type="page"/>
      </w:r>
    </w:p>
    <w:tbl>
      <w:tblPr>
        <w:tblStyle w:val="TableGrid"/>
        <w:tblW w:w="7792" w:type="dxa"/>
        <w:tblInd w:w="243" w:type="dxa"/>
        <w:tblCellMar>
          <w:top w:w="11" w:type="dxa"/>
          <w:left w:w="109" w:type="dxa"/>
          <w:bottom w:w="0" w:type="dxa"/>
          <w:right w:w="107" w:type="dxa"/>
        </w:tblCellMar>
        <w:tblLook w:val="04A0" w:firstRow="1" w:lastRow="0" w:firstColumn="1" w:lastColumn="0" w:noHBand="0" w:noVBand="1"/>
      </w:tblPr>
      <w:tblGrid>
        <w:gridCol w:w="4296"/>
        <w:gridCol w:w="1048"/>
        <w:gridCol w:w="1276"/>
        <w:gridCol w:w="1172"/>
      </w:tblGrid>
      <w:tr w:rsidR="00E23B86">
        <w:trPr>
          <w:trHeight w:val="383"/>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Arquitecto Técnico</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5</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5</w:t>
            </w:r>
          </w:p>
        </w:tc>
      </w:tr>
      <w:tr w:rsidR="00E23B86">
        <w:trPr>
          <w:trHeight w:val="382"/>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Ingeniero/a Técnico/a Topógrafo/a</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Ingeniero/a Técnico/a Industrial</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Técnico/a Servicios de Igualdad</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Técnico/a de Menor y familia</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636"/>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Técnico/a de Servicios Mayores y Discapacidad</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636"/>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Técnico/a Servicios de Información, Orientación y Valoración</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636"/>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 xml:space="preserve">Técnico/a de Servicios </w:t>
            </w:r>
          </w:p>
          <w:p w:rsidR="00E23B86" w:rsidRDefault="00BA7C13">
            <w:pPr>
              <w:spacing w:after="0"/>
            </w:pPr>
            <w:r>
              <w:rPr>
                <w:rFonts w:ascii="Arial" w:eastAsia="Arial" w:hAnsi="Arial" w:cs="Arial"/>
              </w:rPr>
              <w:t>Drogodependencias e Inserción</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Trabajador/a Social</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5</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5</w:t>
            </w:r>
          </w:p>
        </w:tc>
      </w:tr>
      <w:tr w:rsidR="00E23B86">
        <w:trPr>
          <w:trHeight w:val="384"/>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Educador/a-Maestro/a</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Fisioterapeuta</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Archivero/a</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Técnico/a Comercio y Turismo</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Gestor de Recursos Humanos</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2"/>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Informador/a Turístico/a</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60"/>
            </w:pPr>
            <w:r>
              <w:rPr>
                <w:rFonts w:ascii="Arial" w:eastAsia="Arial" w:hAnsi="Arial" w:cs="Arial"/>
                <w:b/>
              </w:rPr>
              <w:t>C) SERVICIOS ESPECIALES</w:t>
            </w:r>
          </w:p>
        </w:tc>
        <w:tc>
          <w:tcPr>
            <w:tcW w:w="1048" w:type="dxa"/>
            <w:tcBorders>
              <w:top w:val="single" w:sz="4" w:space="0" w:color="00000A"/>
              <w:left w:val="single" w:sz="4" w:space="0" w:color="00000A"/>
              <w:bottom w:val="single" w:sz="4" w:space="0" w:color="00000A"/>
              <w:right w:val="single" w:sz="4" w:space="0" w:color="00000A"/>
            </w:tcBorders>
          </w:tcPr>
          <w:p w:rsidR="00E23B86" w:rsidRDefault="00E23B86"/>
        </w:tc>
        <w:tc>
          <w:tcPr>
            <w:tcW w:w="1276" w:type="dxa"/>
            <w:tcBorders>
              <w:top w:val="single" w:sz="4" w:space="0" w:color="00000A"/>
              <w:left w:val="single" w:sz="4"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2"/>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Inspector/a</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1</w:t>
            </w:r>
          </w:p>
        </w:tc>
      </w:tr>
      <w:tr w:rsidR="00E23B86">
        <w:trPr>
          <w:trHeight w:val="384"/>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Subinspector/a</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A2</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0</w:t>
            </w:r>
          </w:p>
        </w:tc>
      </w:tr>
      <w:tr w:rsidR="00E23B86">
        <w:trPr>
          <w:trHeight w:val="382"/>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Oficial</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7</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C1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4</w:t>
            </w:r>
          </w:p>
        </w:tc>
      </w:tr>
      <w:tr w:rsidR="00E23B86">
        <w:trPr>
          <w:trHeight w:val="384"/>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Policía Local</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27</w:t>
            </w:r>
          </w:p>
        </w:tc>
        <w:tc>
          <w:tcPr>
            <w:tcW w:w="127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C1</w:t>
            </w:r>
          </w:p>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center"/>
            </w:pPr>
            <w:r>
              <w:rPr>
                <w:rFonts w:ascii="Arial" w:eastAsia="Arial" w:hAnsi="Arial" w:cs="Arial"/>
              </w:rPr>
              <w:t>3</w:t>
            </w:r>
          </w:p>
        </w:tc>
      </w:tr>
      <w:tr w:rsidR="00E23B86">
        <w:trPr>
          <w:trHeight w:val="382"/>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2"/>
              <w:jc w:val="right"/>
            </w:pPr>
            <w:r>
              <w:rPr>
                <w:rFonts w:ascii="Arial" w:eastAsia="Arial" w:hAnsi="Arial" w:cs="Arial"/>
                <w:b/>
              </w:rPr>
              <w:t>Administración Especial</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b/>
              </w:rPr>
              <w:t>72</w:t>
            </w:r>
          </w:p>
        </w:tc>
        <w:tc>
          <w:tcPr>
            <w:tcW w:w="1276" w:type="dxa"/>
            <w:tcBorders>
              <w:top w:val="single" w:sz="4" w:space="0" w:color="00000A"/>
              <w:left w:val="single" w:sz="4"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center"/>
            </w:pPr>
            <w:r>
              <w:rPr>
                <w:rFonts w:ascii="Arial" w:eastAsia="Arial" w:hAnsi="Arial" w:cs="Arial"/>
                <w:b/>
              </w:rPr>
              <w:t>44</w:t>
            </w:r>
          </w:p>
        </w:tc>
      </w:tr>
      <w:tr w:rsidR="00E23B86">
        <w:trPr>
          <w:trHeight w:val="384"/>
        </w:trPr>
        <w:tc>
          <w:tcPr>
            <w:tcW w:w="4296" w:type="dxa"/>
            <w:tcBorders>
              <w:top w:val="single" w:sz="4" w:space="0" w:color="00000A"/>
              <w:left w:val="single" w:sz="4" w:space="0" w:color="00000A"/>
              <w:bottom w:val="single" w:sz="4" w:space="0" w:color="00000A"/>
              <w:right w:val="single" w:sz="4" w:space="0" w:color="00000A"/>
            </w:tcBorders>
          </w:tcPr>
          <w:p w:rsidR="00E23B86" w:rsidRDefault="00E23B86"/>
        </w:tc>
        <w:tc>
          <w:tcPr>
            <w:tcW w:w="1048" w:type="dxa"/>
            <w:tcBorders>
              <w:top w:val="single" w:sz="4" w:space="0" w:color="00000A"/>
              <w:left w:val="single" w:sz="4" w:space="0" w:color="00000A"/>
              <w:bottom w:val="single" w:sz="4" w:space="0" w:color="00000A"/>
              <w:right w:val="single" w:sz="4" w:space="0" w:color="00000A"/>
            </w:tcBorders>
          </w:tcPr>
          <w:p w:rsidR="00E23B86" w:rsidRDefault="00E23B86"/>
        </w:tc>
        <w:tc>
          <w:tcPr>
            <w:tcW w:w="1276" w:type="dxa"/>
            <w:tcBorders>
              <w:top w:val="single" w:sz="4" w:space="0" w:color="00000A"/>
              <w:left w:val="single" w:sz="4"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3"/>
        </w:trPr>
        <w:tc>
          <w:tcPr>
            <w:tcW w:w="4296"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b/>
              </w:rPr>
              <w:t>Total Funcionarios</w:t>
            </w:r>
          </w:p>
        </w:tc>
        <w:tc>
          <w:tcPr>
            <w:tcW w:w="104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b/>
              </w:rPr>
              <w:t>134</w:t>
            </w:r>
          </w:p>
        </w:tc>
        <w:tc>
          <w:tcPr>
            <w:tcW w:w="1276" w:type="dxa"/>
            <w:tcBorders>
              <w:top w:val="single" w:sz="4" w:space="0" w:color="00000A"/>
              <w:left w:val="single" w:sz="4" w:space="0" w:color="00000A"/>
              <w:bottom w:val="single" w:sz="4" w:space="0" w:color="00000A"/>
              <w:right w:val="single" w:sz="5" w:space="0" w:color="00000A"/>
            </w:tcBorders>
          </w:tcPr>
          <w:p w:rsidR="00E23B86" w:rsidRDefault="00E23B86"/>
        </w:tc>
        <w:tc>
          <w:tcPr>
            <w:tcW w:w="1172"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center"/>
            </w:pPr>
            <w:r>
              <w:rPr>
                <w:rFonts w:ascii="Arial" w:eastAsia="Arial" w:hAnsi="Arial" w:cs="Arial"/>
                <w:b/>
              </w:rPr>
              <w:t>95</w:t>
            </w:r>
          </w:p>
        </w:tc>
      </w:tr>
    </w:tbl>
    <w:p w:rsidR="00E23B86" w:rsidRDefault="00BA7C13">
      <w:pPr>
        <w:numPr>
          <w:ilvl w:val="0"/>
          <w:numId w:val="31"/>
        </w:numPr>
        <w:spacing w:after="9" w:line="249" w:lineRule="auto"/>
        <w:ind w:right="554" w:hanging="708"/>
        <w:jc w:val="both"/>
      </w:pPr>
      <w:r>
        <w:rPr>
          <w:noProof/>
        </w:rPr>
        <mc:AlternateContent>
          <mc:Choice Requires="wpg">
            <w:drawing>
              <wp:anchor distT="0" distB="0" distL="114300" distR="114300" simplePos="0" relativeHeight="2517411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1974" name="Group 59197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8343" name="Rectangle 1834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8344" name="Rectangle 1834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1974" style="width:12.7031pt;height:280.35pt;position:absolute;mso-position-horizontal-relative:page;mso-position-horizontal:absolute;margin-left:681.958pt;mso-position-vertical-relative:page;margin-top:531.65pt;" coordsize="1613,35604">
                <v:rect id="Rectangle 1834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834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391 </w:t>
                        </w:r>
                      </w:p>
                    </w:txbxContent>
                  </v:textbox>
                </v:rect>
                <w10:wrap type="square"/>
              </v:group>
            </w:pict>
          </mc:Fallback>
        </mc:AlternateContent>
      </w:r>
      <w:r>
        <w:rPr>
          <w:rFonts w:ascii="Arial" w:eastAsia="Arial" w:hAnsi="Arial" w:cs="Arial"/>
          <w:b/>
        </w:rPr>
        <w:t>PLAZAS RESERVADAS A PERSONAL LABORAL</w:t>
      </w:r>
    </w:p>
    <w:tbl>
      <w:tblPr>
        <w:tblStyle w:val="TableGrid"/>
        <w:tblW w:w="6658" w:type="dxa"/>
        <w:tblInd w:w="243" w:type="dxa"/>
        <w:tblCellMar>
          <w:top w:w="10" w:type="dxa"/>
          <w:left w:w="109" w:type="dxa"/>
          <w:bottom w:w="0" w:type="dxa"/>
          <w:right w:w="105" w:type="dxa"/>
        </w:tblCellMar>
        <w:tblLook w:val="04A0" w:firstRow="1" w:lastRow="0" w:firstColumn="1" w:lastColumn="0" w:noHBand="0" w:noVBand="1"/>
      </w:tblPr>
      <w:tblGrid>
        <w:gridCol w:w="4387"/>
        <w:gridCol w:w="993"/>
        <w:gridCol w:w="1278"/>
      </w:tblGrid>
      <w:tr w:rsidR="00E23B86">
        <w:trPr>
          <w:trHeight w:val="382"/>
        </w:trPr>
        <w:tc>
          <w:tcPr>
            <w:tcW w:w="4388"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Plaza</w:t>
            </w:r>
          </w:p>
        </w:tc>
        <w:tc>
          <w:tcPr>
            <w:tcW w:w="99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0"/>
              <w:jc w:val="center"/>
            </w:pPr>
            <w:r>
              <w:rPr>
                <w:rFonts w:ascii="Arial" w:eastAsia="Arial" w:hAnsi="Arial" w:cs="Arial"/>
              </w:rPr>
              <w:t>Nº</w:t>
            </w:r>
          </w:p>
        </w:tc>
        <w:tc>
          <w:tcPr>
            <w:tcW w:w="127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Vacante</w:t>
            </w:r>
          </w:p>
        </w:tc>
      </w:tr>
      <w:tr w:rsidR="00E23B86">
        <w:trPr>
          <w:trHeight w:val="382"/>
        </w:trPr>
        <w:tc>
          <w:tcPr>
            <w:tcW w:w="4388"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Fosero/a</w:t>
            </w:r>
          </w:p>
        </w:tc>
        <w:tc>
          <w:tcPr>
            <w:tcW w:w="99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1"/>
              <w:jc w:val="center"/>
            </w:pPr>
            <w:r>
              <w:rPr>
                <w:rFonts w:ascii="Arial" w:eastAsia="Arial" w:hAnsi="Arial" w:cs="Arial"/>
              </w:rPr>
              <w:t>1</w:t>
            </w:r>
          </w:p>
        </w:tc>
        <w:tc>
          <w:tcPr>
            <w:tcW w:w="127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384"/>
        </w:trPr>
        <w:tc>
          <w:tcPr>
            <w:tcW w:w="4388"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Encargado/a de obras y servicios</w:t>
            </w:r>
          </w:p>
        </w:tc>
        <w:tc>
          <w:tcPr>
            <w:tcW w:w="99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1"/>
              <w:jc w:val="center"/>
            </w:pPr>
            <w:r>
              <w:rPr>
                <w:rFonts w:ascii="Arial" w:eastAsia="Arial" w:hAnsi="Arial" w:cs="Arial"/>
              </w:rPr>
              <w:t>1</w:t>
            </w:r>
          </w:p>
        </w:tc>
        <w:tc>
          <w:tcPr>
            <w:tcW w:w="127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382"/>
        </w:trPr>
        <w:tc>
          <w:tcPr>
            <w:tcW w:w="4388"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Jefe/a de equipo de electricidad</w:t>
            </w:r>
          </w:p>
        </w:tc>
        <w:tc>
          <w:tcPr>
            <w:tcW w:w="99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1"/>
              <w:jc w:val="center"/>
            </w:pPr>
            <w:r>
              <w:rPr>
                <w:rFonts w:ascii="Arial" w:eastAsia="Arial" w:hAnsi="Arial" w:cs="Arial"/>
              </w:rPr>
              <w:t>1</w:t>
            </w:r>
          </w:p>
        </w:tc>
        <w:tc>
          <w:tcPr>
            <w:tcW w:w="127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384"/>
        </w:trPr>
        <w:tc>
          <w:tcPr>
            <w:tcW w:w="4388"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Oficial de primera</w:t>
            </w:r>
          </w:p>
        </w:tc>
        <w:tc>
          <w:tcPr>
            <w:tcW w:w="99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1"/>
              <w:jc w:val="center"/>
            </w:pPr>
            <w:r>
              <w:rPr>
                <w:rFonts w:ascii="Arial" w:eastAsia="Arial" w:hAnsi="Arial" w:cs="Arial"/>
              </w:rPr>
              <w:t>9</w:t>
            </w:r>
          </w:p>
        </w:tc>
        <w:tc>
          <w:tcPr>
            <w:tcW w:w="127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9</w:t>
            </w:r>
          </w:p>
        </w:tc>
      </w:tr>
      <w:tr w:rsidR="00E23B86">
        <w:trPr>
          <w:trHeight w:val="382"/>
        </w:trPr>
        <w:tc>
          <w:tcPr>
            <w:tcW w:w="4388"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Oficial de segunda</w:t>
            </w:r>
          </w:p>
        </w:tc>
        <w:tc>
          <w:tcPr>
            <w:tcW w:w="99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1"/>
              <w:jc w:val="center"/>
            </w:pPr>
            <w:r>
              <w:rPr>
                <w:rFonts w:ascii="Arial" w:eastAsia="Arial" w:hAnsi="Arial" w:cs="Arial"/>
              </w:rPr>
              <w:t>8</w:t>
            </w:r>
          </w:p>
        </w:tc>
        <w:tc>
          <w:tcPr>
            <w:tcW w:w="127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8</w:t>
            </w:r>
          </w:p>
        </w:tc>
      </w:tr>
      <w:tr w:rsidR="00E23B86">
        <w:trPr>
          <w:trHeight w:val="384"/>
        </w:trPr>
        <w:tc>
          <w:tcPr>
            <w:tcW w:w="4388"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Conductor/a</w:t>
            </w:r>
          </w:p>
        </w:tc>
        <w:tc>
          <w:tcPr>
            <w:tcW w:w="99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1"/>
              <w:jc w:val="center"/>
            </w:pPr>
            <w:r>
              <w:rPr>
                <w:rFonts w:ascii="Arial" w:eastAsia="Arial" w:hAnsi="Arial" w:cs="Arial"/>
              </w:rPr>
              <w:t>4</w:t>
            </w:r>
          </w:p>
        </w:tc>
        <w:tc>
          <w:tcPr>
            <w:tcW w:w="127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4</w:t>
            </w:r>
          </w:p>
        </w:tc>
      </w:tr>
      <w:tr w:rsidR="00E23B86">
        <w:trPr>
          <w:trHeight w:val="383"/>
        </w:trPr>
        <w:tc>
          <w:tcPr>
            <w:tcW w:w="4388" w:type="dxa"/>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rPr>
              <w:t>Operario/a</w:t>
            </w:r>
          </w:p>
        </w:tc>
        <w:tc>
          <w:tcPr>
            <w:tcW w:w="99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9"/>
              <w:jc w:val="center"/>
            </w:pPr>
            <w:r>
              <w:rPr>
                <w:rFonts w:ascii="Arial" w:eastAsia="Arial" w:hAnsi="Arial" w:cs="Arial"/>
              </w:rPr>
              <w:t>21</w:t>
            </w:r>
          </w:p>
        </w:tc>
        <w:tc>
          <w:tcPr>
            <w:tcW w:w="127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7"/>
              <w:jc w:val="center"/>
            </w:pPr>
            <w:r>
              <w:rPr>
                <w:rFonts w:ascii="Arial" w:eastAsia="Arial" w:hAnsi="Arial" w:cs="Arial"/>
              </w:rPr>
              <w:t>21</w:t>
            </w:r>
          </w:p>
        </w:tc>
      </w:tr>
      <w:tr w:rsidR="00E23B86">
        <w:trPr>
          <w:trHeight w:val="382"/>
        </w:trPr>
        <w:tc>
          <w:tcPr>
            <w:tcW w:w="4388"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Encargado/a jardines</w:t>
            </w:r>
          </w:p>
        </w:tc>
        <w:tc>
          <w:tcPr>
            <w:tcW w:w="993"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center"/>
            </w:pPr>
            <w:r>
              <w:rPr>
                <w:rFonts w:ascii="Arial" w:eastAsia="Arial" w:hAnsi="Arial" w:cs="Arial"/>
              </w:rPr>
              <w:t>1</w:t>
            </w:r>
          </w:p>
        </w:tc>
      </w:tr>
      <w:tr w:rsidR="00E23B86">
        <w:trPr>
          <w:trHeight w:val="382"/>
        </w:trPr>
        <w:tc>
          <w:tcPr>
            <w:tcW w:w="4388"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Jefe/a de equpo de jardines</w:t>
            </w:r>
          </w:p>
        </w:tc>
        <w:tc>
          <w:tcPr>
            <w:tcW w:w="993"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center"/>
            </w:pPr>
            <w:r>
              <w:rPr>
                <w:rFonts w:ascii="Arial" w:eastAsia="Arial" w:hAnsi="Arial" w:cs="Arial"/>
              </w:rPr>
              <w:t>1</w:t>
            </w:r>
          </w:p>
        </w:tc>
      </w:tr>
      <w:tr w:rsidR="00E23B86">
        <w:trPr>
          <w:trHeight w:val="384"/>
        </w:trPr>
        <w:tc>
          <w:tcPr>
            <w:tcW w:w="4388"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Auxiliar de Ayuda a domicilio</w:t>
            </w:r>
          </w:p>
        </w:tc>
        <w:tc>
          <w:tcPr>
            <w:tcW w:w="993"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3</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center"/>
            </w:pPr>
            <w:r>
              <w:rPr>
                <w:rFonts w:ascii="Arial" w:eastAsia="Arial" w:hAnsi="Arial" w:cs="Arial"/>
              </w:rPr>
              <w:t>3</w:t>
            </w:r>
          </w:p>
        </w:tc>
      </w:tr>
      <w:tr w:rsidR="00E23B86">
        <w:trPr>
          <w:trHeight w:val="382"/>
        </w:trPr>
        <w:tc>
          <w:tcPr>
            <w:tcW w:w="4388"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Conserje-Notificador</w:t>
            </w:r>
          </w:p>
        </w:tc>
        <w:tc>
          <w:tcPr>
            <w:tcW w:w="993"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center"/>
            </w:pPr>
            <w:r>
              <w:rPr>
                <w:rFonts w:ascii="Arial" w:eastAsia="Arial" w:hAnsi="Arial" w:cs="Arial"/>
              </w:rPr>
              <w:t>1</w:t>
            </w:r>
          </w:p>
        </w:tc>
      </w:tr>
      <w:tr w:rsidR="00E23B86">
        <w:trPr>
          <w:trHeight w:val="384"/>
        </w:trPr>
        <w:tc>
          <w:tcPr>
            <w:tcW w:w="4388"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Conserje Edificios Municipales</w:t>
            </w:r>
          </w:p>
        </w:tc>
        <w:tc>
          <w:tcPr>
            <w:tcW w:w="993"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8</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center"/>
            </w:pPr>
            <w:r>
              <w:rPr>
                <w:rFonts w:ascii="Arial" w:eastAsia="Arial" w:hAnsi="Arial" w:cs="Arial"/>
              </w:rPr>
              <w:t>8</w:t>
            </w:r>
          </w:p>
        </w:tc>
      </w:tr>
      <w:tr w:rsidR="00E23B86">
        <w:trPr>
          <w:trHeight w:val="382"/>
        </w:trPr>
        <w:tc>
          <w:tcPr>
            <w:tcW w:w="4388"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Decorador/a</w:t>
            </w:r>
          </w:p>
        </w:tc>
        <w:tc>
          <w:tcPr>
            <w:tcW w:w="993"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center"/>
            </w:pPr>
            <w:r>
              <w:rPr>
                <w:rFonts w:ascii="Arial" w:eastAsia="Arial" w:hAnsi="Arial" w:cs="Arial"/>
              </w:rPr>
              <w:t>1</w:t>
            </w:r>
          </w:p>
        </w:tc>
      </w:tr>
      <w:tr w:rsidR="00E23B86">
        <w:trPr>
          <w:trHeight w:val="385"/>
        </w:trPr>
        <w:tc>
          <w:tcPr>
            <w:tcW w:w="4388"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b/>
              </w:rPr>
              <w:t>Total laborales</w:t>
            </w:r>
          </w:p>
        </w:tc>
        <w:tc>
          <w:tcPr>
            <w:tcW w:w="993"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1"/>
              <w:jc w:val="center"/>
            </w:pPr>
            <w:r>
              <w:rPr>
                <w:rFonts w:ascii="Arial" w:eastAsia="Arial" w:hAnsi="Arial" w:cs="Arial"/>
                <w:b/>
              </w:rPr>
              <w:t>60</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3"/>
              <w:jc w:val="center"/>
            </w:pPr>
            <w:r>
              <w:rPr>
                <w:rFonts w:ascii="Arial" w:eastAsia="Arial" w:hAnsi="Arial" w:cs="Arial"/>
                <w:b/>
              </w:rPr>
              <w:t>60</w:t>
            </w:r>
          </w:p>
        </w:tc>
      </w:tr>
    </w:tbl>
    <w:p w:rsidR="00E23B86" w:rsidRDefault="00BA7C13">
      <w:pPr>
        <w:numPr>
          <w:ilvl w:val="0"/>
          <w:numId w:val="31"/>
        </w:numPr>
        <w:spacing w:after="9" w:line="249" w:lineRule="auto"/>
        <w:ind w:right="554" w:hanging="708"/>
        <w:jc w:val="both"/>
      </w:pPr>
      <w:r>
        <w:rPr>
          <w:noProof/>
        </w:rPr>
        <mc:AlternateContent>
          <mc:Choice Requires="wpg">
            <w:drawing>
              <wp:anchor distT="0" distB="0" distL="114300" distR="114300" simplePos="0" relativeHeight="251742208"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87057" name="Group 58705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8766" name="Rectangle 1876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8767" name="Rectangle 18767"/>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7057" style="width:12.7031pt;height:280.35pt;position:absolute;mso-position-horizontal-relative:page;mso-position-horizontal:absolute;margin-left:681.958pt;mso-position-vertical-relative:page;margin-top:531.65pt;" coordsize="1613,35604">
                <v:rect id="Rectangle 1876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8767"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391 </w:t>
                        </w:r>
                      </w:p>
                    </w:txbxContent>
                  </v:textbox>
                </v:rect>
                <w10:wrap type="topAndBottom"/>
              </v:group>
            </w:pict>
          </mc:Fallback>
        </mc:AlternateContent>
      </w:r>
      <w:r>
        <w:rPr>
          <w:rFonts w:ascii="Arial" w:eastAsia="Arial" w:hAnsi="Arial" w:cs="Arial"/>
          <w:b/>
        </w:rPr>
        <w:t>PERSONAL EVENTUAL</w:t>
      </w:r>
    </w:p>
    <w:tbl>
      <w:tblPr>
        <w:tblStyle w:val="TableGrid"/>
        <w:tblW w:w="5382" w:type="dxa"/>
        <w:tblInd w:w="243" w:type="dxa"/>
        <w:tblCellMar>
          <w:top w:w="11" w:type="dxa"/>
          <w:left w:w="109" w:type="dxa"/>
          <w:bottom w:w="0" w:type="dxa"/>
          <w:right w:w="115" w:type="dxa"/>
        </w:tblCellMar>
        <w:tblLook w:val="04A0" w:firstRow="1" w:lastRow="0" w:firstColumn="1" w:lastColumn="0" w:noHBand="0" w:noVBand="1"/>
      </w:tblPr>
      <w:tblGrid>
        <w:gridCol w:w="4388"/>
        <w:gridCol w:w="994"/>
      </w:tblGrid>
      <w:tr w:rsidR="00E23B86">
        <w:trPr>
          <w:trHeight w:val="381"/>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Personal eventual</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Nº</w:t>
            </w:r>
          </w:p>
        </w:tc>
      </w:tr>
      <w:tr w:rsidR="00E23B86">
        <w:trPr>
          <w:trHeight w:val="384"/>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Cultura y Fiestas</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382"/>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Comunicación y Prensa</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384"/>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Alcaldía Presidencia</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516"/>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Alcaldía Pres./Concejales/as delegados/as</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756"/>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Concejales/as delegados/as</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3</w:t>
            </w:r>
          </w:p>
        </w:tc>
      </w:tr>
      <w:tr w:rsidR="00E23B86">
        <w:trPr>
          <w:trHeight w:val="383"/>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left="4"/>
              <w:jc w:val="center"/>
            </w:pPr>
            <w:r>
              <w:rPr>
                <w:rFonts w:ascii="Arial" w:eastAsia="Arial" w:hAnsi="Arial" w:cs="Arial"/>
                <w:b/>
              </w:rPr>
              <w:t>TOTAL</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b/>
              </w:rPr>
              <w:t>7</w:t>
            </w:r>
          </w:p>
        </w:tc>
      </w:tr>
    </w:tbl>
    <w:p w:rsidR="00E23B86" w:rsidRDefault="00BA7C13">
      <w:pPr>
        <w:spacing w:after="111" w:line="249" w:lineRule="auto"/>
        <w:ind w:left="355" w:right="554" w:hanging="10"/>
        <w:jc w:val="both"/>
      </w:pPr>
      <w:r>
        <w:rPr>
          <w:rFonts w:ascii="Arial" w:eastAsia="Arial" w:hAnsi="Arial" w:cs="Arial"/>
          <w:b/>
        </w:rPr>
        <w:t>III.- Plan Presupuestario 2021-2023</w:t>
      </w:r>
    </w:p>
    <w:p w:rsidR="00E23B86" w:rsidRDefault="00BA7C13">
      <w:pPr>
        <w:spacing w:after="10" w:line="248" w:lineRule="auto"/>
        <w:ind w:left="373" w:right="552" w:hanging="10"/>
        <w:jc w:val="both"/>
      </w:pPr>
      <w:r>
        <w:rPr>
          <w:rFonts w:ascii="Arial" w:eastAsia="Arial" w:hAnsi="Arial" w:cs="Arial"/>
        </w:rPr>
        <w:t>Previsión Ingresos Entidades sectorizadas como administraciones públicas:</w:t>
      </w:r>
    </w:p>
    <w:tbl>
      <w:tblPr>
        <w:tblStyle w:val="TableGrid"/>
        <w:tblW w:w="8504" w:type="dxa"/>
        <w:tblInd w:w="350" w:type="dxa"/>
        <w:tblCellMar>
          <w:top w:w="63" w:type="dxa"/>
          <w:left w:w="56" w:type="dxa"/>
          <w:bottom w:w="0" w:type="dxa"/>
          <w:right w:w="51" w:type="dxa"/>
        </w:tblCellMar>
        <w:tblLook w:val="04A0" w:firstRow="1" w:lastRow="0" w:firstColumn="1" w:lastColumn="0" w:noHBand="0" w:noVBand="1"/>
      </w:tblPr>
      <w:tblGrid>
        <w:gridCol w:w="2778"/>
        <w:gridCol w:w="1418"/>
        <w:gridCol w:w="1416"/>
        <w:gridCol w:w="1332"/>
        <w:gridCol w:w="1560"/>
      </w:tblGrid>
      <w:tr w:rsidR="00E23B86">
        <w:trPr>
          <w:trHeight w:val="870"/>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5"/>
              <w:jc w:val="center"/>
            </w:pPr>
            <w:r>
              <w:rPr>
                <w:rFonts w:ascii="Arial" w:eastAsia="Arial" w:hAnsi="Arial" w:cs="Arial"/>
                <w:b/>
              </w:rPr>
              <w:t>INGRESOS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center"/>
            </w:pPr>
            <w:r>
              <w:rPr>
                <w:rFonts w:ascii="Arial" w:eastAsia="Arial" w:hAnsi="Arial" w:cs="Arial"/>
                <w:b/>
              </w:rPr>
              <w:t>PRESUPUE STO 2020</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4"/>
              <w:jc w:val="both"/>
            </w:pPr>
            <w:r>
              <w:rPr>
                <w:rFonts w:ascii="Arial" w:eastAsia="Arial" w:hAnsi="Arial" w:cs="Arial"/>
                <w:b/>
              </w:rPr>
              <w:t>PREVISIÓN</w:t>
            </w:r>
          </w:p>
          <w:p w:rsidR="00E23B86" w:rsidRDefault="00BA7C13">
            <w:pPr>
              <w:spacing w:after="0"/>
              <w:ind w:left="48"/>
              <w:jc w:val="both"/>
            </w:pPr>
            <w:r>
              <w:rPr>
                <w:rFonts w:ascii="Arial" w:eastAsia="Arial" w:hAnsi="Arial" w:cs="Arial"/>
                <w:b/>
              </w:rPr>
              <w:t>PRESUPUE</w:t>
            </w:r>
          </w:p>
          <w:p w:rsidR="00E23B86" w:rsidRDefault="00BA7C13">
            <w:pPr>
              <w:spacing w:after="0"/>
              <w:ind w:left="152"/>
            </w:pPr>
            <w:r>
              <w:rPr>
                <w:rFonts w:ascii="Arial" w:eastAsia="Arial" w:hAnsi="Arial" w:cs="Arial"/>
                <w:b/>
              </w:rPr>
              <w:t>STO 2021</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2"/>
              <w:jc w:val="both"/>
            </w:pPr>
            <w:r>
              <w:rPr>
                <w:rFonts w:ascii="Arial" w:eastAsia="Arial" w:hAnsi="Arial" w:cs="Arial"/>
                <w:b/>
              </w:rPr>
              <w:t>PREVISIÓN</w:t>
            </w:r>
          </w:p>
          <w:p w:rsidR="00E23B86" w:rsidRDefault="00BA7C13">
            <w:pPr>
              <w:spacing w:after="0"/>
              <w:ind w:left="6"/>
              <w:jc w:val="both"/>
            </w:pPr>
            <w:r>
              <w:rPr>
                <w:rFonts w:ascii="Arial" w:eastAsia="Arial" w:hAnsi="Arial" w:cs="Arial"/>
                <w:b/>
              </w:rPr>
              <w:t>PRESUPUE</w:t>
            </w:r>
          </w:p>
          <w:p w:rsidR="00E23B86" w:rsidRDefault="00BA7C13">
            <w:pPr>
              <w:spacing w:after="0"/>
              <w:ind w:left="110"/>
            </w:pPr>
            <w:r>
              <w:rPr>
                <w:rFonts w:ascii="Arial" w:eastAsia="Arial" w:hAnsi="Arial" w:cs="Arial"/>
                <w:b/>
              </w:rPr>
              <w:t>STO 2022</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28"/>
            </w:pPr>
            <w:r>
              <w:rPr>
                <w:rFonts w:ascii="Arial" w:eastAsia="Arial" w:hAnsi="Arial" w:cs="Arial"/>
                <w:b/>
              </w:rPr>
              <w:t>PREVISIÓN</w:t>
            </w:r>
          </w:p>
          <w:p w:rsidR="00E23B86" w:rsidRDefault="00BA7C13">
            <w:pPr>
              <w:spacing w:after="0"/>
              <w:jc w:val="center"/>
            </w:pPr>
            <w:r>
              <w:rPr>
                <w:rFonts w:ascii="Arial" w:eastAsia="Arial" w:hAnsi="Arial" w:cs="Arial"/>
                <w:b/>
              </w:rPr>
              <w:t>PRESUPUES TO 2023</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pPr>
            <w:r>
              <w:rPr>
                <w:rFonts w:ascii="Arial" w:eastAsia="Arial" w:hAnsi="Arial" w:cs="Arial"/>
              </w:rPr>
              <w:t>IMPUESTOS DIRECTOS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7.839.385,00 €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7.982.638,41 €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8.266.605,6 3 €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8.490.408,78 €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IMPUESTOS INDIRECTOS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4.635.600,00 €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4.705.421,29 €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4.810.506,4 1 €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5.016.405,61 €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TASAS Y OTROS INGRESOS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1.980.450,00 €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2.026.446,12 €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2.122.629,2 2 €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2.326.809,33 €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CORRIENTES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7.908.090,49 €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8.308.353,43 €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8.472.411,0 7 €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8.561.608.77 €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INGRESOS </w:t>
            </w:r>
          </w:p>
          <w:p w:rsidR="00E23B86" w:rsidRDefault="00BA7C13">
            <w:pPr>
              <w:spacing w:after="0"/>
            </w:pPr>
            <w:r>
              <w:rPr>
                <w:rFonts w:ascii="Arial" w:eastAsia="Arial" w:hAnsi="Arial" w:cs="Arial"/>
              </w:rPr>
              <w:t>PATRIMONIALES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7.955,00 €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7.955,00 €</w:t>
            </w:r>
          </w:p>
        </w:tc>
        <w:tc>
          <w:tcPr>
            <w:tcW w:w="1332"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7.955,00 €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7.955,00 €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DE CAPITAL</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409.235,20 €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2"/>
              <w:jc w:val="both"/>
            </w:pPr>
            <w:r>
              <w:rPr>
                <w:rFonts w:ascii="Arial" w:eastAsia="Arial" w:hAnsi="Arial" w:cs="Arial"/>
              </w:rPr>
              <w:t>456.103,63 €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534.905,00 €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562.490,22 €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ACTIVOS FINANCIEROS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PASIVOS FINANCIEROS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3"/>
              <w:jc w:val="center"/>
            </w:pPr>
            <w:r>
              <w:rPr>
                <w:rFonts w:ascii="Arial" w:eastAsia="Arial" w:hAnsi="Arial" w:cs="Arial"/>
              </w:rPr>
              <w:t>Totales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22.780.715,6 9 €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23.486.917,8 8 €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24.215.012, 33 €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24.965.677,71 €</w:t>
            </w:r>
          </w:p>
        </w:tc>
      </w:tr>
    </w:tbl>
    <w:p w:rsidR="00E23B86" w:rsidRDefault="00BA7C13">
      <w:pPr>
        <w:spacing w:after="10" w:line="248" w:lineRule="auto"/>
        <w:ind w:left="373" w:right="552" w:hanging="10"/>
        <w:jc w:val="both"/>
      </w:pPr>
      <w:r>
        <w:rPr>
          <w:rFonts w:ascii="Arial" w:eastAsia="Arial" w:hAnsi="Arial" w:cs="Arial"/>
        </w:rPr>
        <w:t>Previsión Ingresos Epelcan, (no está sectorizada como Administración pública):</w:t>
      </w:r>
    </w:p>
    <w:tbl>
      <w:tblPr>
        <w:tblStyle w:val="TableGrid"/>
        <w:tblW w:w="8504" w:type="dxa"/>
        <w:tblInd w:w="350" w:type="dxa"/>
        <w:tblCellMar>
          <w:top w:w="63" w:type="dxa"/>
          <w:left w:w="56" w:type="dxa"/>
          <w:bottom w:w="0" w:type="dxa"/>
          <w:right w:w="51" w:type="dxa"/>
        </w:tblCellMar>
        <w:tblLook w:val="04A0" w:firstRow="1" w:lastRow="0" w:firstColumn="1" w:lastColumn="0" w:noHBand="0" w:noVBand="1"/>
      </w:tblPr>
      <w:tblGrid>
        <w:gridCol w:w="2778"/>
        <w:gridCol w:w="1418"/>
        <w:gridCol w:w="1416"/>
        <w:gridCol w:w="1418"/>
        <w:gridCol w:w="1474"/>
      </w:tblGrid>
      <w:tr w:rsidR="00E23B86">
        <w:trPr>
          <w:trHeight w:val="870"/>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5"/>
              <w:jc w:val="center"/>
            </w:pPr>
            <w:r>
              <w:rPr>
                <w:rFonts w:ascii="Arial" w:eastAsia="Arial" w:hAnsi="Arial" w:cs="Arial"/>
                <w:b/>
              </w:rPr>
              <w:t>INGRESOS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center"/>
            </w:pPr>
            <w:r>
              <w:rPr>
                <w:rFonts w:ascii="Arial" w:eastAsia="Arial" w:hAnsi="Arial" w:cs="Arial"/>
                <w:b/>
              </w:rPr>
              <w:t>PRESUPUE STO 2020</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4"/>
              <w:jc w:val="both"/>
            </w:pPr>
            <w:r>
              <w:rPr>
                <w:rFonts w:ascii="Arial" w:eastAsia="Arial" w:hAnsi="Arial" w:cs="Arial"/>
                <w:b/>
              </w:rPr>
              <w:t>PREVISIÓN</w:t>
            </w:r>
          </w:p>
          <w:p w:rsidR="00E23B86" w:rsidRDefault="00BA7C13">
            <w:pPr>
              <w:spacing w:after="0"/>
              <w:ind w:left="48"/>
              <w:jc w:val="both"/>
            </w:pPr>
            <w:r>
              <w:rPr>
                <w:rFonts w:ascii="Arial" w:eastAsia="Arial" w:hAnsi="Arial" w:cs="Arial"/>
                <w:b/>
              </w:rPr>
              <w:t>PRESUPUE</w:t>
            </w:r>
          </w:p>
          <w:p w:rsidR="00E23B86" w:rsidRDefault="00BA7C13">
            <w:pPr>
              <w:spacing w:after="0"/>
              <w:ind w:left="152"/>
            </w:pPr>
            <w:r>
              <w:rPr>
                <w:rFonts w:ascii="Arial" w:eastAsia="Arial" w:hAnsi="Arial" w:cs="Arial"/>
                <w:b/>
              </w:rPr>
              <w:t>STO 2021</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b/>
              </w:rPr>
              <w:t>PREVISIÓN</w:t>
            </w:r>
          </w:p>
          <w:p w:rsidR="00E23B86" w:rsidRDefault="00BA7C13">
            <w:pPr>
              <w:spacing w:after="0"/>
              <w:ind w:left="50"/>
              <w:jc w:val="both"/>
            </w:pPr>
            <w:r>
              <w:rPr>
                <w:rFonts w:ascii="Arial" w:eastAsia="Arial" w:hAnsi="Arial" w:cs="Arial"/>
                <w:b/>
              </w:rPr>
              <w:t>PRESUPUE</w:t>
            </w:r>
          </w:p>
          <w:p w:rsidR="00E23B86" w:rsidRDefault="00BA7C13">
            <w:pPr>
              <w:spacing w:after="0"/>
              <w:ind w:left="154"/>
            </w:pPr>
            <w:r>
              <w:rPr>
                <w:rFonts w:ascii="Arial" w:eastAsia="Arial" w:hAnsi="Arial" w:cs="Arial"/>
                <w:b/>
              </w:rPr>
              <w:t>STO 2022</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84"/>
            </w:pPr>
            <w:r>
              <w:rPr>
                <w:rFonts w:ascii="Arial" w:eastAsia="Arial" w:hAnsi="Arial" w:cs="Arial"/>
                <w:b/>
              </w:rPr>
              <w:t>PREVISIÓN</w:t>
            </w:r>
          </w:p>
          <w:p w:rsidR="00E23B86" w:rsidRDefault="00BA7C13">
            <w:pPr>
              <w:spacing w:after="0"/>
              <w:jc w:val="center"/>
            </w:pPr>
            <w:r>
              <w:rPr>
                <w:rFonts w:ascii="Arial" w:eastAsia="Arial" w:hAnsi="Arial" w:cs="Arial"/>
                <w:b/>
              </w:rPr>
              <w:t>PRESUPUES TO 2023</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IMPUESTOS DIRECTOS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1"/>
            </w:pPr>
            <w:r>
              <w:rPr>
                <w:rFonts w:ascii="Arial" w:eastAsia="Arial" w:hAnsi="Arial" w:cs="Arial"/>
              </w:rPr>
              <w:t>IMPUESTOS INDIRECTOS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tabs>
                <w:tab w:val="center" w:pos="944"/>
                <w:tab w:val="center" w:pos="1303"/>
                <w:tab w:val="center" w:pos="1599"/>
                <w:tab w:val="right" w:pos="2671"/>
              </w:tabs>
              <w:spacing w:after="0"/>
            </w:pPr>
            <w:r>
              <w:rPr>
                <w:rFonts w:ascii="Arial" w:eastAsia="Arial" w:hAnsi="Arial" w:cs="Arial"/>
              </w:rPr>
              <w:t>TASAS</w:t>
            </w:r>
            <w:r>
              <w:rPr>
                <w:rFonts w:ascii="Arial" w:eastAsia="Arial" w:hAnsi="Arial" w:cs="Arial"/>
              </w:rPr>
              <w:tab/>
              <w:t xml:space="preserve"> </w:t>
            </w:r>
            <w:r>
              <w:rPr>
                <w:rFonts w:ascii="Arial" w:eastAsia="Arial" w:hAnsi="Arial" w:cs="Arial"/>
              </w:rPr>
              <w:tab/>
              <w:t>Y</w:t>
            </w:r>
            <w:r>
              <w:rPr>
                <w:rFonts w:ascii="Arial" w:eastAsia="Arial" w:hAnsi="Arial" w:cs="Arial"/>
              </w:rPr>
              <w:tab/>
              <w:t xml:space="preserve"> </w:t>
            </w:r>
            <w:r>
              <w:rPr>
                <w:rFonts w:ascii="Arial" w:eastAsia="Arial" w:hAnsi="Arial" w:cs="Arial"/>
              </w:rPr>
              <w:tab/>
              <w:t>OTROS</w:t>
            </w:r>
          </w:p>
          <w:p w:rsidR="00E23B86" w:rsidRDefault="00BA7C13">
            <w:pPr>
              <w:spacing w:after="0"/>
            </w:pPr>
            <w:r>
              <w:rPr>
                <w:rFonts w:ascii="Arial" w:eastAsia="Arial" w:hAnsi="Arial" w:cs="Arial"/>
              </w:rPr>
              <w:t>INGRESOS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538.929,45 €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591.608,42</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601.506,74 €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82"/>
            </w:pPr>
            <w:r>
              <w:rPr>
                <w:rFonts w:ascii="Arial" w:eastAsia="Arial" w:hAnsi="Arial" w:cs="Arial"/>
              </w:rPr>
              <w:t>616.203,45 €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CORRIENTES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451.646,27 €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2"/>
              <w:jc w:val="both"/>
            </w:pPr>
            <w:r>
              <w:rPr>
                <w:rFonts w:ascii="Arial" w:eastAsia="Arial" w:hAnsi="Arial" w:cs="Arial"/>
              </w:rPr>
              <w:t>398.967,30 €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389.068.98 €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82"/>
            </w:pPr>
            <w:r>
              <w:rPr>
                <w:rFonts w:ascii="Arial" w:eastAsia="Arial" w:hAnsi="Arial" w:cs="Arial"/>
              </w:rPr>
              <w:t>374.372,27 €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INGRESOS</w:t>
            </w:r>
          </w:p>
          <w:p w:rsidR="00E23B86" w:rsidRDefault="00BA7C13">
            <w:pPr>
              <w:spacing w:after="0"/>
            </w:pPr>
            <w:r>
              <w:rPr>
                <w:rFonts w:ascii="Arial" w:eastAsia="Arial" w:hAnsi="Arial" w:cs="Arial"/>
              </w:rPr>
              <w:t>PATRIMONIALES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DE CAPITAL</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ACTIVOS FINANCIEROS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PASIVOS FINANCIEROS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3"/>
              <w:jc w:val="center"/>
            </w:pPr>
            <w:r>
              <w:rPr>
                <w:rFonts w:ascii="Arial" w:eastAsia="Arial" w:hAnsi="Arial" w:cs="Arial"/>
              </w:rPr>
              <w:t>Totales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2"/>
              <w:jc w:val="both"/>
            </w:pPr>
            <w:r>
              <w:rPr>
                <w:rFonts w:ascii="Arial" w:eastAsia="Arial" w:hAnsi="Arial" w:cs="Arial"/>
              </w:rPr>
              <w:t>990.575,72 €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82"/>
            </w:pPr>
            <w:r>
              <w:rPr>
                <w:rFonts w:ascii="Arial" w:eastAsia="Arial" w:hAnsi="Arial" w:cs="Arial"/>
              </w:rPr>
              <w:t>990.575,72 €</w:t>
            </w:r>
          </w:p>
        </w:tc>
      </w:tr>
    </w:tbl>
    <w:p w:rsidR="00E23B86" w:rsidRDefault="00BA7C13">
      <w:pPr>
        <w:spacing w:after="10" w:line="248" w:lineRule="auto"/>
        <w:ind w:left="373" w:right="552" w:hanging="10"/>
        <w:jc w:val="both"/>
      </w:pPr>
      <w:r>
        <w:rPr>
          <w:noProof/>
        </w:rPr>
        <mc:AlternateContent>
          <mc:Choice Requires="wpg">
            <w:drawing>
              <wp:anchor distT="0" distB="0" distL="114300" distR="114300" simplePos="0" relativeHeight="2517432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1736" name="Group 60173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9296" name="Rectangle 1929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9297" name="Rectangle 19297"/>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83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1736" style="width:12.7031pt;height:280.35pt;position:absolute;mso-position-horizontal-relative:page;mso-position-horizontal:absolute;margin-left:681.958pt;mso-position-vertical-relative:page;margin-top:531.65pt;" coordsize="1613,35604">
                <v:rect id="Rectangle 1929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9297"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391 </w:t>
                        </w:r>
                      </w:p>
                    </w:txbxContent>
                  </v:textbox>
                </v:rect>
                <w10:wrap type="square"/>
              </v:group>
            </w:pict>
          </mc:Fallback>
        </mc:AlternateContent>
      </w:r>
      <w:r>
        <w:rPr>
          <w:rFonts w:ascii="Arial" w:eastAsia="Arial" w:hAnsi="Arial" w:cs="Arial"/>
        </w:rPr>
        <w:t>Previsión Gastos Entidades sectorizadas como administraciones públicas:</w:t>
      </w:r>
    </w:p>
    <w:tbl>
      <w:tblPr>
        <w:tblStyle w:val="TableGrid"/>
        <w:tblW w:w="8590" w:type="dxa"/>
        <w:tblInd w:w="350" w:type="dxa"/>
        <w:tblCellMar>
          <w:top w:w="63" w:type="dxa"/>
          <w:left w:w="56" w:type="dxa"/>
          <w:bottom w:w="0" w:type="dxa"/>
          <w:right w:w="51" w:type="dxa"/>
        </w:tblCellMar>
        <w:tblLook w:val="04A0" w:firstRow="1" w:lastRow="0" w:firstColumn="1" w:lastColumn="0" w:noHBand="0" w:noVBand="1"/>
      </w:tblPr>
      <w:tblGrid>
        <w:gridCol w:w="2778"/>
        <w:gridCol w:w="1416"/>
        <w:gridCol w:w="1418"/>
        <w:gridCol w:w="1418"/>
        <w:gridCol w:w="1560"/>
      </w:tblGrid>
      <w:tr w:rsidR="00E23B86">
        <w:trPr>
          <w:trHeight w:val="870"/>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4"/>
              <w:jc w:val="center"/>
            </w:pPr>
            <w:r>
              <w:rPr>
                <w:rFonts w:ascii="Arial" w:eastAsia="Arial" w:hAnsi="Arial" w:cs="Arial"/>
                <w:b/>
              </w:rPr>
              <w:t>GASTOS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center"/>
            </w:pPr>
            <w:r>
              <w:rPr>
                <w:rFonts w:ascii="Arial" w:eastAsia="Arial" w:hAnsi="Arial" w:cs="Arial"/>
                <w:b/>
              </w:rPr>
              <w:t>PRESUPUE STO 2020</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b/>
              </w:rPr>
              <w:t>PREVISIÓN</w:t>
            </w:r>
          </w:p>
          <w:p w:rsidR="00E23B86" w:rsidRDefault="00BA7C13">
            <w:pPr>
              <w:spacing w:after="0"/>
              <w:ind w:left="50"/>
              <w:jc w:val="both"/>
            </w:pPr>
            <w:r>
              <w:rPr>
                <w:rFonts w:ascii="Arial" w:eastAsia="Arial" w:hAnsi="Arial" w:cs="Arial"/>
                <w:b/>
              </w:rPr>
              <w:t>PRESUPUE</w:t>
            </w:r>
          </w:p>
          <w:p w:rsidR="00E23B86" w:rsidRDefault="00BA7C13">
            <w:pPr>
              <w:spacing w:after="0"/>
              <w:ind w:left="154"/>
            </w:pPr>
            <w:r>
              <w:rPr>
                <w:rFonts w:ascii="Arial" w:eastAsia="Arial" w:hAnsi="Arial" w:cs="Arial"/>
                <w:b/>
              </w:rPr>
              <w:t>STO 2021</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b/>
              </w:rPr>
              <w:t>PREVISIÓN</w:t>
            </w:r>
          </w:p>
          <w:p w:rsidR="00E23B86" w:rsidRDefault="00BA7C13">
            <w:pPr>
              <w:spacing w:after="0"/>
              <w:ind w:left="50"/>
              <w:jc w:val="both"/>
            </w:pPr>
            <w:r>
              <w:rPr>
                <w:rFonts w:ascii="Arial" w:eastAsia="Arial" w:hAnsi="Arial" w:cs="Arial"/>
                <w:b/>
              </w:rPr>
              <w:t>PRESUPUE</w:t>
            </w:r>
          </w:p>
          <w:p w:rsidR="00E23B86" w:rsidRDefault="00BA7C13">
            <w:pPr>
              <w:spacing w:after="0"/>
              <w:ind w:left="154"/>
            </w:pPr>
            <w:r>
              <w:rPr>
                <w:rFonts w:ascii="Arial" w:eastAsia="Arial" w:hAnsi="Arial" w:cs="Arial"/>
                <w:b/>
              </w:rPr>
              <w:t>STO 2022</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28"/>
            </w:pPr>
            <w:r>
              <w:rPr>
                <w:rFonts w:ascii="Arial" w:eastAsia="Arial" w:hAnsi="Arial" w:cs="Arial"/>
                <w:b/>
              </w:rPr>
              <w:t>PREVISIÓN</w:t>
            </w:r>
          </w:p>
          <w:p w:rsidR="00E23B86" w:rsidRDefault="00BA7C13">
            <w:pPr>
              <w:spacing w:after="0"/>
              <w:jc w:val="center"/>
            </w:pPr>
            <w:r>
              <w:rPr>
                <w:rFonts w:ascii="Arial" w:eastAsia="Arial" w:hAnsi="Arial" w:cs="Arial"/>
                <w:b/>
              </w:rPr>
              <w:t>PRESUPUES TO 2023</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pPr>
            <w:r>
              <w:rPr>
                <w:rFonts w:ascii="Arial" w:eastAsia="Arial" w:hAnsi="Arial" w:cs="Arial"/>
              </w:rPr>
              <w:t>GASTOS DE PERSONAL</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10.450.037,5 3 €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10.659.038,2 8 €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10.872.219,0 5 €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11.089.663,43 €</w:t>
            </w:r>
          </w:p>
        </w:tc>
      </w:tr>
      <w:tr w:rsidR="00E23B86">
        <w:trPr>
          <w:trHeight w:val="870"/>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both"/>
            </w:pPr>
            <w:r>
              <w:rPr>
                <w:rFonts w:ascii="Arial" w:eastAsia="Arial" w:hAnsi="Arial" w:cs="Arial"/>
              </w:rPr>
              <w:t>GASTOS EN BIENES</w:t>
            </w:r>
          </w:p>
          <w:p w:rsidR="00E23B86" w:rsidRDefault="00BA7C13">
            <w:pPr>
              <w:tabs>
                <w:tab w:val="center" w:pos="1949"/>
                <w:tab w:val="right" w:pos="2671"/>
              </w:tabs>
              <w:spacing w:after="0"/>
            </w:pPr>
            <w:r>
              <w:rPr>
                <w:rFonts w:ascii="Arial" w:eastAsia="Arial" w:hAnsi="Arial" w:cs="Arial"/>
              </w:rPr>
              <w:t>CORRIENTES</w:t>
            </w:r>
            <w:r>
              <w:rPr>
                <w:rFonts w:ascii="Arial" w:eastAsia="Arial" w:hAnsi="Arial" w:cs="Arial"/>
              </w:rPr>
              <w:tab/>
              <w:t xml:space="preserve"> </w:t>
            </w:r>
            <w:r>
              <w:rPr>
                <w:rFonts w:ascii="Arial" w:eastAsia="Arial" w:hAnsi="Arial" w:cs="Arial"/>
              </w:rPr>
              <w:tab/>
              <w:t>Y</w:t>
            </w:r>
          </w:p>
          <w:p w:rsidR="00E23B86" w:rsidRDefault="00BA7C13">
            <w:pPr>
              <w:spacing w:after="0"/>
            </w:pPr>
            <w:r>
              <w:rPr>
                <w:rFonts w:ascii="Arial" w:eastAsia="Arial" w:hAnsi="Arial" w:cs="Arial"/>
              </w:rPr>
              <w:t>SERVICIOS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8.336.918,72 €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8.903.657,09 €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9.216.608,55 €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46"/>
              <w:jc w:val="right"/>
            </w:pPr>
            <w:r>
              <w:rPr>
                <w:rFonts w:ascii="Arial" w:eastAsia="Arial" w:hAnsi="Arial" w:cs="Arial"/>
              </w:rPr>
              <w:t>9.705.608,44 €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GASTOS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135.618,29 €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112.006,41 €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48"/>
            </w:pPr>
            <w:r>
              <w:rPr>
                <w:rFonts w:ascii="Arial" w:eastAsia="Arial" w:hAnsi="Arial" w:cs="Arial"/>
              </w:rPr>
              <w:t>95.506,41 €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81.609,41 €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CORRIENTES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2.881.900,35 €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2.881.900,35 €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2.881.900,35 €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2.881.900,35 €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pPr>
            <w:r>
              <w:rPr>
                <w:rFonts w:ascii="Arial" w:eastAsia="Arial" w:hAnsi="Arial" w:cs="Arial"/>
              </w:rPr>
              <w:t>INVERSIONES REALES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313.387,97 €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86"/>
              <w:jc w:val="right"/>
            </w:pPr>
            <w:r>
              <w:rPr>
                <w:rFonts w:ascii="Arial" w:eastAsia="Arial" w:hAnsi="Arial" w:cs="Arial"/>
              </w:rPr>
              <w:t>417.106,75 €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705.355,54 €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920.487,36 €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DE CAPITAL</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ACTIVOS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46"/>
            </w:pPr>
            <w:r>
              <w:rPr>
                <w:rFonts w:ascii="Arial" w:eastAsia="Arial" w:hAnsi="Arial" w:cs="Arial"/>
              </w:rPr>
              <w:t>50.000,00 €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48"/>
            </w:pPr>
            <w:r>
              <w:rPr>
                <w:rFonts w:ascii="Arial" w:eastAsia="Arial" w:hAnsi="Arial" w:cs="Arial"/>
              </w:rPr>
              <w:t>50.000,00 €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48"/>
            </w:pPr>
            <w:r>
              <w:rPr>
                <w:rFonts w:ascii="Arial" w:eastAsia="Arial" w:hAnsi="Arial" w:cs="Arial"/>
              </w:rPr>
              <w:t>50.000,00 €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50.000,00 €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PASIVOS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612.852,83 €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463.209,00 €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393.422,43 €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236.408,72 €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3"/>
              <w:jc w:val="center"/>
            </w:pPr>
            <w:r>
              <w:rPr>
                <w:rFonts w:ascii="Arial" w:eastAsia="Arial" w:hAnsi="Arial" w:cs="Arial"/>
              </w:rPr>
              <w:t>Totales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22.780.715,6 9 €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23.486.917,8 8 €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24.215.012,3 3 €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24.965.677,71 €</w:t>
            </w:r>
          </w:p>
        </w:tc>
      </w:tr>
    </w:tbl>
    <w:p w:rsidR="00E23B86" w:rsidRDefault="00BA7C13">
      <w:pPr>
        <w:spacing w:after="110" w:line="248" w:lineRule="auto"/>
        <w:ind w:left="373" w:right="552" w:hanging="10"/>
        <w:jc w:val="both"/>
      </w:pPr>
      <w:r>
        <w:rPr>
          <w:rFonts w:ascii="Arial" w:eastAsia="Arial" w:hAnsi="Arial" w:cs="Arial"/>
        </w:rPr>
        <w:t>Previsión Gastos Epelcan, (no está sectorizada como Administración pública):</w:t>
      </w:r>
    </w:p>
    <w:tbl>
      <w:tblPr>
        <w:tblStyle w:val="TableGrid"/>
        <w:tblW w:w="8590" w:type="dxa"/>
        <w:tblInd w:w="350" w:type="dxa"/>
        <w:tblCellMar>
          <w:top w:w="63" w:type="dxa"/>
          <w:left w:w="56" w:type="dxa"/>
          <w:bottom w:w="0" w:type="dxa"/>
          <w:right w:w="51" w:type="dxa"/>
        </w:tblCellMar>
        <w:tblLook w:val="04A0" w:firstRow="1" w:lastRow="0" w:firstColumn="1" w:lastColumn="0" w:noHBand="0" w:noVBand="1"/>
      </w:tblPr>
      <w:tblGrid>
        <w:gridCol w:w="2778"/>
        <w:gridCol w:w="1416"/>
        <w:gridCol w:w="1418"/>
        <w:gridCol w:w="1418"/>
        <w:gridCol w:w="1560"/>
      </w:tblGrid>
      <w:tr w:rsidR="00E23B86">
        <w:trPr>
          <w:trHeight w:val="870"/>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4"/>
              <w:jc w:val="center"/>
            </w:pPr>
            <w:r>
              <w:rPr>
                <w:rFonts w:ascii="Arial" w:eastAsia="Arial" w:hAnsi="Arial" w:cs="Arial"/>
                <w:b/>
              </w:rPr>
              <w:t>GASTOS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center"/>
            </w:pPr>
            <w:r>
              <w:rPr>
                <w:rFonts w:ascii="Arial" w:eastAsia="Arial" w:hAnsi="Arial" w:cs="Arial"/>
                <w:b/>
              </w:rPr>
              <w:t>PRESUPUE STO 2020</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b/>
              </w:rPr>
              <w:t>PREVISIÓN</w:t>
            </w:r>
          </w:p>
          <w:p w:rsidR="00E23B86" w:rsidRDefault="00BA7C13">
            <w:pPr>
              <w:spacing w:after="0"/>
              <w:ind w:left="50"/>
              <w:jc w:val="both"/>
            </w:pPr>
            <w:r>
              <w:rPr>
                <w:rFonts w:ascii="Arial" w:eastAsia="Arial" w:hAnsi="Arial" w:cs="Arial"/>
                <w:b/>
              </w:rPr>
              <w:t>PRESUPUE</w:t>
            </w:r>
          </w:p>
          <w:p w:rsidR="00E23B86" w:rsidRDefault="00BA7C13">
            <w:pPr>
              <w:spacing w:after="0"/>
              <w:ind w:left="154"/>
            </w:pPr>
            <w:r>
              <w:rPr>
                <w:rFonts w:ascii="Arial" w:eastAsia="Arial" w:hAnsi="Arial" w:cs="Arial"/>
                <w:b/>
              </w:rPr>
              <w:t>STO 2021</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b/>
              </w:rPr>
              <w:t>PREVISIÓN</w:t>
            </w:r>
          </w:p>
          <w:p w:rsidR="00E23B86" w:rsidRDefault="00BA7C13">
            <w:pPr>
              <w:spacing w:after="0"/>
              <w:ind w:left="50"/>
              <w:jc w:val="both"/>
            </w:pPr>
            <w:r>
              <w:rPr>
                <w:rFonts w:ascii="Arial" w:eastAsia="Arial" w:hAnsi="Arial" w:cs="Arial"/>
                <w:b/>
              </w:rPr>
              <w:t>PRESUPUE</w:t>
            </w:r>
          </w:p>
          <w:p w:rsidR="00E23B86" w:rsidRDefault="00BA7C13">
            <w:pPr>
              <w:spacing w:after="0"/>
              <w:ind w:left="154"/>
            </w:pPr>
            <w:r>
              <w:rPr>
                <w:rFonts w:ascii="Arial" w:eastAsia="Arial" w:hAnsi="Arial" w:cs="Arial"/>
                <w:b/>
              </w:rPr>
              <w:t>STO 2022</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28"/>
            </w:pPr>
            <w:r>
              <w:rPr>
                <w:rFonts w:ascii="Arial" w:eastAsia="Arial" w:hAnsi="Arial" w:cs="Arial"/>
                <w:b/>
              </w:rPr>
              <w:t>PREVISIÓN</w:t>
            </w:r>
          </w:p>
          <w:p w:rsidR="00E23B86" w:rsidRDefault="00BA7C13">
            <w:pPr>
              <w:spacing w:after="0"/>
              <w:jc w:val="center"/>
            </w:pPr>
            <w:r>
              <w:rPr>
                <w:rFonts w:ascii="Arial" w:eastAsia="Arial" w:hAnsi="Arial" w:cs="Arial"/>
                <w:b/>
              </w:rPr>
              <w:t>PRESUPUES TO 2023</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GASTOS DE PERSONAL</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570.646,64 €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582.059,57 €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593.700,76 €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605.574,78 €</w:t>
            </w:r>
          </w:p>
        </w:tc>
      </w:tr>
      <w:tr w:rsidR="00E23B86">
        <w:trPr>
          <w:trHeight w:val="870"/>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GASTOS EN BIENES </w:t>
            </w:r>
          </w:p>
          <w:p w:rsidR="00E23B86" w:rsidRDefault="00BA7C13">
            <w:pPr>
              <w:spacing w:after="0"/>
            </w:pPr>
            <w:r>
              <w:rPr>
                <w:rFonts w:ascii="Arial" w:eastAsia="Arial" w:hAnsi="Arial" w:cs="Arial"/>
              </w:rPr>
              <w:t>CORRIENTES Y SERVICIOS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419.929,08 €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408.516,15 €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396.874,96 €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385.000,94 €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GASTOS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CORRIENTES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INVERSIONES REALES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DE CAPITAL</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ACTIVOS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PASIVOS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3"/>
              <w:jc w:val="center"/>
            </w:pPr>
            <w:r>
              <w:rPr>
                <w:rFonts w:ascii="Arial" w:eastAsia="Arial" w:hAnsi="Arial" w:cs="Arial"/>
              </w:rPr>
              <w:t>Totales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990.575,72 €</w:t>
            </w:r>
          </w:p>
        </w:tc>
      </w:tr>
    </w:tbl>
    <w:p w:rsidR="00E23B86" w:rsidRDefault="00BA7C13">
      <w:pPr>
        <w:spacing w:after="365" w:line="248" w:lineRule="auto"/>
        <w:ind w:left="373" w:right="552" w:hanging="10"/>
        <w:jc w:val="both"/>
      </w:pPr>
      <w:r>
        <w:rPr>
          <w:rFonts w:ascii="Arial" w:eastAsia="Arial" w:hAnsi="Arial" w:cs="Arial"/>
          <w:b/>
        </w:rPr>
        <w:t xml:space="preserve">SEGUNDO. - </w:t>
      </w:r>
      <w:r>
        <w:rPr>
          <w:rFonts w:ascii="Arial" w:eastAsia="Arial" w:hAnsi="Arial" w:cs="Arial"/>
        </w:rPr>
        <w:t>El Presupuesto General definitivamente aprobados será insertado en el Boletín Oficial de la Provincia resumido por capítulos, además de la Plantilla Orgánica y resumen del Plan Presupuestario, y las Bases de Ejecución íntegramente.</w:t>
      </w:r>
    </w:p>
    <w:p w:rsidR="00E23B86" w:rsidRDefault="00BA7C13">
      <w:pPr>
        <w:spacing w:after="485" w:line="248" w:lineRule="auto"/>
        <w:ind w:left="373" w:right="552" w:hanging="10"/>
        <w:jc w:val="both"/>
      </w:pPr>
      <w:r>
        <w:rPr>
          <w:rFonts w:ascii="Arial" w:eastAsia="Arial" w:hAnsi="Arial" w:cs="Arial"/>
          <w:b/>
        </w:rPr>
        <w:t xml:space="preserve">TERCERO. - </w:t>
      </w:r>
      <w:r>
        <w:rPr>
          <w:rFonts w:ascii="Arial" w:eastAsia="Arial" w:hAnsi="Arial" w:cs="Arial"/>
        </w:rPr>
        <w:t>Del Presupues</w:t>
      </w:r>
      <w:r>
        <w:rPr>
          <w:rFonts w:ascii="Arial" w:eastAsia="Arial" w:hAnsi="Arial" w:cs="Arial"/>
        </w:rPr>
        <w:t>to General definitivamente aprobado se remitirá copia a la Administración del Estado y a la Comunidad Autónoma. La remisión será simultánea al envío al Boletín Oficial de la Provincia.”</w:t>
      </w:r>
    </w:p>
    <w:p w:rsidR="00E23B86" w:rsidRDefault="00BA7C13">
      <w:pPr>
        <w:spacing w:after="111" w:line="249" w:lineRule="auto"/>
        <w:ind w:left="355" w:right="554" w:hanging="10"/>
        <w:jc w:val="both"/>
      </w:pPr>
      <w:r>
        <w:rPr>
          <w:rFonts w:ascii="Arial" w:eastAsia="Arial" w:hAnsi="Arial" w:cs="Arial"/>
          <w:b/>
        </w:rPr>
        <w:t>DICTAMEN DE LA COMISIÓN INFORMATIVA DE HACIENDA, RECURSOS HUMANOS Y SE</w:t>
      </w:r>
      <w:r>
        <w:rPr>
          <w:rFonts w:ascii="Arial" w:eastAsia="Arial" w:hAnsi="Arial" w:cs="Arial"/>
          <w:b/>
        </w:rPr>
        <w:t>RVICIOS GENERALES.</w:t>
      </w:r>
    </w:p>
    <w:p w:rsidR="00E23B86" w:rsidRDefault="00BA7C13">
      <w:pPr>
        <w:spacing w:after="110" w:line="248" w:lineRule="auto"/>
        <w:ind w:left="373" w:right="552" w:hanging="10"/>
        <w:jc w:val="both"/>
      </w:pPr>
      <w:r>
        <w:rPr>
          <w:rFonts w:ascii="Arial" w:eastAsia="Arial" w:hAnsi="Arial" w:cs="Arial"/>
        </w:rPr>
        <w:t>Votos a favor: 4.</w:t>
      </w:r>
    </w:p>
    <w:p w:rsidR="00E23B86" w:rsidRDefault="00BA7C13">
      <w:pPr>
        <w:spacing w:after="110" w:line="248" w:lineRule="auto"/>
        <w:ind w:left="373" w:right="552" w:hanging="10"/>
        <w:jc w:val="both"/>
      </w:pPr>
      <w:r>
        <w:rPr>
          <w:noProof/>
        </w:rPr>
        <mc:AlternateContent>
          <mc:Choice Requires="wpg">
            <w:drawing>
              <wp:anchor distT="0" distB="0" distL="114300" distR="114300" simplePos="0" relativeHeight="2517442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7017" name="Group 53701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9674" name="Rectangle 1967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9675" name="Rectangle 19675"/>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7017" style="width:12.7031pt;height:280.35pt;position:absolute;mso-position-horizontal-relative:page;mso-position-horizontal:absolute;margin-left:681.958pt;mso-position-vertical-relative:page;margin-top:531.65pt;" coordsize="1613,35604">
                <v:rect id="Rectangle 1967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9675"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391 </w:t>
                        </w:r>
                      </w:p>
                    </w:txbxContent>
                  </v:textbox>
                </v:rect>
                <w10:wrap type="square"/>
              </v:group>
            </w:pict>
          </mc:Fallback>
        </mc:AlternateContent>
      </w:r>
      <w:r>
        <w:rPr>
          <w:rFonts w:ascii="Arial" w:eastAsia="Arial" w:hAnsi="Arial" w:cs="Arial"/>
        </w:rPr>
        <w:t>Los 4 concejales del Grupo Socialista: Don José Francisco Pinto Ramos, Doña Hilaria Cecilia Otazo González, Doña Margarita Eva Tendero Barroso y Don Olegario Francisco Alonso Bello.</w:t>
      </w:r>
    </w:p>
    <w:p w:rsidR="00E23B86" w:rsidRDefault="00BA7C13">
      <w:pPr>
        <w:spacing w:after="110" w:line="248" w:lineRule="auto"/>
        <w:ind w:left="373" w:right="552" w:hanging="10"/>
        <w:jc w:val="both"/>
      </w:pPr>
      <w:r>
        <w:rPr>
          <w:rFonts w:ascii="Arial" w:eastAsia="Arial" w:hAnsi="Arial" w:cs="Arial"/>
        </w:rPr>
        <w:t>Votos en contra: 2</w:t>
      </w:r>
    </w:p>
    <w:p w:rsidR="00E23B86" w:rsidRDefault="00BA7C13">
      <w:pPr>
        <w:spacing w:after="110" w:line="248" w:lineRule="auto"/>
        <w:ind w:left="373" w:right="552" w:hanging="10"/>
        <w:jc w:val="both"/>
      </w:pPr>
      <w:r>
        <w:rPr>
          <w:rFonts w:ascii="Arial" w:eastAsia="Arial" w:hAnsi="Arial" w:cs="Arial"/>
        </w:rPr>
        <w:t>Las 2 concejalas del Grupo Mixto: Doña María del Carmen</w:t>
      </w:r>
      <w:r>
        <w:rPr>
          <w:rFonts w:ascii="Arial" w:eastAsia="Arial" w:hAnsi="Arial" w:cs="Arial"/>
        </w:rPr>
        <w:t xml:space="preserve"> Coello González (SSP) y Doña Ángela Cruz Perera (CC-PNC).</w:t>
      </w:r>
    </w:p>
    <w:p w:rsidR="00E23B86" w:rsidRDefault="00BA7C13">
      <w:pPr>
        <w:spacing w:after="110" w:line="248" w:lineRule="auto"/>
        <w:ind w:left="373" w:right="552" w:hanging="10"/>
        <w:jc w:val="both"/>
      </w:pPr>
      <w:r>
        <w:rPr>
          <w:rFonts w:ascii="Arial" w:eastAsia="Arial" w:hAnsi="Arial" w:cs="Arial"/>
        </w:rPr>
        <w:t>Abstenciones: 1.</w:t>
      </w:r>
    </w:p>
    <w:p w:rsidR="00E23B86" w:rsidRDefault="00BA7C13">
      <w:pPr>
        <w:spacing w:after="857" w:line="248" w:lineRule="auto"/>
        <w:ind w:left="373" w:right="552" w:hanging="10"/>
        <w:jc w:val="both"/>
      </w:pPr>
      <w:r>
        <w:rPr>
          <w:rFonts w:ascii="Arial" w:eastAsia="Arial" w:hAnsi="Arial" w:cs="Arial"/>
        </w:rPr>
        <w:t>1 del concejal del Grupo Popular, Don Juan Miguel Olivera González.</w:t>
      </w:r>
    </w:p>
    <w:p w:rsidR="00E23B86" w:rsidRDefault="00BA7C13">
      <w:pPr>
        <w:spacing w:after="111" w:line="249" w:lineRule="auto"/>
        <w:ind w:left="355" w:right="554" w:hanging="10"/>
        <w:jc w:val="both"/>
      </w:pPr>
      <w:r>
        <w:rPr>
          <w:rFonts w:ascii="Arial" w:eastAsia="Arial" w:hAnsi="Arial" w:cs="Arial"/>
          <w:b/>
        </w:rPr>
        <w:t>JUNTA DE PORTAVOCES</w:t>
      </w:r>
    </w:p>
    <w:p w:rsidR="00E23B86" w:rsidRDefault="00BA7C13">
      <w:pPr>
        <w:spacing w:after="110" w:line="248" w:lineRule="auto"/>
        <w:ind w:left="373" w:right="552" w:hanging="10"/>
        <w:jc w:val="both"/>
      </w:pPr>
      <w:r>
        <w:rPr>
          <w:rFonts w:ascii="Arial" w:eastAsia="Arial" w:hAnsi="Arial" w:cs="Arial"/>
        </w:rPr>
        <w:t>Quedó oída.</w:t>
      </w:r>
    </w:p>
    <w:p w:rsidR="00E23B86" w:rsidRDefault="00BA7C13">
      <w:pPr>
        <w:pStyle w:val="Ttulo3"/>
        <w:spacing w:after="84" w:line="265" w:lineRule="auto"/>
        <w:ind w:left="682" w:right="1019"/>
        <w:jc w:val="center"/>
      </w:pPr>
      <w:r>
        <w:rPr>
          <w:i w:val="0"/>
          <w:color w:val="000000"/>
        </w:rPr>
        <w:t>VOTACIÓN EN EL PLENO</w:t>
      </w:r>
    </w:p>
    <w:p w:rsidR="00E23B86" w:rsidRDefault="00BA7C13">
      <w:pPr>
        <w:spacing w:after="110" w:line="248" w:lineRule="auto"/>
        <w:ind w:left="373" w:right="552" w:hanging="10"/>
        <w:jc w:val="both"/>
      </w:pPr>
      <w:r>
        <w:rPr>
          <w:rFonts w:ascii="Arial" w:eastAsia="Arial" w:hAnsi="Arial" w:cs="Arial"/>
        </w:rPr>
        <w:t>Votos a favor: 11.</w:t>
      </w:r>
    </w:p>
    <w:p w:rsidR="00E23B86" w:rsidRDefault="00BA7C13">
      <w:pPr>
        <w:spacing w:after="110" w:line="248" w:lineRule="auto"/>
        <w:ind w:left="373" w:right="552" w:hanging="10"/>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Chinea, 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E23B86" w:rsidRDefault="00BA7C13">
      <w:pPr>
        <w:spacing w:after="110" w:line="248" w:lineRule="auto"/>
        <w:ind w:left="373" w:right="552" w:hanging="10"/>
        <w:jc w:val="both"/>
      </w:pPr>
      <w:r>
        <w:rPr>
          <w:rFonts w:ascii="Arial" w:eastAsia="Arial" w:hAnsi="Arial" w:cs="Arial"/>
        </w:rPr>
        <w:t>Votos en contra: 3.</w:t>
      </w:r>
    </w:p>
    <w:p w:rsidR="00E23B86" w:rsidRDefault="00BA7C13">
      <w:pPr>
        <w:spacing w:after="110" w:line="248" w:lineRule="auto"/>
        <w:ind w:left="373" w:right="552" w:hanging="10"/>
        <w:jc w:val="both"/>
      </w:pPr>
      <w:r>
        <w:rPr>
          <w:rFonts w:ascii="Arial" w:eastAsia="Arial" w:hAnsi="Arial" w:cs="Arial"/>
        </w:rPr>
        <w:t xml:space="preserve">3 concejales del Grupo Mixto: Doña María del Carmen Coello González y Doña María del </w:t>
      </w:r>
      <w:r>
        <w:rPr>
          <w:rFonts w:ascii="Arial" w:eastAsia="Arial" w:hAnsi="Arial" w:cs="Arial"/>
        </w:rPr>
        <w:t>Pilar Maceín Núñez (SSP) y Doña Ángela Cruz Perera (CC-PNC).</w:t>
      </w:r>
    </w:p>
    <w:p w:rsidR="00E23B86" w:rsidRDefault="00BA7C13">
      <w:pPr>
        <w:spacing w:after="110" w:line="248" w:lineRule="auto"/>
        <w:ind w:left="373" w:right="552" w:hanging="10"/>
        <w:jc w:val="both"/>
      </w:pPr>
      <w:r>
        <w:rPr>
          <w:rFonts w:ascii="Arial" w:eastAsia="Arial" w:hAnsi="Arial" w:cs="Arial"/>
        </w:rPr>
        <w:t>Abstenciones: 4.</w:t>
      </w:r>
    </w:p>
    <w:p w:rsidR="00E23B86" w:rsidRDefault="00BA7C13">
      <w:pPr>
        <w:spacing w:after="110" w:line="248" w:lineRule="auto"/>
        <w:ind w:left="373" w:right="552" w:hanging="10"/>
        <w:jc w:val="both"/>
      </w:pPr>
      <w:r>
        <w:rPr>
          <w:rFonts w:ascii="Arial" w:eastAsia="Arial" w:hAnsi="Arial" w:cs="Arial"/>
        </w:rPr>
        <w:t>3 concejales del Grupo Popular: Don Juan Miguel Olivera González, Don Jacobo López Fariña y Doña Raquel Martín Castro.</w:t>
      </w:r>
    </w:p>
    <w:p w:rsidR="00E23B86" w:rsidRDefault="00BA7C13">
      <w:pPr>
        <w:spacing w:after="615" w:line="248" w:lineRule="auto"/>
        <w:ind w:left="373" w:right="552" w:hanging="10"/>
        <w:jc w:val="both"/>
      </w:pPr>
      <w:r>
        <w:rPr>
          <w:rFonts w:ascii="Arial" w:eastAsia="Arial" w:hAnsi="Arial" w:cs="Arial"/>
        </w:rPr>
        <w:t>1 concejal del Grupo Mixto: Don José Fernando Gómez Martín (PvxC).</w:t>
      </w:r>
    </w:p>
    <w:p w:rsidR="00E23B86" w:rsidRDefault="00BA7C13">
      <w:pPr>
        <w:pStyle w:val="Ttulo3"/>
        <w:spacing w:after="481" w:line="265" w:lineRule="auto"/>
        <w:ind w:left="682" w:right="1276"/>
        <w:jc w:val="center"/>
      </w:pPr>
      <w:r>
        <w:rPr>
          <w:noProof/>
        </w:rPr>
        <mc:AlternateContent>
          <mc:Choice Requires="wpg">
            <w:drawing>
              <wp:anchor distT="0" distB="0" distL="114300" distR="114300" simplePos="0" relativeHeight="2517452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8999" name="Group 48899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19790" name="Rectangle 1979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19791" name="Rectangle 19791"/>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85 </w:t>
                              </w:r>
                              <w:r>
                                <w:rPr>
                                  <w:rFonts w:ascii="Arial" w:eastAsia="Arial" w:hAnsi="Arial" w:cs="Arial"/>
                                  <w:sz w:val="12"/>
                                </w:rPr>
                                <w:t xml:space="preserve">de 391 </w:t>
                              </w:r>
                            </w:p>
                          </w:txbxContent>
                        </wps:txbx>
                        <wps:bodyPr horzOverflow="overflow" vert="horz" lIns="0" tIns="0" rIns="0" bIns="0" rtlCol="0">
                          <a:noAutofit/>
                        </wps:bodyPr>
                      </wps:wsp>
                    </wpg:wgp>
                  </a:graphicData>
                </a:graphic>
              </wp:anchor>
            </w:drawing>
          </mc:Choice>
          <mc:Fallback xmlns:a="http://schemas.openxmlformats.org/drawingml/2006/main">
            <w:pict>
              <v:group id="Group 488999" style="width:12.7031pt;height:280.35pt;position:absolute;mso-position-horizontal-relative:page;mso-position-horizontal:absolute;margin-left:681.958pt;mso-position-vertical-relative:page;margin-top:531.65pt;" coordsize="1613,35604">
                <v:rect id="Rectangle 1979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19791"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391 </w:t>
                        </w:r>
                      </w:p>
                    </w:txbxContent>
                  </v:textbox>
                </v:rect>
                <w10:wrap type="square"/>
              </v:group>
            </w:pict>
          </mc:Fallback>
        </mc:AlternateContent>
      </w:r>
      <w:r>
        <w:rPr>
          <w:i w:val="0"/>
          <w:color w:val="000000"/>
        </w:rPr>
        <w:t>ACUERDO DEL PLENO</w:t>
      </w:r>
    </w:p>
    <w:p w:rsidR="00E23B86" w:rsidRDefault="00BA7C13">
      <w:pPr>
        <w:spacing w:after="365" w:line="249" w:lineRule="auto"/>
        <w:ind w:left="355" w:right="554" w:hanging="10"/>
        <w:jc w:val="both"/>
      </w:pPr>
      <w:r>
        <w:rPr>
          <w:rFonts w:ascii="Arial" w:eastAsia="Arial" w:hAnsi="Arial" w:cs="Arial"/>
          <w:b/>
        </w:rPr>
        <w:t>PRIMERO. - Desestimar las reclamaciones - alegaciones presentadas por los interesados, y en consecuencia aprobar definitivamente el Presupuesto General del ejercicio 2020, al que se incorpora Plantilla Orgánica y Plan Presupuestar</w:t>
      </w:r>
      <w:r>
        <w:rPr>
          <w:rFonts w:ascii="Arial" w:eastAsia="Arial" w:hAnsi="Arial" w:cs="Arial"/>
          <w:b/>
        </w:rPr>
        <w:t>io, con el siguiente resumen:</w:t>
      </w:r>
    </w:p>
    <w:p w:rsidR="00E23B86" w:rsidRDefault="00BA7C13">
      <w:pPr>
        <w:spacing w:after="2627" w:line="248" w:lineRule="auto"/>
        <w:ind w:left="373" w:right="552" w:hanging="10"/>
        <w:jc w:val="both"/>
      </w:pPr>
      <w:r>
        <w:rPr>
          <w:rFonts w:ascii="Arial" w:eastAsia="Arial" w:hAnsi="Arial" w:cs="Arial"/>
        </w:rPr>
        <w:t>I.-Estado de gastos e ingresos consolidados:</w:t>
      </w:r>
    </w:p>
    <w:p w:rsidR="00E23B86" w:rsidRDefault="00BA7C13">
      <w:pPr>
        <w:spacing w:after="0" w:line="248" w:lineRule="auto"/>
        <w:ind w:left="768" w:right="7731" w:hanging="298"/>
        <w:jc w:val="both"/>
      </w:pPr>
      <w:r>
        <w:rPr>
          <w:rFonts w:ascii="Arial" w:eastAsia="Arial" w:hAnsi="Arial" w:cs="Arial"/>
        </w:rPr>
        <w:t>ESTADO DE</w:t>
      </w:r>
    </w:p>
    <w:p w:rsidR="00E23B86" w:rsidRDefault="00BA7C13">
      <w:pPr>
        <w:spacing w:after="10" w:line="248" w:lineRule="auto"/>
        <w:ind w:left="373" w:right="552" w:hanging="10"/>
        <w:jc w:val="both"/>
      </w:pPr>
      <w:r>
        <w:rPr>
          <w:rFonts w:ascii="Arial" w:eastAsia="Arial" w:hAnsi="Arial" w:cs="Arial"/>
        </w:rPr>
        <w:t>CONSOLI</w:t>
      </w:r>
    </w:p>
    <w:p w:rsidR="00E23B86" w:rsidRDefault="00BA7C13">
      <w:pPr>
        <w:spacing w:after="0" w:line="248" w:lineRule="auto"/>
        <w:ind w:left="768" w:right="7756" w:hanging="274"/>
        <w:jc w:val="both"/>
      </w:pPr>
      <w:r>
        <w:rPr>
          <w:rFonts w:ascii="Arial" w:eastAsia="Arial" w:hAnsi="Arial" w:cs="Arial"/>
        </w:rPr>
        <w:t>DACION DE</w:t>
      </w:r>
    </w:p>
    <w:p w:rsidR="00E23B86" w:rsidRDefault="00BA7C13">
      <w:pPr>
        <w:spacing w:after="10" w:line="248" w:lineRule="auto"/>
        <w:ind w:left="442" w:right="552" w:hanging="10"/>
        <w:jc w:val="both"/>
      </w:pPr>
      <w:r>
        <w:rPr>
          <w:rFonts w:ascii="Arial" w:eastAsia="Arial" w:hAnsi="Arial" w:cs="Arial"/>
        </w:rPr>
        <w:t xml:space="preserve">GASTOS </w:t>
      </w:r>
    </w:p>
    <w:p w:rsidR="00E23B86" w:rsidRDefault="00BA7C13">
      <w:pPr>
        <w:spacing w:after="0"/>
        <w:ind w:left="280"/>
      </w:pPr>
      <w:r>
        <w:rPr>
          <w:noProof/>
        </w:rPr>
        <mc:AlternateContent>
          <mc:Choice Requires="wpg">
            <w:drawing>
              <wp:inline distT="0" distB="0" distL="0" distR="0">
                <wp:extent cx="812800" cy="6350"/>
                <wp:effectExtent l="0" t="0" r="0" b="0"/>
                <wp:docPr id="488998" name="Group 488998"/>
                <wp:cNvGraphicFramePr/>
                <a:graphic xmlns:a="http://schemas.openxmlformats.org/drawingml/2006/main">
                  <a:graphicData uri="http://schemas.microsoft.com/office/word/2010/wordprocessingGroup">
                    <wpg:wgp>
                      <wpg:cNvGrpSpPr/>
                      <wpg:grpSpPr>
                        <a:xfrm>
                          <a:off x="0" y="0"/>
                          <a:ext cx="812800" cy="6350"/>
                          <a:chOff x="0" y="0"/>
                          <a:chExt cx="812800" cy="6350"/>
                        </a:xfrm>
                      </wpg:grpSpPr>
                      <wps:wsp>
                        <wps:cNvPr id="632265" name="Shape 632265"/>
                        <wps:cNvSpPr/>
                        <wps:spPr>
                          <a:xfrm>
                            <a:off x="0" y="0"/>
                            <a:ext cx="812800" cy="9144"/>
                          </a:xfrm>
                          <a:custGeom>
                            <a:avLst/>
                            <a:gdLst/>
                            <a:ahLst/>
                            <a:cxnLst/>
                            <a:rect l="0" t="0" r="0" b="0"/>
                            <a:pathLst>
                              <a:path w="812800" h="9144">
                                <a:moveTo>
                                  <a:pt x="0" y="0"/>
                                </a:moveTo>
                                <a:lnTo>
                                  <a:pt x="812800" y="0"/>
                                </a:lnTo>
                                <a:lnTo>
                                  <a:pt x="812800" y="9144"/>
                                </a:lnTo>
                                <a:lnTo>
                                  <a:pt x="0" y="9144"/>
                                </a:lnTo>
                                <a:lnTo>
                                  <a:pt x="0" y="0"/>
                                </a:lnTo>
                              </a:path>
                            </a:pathLst>
                          </a:custGeom>
                          <a:ln w="1270" cap="flat">
                            <a:miter lim="127000"/>
                          </a:ln>
                        </wps:spPr>
                        <wps:style>
                          <a:lnRef idx="1">
                            <a:srgbClr val="00000A"/>
                          </a:lnRef>
                          <a:fillRef idx="1">
                            <a:srgbClr val="00000A"/>
                          </a:fillRef>
                          <a:effectRef idx="0">
                            <a:scrgbClr r="0" g="0" b="0"/>
                          </a:effectRef>
                          <a:fontRef idx="none"/>
                        </wps:style>
                        <wps:bodyPr/>
                      </wps:wsp>
                    </wpg:wgp>
                  </a:graphicData>
                </a:graphic>
              </wp:inline>
            </w:drawing>
          </mc:Choice>
          <mc:Fallback xmlns:a="http://schemas.openxmlformats.org/drawingml/2006/main">
            <w:pict>
              <v:group id="Group 488998" style="width:64pt;height:0.5pt;mso-position-horizontal-relative:char;mso-position-vertical-relative:line" coordsize="8128,63">
                <v:shape id="Shape 632266" style="position:absolute;width:8128;height:91;left:0;top:0;" coordsize="812800,9144" path="m0,0l812800,0l812800,9144l0,9144l0,0">
                  <v:stroke weight="0.1pt" endcap="flat" joinstyle="miter" miterlimit="10" on="true" color="#00000a"/>
                  <v:fill on="true" color="#00000a"/>
                </v:shape>
              </v:group>
            </w:pict>
          </mc:Fallback>
        </mc:AlternateContent>
      </w:r>
    </w:p>
    <w:p w:rsidR="00E23B86" w:rsidRDefault="00BA7C13">
      <w:pPr>
        <w:spacing w:after="895"/>
        <w:ind w:left="280"/>
      </w:pPr>
      <w:r>
        <w:rPr>
          <w:noProof/>
        </w:rPr>
        <mc:AlternateContent>
          <mc:Choice Requires="wpg">
            <w:drawing>
              <wp:inline distT="0" distB="0" distL="0" distR="0">
                <wp:extent cx="812800" cy="5080"/>
                <wp:effectExtent l="0" t="0" r="0" b="0"/>
                <wp:docPr id="568006" name="Group 568006"/>
                <wp:cNvGraphicFramePr/>
                <a:graphic xmlns:a="http://schemas.openxmlformats.org/drawingml/2006/main">
                  <a:graphicData uri="http://schemas.microsoft.com/office/word/2010/wordprocessingGroup">
                    <wpg:wgp>
                      <wpg:cNvGrpSpPr/>
                      <wpg:grpSpPr>
                        <a:xfrm>
                          <a:off x="0" y="0"/>
                          <a:ext cx="812800" cy="5080"/>
                          <a:chOff x="0" y="0"/>
                          <a:chExt cx="812800" cy="5080"/>
                        </a:xfrm>
                      </wpg:grpSpPr>
                      <wps:wsp>
                        <wps:cNvPr id="632267" name="Shape 632267"/>
                        <wps:cNvSpPr/>
                        <wps:spPr>
                          <a:xfrm>
                            <a:off x="0" y="0"/>
                            <a:ext cx="812800" cy="9144"/>
                          </a:xfrm>
                          <a:custGeom>
                            <a:avLst/>
                            <a:gdLst/>
                            <a:ahLst/>
                            <a:cxnLst/>
                            <a:rect l="0" t="0" r="0" b="0"/>
                            <a:pathLst>
                              <a:path w="812800" h="9144">
                                <a:moveTo>
                                  <a:pt x="0" y="0"/>
                                </a:moveTo>
                                <a:lnTo>
                                  <a:pt x="812800" y="0"/>
                                </a:lnTo>
                                <a:lnTo>
                                  <a:pt x="812800" y="9144"/>
                                </a:lnTo>
                                <a:lnTo>
                                  <a:pt x="0" y="9144"/>
                                </a:lnTo>
                                <a:lnTo>
                                  <a:pt x="0" y="0"/>
                                </a:lnTo>
                              </a:path>
                            </a:pathLst>
                          </a:custGeom>
                          <a:ln w="1270" cap="flat">
                            <a:miter lim="127000"/>
                          </a:ln>
                        </wps:spPr>
                        <wps:style>
                          <a:lnRef idx="1">
                            <a:srgbClr val="00000A"/>
                          </a:lnRef>
                          <a:fillRef idx="1">
                            <a:srgbClr val="00000A"/>
                          </a:fillRef>
                          <a:effectRef idx="0">
                            <a:scrgbClr r="0" g="0" b="0"/>
                          </a:effectRef>
                          <a:fontRef idx="none"/>
                        </wps:style>
                        <wps:bodyPr/>
                      </wps:wsp>
                    </wpg:wgp>
                  </a:graphicData>
                </a:graphic>
              </wp:inline>
            </w:drawing>
          </mc:Choice>
          <mc:Fallback xmlns:a="http://schemas.openxmlformats.org/drawingml/2006/main">
            <w:pict>
              <v:group id="Group 568006" style="width:64pt;height:0.400024pt;mso-position-horizontal-relative:char;mso-position-vertical-relative:line" coordsize="8128,50">
                <v:shape id="Shape 632268" style="position:absolute;width:8128;height:91;left:0;top:0;" coordsize="812800,9144" path="m0,0l812800,0l812800,9144l0,9144l0,0">
                  <v:stroke weight="0.1pt" endcap="flat" joinstyle="miter" miterlimit="10" on="true" color="#00000a"/>
                  <v:fill on="true" color="#00000a"/>
                </v:shape>
              </v:group>
            </w:pict>
          </mc:Fallback>
        </mc:AlternateContent>
      </w:r>
    </w:p>
    <w:tbl>
      <w:tblPr>
        <w:tblStyle w:val="TableGrid"/>
        <w:tblW w:w="7680" w:type="dxa"/>
        <w:tblInd w:w="281" w:type="dxa"/>
        <w:tblCellMar>
          <w:top w:w="11" w:type="dxa"/>
          <w:left w:w="80" w:type="dxa"/>
          <w:bottom w:w="0" w:type="dxa"/>
          <w:right w:w="68" w:type="dxa"/>
        </w:tblCellMar>
        <w:tblLook w:val="04A0" w:firstRow="1" w:lastRow="0" w:firstColumn="1" w:lastColumn="0" w:noHBand="0" w:noVBand="1"/>
      </w:tblPr>
      <w:tblGrid>
        <w:gridCol w:w="1274"/>
        <w:gridCol w:w="1281"/>
        <w:gridCol w:w="1281"/>
        <w:gridCol w:w="1282"/>
        <w:gridCol w:w="1282"/>
        <w:gridCol w:w="1280"/>
      </w:tblGrid>
      <w:tr w:rsidR="00E23B86">
        <w:trPr>
          <w:trHeight w:val="769"/>
        </w:trPr>
        <w:tc>
          <w:tcPr>
            <w:tcW w:w="1280" w:type="dxa"/>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left="98"/>
            </w:pPr>
            <w:r>
              <w:rPr>
                <w:rFonts w:ascii="Arial" w:eastAsia="Arial" w:hAnsi="Arial" w:cs="Arial"/>
              </w:rPr>
              <w:t>Capítulos</w:t>
            </w:r>
          </w:p>
        </w:tc>
        <w:tc>
          <w:tcPr>
            <w:tcW w:w="1280" w:type="dxa"/>
            <w:tcBorders>
              <w:top w:val="nil"/>
              <w:left w:val="single" w:sz="5" w:space="0" w:color="00000A"/>
              <w:bottom w:val="single" w:sz="4" w:space="0" w:color="00000A"/>
              <w:right w:val="single" w:sz="5" w:space="0" w:color="00000A"/>
            </w:tcBorders>
            <w:vAlign w:val="center"/>
          </w:tcPr>
          <w:p w:rsidR="00E23B86" w:rsidRDefault="00BA7C13">
            <w:pPr>
              <w:spacing w:after="0"/>
              <w:jc w:val="center"/>
            </w:pPr>
            <w:r>
              <w:rPr>
                <w:rFonts w:ascii="Arial" w:eastAsia="Arial" w:hAnsi="Arial" w:cs="Arial"/>
              </w:rPr>
              <w:t>Ayuntamie nto</w:t>
            </w:r>
          </w:p>
        </w:tc>
        <w:tc>
          <w:tcPr>
            <w:tcW w:w="1280" w:type="dxa"/>
            <w:tcBorders>
              <w:top w:val="nil"/>
              <w:left w:val="single" w:sz="5" w:space="0" w:color="00000A"/>
              <w:bottom w:val="single" w:sz="4" w:space="0" w:color="00000A"/>
              <w:right w:val="single" w:sz="4" w:space="0" w:color="00000A"/>
            </w:tcBorders>
            <w:vAlign w:val="center"/>
          </w:tcPr>
          <w:p w:rsidR="00E23B86" w:rsidRDefault="00BA7C13">
            <w:pPr>
              <w:spacing w:after="0"/>
              <w:ind w:left="48"/>
              <w:jc w:val="both"/>
            </w:pPr>
            <w:r>
              <w:rPr>
                <w:rFonts w:ascii="Arial" w:eastAsia="Arial" w:hAnsi="Arial" w:cs="Arial"/>
              </w:rPr>
              <w:t>EPELCAN</w:t>
            </w:r>
          </w:p>
        </w:tc>
        <w:tc>
          <w:tcPr>
            <w:tcW w:w="1280" w:type="dxa"/>
            <w:tcBorders>
              <w:top w:val="nil"/>
              <w:left w:val="single" w:sz="4" w:space="0" w:color="00000A"/>
              <w:bottom w:val="single" w:sz="4" w:space="0" w:color="00000A"/>
              <w:right w:val="single" w:sz="5" w:space="0" w:color="00000A"/>
            </w:tcBorders>
          </w:tcPr>
          <w:p w:rsidR="00E23B86" w:rsidRDefault="00BA7C13">
            <w:pPr>
              <w:spacing w:after="0"/>
              <w:ind w:right="12"/>
              <w:jc w:val="center"/>
            </w:pPr>
            <w:r>
              <w:rPr>
                <w:rFonts w:ascii="Arial" w:eastAsia="Arial" w:hAnsi="Arial" w:cs="Arial"/>
              </w:rPr>
              <w:t>Sdad.</w:t>
            </w:r>
          </w:p>
          <w:p w:rsidR="00E23B86" w:rsidRDefault="00BA7C13">
            <w:pPr>
              <w:spacing w:after="0"/>
              <w:ind w:left="98"/>
            </w:pPr>
            <w:r>
              <w:rPr>
                <w:rFonts w:ascii="Arial" w:eastAsia="Arial" w:hAnsi="Arial" w:cs="Arial"/>
              </w:rPr>
              <w:t>Municipal</w:t>
            </w:r>
          </w:p>
          <w:p w:rsidR="00E23B86" w:rsidRDefault="00BA7C13">
            <w:pPr>
              <w:spacing w:after="0"/>
              <w:ind w:left="84"/>
            </w:pPr>
            <w:r>
              <w:rPr>
                <w:rFonts w:ascii="Arial" w:eastAsia="Arial" w:hAnsi="Arial" w:cs="Arial"/>
              </w:rPr>
              <w:t>Viviendas</w:t>
            </w:r>
          </w:p>
        </w:tc>
        <w:tc>
          <w:tcPr>
            <w:tcW w:w="1280" w:type="dxa"/>
            <w:tcBorders>
              <w:top w:val="nil"/>
              <w:left w:val="single" w:sz="5" w:space="0" w:color="00000A"/>
              <w:bottom w:val="single" w:sz="4" w:space="0" w:color="00000A"/>
              <w:right w:val="single" w:sz="4" w:space="0" w:color="00000A"/>
            </w:tcBorders>
            <w:vAlign w:val="center"/>
          </w:tcPr>
          <w:p w:rsidR="00E23B86" w:rsidRDefault="00BA7C13">
            <w:pPr>
              <w:spacing w:after="0"/>
              <w:ind w:right="7"/>
              <w:jc w:val="center"/>
            </w:pPr>
            <w:r>
              <w:rPr>
                <w:rFonts w:ascii="Arial" w:eastAsia="Arial" w:hAnsi="Arial" w:cs="Arial"/>
              </w:rPr>
              <w:t>Total</w:t>
            </w:r>
          </w:p>
        </w:tc>
        <w:tc>
          <w:tcPr>
            <w:tcW w:w="1280" w:type="dxa"/>
            <w:tcBorders>
              <w:top w:val="nil"/>
              <w:left w:val="single" w:sz="4" w:space="0" w:color="00000A"/>
              <w:bottom w:val="single" w:sz="4" w:space="0" w:color="00000A"/>
              <w:right w:val="single" w:sz="5" w:space="0" w:color="00000A"/>
            </w:tcBorders>
            <w:vAlign w:val="center"/>
          </w:tcPr>
          <w:p w:rsidR="00E23B86" w:rsidRDefault="00BA7C13">
            <w:pPr>
              <w:spacing w:after="0"/>
              <w:jc w:val="center"/>
            </w:pPr>
            <w:r>
              <w:rPr>
                <w:rFonts w:ascii="Arial" w:eastAsia="Arial" w:hAnsi="Arial" w:cs="Arial"/>
              </w:rPr>
              <w:t>Eliminacion es</w:t>
            </w:r>
          </w:p>
        </w:tc>
      </w:tr>
      <w:tr w:rsidR="00E23B86">
        <w:trPr>
          <w:trHeight w:val="516"/>
        </w:trPr>
        <w:tc>
          <w:tcPr>
            <w:tcW w:w="1280" w:type="dxa"/>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right="12"/>
              <w:jc w:val="center"/>
            </w:pPr>
            <w:r>
              <w:rPr>
                <w:rFonts w:ascii="Arial" w:eastAsia="Arial" w:hAnsi="Arial" w:cs="Arial"/>
              </w:rPr>
              <w:t>1</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9.584.679, 97</w:t>
            </w:r>
          </w:p>
        </w:tc>
        <w:tc>
          <w:tcPr>
            <w:tcW w:w="1280"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left="31"/>
            </w:pPr>
            <w:r>
              <w:rPr>
                <w:rFonts w:ascii="Arial" w:eastAsia="Arial" w:hAnsi="Arial" w:cs="Arial"/>
              </w:rPr>
              <w:t>570.646,64</w:t>
            </w:r>
          </w:p>
        </w:tc>
        <w:tc>
          <w:tcPr>
            <w:tcW w:w="1280" w:type="dxa"/>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32"/>
            </w:pPr>
            <w:r>
              <w:rPr>
                <w:rFonts w:ascii="Arial" w:eastAsia="Arial" w:hAnsi="Arial" w:cs="Arial"/>
              </w:rPr>
              <w:t>865.357,56</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11.020.684 ,17</w:t>
            </w:r>
          </w:p>
        </w:tc>
        <w:tc>
          <w:tcPr>
            <w:tcW w:w="1280" w:type="dxa"/>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jc w:val="right"/>
            </w:pPr>
            <w:r>
              <w:rPr>
                <w:rFonts w:ascii="Arial" w:eastAsia="Arial" w:hAnsi="Arial" w:cs="Arial"/>
              </w:rPr>
              <w:t xml:space="preserve"> </w:t>
            </w:r>
          </w:p>
        </w:tc>
      </w:tr>
      <w:tr w:rsidR="00E23B86">
        <w:trPr>
          <w:trHeight w:val="516"/>
        </w:trPr>
        <w:tc>
          <w:tcPr>
            <w:tcW w:w="1280" w:type="dxa"/>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right="12"/>
              <w:jc w:val="center"/>
            </w:pPr>
            <w:r>
              <w:rPr>
                <w:rFonts w:ascii="Arial" w:eastAsia="Arial" w:hAnsi="Arial" w:cs="Arial"/>
              </w:rPr>
              <w:t>2</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8.311.414, 42</w:t>
            </w:r>
          </w:p>
        </w:tc>
        <w:tc>
          <w:tcPr>
            <w:tcW w:w="1280"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left="31"/>
            </w:pPr>
            <w:r>
              <w:rPr>
                <w:rFonts w:ascii="Arial" w:eastAsia="Arial" w:hAnsi="Arial" w:cs="Arial"/>
              </w:rPr>
              <w:t>419.929,08</w:t>
            </w:r>
          </w:p>
        </w:tc>
        <w:tc>
          <w:tcPr>
            <w:tcW w:w="1280" w:type="dxa"/>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right="1"/>
              <w:jc w:val="right"/>
            </w:pPr>
            <w:r>
              <w:rPr>
                <w:rFonts w:ascii="Arial" w:eastAsia="Arial" w:hAnsi="Arial" w:cs="Arial"/>
              </w:rPr>
              <w:t>25.504,30</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8.756.847, 80</w:t>
            </w:r>
          </w:p>
        </w:tc>
        <w:tc>
          <w:tcPr>
            <w:tcW w:w="1280" w:type="dxa"/>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right="1"/>
              <w:jc w:val="right"/>
            </w:pPr>
            <w:r>
              <w:rPr>
                <w:rFonts w:ascii="Arial" w:eastAsia="Arial" w:hAnsi="Arial" w:cs="Arial"/>
              </w:rPr>
              <w:t>0,00</w:t>
            </w:r>
          </w:p>
        </w:tc>
      </w:tr>
      <w:tr w:rsidR="00E23B86">
        <w:trPr>
          <w:trHeight w:val="262"/>
        </w:trPr>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2"/>
              <w:jc w:val="center"/>
            </w:pPr>
            <w:r>
              <w:rPr>
                <w:rFonts w:ascii="Arial" w:eastAsia="Arial" w:hAnsi="Arial" w:cs="Arial"/>
              </w:rPr>
              <w:t>3</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left="31"/>
            </w:pPr>
            <w:r>
              <w:rPr>
                <w:rFonts w:ascii="Arial" w:eastAsia="Arial" w:hAnsi="Arial" w:cs="Arial"/>
              </w:rPr>
              <w:t>135.618,29</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32"/>
            </w:pPr>
            <w:r>
              <w:rPr>
                <w:rFonts w:ascii="Arial" w:eastAsia="Arial" w:hAnsi="Arial" w:cs="Arial"/>
              </w:rPr>
              <w:t>135.618,29</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516"/>
        </w:trPr>
        <w:tc>
          <w:tcPr>
            <w:tcW w:w="1280" w:type="dxa"/>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right="12"/>
              <w:jc w:val="center"/>
            </w:pPr>
            <w:r>
              <w:rPr>
                <w:rFonts w:ascii="Arial" w:eastAsia="Arial" w:hAnsi="Arial" w:cs="Arial"/>
              </w:rPr>
              <w:t>4</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2.881.900, 35</w:t>
            </w:r>
          </w:p>
        </w:tc>
        <w:tc>
          <w:tcPr>
            <w:tcW w:w="1280"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E23B86"/>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2.881.900, 35</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1.122.404, 46</w:t>
            </w:r>
          </w:p>
        </w:tc>
      </w:tr>
      <w:tr w:rsidR="00E23B86">
        <w:trPr>
          <w:trHeight w:val="264"/>
        </w:trPr>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2"/>
              <w:jc w:val="center"/>
            </w:pPr>
            <w:r>
              <w:rPr>
                <w:rFonts w:ascii="Arial" w:eastAsia="Arial" w:hAnsi="Arial" w:cs="Arial"/>
              </w:rPr>
              <w:t>5</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0,00</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262"/>
        </w:trPr>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2"/>
              <w:jc w:val="center"/>
            </w:pPr>
            <w:r>
              <w:rPr>
                <w:rFonts w:ascii="Arial" w:eastAsia="Arial" w:hAnsi="Arial" w:cs="Arial"/>
              </w:rPr>
              <w:t>6</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left="31"/>
            </w:pPr>
            <w:r>
              <w:rPr>
                <w:rFonts w:ascii="Arial" w:eastAsia="Arial" w:hAnsi="Arial" w:cs="Arial"/>
              </w:rPr>
              <w:t>313.387,97</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32"/>
            </w:pPr>
            <w:r>
              <w:rPr>
                <w:rFonts w:ascii="Arial" w:eastAsia="Arial" w:hAnsi="Arial" w:cs="Arial"/>
              </w:rPr>
              <w:t>313.387,97</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264"/>
        </w:trPr>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2"/>
              <w:jc w:val="center"/>
            </w:pPr>
            <w:r>
              <w:rPr>
                <w:rFonts w:ascii="Arial" w:eastAsia="Arial" w:hAnsi="Arial" w:cs="Arial"/>
              </w:rPr>
              <w:t>7</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0,00</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262"/>
        </w:trPr>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2"/>
              <w:jc w:val="center"/>
            </w:pPr>
            <w:r>
              <w:rPr>
                <w:rFonts w:ascii="Arial" w:eastAsia="Arial" w:hAnsi="Arial" w:cs="Arial"/>
              </w:rPr>
              <w:t>8</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50.000,00</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50.000,00</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264"/>
        </w:trPr>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2"/>
              <w:jc w:val="center"/>
            </w:pPr>
            <w:r>
              <w:rPr>
                <w:rFonts w:ascii="Arial" w:eastAsia="Arial" w:hAnsi="Arial" w:cs="Arial"/>
              </w:rPr>
              <w:t>9</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left="31"/>
            </w:pPr>
            <w:r>
              <w:rPr>
                <w:rFonts w:ascii="Arial" w:eastAsia="Arial" w:hAnsi="Arial" w:cs="Arial"/>
              </w:rPr>
              <w:t>612.852,83</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32"/>
            </w:pPr>
            <w:r>
              <w:rPr>
                <w:rFonts w:ascii="Arial" w:eastAsia="Arial" w:hAnsi="Arial" w:cs="Arial"/>
              </w:rPr>
              <w:t>612.852,83</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 xml:space="preserve"> </w:t>
            </w:r>
          </w:p>
        </w:tc>
      </w:tr>
      <w:tr w:rsidR="00E23B86">
        <w:trPr>
          <w:trHeight w:val="517"/>
        </w:trPr>
        <w:tc>
          <w:tcPr>
            <w:tcW w:w="1280" w:type="dxa"/>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right="6"/>
              <w:jc w:val="center"/>
            </w:pPr>
            <w:r>
              <w:rPr>
                <w:rFonts w:ascii="Arial" w:eastAsia="Arial" w:hAnsi="Arial" w:cs="Arial"/>
              </w:rPr>
              <w:t>TOTAL</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21.889.853 ,83</w:t>
            </w:r>
          </w:p>
        </w:tc>
        <w:tc>
          <w:tcPr>
            <w:tcW w:w="1280"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left="31"/>
            </w:pPr>
            <w:r>
              <w:rPr>
                <w:rFonts w:ascii="Arial" w:eastAsia="Arial" w:hAnsi="Arial" w:cs="Arial"/>
              </w:rPr>
              <w:t>990.575,72</w:t>
            </w:r>
          </w:p>
        </w:tc>
        <w:tc>
          <w:tcPr>
            <w:tcW w:w="1280" w:type="dxa"/>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32"/>
            </w:pPr>
            <w:r>
              <w:rPr>
                <w:rFonts w:ascii="Arial" w:eastAsia="Arial" w:hAnsi="Arial" w:cs="Arial"/>
              </w:rPr>
              <w:t>890.861,86</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23.771.291 ,41</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1.122.404, 46</w:t>
            </w:r>
          </w:p>
        </w:tc>
      </w:tr>
    </w:tbl>
    <w:p w:rsidR="00E23B86" w:rsidRDefault="00BA7C13">
      <w:pPr>
        <w:spacing w:after="10" w:line="248" w:lineRule="auto"/>
        <w:ind w:left="480" w:right="552" w:hanging="10"/>
        <w:jc w:val="both"/>
      </w:pPr>
      <w:r>
        <w:rPr>
          <w:rFonts w:ascii="Arial" w:eastAsia="Arial" w:hAnsi="Arial" w:cs="Arial"/>
        </w:rPr>
        <w:t>ESTADO</w:t>
      </w:r>
    </w:p>
    <w:p w:rsidR="00E23B86" w:rsidRDefault="00BA7C13">
      <w:pPr>
        <w:spacing w:after="0" w:line="265" w:lineRule="auto"/>
        <w:ind w:left="359" w:right="7917" w:hanging="10"/>
        <w:jc w:val="center"/>
      </w:pPr>
      <w:r>
        <w:rPr>
          <w:rFonts w:ascii="Arial" w:eastAsia="Arial" w:hAnsi="Arial" w:cs="Arial"/>
        </w:rPr>
        <w:t>DE</w:t>
      </w:r>
    </w:p>
    <w:p w:rsidR="00E23B86" w:rsidRDefault="00BA7C13">
      <w:pPr>
        <w:spacing w:after="10" w:line="248" w:lineRule="auto"/>
        <w:ind w:left="373" w:right="552" w:hanging="10"/>
        <w:jc w:val="both"/>
      </w:pPr>
      <w:r>
        <w:rPr>
          <w:rFonts w:ascii="Arial" w:eastAsia="Arial" w:hAnsi="Arial" w:cs="Arial"/>
        </w:rPr>
        <w:t>CONSOLI</w:t>
      </w:r>
    </w:p>
    <w:p w:rsidR="00E23B86" w:rsidRDefault="00BA7C13">
      <w:pPr>
        <w:spacing w:after="10" w:line="248" w:lineRule="auto"/>
        <w:ind w:left="504" w:right="552" w:hanging="10"/>
        <w:jc w:val="both"/>
      </w:pPr>
      <w:r>
        <w:rPr>
          <w:noProof/>
        </w:rPr>
        <mc:AlternateContent>
          <mc:Choice Requires="wpg">
            <w:drawing>
              <wp:anchor distT="0" distB="0" distL="114300" distR="114300" simplePos="0" relativeHeight="251746304"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68007" name="Group 56800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0420" name="Rectangle 2042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0421" name="Rectangle 20421"/>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8007" style="width:12.7031pt;height:280.35pt;position:absolute;mso-position-horizontal-relative:page;mso-position-horizontal:absolute;margin-left:681.958pt;mso-position-vertical-relative:page;margin-top:531.65pt;" coordsize="1613,35604">
                <v:rect id="Rectangle 2042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0421"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391 </w:t>
                        </w:r>
                      </w:p>
                    </w:txbxContent>
                  </v:textbox>
                </v:rect>
                <w10:wrap type="topAndBottom"/>
              </v:group>
            </w:pict>
          </mc:Fallback>
        </mc:AlternateContent>
      </w:r>
      <w:r>
        <w:rPr>
          <w:rFonts w:ascii="Arial" w:eastAsia="Arial" w:hAnsi="Arial" w:cs="Arial"/>
        </w:rPr>
        <w:t>DACION</w:t>
      </w:r>
    </w:p>
    <w:p w:rsidR="00E23B86" w:rsidRDefault="00BA7C13">
      <w:pPr>
        <w:spacing w:after="0" w:line="265" w:lineRule="auto"/>
        <w:ind w:left="359" w:right="7917" w:hanging="10"/>
        <w:jc w:val="center"/>
      </w:pPr>
      <w:r>
        <w:rPr>
          <w:rFonts w:ascii="Arial" w:eastAsia="Arial" w:hAnsi="Arial" w:cs="Arial"/>
        </w:rPr>
        <w:t>DE</w:t>
      </w:r>
    </w:p>
    <w:p w:rsidR="00E23B86" w:rsidRDefault="00BA7C13">
      <w:pPr>
        <w:spacing w:after="10" w:line="248" w:lineRule="auto"/>
        <w:ind w:left="373" w:right="552" w:hanging="10"/>
        <w:jc w:val="both"/>
      </w:pPr>
      <w:r>
        <w:rPr>
          <w:rFonts w:ascii="Arial" w:eastAsia="Arial" w:hAnsi="Arial" w:cs="Arial"/>
        </w:rPr>
        <w:t>INGRESO</w:t>
      </w:r>
    </w:p>
    <w:p w:rsidR="00E23B86" w:rsidRDefault="00BA7C13">
      <w:pPr>
        <w:spacing w:after="0" w:line="265" w:lineRule="auto"/>
        <w:ind w:left="359" w:right="7915" w:hanging="10"/>
        <w:jc w:val="center"/>
      </w:pPr>
      <w:r>
        <w:rPr>
          <w:rFonts w:ascii="Arial" w:eastAsia="Arial" w:hAnsi="Arial" w:cs="Arial"/>
        </w:rPr>
        <w:t>S</w:t>
      </w:r>
    </w:p>
    <w:tbl>
      <w:tblPr>
        <w:tblStyle w:val="TableGrid"/>
        <w:tblW w:w="7680" w:type="dxa"/>
        <w:tblInd w:w="281" w:type="dxa"/>
        <w:tblCellMar>
          <w:top w:w="11" w:type="dxa"/>
          <w:left w:w="79" w:type="dxa"/>
          <w:bottom w:w="0" w:type="dxa"/>
          <w:right w:w="68" w:type="dxa"/>
        </w:tblCellMar>
        <w:tblLook w:val="04A0" w:firstRow="1" w:lastRow="0" w:firstColumn="1" w:lastColumn="0" w:noHBand="0" w:noVBand="1"/>
      </w:tblPr>
      <w:tblGrid>
        <w:gridCol w:w="1275"/>
        <w:gridCol w:w="1281"/>
        <w:gridCol w:w="1281"/>
        <w:gridCol w:w="1282"/>
        <w:gridCol w:w="1282"/>
        <w:gridCol w:w="1279"/>
      </w:tblGrid>
      <w:tr w:rsidR="00E23B86">
        <w:trPr>
          <w:trHeight w:val="767"/>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98"/>
            </w:pPr>
            <w:r>
              <w:rPr>
                <w:rFonts w:ascii="Arial" w:eastAsia="Arial" w:hAnsi="Arial" w:cs="Arial"/>
              </w:rPr>
              <w:t>Capítulos</w:t>
            </w:r>
          </w:p>
        </w:tc>
        <w:tc>
          <w:tcPr>
            <w:tcW w:w="1280" w:type="dxa"/>
            <w:tcBorders>
              <w:top w:val="nil"/>
              <w:left w:val="single" w:sz="4" w:space="0" w:color="00000A"/>
              <w:bottom w:val="single" w:sz="4" w:space="0" w:color="00000A"/>
              <w:right w:val="single" w:sz="4" w:space="0" w:color="00000A"/>
            </w:tcBorders>
            <w:vAlign w:val="center"/>
          </w:tcPr>
          <w:p w:rsidR="00E23B86" w:rsidRDefault="00BA7C13">
            <w:pPr>
              <w:spacing w:after="0"/>
              <w:jc w:val="center"/>
            </w:pPr>
            <w:r>
              <w:rPr>
                <w:rFonts w:ascii="Arial" w:eastAsia="Arial" w:hAnsi="Arial" w:cs="Arial"/>
              </w:rPr>
              <w:t>Ayuntamie nto</w:t>
            </w:r>
          </w:p>
        </w:tc>
        <w:tc>
          <w:tcPr>
            <w:tcW w:w="1280" w:type="dxa"/>
            <w:tcBorders>
              <w:top w:val="nil"/>
              <w:left w:val="single" w:sz="4" w:space="0" w:color="00000A"/>
              <w:bottom w:val="single" w:sz="4" w:space="0" w:color="00000A"/>
              <w:right w:val="single" w:sz="4" w:space="0" w:color="00000A"/>
            </w:tcBorders>
            <w:vAlign w:val="center"/>
          </w:tcPr>
          <w:p w:rsidR="00E23B86" w:rsidRDefault="00BA7C13">
            <w:pPr>
              <w:spacing w:after="0"/>
              <w:ind w:left="48"/>
              <w:jc w:val="both"/>
            </w:pPr>
            <w:r>
              <w:rPr>
                <w:rFonts w:ascii="Arial" w:eastAsia="Arial" w:hAnsi="Arial" w:cs="Arial"/>
              </w:rPr>
              <w:t>EPELCAN</w:t>
            </w:r>
          </w:p>
        </w:tc>
        <w:tc>
          <w:tcPr>
            <w:tcW w:w="1280" w:type="dxa"/>
            <w:tcBorders>
              <w:top w:val="nil"/>
              <w:left w:val="single" w:sz="4" w:space="0" w:color="00000A"/>
              <w:bottom w:val="single" w:sz="4" w:space="0" w:color="00000A"/>
              <w:right w:val="single" w:sz="4" w:space="0" w:color="00000A"/>
            </w:tcBorders>
          </w:tcPr>
          <w:p w:rsidR="00E23B86" w:rsidRDefault="00BA7C13">
            <w:pPr>
              <w:spacing w:after="0"/>
              <w:ind w:right="11"/>
              <w:jc w:val="center"/>
            </w:pPr>
            <w:r>
              <w:rPr>
                <w:rFonts w:ascii="Arial" w:eastAsia="Arial" w:hAnsi="Arial" w:cs="Arial"/>
              </w:rPr>
              <w:t>Sdad.</w:t>
            </w:r>
          </w:p>
          <w:p w:rsidR="00E23B86" w:rsidRDefault="00BA7C13">
            <w:pPr>
              <w:spacing w:after="0"/>
              <w:ind w:left="98"/>
            </w:pPr>
            <w:r>
              <w:rPr>
                <w:rFonts w:ascii="Arial" w:eastAsia="Arial" w:hAnsi="Arial" w:cs="Arial"/>
              </w:rPr>
              <w:t>Municipal</w:t>
            </w:r>
          </w:p>
          <w:p w:rsidR="00E23B86" w:rsidRDefault="00BA7C13">
            <w:pPr>
              <w:spacing w:after="0"/>
              <w:ind w:left="84"/>
            </w:pPr>
            <w:r>
              <w:rPr>
                <w:rFonts w:ascii="Arial" w:eastAsia="Arial" w:hAnsi="Arial" w:cs="Arial"/>
              </w:rPr>
              <w:t>Viviendas</w:t>
            </w:r>
          </w:p>
        </w:tc>
        <w:tc>
          <w:tcPr>
            <w:tcW w:w="1280" w:type="dxa"/>
            <w:tcBorders>
              <w:top w:val="nil"/>
              <w:left w:val="single" w:sz="4" w:space="0" w:color="00000A"/>
              <w:bottom w:val="single" w:sz="4" w:space="0" w:color="00000A"/>
              <w:right w:val="single" w:sz="5" w:space="0" w:color="00000A"/>
            </w:tcBorders>
            <w:vAlign w:val="center"/>
          </w:tcPr>
          <w:p w:rsidR="00E23B86" w:rsidRDefault="00BA7C13">
            <w:pPr>
              <w:spacing w:after="0"/>
              <w:ind w:right="7"/>
              <w:jc w:val="center"/>
            </w:pPr>
            <w:r>
              <w:rPr>
                <w:rFonts w:ascii="Arial" w:eastAsia="Arial" w:hAnsi="Arial" w:cs="Arial"/>
              </w:rPr>
              <w:t>Total</w:t>
            </w:r>
          </w:p>
        </w:tc>
        <w:tc>
          <w:tcPr>
            <w:tcW w:w="1279" w:type="dxa"/>
            <w:tcBorders>
              <w:top w:val="nil"/>
              <w:left w:val="single" w:sz="5" w:space="0" w:color="00000A"/>
              <w:bottom w:val="single" w:sz="4" w:space="0" w:color="00000A"/>
              <w:right w:val="single" w:sz="4" w:space="0" w:color="00000A"/>
            </w:tcBorders>
            <w:vAlign w:val="center"/>
          </w:tcPr>
          <w:p w:rsidR="00E23B86" w:rsidRDefault="00BA7C13">
            <w:pPr>
              <w:spacing w:after="0"/>
              <w:jc w:val="center"/>
            </w:pPr>
            <w:r>
              <w:rPr>
                <w:rFonts w:ascii="Arial" w:eastAsia="Arial" w:hAnsi="Arial" w:cs="Arial"/>
              </w:rPr>
              <w:t>Eliminacion es</w:t>
            </w:r>
          </w:p>
        </w:tc>
      </w:tr>
      <w:tr w:rsidR="00E23B86">
        <w:trPr>
          <w:trHeight w:val="516"/>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0"/>
              <w:jc w:val="center"/>
            </w:pPr>
            <w:r>
              <w:rPr>
                <w:rFonts w:ascii="Arial" w:eastAsia="Arial" w:hAnsi="Arial" w:cs="Arial"/>
              </w:rPr>
              <w:t>1</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7.839.385, 00</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7.839.385, 00</w:t>
            </w:r>
          </w:p>
        </w:tc>
        <w:tc>
          <w:tcPr>
            <w:tcW w:w="1279"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r>
      <w:tr w:rsidR="00E23B86">
        <w:trPr>
          <w:trHeight w:val="516"/>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0"/>
              <w:jc w:val="center"/>
            </w:pPr>
            <w:r>
              <w:rPr>
                <w:rFonts w:ascii="Arial" w:eastAsia="Arial" w:hAnsi="Arial" w:cs="Arial"/>
              </w:rPr>
              <w:t>2</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4.635.600, 00</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4.635.600, 00</w:t>
            </w:r>
          </w:p>
        </w:tc>
        <w:tc>
          <w:tcPr>
            <w:tcW w:w="1279"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r>
      <w:tr w:rsidR="00E23B86">
        <w:trPr>
          <w:trHeight w:val="516"/>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0"/>
              <w:jc w:val="center"/>
            </w:pPr>
            <w:r>
              <w:rPr>
                <w:rFonts w:ascii="Arial" w:eastAsia="Arial" w:hAnsi="Arial" w:cs="Arial"/>
              </w:rPr>
              <w:t>3</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1.975.450, 00</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2"/>
            </w:pPr>
            <w:r>
              <w:rPr>
                <w:rFonts w:ascii="Arial" w:eastAsia="Arial" w:hAnsi="Arial" w:cs="Arial"/>
              </w:rPr>
              <w:t>538.929,45</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5.000,00</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2.519.379, 45</w:t>
            </w:r>
          </w:p>
        </w:tc>
        <w:tc>
          <w:tcPr>
            <w:tcW w:w="1279"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right"/>
            </w:pPr>
            <w:r>
              <w:rPr>
                <w:rFonts w:ascii="Arial" w:eastAsia="Arial" w:hAnsi="Arial" w:cs="Arial"/>
              </w:rPr>
              <w:t xml:space="preserve"> </w:t>
            </w:r>
          </w:p>
        </w:tc>
      </w:tr>
      <w:tr w:rsidR="00E23B86">
        <w:trPr>
          <w:trHeight w:val="516"/>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0"/>
              <w:jc w:val="center"/>
            </w:pPr>
            <w:r>
              <w:rPr>
                <w:rFonts w:ascii="Arial" w:eastAsia="Arial" w:hAnsi="Arial" w:cs="Arial"/>
              </w:rPr>
              <w:t>4</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7.022.228, 63</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2"/>
            </w:pPr>
            <w:r>
              <w:rPr>
                <w:rFonts w:ascii="Arial" w:eastAsia="Arial" w:hAnsi="Arial" w:cs="Arial"/>
              </w:rPr>
              <w:t>451.646,27</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3"/>
            </w:pPr>
            <w:r>
              <w:rPr>
                <w:rFonts w:ascii="Arial" w:eastAsia="Arial" w:hAnsi="Arial" w:cs="Arial"/>
              </w:rPr>
              <w:t>885.861,86</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8.359.736, 76</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1.122.404, 46</w:t>
            </w:r>
          </w:p>
        </w:tc>
      </w:tr>
      <w:tr w:rsidR="00E23B86">
        <w:trPr>
          <w:trHeight w:val="264"/>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0"/>
              <w:jc w:val="center"/>
            </w:pPr>
            <w:r>
              <w:rPr>
                <w:rFonts w:ascii="Arial" w:eastAsia="Arial" w:hAnsi="Arial" w:cs="Arial"/>
              </w:rPr>
              <w:t>5</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7.955,00</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7.955,00</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r>
      <w:tr w:rsidR="00E23B86">
        <w:trPr>
          <w:trHeight w:val="262"/>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0"/>
              <w:jc w:val="center"/>
            </w:pPr>
            <w:r>
              <w:rPr>
                <w:rFonts w:ascii="Arial" w:eastAsia="Arial" w:hAnsi="Arial" w:cs="Arial"/>
              </w:rPr>
              <w:t>7</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2"/>
            </w:pPr>
            <w:r>
              <w:rPr>
                <w:rFonts w:ascii="Arial" w:eastAsia="Arial" w:hAnsi="Arial" w:cs="Arial"/>
              </w:rPr>
              <w:t>409.235,20</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3"/>
            </w:pPr>
            <w:r>
              <w:rPr>
                <w:rFonts w:ascii="Arial" w:eastAsia="Arial" w:hAnsi="Arial" w:cs="Arial"/>
              </w:rPr>
              <w:t>409.235,20</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r>
      <w:tr w:rsidR="00E23B86">
        <w:trPr>
          <w:trHeight w:val="264"/>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0"/>
              <w:jc w:val="center"/>
            </w:pPr>
            <w:r>
              <w:rPr>
                <w:rFonts w:ascii="Arial" w:eastAsia="Arial" w:hAnsi="Arial" w:cs="Arial"/>
              </w:rPr>
              <w:t>8</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0,00</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r>
      <w:tr w:rsidR="00E23B86">
        <w:trPr>
          <w:trHeight w:val="262"/>
        </w:trPr>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0"/>
              <w:jc w:val="center"/>
            </w:pPr>
            <w:r>
              <w:rPr>
                <w:rFonts w:ascii="Arial" w:eastAsia="Arial" w:hAnsi="Arial" w:cs="Arial"/>
              </w:rPr>
              <w:t>9</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0,00</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 xml:space="preserve"> </w:t>
            </w:r>
          </w:p>
        </w:tc>
      </w:tr>
      <w:tr w:rsidR="00E23B86">
        <w:trPr>
          <w:trHeight w:val="517"/>
        </w:trPr>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5"/>
              <w:jc w:val="center"/>
            </w:pPr>
            <w:r>
              <w:rPr>
                <w:rFonts w:ascii="Arial" w:eastAsia="Arial" w:hAnsi="Arial" w:cs="Arial"/>
              </w:rPr>
              <w:t>TOTAL</w:t>
            </w:r>
          </w:p>
        </w:tc>
        <w:tc>
          <w:tcPr>
            <w:tcW w:w="1280"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21.889.853 ,83</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2"/>
            </w:pPr>
            <w:r>
              <w:rPr>
                <w:rFonts w:ascii="Arial" w:eastAsia="Arial" w:hAnsi="Arial" w:cs="Arial"/>
              </w:rPr>
              <w:t>990.575,72</w:t>
            </w:r>
          </w:p>
        </w:tc>
        <w:tc>
          <w:tcPr>
            <w:tcW w:w="1280"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3"/>
            </w:pPr>
            <w:r>
              <w:rPr>
                <w:rFonts w:ascii="Arial" w:eastAsia="Arial" w:hAnsi="Arial" w:cs="Arial"/>
              </w:rPr>
              <w:t>890.861,86</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23.771.291 ,41</w:t>
            </w:r>
          </w:p>
        </w:tc>
        <w:tc>
          <w:tcPr>
            <w:tcW w:w="1279"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1"/>
              <w:jc w:val="right"/>
            </w:pPr>
            <w:r>
              <w:rPr>
                <w:rFonts w:ascii="Arial" w:eastAsia="Arial" w:hAnsi="Arial" w:cs="Arial"/>
              </w:rPr>
              <w:t>1.122.404, 46</w:t>
            </w:r>
          </w:p>
        </w:tc>
      </w:tr>
      <w:tr w:rsidR="00E23B86">
        <w:trPr>
          <w:trHeight w:val="262"/>
        </w:trPr>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Superávit</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0,00</w:t>
            </w:r>
          </w:p>
        </w:tc>
        <w:tc>
          <w:tcPr>
            <w:tcW w:w="128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0,00</w:t>
            </w:r>
          </w:p>
        </w:tc>
        <w:tc>
          <w:tcPr>
            <w:tcW w:w="1280"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0,00</w:t>
            </w:r>
          </w:p>
        </w:tc>
        <w:tc>
          <w:tcPr>
            <w:tcW w:w="1280"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0,00</w:t>
            </w:r>
          </w:p>
        </w:tc>
        <w:tc>
          <w:tcPr>
            <w:tcW w:w="1279"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0,00</w:t>
            </w:r>
          </w:p>
        </w:tc>
      </w:tr>
    </w:tbl>
    <w:p w:rsidR="00E23B86" w:rsidRDefault="00BA7C13">
      <w:pPr>
        <w:spacing w:after="110" w:line="248" w:lineRule="auto"/>
        <w:ind w:left="373" w:right="552" w:hanging="10"/>
        <w:jc w:val="both"/>
      </w:pPr>
      <w:r>
        <w:rPr>
          <w:noProof/>
        </w:rPr>
        <mc:AlternateContent>
          <mc:Choice Requires="wpg">
            <w:drawing>
              <wp:anchor distT="0" distB="0" distL="114300" distR="114300" simplePos="0" relativeHeight="251747328"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69266" name="Group 56926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0982" name="Rectangle 2098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0983" name="Rectangle 20983"/>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9266" style="width:12.7031pt;height:280.35pt;position:absolute;mso-position-horizontal-relative:page;mso-position-horizontal:absolute;margin-left:681.958pt;mso-position-vertical-relative:page;margin-top:531.65pt;" coordsize="1613,35604">
                <v:rect id="Rectangle 2098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0983"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391 </w:t>
                        </w:r>
                      </w:p>
                    </w:txbxContent>
                  </v:textbox>
                </v:rect>
                <w10:wrap type="topAndBottom"/>
              </v:group>
            </w:pict>
          </mc:Fallback>
        </mc:AlternateContent>
      </w:r>
      <w:r>
        <w:rPr>
          <w:rFonts w:ascii="Arial" w:eastAsia="Arial" w:hAnsi="Arial" w:cs="Arial"/>
        </w:rPr>
        <w:t>II.-  Plantilla Orgánica</w:t>
      </w:r>
    </w:p>
    <w:p w:rsidR="00E23B86" w:rsidRDefault="00BA7C13">
      <w:pPr>
        <w:numPr>
          <w:ilvl w:val="0"/>
          <w:numId w:val="32"/>
        </w:numPr>
        <w:spacing w:after="10" w:line="248" w:lineRule="auto"/>
        <w:ind w:right="552" w:hanging="708"/>
        <w:jc w:val="both"/>
      </w:pPr>
      <w:r>
        <w:rPr>
          <w:rFonts w:ascii="Arial" w:eastAsia="Arial" w:hAnsi="Arial" w:cs="Arial"/>
        </w:rPr>
        <w:t>PLAZAS RESERVADAS A FUNCIONARIOS/AS</w:t>
      </w:r>
    </w:p>
    <w:tbl>
      <w:tblPr>
        <w:tblStyle w:val="TableGrid"/>
        <w:tblW w:w="7792" w:type="dxa"/>
        <w:tblInd w:w="243" w:type="dxa"/>
        <w:tblCellMar>
          <w:top w:w="10" w:type="dxa"/>
          <w:left w:w="109" w:type="dxa"/>
          <w:bottom w:w="0" w:type="dxa"/>
          <w:right w:w="94" w:type="dxa"/>
        </w:tblCellMar>
        <w:tblLook w:val="04A0" w:firstRow="1" w:lastRow="0" w:firstColumn="1" w:lastColumn="0" w:noHBand="0" w:noVBand="1"/>
      </w:tblPr>
      <w:tblGrid>
        <w:gridCol w:w="4382"/>
        <w:gridCol w:w="998"/>
        <w:gridCol w:w="1276"/>
        <w:gridCol w:w="1136"/>
      </w:tblGrid>
      <w:tr w:rsidR="00E23B86">
        <w:trPr>
          <w:trHeight w:val="635"/>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Plazas</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Númer o</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left="54"/>
            </w:pPr>
            <w:r>
              <w:rPr>
                <w:rFonts w:ascii="Arial" w:eastAsia="Arial" w:hAnsi="Arial" w:cs="Arial"/>
              </w:rPr>
              <w:t>Subgrupo</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left="10"/>
            </w:pPr>
            <w:r>
              <w:rPr>
                <w:rFonts w:ascii="Arial" w:eastAsia="Arial" w:hAnsi="Arial" w:cs="Arial"/>
              </w:rPr>
              <w:t>Vacantes</w:t>
            </w:r>
          </w:p>
        </w:tc>
      </w:tr>
      <w:tr w:rsidR="00E23B86">
        <w:trPr>
          <w:trHeight w:val="636"/>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I.- FUNCIONARIOS CON HABILITACIÓN NACIONAL</w:t>
            </w:r>
          </w:p>
        </w:tc>
        <w:tc>
          <w:tcPr>
            <w:tcW w:w="99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36"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Interventor/a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0</w:t>
            </w:r>
          </w:p>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Secretario/a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0</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Tesorero/a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0</w:t>
            </w:r>
          </w:p>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ind w:right="14"/>
              <w:jc w:val="right"/>
            </w:pPr>
            <w:r>
              <w:rPr>
                <w:rFonts w:ascii="Arial" w:eastAsia="Arial" w:hAnsi="Arial" w:cs="Arial"/>
              </w:rPr>
              <w:t>Total Habilitados Nacionales</w:t>
            </w:r>
          </w:p>
        </w:tc>
        <w:tc>
          <w:tcPr>
            <w:tcW w:w="998"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BA7C13">
            <w:pPr>
              <w:spacing w:after="0"/>
              <w:ind w:right="13"/>
              <w:jc w:val="center"/>
            </w:pPr>
            <w:r>
              <w:rPr>
                <w:rFonts w:ascii="Arial" w:eastAsia="Arial" w:hAnsi="Arial" w:cs="Arial"/>
              </w:rPr>
              <w:t>3</w:t>
            </w:r>
          </w:p>
        </w:tc>
        <w:tc>
          <w:tcPr>
            <w:tcW w:w="1276"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E23B86"/>
        </w:tc>
        <w:tc>
          <w:tcPr>
            <w:tcW w:w="1136"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BA7C13">
            <w:pPr>
              <w:spacing w:after="0"/>
              <w:ind w:right="11"/>
              <w:jc w:val="center"/>
            </w:pPr>
            <w:r>
              <w:rPr>
                <w:rFonts w:ascii="Arial" w:eastAsia="Arial" w:hAnsi="Arial" w:cs="Arial"/>
              </w:rPr>
              <w:t>0</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shd w:val="clear" w:color="auto" w:fill="FFFFFF"/>
          </w:tcPr>
          <w:p w:rsidR="00E23B86" w:rsidRDefault="00BA7C13">
            <w:pPr>
              <w:spacing w:after="0"/>
            </w:pPr>
            <w:r>
              <w:rPr>
                <w:rFonts w:ascii="Arial" w:eastAsia="Arial" w:hAnsi="Arial" w:cs="Arial"/>
              </w:rPr>
              <w:t>II.- ADMINISTRACIÓN GENERAL</w:t>
            </w:r>
          </w:p>
        </w:tc>
        <w:tc>
          <w:tcPr>
            <w:tcW w:w="998"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c>
          <w:tcPr>
            <w:tcW w:w="1276"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c>
          <w:tcPr>
            <w:tcW w:w="1136"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60"/>
            </w:pPr>
            <w:r>
              <w:rPr>
                <w:rFonts w:ascii="Arial" w:eastAsia="Arial" w:hAnsi="Arial" w:cs="Arial"/>
              </w:rPr>
              <w:t xml:space="preserve">D) SUBESCALA TÉCNICA </w:t>
            </w:r>
          </w:p>
        </w:tc>
        <w:tc>
          <w:tcPr>
            <w:tcW w:w="99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36"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Jurídico Alcaldía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Jurídico Área Gobierno</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6</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6</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Gestión Presupuestaria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636"/>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Contratación, compras y patrimonio</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Jurídico Gestión Tributaria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70"/>
              <w:jc w:val="center"/>
            </w:pPr>
            <w:r>
              <w:rPr>
                <w:rFonts w:ascii="Arial" w:eastAsia="Arial" w:hAnsi="Arial" w:cs="Arial"/>
              </w:rPr>
              <w:t>E) SUBESCALA ADMINISTRATIVA</w:t>
            </w:r>
          </w:p>
        </w:tc>
        <w:tc>
          <w:tcPr>
            <w:tcW w:w="99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36"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Administrativo/a Área de Gobierno</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4</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C1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4</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60"/>
            </w:pPr>
            <w:r>
              <w:rPr>
                <w:rFonts w:ascii="Arial" w:eastAsia="Arial" w:hAnsi="Arial" w:cs="Arial"/>
              </w:rPr>
              <w:t>F) SUBESCALA AUXILIAR</w:t>
            </w:r>
          </w:p>
        </w:tc>
        <w:tc>
          <w:tcPr>
            <w:tcW w:w="99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36"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Auxiliar Apoyo Servicios Informáticos</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C2</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Auxiliar Áreas de Gobierno</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39</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C2</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32</w:t>
            </w:r>
          </w:p>
        </w:tc>
      </w:tr>
      <w:tr w:rsidR="00E23B86">
        <w:trPr>
          <w:trHeight w:val="636"/>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Gestor/a de Información y atención ciudadana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5</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C2</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4</w:t>
            </w:r>
          </w:p>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ind w:right="11"/>
              <w:jc w:val="right"/>
            </w:pPr>
            <w:r>
              <w:rPr>
                <w:rFonts w:ascii="Arial" w:eastAsia="Arial" w:hAnsi="Arial" w:cs="Arial"/>
              </w:rPr>
              <w:t>Total Administración General</w:t>
            </w:r>
          </w:p>
        </w:tc>
        <w:tc>
          <w:tcPr>
            <w:tcW w:w="998"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BA7C13">
            <w:pPr>
              <w:spacing w:after="0"/>
              <w:ind w:right="11"/>
              <w:jc w:val="center"/>
            </w:pPr>
            <w:r>
              <w:rPr>
                <w:rFonts w:ascii="Arial" w:eastAsia="Arial" w:hAnsi="Arial" w:cs="Arial"/>
              </w:rPr>
              <w:t>59</w:t>
            </w:r>
          </w:p>
        </w:tc>
        <w:tc>
          <w:tcPr>
            <w:tcW w:w="1276"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E23B86"/>
        </w:tc>
        <w:tc>
          <w:tcPr>
            <w:tcW w:w="1136" w:type="dxa"/>
            <w:tcBorders>
              <w:top w:val="single" w:sz="4" w:space="0" w:color="00000A"/>
              <w:left w:val="single" w:sz="5" w:space="0" w:color="00000A"/>
              <w:bottom w:val="single" w:sz="4" w:space="0" w:color="00000A"/>
              <w:right w:val="single" w:sz="5" w:space="0" w:color="00000A"/>
            </w:tcBorders>
            <w:shd w:val="clear" w:color="auto" w:fill="D9D9D9"/>
          </w:tcPr>
          <w:p w:rsidR="00E23B86" w:rsidRDefault="00BA7C13">
            <w:pPr>
              <w:spacing w:after="0"/>
              <w:ind w:right="13"/>
              <w:jc w:val="center"/>
            </w:pPr>
            <w:r>
              <w:rPr>
                <w:rFonts w:ascii="Arial" w:eastAsia="Arial" w:hAnsi="Arial" w:cs="Arial"/>
              </w:rPr>
              <w:t>51</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shd w:val="clear" w:color="auto" w:fill="FFFFFF"/>
          </w:tcPr>
          <w:p w:rsidR="00E23B86" w:rsidRDefault="00BA7C13">
            <w:pPr>
              <w:spacing w:after="0"/>
            </w:pPr>
            <w:r>
              <w:rPr>
                <w:rFonts w:ascii="Arial" w:eastAsia="Arial" w:hAnsi="Arial" w:cs="Arial"/>
              </w:rPr>
              <w:t>III.- ADMINISTRACIÓN ESPECIAL</w:t>
            </w:r>
          </w:p>
        </w:tc>
        <w:tc>
          <w:tcPr>
            <w:tcW w:w="998"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c>
          <w:tcPr>
            <w:tcW w:w="1276"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c>
          <w:tcPr>
            <w:tcW w:w="1136" w:type="dxa"/>
            <w:tcBorders>
              <w:top w:val="single" w:sz="4" w:space="0" w:color="00000A"/>
              <w:left w:val="single" w:sz="5" w:space="0" w:color="00000A"/>
              <w:bottom w:val="single" w:sz="4" w:space="0" w:color="00000A"/>
              <w:right w:val="single" w:sz="5" w:space="0" w:color="00000A"/>
            </w:tcBorders>
            <w:shd w:val="clear" w:color="auto" w:fill="FFFFFF"/>
          </w:tcPr>
          <w:p w:rsidR="00E23B86" w:rsidRDefault="00E23B86"/>
        </w:tc>
      </w:tr>
      <w:tr w:rsidR="00E23B86">
        <w:trPr>
          <w:trHeight w:val="516"/>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tabs>
                <w:tab w:val="center" w:pos="1201"/>
                <w:tab w:val="center" w:pos="2594"/>
                <w:tab w:val="right" w:pos="4180"/>
              </w:tabs>
              <w:spacing w:after="0"/>
            </w:pPr>
            <w:r>
              <w:tab/>
            </w:r>
            <w:r>
              <w:rPr>
                <w:rFonts w:ascii="Arial" w:eastAsia="Arial" w:hAnsi="Arial" w:cs="Arial"/>
              </w:rPr>
              <w:t>D) SUBESCALA</w:t>
            </w:r>
            <w:r>
              <w:rPr>
                <w:rFonts w:ascii="Arial" w:eastAsia="Arial" w:hAnsi="Arial" w:cs="Arial"/>
              </w:rPr>
              <w:tab/>
              <w:t xml:space="preserve"> </w:t>
            </w:r>
            <w:r>
              <w:rPr>
                <w:rFonts w:ascii="Arial" w:eastAsia="Arial" w:hAnsi="Arial" w:cs="Arial"/>
              </w:rPr>
              <w:tab/>
              <w:t>TÉCNICA</w:t>
            </w:r>
          </w:p>
          <w:p w:rsidR="00E23B86" w:rsidRDefault="00BA7C13">
            <w:pPr>
              <w:spacing w:after="0"/>
              <w:ind w:left="720"/>
            </w:pPr>
            <w:r>
              <w:rPr>
                <w:rFonts w:ascii="Arial" w:eastAsia="Arial" w:hAnsi="Arial" w:cs="Arial"/>
              </w:rPr>
              <w:t>SUPERIOR</w:t>
            </w:r>
          </w:p>
        </w:tc>
        <w:tc>
          <w:tcPr>
            <w:tcW w:w="998" w:type="dxa"/>
            <w:tcBorders>
              <w:top w:val="single" w:sz="4" w:space="0" w:color="00000A"/>
              <w:left w:val="single" w:sz="5" w:space="0" w:color="00000A"/>
              <w:bottom w:val="single" w:sz="4" w:space="0" w:color="00000A"/>
              <w:right w:val="single" w:sz="5" w:space="0" w:color="00000A"/>
            </w:tcBorders>
          </w:tcPr>
          <w:p w:rsidR="00E23B86" w:rsidRDefault="00E23B86"/>
        </w:tc>
        <w:tc>
          <w:tcPr>
            <w:tcW w:w="1276" w:type="dxa"/>
            <w:tcBorders>
              <w:top w:val="single" w:sz="4" w:space="0" w:color="00000A"/>
              <w:left w:val="single" w:sz="5" w:space="0" w:color="00000A"/>
              <w:bottom w:val="single" w:sz="4" w:space="0" w:color="00000A"/>
              <w:right w:val="single" w:sz="5" w:space="0" w:color="00000A"/>
            </w:tcBorders>
          </w:tcPr>
          <w:p w:rsidR="00E23B86" w:rsidRDefault="00E23B86"/>
        </w:tc>
        <w:tc>
          <w:tcPr>
            <w:tcW w:w="1136" w:type="dxa"/>
            <w:tcBorders>
              <w:top w:val="single" w:sz="4" w:space="0" w:color="00000A"/>
              <w:left w:val="single" w:sz="5" w:space="0" w:color="00000A"/>
              <w:bottom w:val="single" w:sz="4" w:space="0" w:color="00000A"/>
              <w:right w:val="single" w:sz="5" w:space="0" w:color="00000A"/>
            </w:tcBorders>
          </w:tcPr>
          <w:p w:rsidR="00E23B86" w:rsidRDefault="00E23B86"/>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Arquitecto/a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de Accesibilidad</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Psicólogo/a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Pedagogo/a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2"/>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Logopeda</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4"/>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de Sanidad</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637"/>
        </w:trPr>
        <w:tc>
          <w:tcPr>
            <w:tcW w:w="4383"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Técnico/a de Identidad Canaria, Tradiciones y museo</w:t>
            </w:r>
          </w:p>
        </w:tc>
        <w:tc>
          <w:tcPr>
            <w:tcW w:w="99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1</w:t>
            </w:r>
          </w:p>
        </w:tc>
        <w:tc>
          <w:tcPr>
            <w:tcW w:w="127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3"/>
              <w:jc w:val="center"/>
            </w:pPr>
            <w:r>
              <w:rPr>
                <w:rFonts w:ascii="Arial" w:eastAsia="Arial" w:hAnsi="Arial" w:cs="Arial"/>
              </w:rPr>
              <w:t>A1</w:t>
            </w:r>
          </w:p>
        </w:tc>
        <w:tc>
          <w:tcPr>
            <w:tcW w:w="1136"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1</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Técnico/a de Desarrollo y Medio Ambiente</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A1</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636"/>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Técnico/a de Recursos patrimoniales, artesanía y etnografía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A1</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Técnico/a en Participación ciudadana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A1</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Agente de Desarrollo Local</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3</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A1</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3</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1"/>
              <w:jc w:val="center"/>
            </w:pPr>
            <w:r>
              <w:rPr>
                <w:rFonts w:ascii="Arial" w:eastAsia="Arial" w:hAnsi="Arial" w:cs="Arial"/>
              </w:rPr>
              <w:t>E) SUBESCALA TÉCNICA MEDIA</w:t>
            </w:r>
          </w:p>
        </w:tc>
        <w:tc>
          <w:tcPr>
            <w:tcW w:w="998" w:type="dxa"/>
            <w:tcBorders>
              <w:top w:val="single" w:sz="4" w:space="0" w:color="00000A"/>
              <w:left w:val="single" w:sz="5" w:space="0" w:color="00000A"/>
              <w:bottom w:val="single" w:sz="4" w:space="0" w:color="00000A"/>
              <w:right w:val="single" w:sz="4" w:space="0" w:color="00000A"/>
            </w:tcBorders>
          </w:tcPr>
          <w:p w:rsidR="00E23B86" w:rsidRDefault="00E23B86"/>
        </w:tc>
        <w:tc>
          <w:tcPr>
            <w:tcW w:w="1276" w:type="dxa"/>
            <w:tcBorders>
              <w:top w:val="single" w:sz="4" w:space="0" w:color="00000A"/>
              <w:left w:val="single" w:sz="4" w:space="0" w:color="00000A"/>
              <w:bottom w:val="single" w:sz="4" w:space="0" w:color="00000A"/>
              <w:right w:val="single" w:sz="4" w:space="0" w:color="00000A"/>
            </w:tcBorders>
          </w:tcPr>
          <w:p w:rsidR="00E23B86" w:rsidRDefault="00E23B86"/>
        </w:tc>
        <w:tc>
          <w:tcPr>
            <w:tcW w:w="1136" w:type="dxa"/>
            <w:tcBorders>
              <w:top w:val="single" w:sz="4" w:space="0" w:color="00000A"/>
              <w:left w:val="single" w:sz="4" w:space="0" w:color="00000A"/>
              <w:bottom w:val="single" w:sz="4" w:space="0" w:color="00000A"/>
              <w:right w:val="single" w:sz="5" w:space="0" w:color="00000A"/>
            </w:tcBorders>
          </w:tcPr>
          <w:p w:rsidR="00E23B86" w:rsidRDefault="00E23B86"/>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Arquitecto Técnico</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5</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5</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Ingeniero/a Técnico/a Topógrafo/a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Ingeniero/a Técnico/a Industrial</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Técnico/a Servicios de Igualdad</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Técnico/a de Menor y familia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636"/>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Técnico/a de Servicios Mayores y Discapacidad</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636"/>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Técnico/a Servicios de Información, Orientación y Valoración</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636"/>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 xml:space="preserve">Técnico/a de Servicios </w:t>
            </w:r>
          </w:p>
          <w:p w:rsidR="00E23B86" w:rsidRDefault="00BA7C13">
            <w:pPr>
              <w:spacing w:after="0"/>
            </w:pPr>
            <w:r>
              <w:rPr>
                <w:rFonts w:ascii="Arial" w:eastAsia="Arial" w:hAnsi="Arial" w:cs="Arial"/>
              </w:rPr>
              <w:t>Drogodependencias e Inserción</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Trabajador/a Social</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5</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5</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Educador/a-Maestro/a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Fisioterapeuta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Archivero/a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Técnico/a Comercio y Turismo</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Gestor de Recursos Humanos</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Informador/a Turístico/a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left="360"/>
            </w:pPr>
            <w:r>
              <w:rPr>
                <w:rFonts w:ascii="Arial" w:eastAsia="Arial" w:hAnsi="Arial" w:cs="Arial"/>
              </w:rPr>
              <w:t>F) SERVICIOS ESPECIALES</w:t>
            </w:r>
          </w:p>
        </w:tc>
        <w:tc>
          <w:tcPr>
            <w:tcW w:w="998" w:type="dxa"/>
            <w:tcBorders>
              <w:top w:val="single" w:sz="4" w:space="0" w:color="00000A"/>
              <w:left w:val="single" w:sz="5" w:space="0" w:color="00000A"/>
              <w:bottom w:val="single" w:sz="4" w:space="0" w:color="00000A"/>
              <w:right w:val="single" w:sz="4" w:space="0" w:color="00000A"/>
            </w:tcBorders>
          </w:tcPr>
          <w:p w:rsidR="00E23B86" w:rsidRDefault="00E23B86"/>
        </w:tc>
        <w:tc>
          <w:tcPr>
            <w:tcW w:w="1276" w:type="dxa"/>
            <w:tcBorders>
              <w:top w:val="single" w:sz="4" w:space="0" w:color="00000A"/>
              <w:left w:val="single" w:sz="4" w:space="0" w:color="00000A"/>
              <w:bottom w:val="single" w:sz="4" w:space="0" w:color="00000A"/>
              <w:right w:val="single" w:sz="4" w:space="0" w:color="00000A"/>
            </w:tcBorders>
          </w:tcPr>
          <w:p w:rsidR="00E23B86" w:rsidRDefault="00E23B86"/>
        </w:tc>
        <w:tc>
          <w:tcPr>
            <w:tcW w:w="1136" w:type="dxa"/>
            <w:tcBorders>
              <w:top w:val="single" w:sz="4" w:space="0" w:color="00000A"/>
              <w:left w:val="single" w:sz="4" w:space="0" w:color="00000A"/>
              <w:bottom w:val="single" w:sz="4" w:space="0" w:color="00000A"/>
              <w:right w:val="single" w:sz="5" w:space="0" w:color="00000A"/>
            </w:tcBorders>
          </w:tcPr>
          <w:p w:rsidR="00E23B86" w:rsidRDefault="00E23B86"/>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Inspector/a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1</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Subinspector/a</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A2</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0</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Oficial</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7</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C1</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4</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Policía Local</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27</w:t>
            </w:r>
          </w:p>
        </w:tc>
        <w:tc>
          <w:tcPr>
            <w:tcW w:w="127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C1</w:t>
            </w:r>
          </w:p>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3"/>
              <w:jc w:val="center"/>
            </w:pPr>
            <w:r>
              <w:rPr>
                <w:rFonts w:ascii="Arial" w:eastAsia="Arial" w:hAnsi="Arial" w:cs="Arial"/>
              </w:rPr>
              <w:t>3</w:t>
            </w:r>
          </w:p>
        </w:tc>
      </w:tr>
      <w:tr w:rsidR="00E23B86">
        <w:trPr>
          <w:trHeight w:val="382"/>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right"/>
            </w:pPr>
            <w:r>
              <w:rPr>
                <w:rFonts w:ascii="Arial" w:eastAsia="Arial" w:hAnsi="Arial" w:cs="Arial"/>
              </w:rPr>
              <w:t>Administración Especial</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72</w:t>
            </w:r>
          </w:p>
        </w:tc>
        <w:tc>
          <w:tcPr>
            <w:tcW w:w="1276" w:type="dxa"/>
            <w:tcBorders>
              <w:top w:val="single" w:sz="4" w:space="0" w:color="00000A"/>
              <w:left w:val="single" w:sz="4" w:space="0" w:color="00000A"/>
              <w:bottom w:val="single" w:sz="4" w:space="0" w:color="00000A"/>
              <w:right w:val="single" w:sz="4" w:space="0" w:color="00000A"/>
            </w:tcBorders>
          </w:tcPr>
          <w:p w:rsidR="00E23B86" w:rsidRDefault="00E23B86"/>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44</w:t>
            </w:r>
          </w:p>
        </w:tc>
      </w:tr>
      <w:tr w:rsidR="00E23B86">
        <w:trPr>
          <w:trHeight w:val="384"/>
        </w:trPr>
        <w:tc>
          <w:tcPr>
            <w:tcW w:w="4383" w:type="dxa"/>
            <w:tcBorders>
              <w:top w:val="single" w:sz="4" w:space="0" w:color="00000A"/>
              <w:left w:val="single" w:sz="5" w:space="0" w:color="00000A"/>
              <w:bottom w:val="single" w:sz="4" w:space="0" w:color="00000A"/>
              <w:right w:val="single" w:sz="5" w:space="0" w:color="00000A"/>
            </w:tcBorders>
          </w:tcPr>
          <w:p w:rsidR="00E23B86" w:rsidRDefault="00E23B86"/>
        </w:tc>
        <w:tc>
          <w:tcPr>
            <w:tcW w:w="998" w:type="dxa"/>
            <w:tcBorders>
              <w:top w:val="single" w:sz="4" w:space="0" w:color="00000A"/>
              <w:left w:val="single" w:sz="5" w:space="0" w:color="00000A"/>
              <w:bottom w:val="single" w:sz="4" w:space="0" w:color="00000A"/>
              <w:right w:val="single" w:sz="4" w:space="0" w:color="00000A"/>
            </w:tcBorders>
          </w:tcPr>
          <w:p w:rsidR="00E23B86" w:rsidRDefault="00E23B86"/>
        </w:tc>
        <w:tc>
          <w:tcPr>
            <w:tcW w:w="1276" w:type="dxa"/>
            <w:tcBorders>
              <w:top w:val="single" w:sz="4" w:space="0" w:color="00000A"/>
              <w:left w:val="single" w:sz="4" w:space="0" w:color="00000A"/>
              <w:bottom w:val="single" w:sz="4" w:space="0" w:color="00000A"/>
              <w:right w:val="single" w:sz="4" w:space="0" w:color="00000A"/>
            </w:tcBorders>
          </w:tcPr>
          <w:p w:rsidR="00E23B86" w:rsidRDefault="00E23B86"/>
        </w:tc>
        <w:tc>
          <w:tcPr>
            <w:tcW w:w="1136" w:type="dxa"/>
            <w:tcBorders>
              <w:top w:val="single" w:sz="4" w:space="0" w:color="00000A"/>
              <w:left w:val="single" w:sz="4" w:space="0" w:color="00000A"/>
              <w:bottom w:val="single" w:sz="4" w:space="0" w:color="00000A"/>
              <w:right w:val="single" w:sz="5" w:space="0" w:color="00000A"/>
            </w:tcBorders>
          </w:tcPr>
          <w:p w:rsidR="00E23B86" w:rsidRDefault="00E23B86"/>
        </w:tc>
      </w:tr>
      <w:tr w:rsidR="00E23B86">
        <w:trPr>
          <w:trHeight w:val="383"/>
        </w:trPr>
        <w:tc>
          <w:tcPr>
            <w:tcW w:w="4383"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1"/>
              <w:jc w:val="right"/>
            </w:pPr>
            <w:r>
              <w:rPr>
                <w:rFonts w:ascii="Arial" w:eastAsia="Arial" w:hAnsi="Arial" w:cs="Arial"/>
              </w:rPr>
              <w:t>Total Funcionarios</w:t>
            </w:r>
          </w:p>
        </w:tc>
        <w:tc>
          <w:tcPr>
            <w:tcW w:w="998"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134</w:t>
            </w:r>
          </w:p>
        </w:tc>
        <w:tc>
          <w:tcPr>
            <w:tcW w:w="1276" w:type="dxa"/>
            <w:tcBorders>
              <w:top w:val="single" w:sz="4" w:space="0" w:color="00000A"/>
              <w:left w:val="single" w:sz="4" w:space="0" w:color="00000A"/>
              <w:bottom w:val="single" w:sz="4" w:space="0" w:color="00000A"/>
              <w:right w:val="single" w:sz="4" w:space="0" w:color="00000A"/>
            </w:tcBorders>
          </w:tcPr>
          <w:p w:rsidR="00E23B86" w:rsidRDefault="00E23B86"/>
        </w:tc>
        <w:tc>
          <w:tcPr>
            <w:tcW w:w="1136"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95</w:t>
            </w:r>
          </w:p>
        </w:tc>
      </w:tr>
    </w:tbl>
    <w:p w:rsidR="00E23B86" w:rsidRDefault="00BA7C13">
      <w:pPr>
        <w:numPr>
          <w:ilvl w:val="0"/>
          <w:numId w:val="32"/>
        </w:numPr>
        <w:spacing w:after="10" w:line="248" w:lineRule="auto"/>
        <w:ind w:right="552" w:hanging="708"/>
        <w:jc w:val="both"/>
      </w:pPr>
      <w:r>
        <w:rPr>
          <w:noProof/>
        </w:rPr>
        <mc:AlternateContent>
          <mc:Choice Requires="wpg">
            <w:drawing>
              <wp:anchor distT="0" distB="0" distL="114300" distR="114300" simplePos="0" relativeHeight="2517483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2777" name="Group 60277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1511" name="Rectangle 2151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1512" name="Rectangle 2151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88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2777" style="width:12.7031pt;height:280.35pt;position:absolute;mso-position-horizontal-relative:page;mso-position-horizontal:absolute;margin-left:681.958pt;mso-position-vertical-relative:page;margin-top:531.65pt;" coordsize="1613,35604">
                <v:rect id="Rectangle 2151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151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391 </w:t>
                        </w:r>
                      </w:p>
                    </w:txbxContent>
                  </v:textbox>
                </v:rect>
                <w10:wrap type="square"/>
              </v:group>
            </w:pict>
          </mc:Fallback>
        </mc:AlternateContent>
      </w:r>
      <w:r>
        <w:rPr>
          <w:rFonts w:ascii="Arial" w:eastAsia="Arial" w:hAnsi="Arial" w:cs="Arial"/>
        </w:rPr>
        <w:t>PLAZAS RESERVADAS A PERSONAL LABORAL</w:t>
      </w:r>
    </w:p>
    <w:tbl>
      <w:tblPr>
        <w:tblStyle w:val="TableGrid"/>
        <w:tblW w:w="6658" w:type="dxa"/>
        <w:tblInd w:w="243" w:type="dxa"/>
        <w:tblCellMar>
          <w:top w:w="11" w:type="dxa"/>
          <w:left w:w="109" w:type="dxa"/>
          <w:bottom w:w="0" w:type="dxa"/>
          <w:right w:w="107" w:type="dxa"/>
        </w:tblCellMar>
        <w:tblLook w:val="04A0" w:firstRow="1" w:lastRow="0" w:firstColumn="1" w:lastColumn="0" w:noHBand="0" w:noVBand="1"/>
      </w:tblPr>
      <w:tblGrid>
        <w:gridCol w:w="4388"/>
        <w:gridCol w:w="992"/>
        <w:gridCol w:w="1278"/>
      </w:tblGrid>
      <w:tr w:rsidR="00E23B86">
        <w:trPr>
          <w:trHeight w:val="383"/>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Plaza</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1"/>
              <w:jc w:val="center"/>
            </w:pPr>
            <w:r>
              <w:rPr>
                <w:rFonts w:ascii="Arial" w:eastAsia="Arial" w:hAnsi="Arial" w:cs="Arial"/>
              </w:rPr>
              <w:t>Nº</w:t>
            </w:r>
          </w:p>
        </w:tc>
        <w:tc>
          <w:tcPr>
            <w:tcW w:w="127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0"/>
              <w:jc w:val="center"/>
            </w:pPr>
            <w:r>
              <w:rPr>
                <w:rFonts w:ascii="Arial" w:eastAsia="Arial" w:hAnsi="Arial" w:cs="Arial"/>
              </w:rPr>
              <w:t>Vacante</w:t>
            </w:r>
          </w:p>
        </w:tc>
      </w:tr>
      <w:tr w:rsidR="00E23B86">
        <w:trPr>
          <w:trHeight w:val="382"/>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Fosero/a</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2"/>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0"/>
              <w:jc w:val="center"/>
            </w:pPr>
            <w:r>
              <w:rPr>
                <w:rFonts w:ascii="Arial" w:eastAsia="Arial" w:hAnsi="Arial" w:cs="Arial"/>
              </w:rPr>
              <w:t>1</w:t>
            </w:r>
          </w:p>
        </w:tc>
      </w:tr>
      <w:tr w:rsidR="00E23B86">
        <w:trPr>
          <w:trHeight w:val="265"/>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Encargado/a de obras y servicios</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2"/>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0"/>
              <w:jc w:val="center"/>
            </w:pPr>
            <w:r>
              <w:rPr>
                <w:rFonts w:ascii="Arial" w:eastAsia="Arial" w:hAnsi="Arial" w:cs="Arial"/>
              </w:rPr>
              <w:t>1</w:t>
            </w:r>
          </w:p>
        </w:tc>
      </w:tr>
      <w:tr w:rsidR="00E23B86">
        <w:trPr>
          <w:trHeight w:val="383"/>
        </w:trPr>
        <w:tc>
          <w:tcPr>
            <w:tcW w:w="4388" w:type="dxa"/>
            <w:tcBorders>
              <w:top w:val="single" w:sz="4" w:space="0" w:color="00000A"/>
              <w:left w:val="single" w:sz="5" w:space="0" w:color="00000A"/>
              <w:bottom w:val="single" w:sz="4" w:space="0" w:color="00000A"/>
              <w:right w:val="single" w:sz="4" w:space="0" w:color="00000A"/>
            </w:tcBorders>
          </w:tcPr>
          <w:p w:rsidR="00E23B86" w:rsidRDefault="00E23B86"/>
        </w:tc>
        <w:tc>
          <w:tcPr>
            <w:tcW w:w="992" w:type="dxa"/>
            <w:tcBorders>
              <w:top w:val="single" w:sz="4" w:space="0" w:color="00000A"/>
              <w:left w:val="single" w:sz="4" w:space="0" w:color="00000A"/>
              <w:bottom w:val="single" w:sz="4" w:space="0" w:color="00000A"/>
              <w:right w:val="single" w:sz="4" w:space="0" w:color="00000A"/>
            </w:tcBorders>
          </w:tcPr>
          <w:p w:rsidR="00E23B86" w:rsidRDefault="00E23B86"/>
        </w:tc>
        <w:tc>
          <w:tcPr>
            <w:tcW w:w="1278" w:type="dxa"/>
            <w:tcBorders>
              <w:top w:val="single" w:sz="4" w:space="0" w:color="00000A"/>
              <w:left w:val="single" w:sz="4" w:space="0" w:color="00000A"/>
              <w:bottom w:val="single" w:sz="4" w:space="0" w:color="00000A"/>
              <w:right w:val="single" w:sz="5" w:space="0" w:color="00000A"/>
            </w:tcBorders>
          </w:tcPr>
          <w:p w:rsidR="00E23B86" w:rsidRDefault="00E23B86"/>
        </w:tc>
      </w:tr>
      <w:tr w:rsidR="00E23B86">
        <w:trPr>
          <w:trHeight w:val="382"/>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Jefe/a de equipo de electricidad</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1</w:t>
            </w:r>
          </w:p>
        </w:tc>
      </w:tr>
      <w:tr w:rsidR="00E23B86">
        <w:trPr>
          <w:trHeight w:val="384"/>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Oficial de primera</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9</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9</w:t>
            </w:r>
          </w:p>
        </w:tc>
      </w:tr>
      <w:tr w:rsidR="00E23B86">
        <w:trPr>
          <w:trHeight w:val="382"/>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Oficial de segunda</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8</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8</w:t>
            </w:r>
          </w:p>
        </w:tc>
      </w:tr>
      <w:tr w:rsidR="00E23B86">
        <w:trPr>
          <w:trHeight w:val="384"/>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Conductor/a</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4</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4</w:t>
            </w:r>
          </w:p>
        </w:tc>
      </w:tr>
      <w:tr w:rsidR="00E23B86">
        <w:trPr>
          <w:trHeight w:val="382"/>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Operario/a</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21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center"/>
            </w:pPr>
            <w:r>
              <w:rPr>
                <w:rFonts w:ascii="Arial" w:eastAsia="Arial" w:hAnsi="Arial" w:cs="Arial"/>
              </w:rPr>
              <w:t>21</w:t>
            </w:r>
          </w:p>
        </w:tc>
      </w:tr>
      <w:tr w:rsidR="00E23B86">
        <w:trPr>
          <w:trHeight w:val="384"/>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Encargado/a jardines</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1</w:t>
            </w:r>
          </w:p>
        </w:tc>
      </w:tr>
      <w:tr w:rsidR="00E23B86">
        <w:trPr>
          <w:trHeight w:val="382"/>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Jefe/a de equpo de jardines</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1</w:t>
            </w:r>
          </w:p>
        </w:tc>
      </w:tr>
      <w:tr w:rsidR="00E23B86">
        <w:trPr>
          <w:trHeight w:val="384"/>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Auxiliar de Ayuda a domicilio</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3</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3</w:t>
            </w:r>
          </w:p>
        </w:tc>
      </w:tr>
      <w:tr w:rsidR="00E23B86">
        <w:trPr>
          <w:trHeight w:val="382"/>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Conserje-Notificador</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1</w:t>
            </w:r>
          </w:p>
        </w:tc>
      </w:tr>
      <w:tr w:rsidR="00E23B86">
        <w:trPr>
          <w:trHeight w:val="384"/>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Conserje Edificios Municipales</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8</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8</w:t>
            </w:r>
          </w:p>
        </w:tc>
      </w:tr>
      <w:tr w:rsidR="00E23B86">
        <w:trPr>
          <w:trHeight w:val="382"/>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rPr>
              <w:t>Decorador/a</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3"/>
              <w:jc w:val="center"/>
            </w:pPr>
            <w:r>
              <w:rPr>
                <w:rFonts w:ascii="Arial" w:eastAsia="Arial" w:hAnsi="Arial" w:cs="Arial"/>
              </w:rPr>
              <w:t>1</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left="1"/>
              <w:jc w:val="center"/>
            </w:pPr>
            <w:r>
              <w:rPr>
                <w:rFonts w:ascii="Arial" w:eastAsia="Arial" w:hAnsi="Arial" w:cs="Arial"/>
              </w:rPr>
              <w:t>1</w:t>
            </w:r>
          </w:p>
        </w:tc>
      </w:tr>
      <w:tr w:rsidR="00E23B86">
        <w:trPr>
          <w:trHeight w:val="385"/>
        </w:trPr>
        <w:tc>
          <w:tcPr>
            <w:tcW w:w="4388"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Total laborales</w:t>
            </w:r>
          </w:p>
        </w:tc>
        <w:tc>
          <w:tcPr>
            <w:tcW w:w="992"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left="1"/>
              <w:jc w:val="center"/>
            </w:pPr>
            <w:r>
              <w:rPr>
                <w:rFonts w:ascii="Arial" w:eastAsia="Arial" w:hAnsi="Arial" w:cs="Arial"/>
              </w:rPr>
              <w:t>60</w:t>
            </w:r>
          </w:p>
        </w:tc>
        <w:tc>
          <w:tcPr>
            <w:tcW w:w="127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center"/>
            </w:pPr>
            <w:r>
              <w:rPr>
                <w:rFonts w:ascii="Arial" w:eastAsia="Arial" w:hAnsi="Arial" w:cs="Arial"/>
              </w:rPr>
              <w:t>60</w:t>
            </w:r>
          </w:p>
        </w:tc>
      </w:tr>
    </w:tbl>
    <w:p w:rsidR="00E23B86" w:rsidRDefault="00BA7C13">
      <w:pPr>
        <w:numPr>
          <w:ilvl w:val="0"/>
          <w:numId w:val="32"/>
        </w:numPr>
        <w:spacing w:after="10" w:line="248" w:lineRule="auto"/>
        <w:ind w:right="552" w:hanging="708"/>
        <w:jc w:val="both"/>
      </w:pPr>
      <w:r>
        <w:rPr>
          <w:noProof/>
        </w:rPr>
        <mc:AlternateContent>
          <mc:Choice Requires="wpg">
            <w:drawing>
              <wp:anchor distT="0" distB="0" distL="114300" distR="114300" simplePos="0" relativeHeight="2517493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0036" name="Group 59003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1918" name="Rectangle 2191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1919" name="Rectangle 21919"/>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89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0036" style="width:12.7031pt;height:280.35pt;position:absolute;mso-position-horizontal-relative:page;mso-position-horizontal:absolute;margin-left:681.958pt;mso-position-vertical-relative:page;margin-top:531.65pt;" coordsize="1613,35604">
                <v:rect id="Rectangle 2191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1919"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391 </w:t>
                        </w:r>
                      </w:p>
                    </w:txbxContent>
                  </v:textbox>
                </v:rect>
                <w10:wrap type="square"/>
              </v:group>
            </w:pict>
          </mc:Fallback>
        </mc:AlternateContent>
      </w:r>
      <w:r>
        <w:rPr>
          <w:rFonts w:ascii="Arial" w:eastAsia="Arial" w:hAnsi="Arial" w:cs="Arial"/>
        </w:rPr>
        <w:t>PERSONAL EVENTUAL</w:t>
      </w:r>
    </w:p>
    <w:tbl>
      <w:tblPr>
        <w:tblStyle w:val="TableGrid"/>
        <w:tblW w:w="5382" w:type="dxa"/>
        <w:tblInd w:w="243" w:type="dxa"/>
        <w:tblCellMar>
          <w:top w:w="11" w:type="dxa"/>
          <w:left w:w="109" w:type="dxa"/>
          <w:bottom w:w="0" w:type="dxa"/>
          <w:right w:w="115" w:type="dxa"/>
        </w:tblCellMar>
        <w:tblLook w:val="04A0" w:firstRow="1" w:lastRow="0" w:firstColumn="1" w:lastColumn="0" w:noHBand="0" w:noVBand="1"/>
      </w:tblPr>
      <w:tblGrid>
        <w:gridCol w:w="4388"/>
        <w:gridCol w:w="994"/>
      </w:tblGrid>
      <w:tr w:rsidR="00E23B86">
        <w:trPr>
          <w:trHeight w:val="381"/>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Personal eventual</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Nº</w:t>
            </w:r>
          </w:p>
        </w:tc>
      </w:tr>
      <w:tr w:rsidR="00E23B86">
        <w:trPr>
          <w:trHeight w:val="384"/>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Cultura y Fiestas</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382"/>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Comunicación y Prensa</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384"/>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Alcaldía Presidencia</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516"/>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Alcaldía Pres./Concejales/as delegados/as</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1</w:t>
            </w:r>
          </w:p>
        </w:tc>
      </w:tr>
      <w:tr w:rsidR="00E23B86">
        <w:trPr>
          <w:trHeight w:val="756"/>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pPr>
            <w:r>
              <w:rPr>
                <w:rFonts w:ascii="Arial" w:eastAsia="Arial" w:hAnsi="Arial" w:cs="Arial"/>
              </w:rPr>
              <w:t>Asesor/a Concejales/as delegados/as</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3</w:t>
            </w:r>
          </w:p>
        </w:tc>
      </w:tr>
      <w:tr w:rsidR="00E23B86">
        <w:trPr>
          <w:trHeight w:val="383"/>
        </w:trPr>
        <w:tc>
          <w:tcPr>
            <w:tcW w:w="438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left="12"/>
              <w:jc w:val="center"/>
            </w:pPr>
            <w:r>
              <w:rPr>
                <w:rFonts w:ascii="Arial" w:eastAsia="Arial" w:hAnsi="Arial" w:cs="Arial"/>
              </w:rPr>
              <w:t>TOTAL</w:t>
            </w:r>
          </w:p>
        </w:tc>
        <w:tc>
          <w:tcPr>
            <w:tcW w:w="994"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left="9"/>
              <w:jc w:val="center"/>
            </w:pPr>
            <w:r>
              <w:rPr>
                <w:rFonts w:ascii="Arial" w:eastAsia="Arial" w:hAnsi="Arial" w:cs="Arial"/>
              </w:rPr>
              <w:t>7</w:t>
            </w:r>
          </w:p>
        </w:tc>
      </w:tr>
    </w:tbl>
    <w:p w:rsidR="00E23B86" w:rsidRDefault="00BA7C13">
      <w:pPr>
        <w:spacing w:after="110" w:line="248" w:lineRule="auto"/>
        <w:ind w:left="373" w:right="552" w:hanging="10"/>
        <w:jc w:val="both"/>
      </w:pPr>
      <w:r>
        <w:rPr>
          <w:rFonts w:ascii="Arial" w:eastAsia="Arial" w:hAnsi="Arial" w:cs="Arial"/>
        </w:rPr>
        <w:t>III.- Plan Presupuestario 2021-2023</w:t>
      </w:r>
    </w:p>
    <w:p w:rsidR="00E23B86" w:rsidRDefault="00BA7C13">
      <w:pPr>
        <w:spacing w:after="10" w:line="248" w:lineRule="auto"/>
        <w:ind w:left="373" w:right="552" w:hanging="10"/>
        <w:jc w:val="both"/>
      </w:pPr>
      <w:r>
        <w:rPr>
          <w:rFonts w:ascii="Arial" w:eastAsia="Arial" w:hAnsi="Arial" w:cs="Arial"/>
        </w:rPr>
        <w:t>Previsión Ingresos Entidades sectorizadas como administraciones públicas:</w:t>
      </w:r>
    </w:p>
    <w:tbl>
      <w:tblPr>
        <w:tblStyle w:val="TableGrid"/>
        <w:tblW w:w="8504" w:type="dxa"/>
        <w:tblInd w:w="350" w:type="dxa"/>
        <w:tblCellMar>
          <w:top w:w="63" w:type="dxa"/>
          <w:left w:w="56" w:type="dxa"/>
          <w:bottom w:w="0" w:type="dxa"/>
          <w:right w:w="51" w:type="dxa"/>
        </w:tblCellMar>
        <w:tblLook w:val="04A0" w:firstRow="1" w:lastRow="0" w:firstColumn="1" w:lastColumn="0" w:noHBand="0" w:noVBand="1"/>
      </w:tblPr>
      <w:tblGrid>
        <w:gridCol w:w="2778"/>
        <w:gridCol w:w="1418"/>
        <w:gridCol w:w="1416"/>
        <w:gridCol w:w="1332"/>
        <w:gridCol w:w="1560"/>
      </w:tblGrid>
      <w:tr w:rsidR="00E23B86">
        <w:trPr>
          <w:trHeight w:val="870"/>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5"/>
              <w:jc w:val="center"/>
            </w:pPr>
            <w:r>
              <w:rPr>
                <w:rFonts w:ascii="Arial" w:eastAsia="Arial" w:hAnsi="Arial" w:cs="Arial"/>
              </w:rPr>
              <w:t>INGRESOS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center"/>
            </w:pPr>
            <w:r>
              <w:rPr>
                <w:rFonts w:ascii="Arial" w:eastAsia="Arial" w:hAnsi="Arial" w:cs="Arial"/>
              </w:rPr>
              <w:t>PRESUPUE STO 2020</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4"/>
              <w:jc w:val="both"/>
            </w:pPr>
            <w:r>
              <w:rPr>
                <w:rFonts w:ascii="Arial" w:eastAsia="Arial" w:hAnsi="Arial" w:cs="Arial"/>
              </w:rPr>
              <w:t>PREVISIÓN</w:t>
            </w:r>
          </w:p>
          <w:p w:rsidR="00E23B86" w:rsidRDefault="00BA7C13">
            <w:pPr>
              <w:spacing w:after="0"/>
              <w:ind w:left="48"/>
              <w:jc w:val="both"/>
            </w:pPr>
            <w:r>
              <w:rPr>
                <w:rFonts w:ascii="Arial" w:eastAsia="Arial" w:hAnsi="Arial" w:cs="Arial"/>
              </w:rPr>
              <w:t>PRESUPUE</w:t>
            </w:r>
          </w:p>
          <w:p w:rsidR="00E23B86" w:rsidRDefault="00BA7C13">
            <w:pPr>
              <w:spacing w:after="0"/>
              <w:ind w:left="152"/>
            </w:pPr>
            <w:r>
              <w:rPr>
                <w:rFonts w:ascii="Arial" w:eastAsia="Arial" w:hAnsi="Arial" w:cs="Arial"/>
              </w:rPr>
              <w:t>STO 2021</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2"/>
              <w:jc w:val="both"/>
            </w:pPr>
            <w:r>
              <w:rPr>
                <w:rFonts w:ascii="Arial" w:eastAsia="Arial" w:hAnsi="Arial" w:cs="Arial"/>
              </w:rPr>
              <w:t>PREVISIÓN</w:t>
            </w:r>
          </w:p>
          <w:p w:rsidR="00E23B86" w:rsidRDefault="00BA7C13">
            <w:pPr>
              <w:spacing w:after="0"/>
              <w:ind w:left="6"/>
              <w:jc w:val="both"/>
            </w:pPr>
            <w:r>
              <w:rPr>
                <w:rFonts w:ascii="Arial" w:eastAsia="Arial" w:hAnsi="Arial" w:cs="Arial"/>
              </w:rPr>
              <w:t>PRESUPUE</w:t>
            </w:r>
          </w:p>
          <w:p w:rsidR="00E23B86" w:rsidRDefault="00BA7C13">
            <w:pPr>
              <w:spacing w:after="0"/>
              <w:ind w:left="110"/>
            </w:pPr>
            <w:r>
              <w:rPr>
                <w:rFonts w:ascii="Arial" w:eastAsia="Arial" w:hAnsi="Arial" w:cs="Arial"/>
              </w:rPr>
              <w:t>STO 2022</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28"/>
            </w:pPr>
            <w:r>
              <w:rPr>
                <w:rFonts w:ascii="Arial" w:eastAsia="Arial" w:hAnsi="Arial" w:cs="Arial"/>
              </w:rPr>
              <w:t>PREVISIÓN</w:t>
            </w:r>
          </w:p>
          <w:p w:rsidR="00E23B86" w:rsidRDefault="00BA7C13">
            <w:pPr>
              <w:spacing w:after="0"/>
              <w:jc w:val="center"/>
            </w:pPr>
            <w:r>
              <w:rPr>
                <w:rFonts w:ascii="Arial" w:eastAsia="Arial" w:hAnsi="Arial" w:cs="Arial"/>
              </w:rPr>
              <w:t>PRESUPUES TO 2023</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pPr>
            <w:r>
              <w:rPr>
                <w:rFonts w:ascii="Arial" w:eastAsia="Arial" w:hAnsi="Arial" w:cs="Arial"/>
              </w:rPr>
              <w:t>IMPUESTOS DIRECTOS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7.839.385,00 €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7.982.638,41 €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8.266.605,6 3 €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8.490.408,78 €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IMPUESTOS INDIRECTOS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4.635.600,00 €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4.705.421,29 €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4.810.506,4 1 €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5.016.405,61 €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TASAS Y OTROS INGRESOS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1.980.450,00 €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2.026.446,12 €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2.122.629,2 2 €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2.326.809,33 €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CORRIENTES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7.908.090,49 €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8.308.353,43 €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8.472.411,0 7 €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8.561.608.77 €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INGRESOS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7.955,00 €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7.955,00 €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7.955,00 €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7.955,00 €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PATRIMONIALES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E23B86"/>
        </w:tc>
        <w:tc>
          <w:tcPr>
            <w:tcW w:w="1416" w:type="dxa"/>
            <w:tcBorders>
              <w:top w:val="single" w:sz="2" w:space="0" w:color="000001"/>
              <w:left w:val="single" w:sz="2" w:space="0" w:color="000001"/>
              <w:bottom w:val="single" w:sz="2" w:space="0" w:color="000001"/>
              <w:right w:val="single" w:sz="2" w:space="0" w:color="000001"/>
            </w:tcBorders>
          </w:tcPr>
          <w:p w:rsidR="00E23B86" w:rsidRDefault="00E23B86"/>
        </w:tc>
        <w:tc>
          <w:tcPr>
            <w:tcW w:w="1332" w:type="dxa"/>
            <w:tcBorders>
              <w:top w:val="single" w:sz="2" w:space="0" w:color="000001"/>
              <w:left w:val="single" w:sz="2" w:space="0" w:color="000001"/>
              <w:bottom w:val="single" w:sz="2" w:space="0" w:color="000001"/>
              <w:right w:val="single" w:sz="2" w:space="0" w:color="000001"/>
            </w:tcBorders>
          </w:tcPr>
          <w:p w:rsidR="00E23B86" w:rsidRDefault="00E23B86"/>
        </w:tc>
        <w:tc>
          <w:tcPr>
            <w:tcW w:w="1560" w:type="dxa"/>
            <w:tcBorders>
              <w:top w:val="single" w:sz="2" w:space="0" w:color="000001"/>
              <w:left w:val="single" w:sz="2" w:space="0" w:color="000001"/>
              <w:bottom w:val="single" w:sz="2" w:space="0" w:color="000001"/>
              <w:right w:val="single" w:sz="2" w:space="0" w:color="000001"/>
            </w:tcBorders>
          </w:tcPr>
          <w:p w:rsidR="00E23B86" w:rsidRDefault="00E23B86"/>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DE CAPITAL</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409.235,20 €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2"/>
              <w:jc w:val="both"/>
            </w:pPr>
            <w:r>
              <w:rPr>
                <w:rFonts w:ascii="Arial" w:eastAsia="Arial" w:hAnsi="Arial" w:cs="Arial"/>
              </w:rPr>
              <w:t>456.103,63 €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534.905,00 €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562.490,22 €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ACTIVOS FINANCIEROS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PASIVOS FINANCIEROS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3"/>
              <w:jc w:val="center"/>
            </w:pPr>
            <w:r>
              <w:rPr>
                <w:rFonts w:ascii="Arial" w:eastAsia="Arial" w:hAnsi="Arial" w:cs="Arial"/>
              </w:rPr>
              <w:t>Totales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22.780.715,6 9 €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23.486.917,8 8 €</w:t>
            </w:r>
          </w:p>
        </w:tc>
        <w:tc>
          <w:tcPr>
            <w:tcW w:w="1332"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24.215.012, 33 €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24.965.677,71 €</w:t>
            </w:r>
          </w:p>
        </w:tc>
      </w:tr>
    </w:tbl>
    <w:p w:rsidR="00E23B86" w:rsidRDefault="00BA7C13">
      <w:pPr>
        <w:spacing w:after="10" w:line="248" w:lineRule="auto"/>
        <w:ind w:left="373" w:right="552" w:hanging="10"/>
        <w:jc w:val="both"/>
      </w:pPr>
      <w:r>
        <w:rPr>
          <w:noProof/>
        </w:rPr>
        <mc:AlternateContent>
          <mc:Choice Requires="wpg">
            <w:drawing>
              <wp:anchor distT="0" distB="0" distL="114300" distR="114300" simplePos="0" relativeHeight="2517504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2721" name="Group 60272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2440" name="Rectangle 2244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2441" name="Rectangle 22441"/>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90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2721" style="width:12.7031pt;height:280.35pt;position:absolute;mso-position-horizontal-relative:page;mso-position-horizontal:absolute;margin-left:681.958pt;mso-position-vertical-relative:page;margin-top:531.65pt;" coordsize="1613,35604">
                <v:rect id="Rectangle 2244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2441"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391 </w:t>
                        </w:r>
                      </w:p>
                    </w:txbxContent>
                  </v:textbox>
                </v:rect>
                <w10:wrap type="square"/>
              </v:group>
            </w:pict>
          </mc:Fallback>
        </mc:AlternateContent>
      </w:r>
      <w:r>
        <w:rPr>
          <w:rFonts w:ascii="Arial" w:eastAsia="Arial" w:hAnsi="Arial" w:cs="Arial"/>
        </w:rPr>
        <w:t>Previsión Ingresos Epelcan, (no está sectorizada como Administración pública):</w:t>
      </w:r>
    </w:p>
    <w:tbl>
      <w:tblPr>
        <w:tblStyle w:val="TableGrid"/>
        <w:tblW w:w="8504" w:type="dxa"/>
        <w:tblInd w:w="350" w:type="dxa"/>
        <w:tblCellMar>
          <w:top w:w="63" w:type="dxa"/>
          <w:left w:w="56" w:type="dxa"/>
          <w:bottom w:w="0" w:type="dxa"/>
          <w:right w:w="51" w:type="dxa"/>
        </w:tblCellMar>
        <w:tblLook w:val="04A0" w:firstRow="1" w:lastRow="0" w:firstColumn="1" w:lastColumn="0" w:noHBand="0" w:noVBand="1"/>
      </w:tblPr>
      <w:tblGrid>
        <w:gridCol w:w="2778"/>
        <w:gridCol w:w="1418"/>
        <w:gridCol w:w="1416"/>
        <w:gridCol w:w="1418"/>
        <w:gridCol w:w="1474"/>
      </w:tblGrid>
      <w:tr w:rsidR="00E23B86">
        <w:trPr>
          <w:trHeight w:val="870"/>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5"/>
              <w:jc w:val="center"/>
            </w:pPr>
            <w:r>
              <w:rPr>
                <w:rFonts w:ascii="Arial" w:eastAsia="Arial" w:hAnsi="Arial" w:cs="Arial"/>
              </w:rPr>
              <w:t>INGRESOS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center"/>
            </w:pPr>
            <w:r>
              <w:rPr>
                <w:rFonts w:ascii="Arial" w:eastAsia="Arial" w:hAnsi="Arial" w:cs="Arial"/>
              </w:rPr>
              <w:t>PRESUPUE STO 2020</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4"/>
              <w:jc w:val="both"/>
            </w:pPr>
            <w:r>
              <w:rPr>
                <w:rFonts w:ascii="Arial" w:eastAsia="Arial" w:hAnsi="Arial" w:cs="Arial"/>
              </w:rPr>
              <w:t>PREVISIÓN</w:t>
            </w:r>
          </w:p>
          <w:p w:rsidR="00E23B86" w:rsidRDefault="00BA7C13">
            <w:pPr>
              <w:spacing w:after="0"/>
              <w:ind w:left="48"/>
              <w:jc w:val="both"/>
            </w:pPr>
            <w:r>
              <w:rPr>
                <w:rFonts w:ascii="Arial" w:eastAsia="Arial" w:hAnsi="Arial" w:cs="Arial"/>
              </w:rPr>
              <w:t>PRESUPUE</w:t>
            </w:r>
          </w:p>
          <w:p w:rsidR="00E23B86" w:rsidRDefault="00BA7C13">
            <w:pPr>
              <w:spacing w:after="0"/>
              <w:ind w:left="152"/>
            </w:pPr>
            <w:r>
              <w:rPr>
                <w:rFonts w:ascii="Arial" w:eastAsia="Arial" w:hAnsi="Arial" w:cs="Arial"/>
              </w:rPr>
              <w:t>STO 2021</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rPr>
              <w:t>PREVISIÓN</w:t>
            </w:r>
          </w:p>
          <w:p w:rsidR="00E23B86" w:rsidRDefault="00BA7C13">
            <w:pPr>
              <w:spacing w:after="0"/>
              <w:ind w:left="50"/>
              <w:jc w:val="both"/>
            </w:pPr>
            <w:r>
              <w:rPr>
                <w:rFonts w:ascii="Arial" w:eastAsia="Arial" w:hAnsi="Arial" w:cs="Arial"/>
              </w:rPr>
              <w:t>PRESUPUE</w:t>
            </w:r>
          </w:p>
          <w:p w:rsidR="00E23B86" w:rsidRDefault="00BA7C13">
            <w:pPr>
              <w:spacing w:after="0"/>
              <w:ind w:left="154"/>
            </w:pPr>
            <w:r>
              <w:rPr>
                <w:rFonts w:ascii="Arial" w:eastAsia="Arial" w:hAnsi="Arial" w:cs="Arial"/>
              </w:rPr>
              <w:t>STO 2022</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84"/>
            </w:pPr>
            <w:r>
              <w:rPr>
                <w:rFonts w:ascii="Arial" w:eastAsia="Arial" w:hAnsi="Arial" w:cs="Arial"/>
              </w:rPr>
              <w:t>PREVISIÓN</w:t>
            </w:r>
          </w:p>
          <w:p w:rsidR="00E23B86" w:rsidRDefault="00BA7C13">
            <w:pPr>
              <w:spacing w:after="0"/>
              <w:jc w:val="center"/>
            </w:pPr>
            <w:r>
              <w:rPr>
                <w:rFonts w:ascii="Arial" w:eastAsia="Arial" w:hAnsi="Arial" w:cs="Arial"/>
              </w:rPr>
              <w:t>PRESUPUES TO 2023</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IMPUESTOS DIRECTOS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1"/>
            </w:pPr>
            <w:r>
              <w:rPr>
                <w:rFonts w:ascii="Arial" w:eastAsia="Arial" w:hAnsi="Arial" w:cs="Arial"/>
              </w:rPr>
              <w:t>IMPUESTOS INDIRECTOS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tabs>
                <w:tab w:val="center" w:pos="944"/>
                <w:tab w:val="center" w:pos="1303"/>
                <w:tab w:val="center" w:pos="1599"/>
                <w:tab w:val="right" w:pos="2671"/>
              </w:tabs>
              <w:spacing w:after="0"/>
            </w:pPr>
            <w:r>
              <w:rPr>
                <w:rFonts w:ascii="Arial" w:eastAsia="Arial" w:hAnsi="Arial" w:cs="Arial"/>
              </w:rPr>
              <w:t>TASAS</w:t>
            </w:r>
            <w:r>
              <w:rPr>
                <w:rFonts w:ascii="Arial" w:eastAsia="Arial" w:hAnsi="Arial" w:cs="Arial"/>
              </w:rPr>
              <w:tab/>
              <w:t xml:space="preserve"> </w:t>
            </w:r>
            <w:r>
              <w:rPr>
                <w:rFonts w:ascii="Arial" w:eastAsia="Arial" w:hAnsi="Arial" w:cs="Arial"/>
              </w:rPr>
              <w:tab/>
              <w:t>Y</w:t>
            </w:r>
            <w:r>
              <w:rPr>
                <w:rFonts w:ascii="Arial" w:eastAsia="Arial" w:hAnsi="Arial" w:cs="Arial"/>
              </w:rPr>
              <w:tab/>
              <w:t xml:space="preserve"> </w:t>
            </w:r>
            <w:r>
              <w:rPr>
                <w:rFonts w:ascii="Arial" w:eastAsia="Arial" w:hAnsi="Arial" w:cs="Arial"/>
              </w:rPr>
              <w:tab/>
              <w:t>OTROS</w:t>
            </w:r>
          </w:p>
          <w:p w:rsidR="00E23B86" w:rsidRDefault="00BA7C13">
            <w:pPr>
              <w:spacing w:after="0"/>
            </w:pPr>
            <w:r>
              <w:rPr>
                <w:rFonts w:ascii="Arial" w:eastAsia="Arial" w:hAnsi="Arial" w:cs="Arial"/>
              </w:rPr>
              <w:t>INGRESOS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538.929,45 €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591.608,42</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601.506,74 €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82"/>
            </w:pPr>
            <w:r>
              <w:rPr>
                <w:rFonts w:ascii="Arial" w:eastAsia="Arial" w:hAnsi="Arial" w:cs="Arial"/>
              </w:rPr>
              <w:t>616.203,45 €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CORRIENTES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451.646,27 €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2"/>
              <w:jc w:val="both"/>
            </w:pPr>
            <w:r>
              <w:rPr>
                <w:rFonts w:ascii="Arial" w:eastAsia="Arial" w:hAnsi="Arial" w:cs="Arial"/>
              </w:rPr>
              <w:t>398.967,30 €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389.068.98 €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82"/>
            </w:pPr>
            <w:r>
              <w:rPr>
                <w:rFonts w:ascii="Arial" w:eastAsia="Arial" w:hAnsi="Arial" w:cs="Arial"/>
              </w:rPr>
              <w:t>374.372,27 €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INGRESOS</w:t>
            </w:r>
          </w:p>
          <w:p w:rsidR="00E23B86" w:rsidRDefault="00BA7C13">
            <w:pPr>
              <w:spacing w:after="0"/>
            </w:pPr>
            <w:r>
              <w:rPr>
                <w:rFonts w:ascii="Arial" w:eastAsia="Arial" w:hAnsi="Arial" w:cs="Arial"/>
              </w:rPr>
              <w:t>PATRIMONIALES</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both"/>
            </w:pPr>
            <w:r>
              <w:rPr>
                <w:rFonts w:ascii="Arial" w:eastAsia="Arial" w:hAnsi="Arial" w:cs="Arial"/>
              </w:rPr>
              <w:t>TRANSFERENCIAS DE</w:t>
            </w:r>
          </w:p>
          <w:p w:rsidR="00E23B86" w:rsidRDefault="00BA7C13">
            <w:pPr>
              <w:spacing w:after="0"/>
            </w:pPr>
            <w:r>
              <w:rPr>
                <w:rFonts w:ascii="Arial" w:eastAsia="Arial" w:hAnsi="Arial" w:cs="Arial"/>
              </w:rPr>
              <w:t>CAPITAL</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ACTIVOS FINANCIEROS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PASIVOS FINANCIEROS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3"/>
              <w:jc w:val="center"/>
            </w:pPr>
            <w:r>
              <w:rPr>
                <w:rFonts w:ascii="Arial" w:eastAsia="Arial" w:hAnsi="Arial" w:cs="Arial"/>
              </w:rPr>
              <w:t>Totales</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2"/>
              <w:jc w:val="both"/>
            </w:pPr>
            <w:r>
              <w:rPr>
                <w:rFonts w:ascii="Arial" w:eastAsia="Arial" w:hAnsi="Arial" w:cs="Arial"/>
              </w:rPr>
              <w:t>990.575,72 €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474"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82"/>
            </w:pPr>
            <w:r>
              <w:rPr>
                <w:rFonts w:ascii="Arial" w:eastAsia="Arial" w:hAnsi="Arial" w:cs="Arial"/>
              </w:rPr>
              <w:t>990.575,72 €</w:t>
            </w:r>
          </w:p>
        </w:tc>
      </w:tr>
    </w:tbl>
    <w:p w:rsidR="00E23B86" w:rsidRDefault="00BA7C13">
      <w:pPr>
        <w:spacing w:after="10" w:line="248" w:lineRule="auto"/>
        <w:ind w:left="373" w:right="552" w:hanging="10"/>
        <w:jc w:val="both"/>
      </w:pPr>
      <w:r>
        <w:rPr>
          <w:rFonts w:ascii="Arial" w:eastAsia="Arial" w:hAnsi="Arial" w:cs="Arial"/>
        </w:rPr>
        <w:t>Previsión Gastos Entidades sectorizadas como administraciones públicas:</w:t>
      </w:r>
    </w:p>
    <w:tbl>
      <w:tblPr>
        <w:tblStyle w:val="TableGrid"/>
        <w:tblW w:w="8590" w:type="dxa"/>
        <w:tblInd w:w="350" w:type="dxa"/>
        <w:tblCellMar>
          <w:top w:w="61" w:type="dxa"/>
          <w:left w:w="56" w:type="dxa"/>
          <w:bottom w:w="0" w:type="dxa"/>
          <w:right w:w="51" w:type="dxa"/>
        </w:tblCellMar>
        <w:tblLook w:val="04A0" w:firstRow="1" w:lastRow="0" w:firstColumn="1" w:lastColumn="0" w:noHBand="0" w:noVBand="1"/>
      </w:tblPr>
      <w:tblGrid>
        <w:gridCol w:w="2778"/>
        <w:gridCol w:w="1416"/>
        <w:gridCol w:w="1418"/>
        <w:gridCol w:w="1418"/>
        <w:gridCol w:w="1560"/>
      </w:tblGrid>
      <w:tr w:rsidR="00E23B86">
        <w:trPr>
          <w:trHeight w:val="870"/>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center"/>
            </w:pPr>
            <w:r>
              <w:rPr>
                <w:rFonts w:ascii="Arial" w:eastAsia="Arial" w:hAnsi="Arial" w:cs="Arial"/>
              </w:rPr>
              <w:t>GASTOS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center"/>
            </w:pPr>
            <w:r>
              <w:rPr>
                <w:rFonts w:ascii="Arial" w:eastAsia="Arial" w:hAnsi="Arial" w:cs="Arial"/>
              </w:rPr>
              <w:t>PRESUPUE STO 2020</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rPr>
              <w:t>PREVISIÓN</w:t>
            </w:r>
          </w:p>
          <w:p w:rsidR="00E23B86" w:rsidRDefault="00BA7C13">
            <w:pPr>
              <w:spacing w:after="0"/>
              <w:ind w:left="50"/>
              <w:jc w:val="both"/>
            </w:pPr>
            <w:r>
              <w:rPr>
                <w:rFonts w:ascii="Arial" w:eastAsia="Arial" w:hAnsi="Arial" w:cs="Arial"/>
              </w:rPr>
              <w:t>PRESUPUE</w:t>
            </w:r>
          </w:p>
          <w:p w:rsidR="00E23B86" w:rsidRDefault="00BA7C13">
            <w:pPr>
              <w:spacing w:after="0"/>
              <w:ind w:left="154"/>
            </w:pPr>
            <w:r>
              <w:rPr>
                <w:rFonts w:ascii="Arial" w:eastAsia="Arial" w:hAnsi="Arial" w:cs="Arial"/>
              </w:rPr>
              <w:t>STO 2021</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rPr>
              <w:t>PREVISIÓN</w:t>
            </w:r>
          </w:p>
          <w:p w:rsidR="00E23B86" w:rsidRDefault="00BA7C13">
            <w:pPr>
              <w:spacing w:after="0"/>
              <w:ind w:left="50"/>
              <w:jc w:val="both"/>
            </w:pPr>
            <w:r>
              <w:rPr>
                <w:rFonts w:ascii="Arial" w:eastAsia="Arial" w:hAnsi="Arial" w:cs="Arial"/>
              </w:rPr>
              <w:t>PRESUPUE</w:t>
            </w:r>
          </w:p>
          <w:p w:rsidR="00E23B86" w:rsidRDefault="00BA7C13">
            <w:pPr>
              <w:spacing w:after="0"/>
              <w:ind w:left="154"/>
            </w:pPr>
            <w:r>
              <w:rPr>
                <w:rFonts w:ascii="Arial" w:eastAsia="Arial" w:hAnsi="Arial" w:cs="Arial"/>
              </w:rPr>
              <w:t>STO 2022</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28"/>
            </w:pPr>
            <w:r>
              <w:rPr>
                <w:rFonts w:ascii="Arial" w:eastAsia="Arial" w:hAnsi="Arial" w:cs="Arial"/>
              </w:rPr>
              <w:t>PREVISIÓN</w:t>
            </w:r>
          </w:p>
          <w:p w:rsidR="00E23B86" w:rsidRDefault="00BA7C13">
            <w:pPr>
              <w:spacing w:after="0"/>
              <w:jc w:val="center"/>
            </w:pPr>
            <w:r>
              <w:rPr>
                <w:rFonts w:ascii="Arial" w:eastAsia="Arial" w:hAnsi="Arial" w:cs="Arial"/>
              </w:rPr>
              <w:t>PRESUPUES TO 2023</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pPr>
            <w:r>
              <w:rPr>
                <w:rFonts w:ascii="Arial" w:eastAsia="Arial" w:hAnsi="Arial" w:cs="Arial"/>
              </w:rPr>
              <w:t>GASTOS DE PERSONAL</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10.450.037,5 3 €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10.659.038,2 8 €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10.872.219,0 5 €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11.089.663,43 €</w:t>
            </w:r>
          </w:p>
        </w:tc>
      </w:tr>
      <w:tr w:rsidR="00E23B86">
        <w:trPr>
          <w:trHeight w:val="870"/>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both"/>
            </w:pPr>
            <w:r>
              <w:rPr>
                <w:rFonts w:ascii="Arial" w:eastAsia="Arial" w:hAnsi="Arial" w:cs="Arial"/>
              </w:rPr>
              <w:t>GASTOS EN BIENES</w:t>
            </w:r>
          </w:p>
          <w:p w:rsidR="00E23B86" w:rsidRDefault="00BA7C13">
            <w:pPr>
              <w:tabs>
                <w:tab w:val="center" w:pos="1949"/>
                <w:tab w:val="right" w:pos="2671"/>
              </w:tabs>
              <w:spacing w:after="0"/>
            </w:pPr>
            <w:r>
              <w:rPr>
                <w:rFonts w:ascii="Arial" w:eastAsia="Arial" w:hAnsi="Arial" w:cs="Arial"/>
              </w:rPr>
              <w:t>CORRIENTES</w:t>
            </w:r>
            <w:r>
              <w:rPr>
                <w:rFonts w:ascii="Arial" w:eastAsia="Arial" w:hAnsi="Arial" w:cs="Arial"/>
              </w:rPr>
              <w:tab/>
              <w:t xml:space="preserve"> </w:t>
            </w:r>
            <w:r>
              <w:rPr>
                <w:rFonts w:ascii="Arial" w:eastAsia="Arial" w:hAnsi="Arial" w:cs="Arial"/>
              </w:rPr>
              <w:tab/>
              <w:t>Y</w:t>
            </w:r>
          </w:p>
          <w:p w:rsidR="00E23B86" w:rsidRDefault="00BA7C13">
            <w:pPr>
              <w:spacing w:after="0"/>
            </w:pPr>
            <w:r>
              <w:rPr>
                <w:rFonts w:ascii="Arial" w:eastAsia="Arial" w:hAnsi="Arial" w:cs="Arial"/>
              </w:rPr>
              <w:t>SERVICIOS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8.336.918,72 €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8.903.657,09 €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9.216.608,55 €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46"/>
              <w:jc w:val="right"/>
            </w:pPr>
            <w:r>
              <w:rPr>
                <w:rFonts w:ascii="Arial" w:eastAsia="Arial" w:hAnsi="Arial" w:cs="Arial"/>
              </w:rPr>
              <w:t>9.705.608,44 €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GASTOS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135.618,29 €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112.006,41 €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48"/>
            </w:pPr>
            <w:r>
              <w:rPr>
                <w:rFonts w:ascii="Arial" w:eastAsia="Arial" w:hAnsi="Arial" w:cs="Arial"/>
              </w:rPr>
              <w:t>95.506,41 €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81.609,41 €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CORRIENTES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2.881.900,35 €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2.881.900,35 €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2.881.900,35 €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46"/>
              <w:jc w:val="right"/>
            </w:pPr>
            <w:r>
              <w:rPr>
                <w:rFonts w:ascii="Arial" w:eastAsia="Arial" w:hAnsi="Arial" w:cs="Arial"/>
              </w:rPr>
              <w:t>2.881.900,35 €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pPr>
            <w:r>
              <w:rPr>
                <w:rFonts w:ascii="Arial" w:eastAsia="Arial" w:hAnsi="Arial" w:cs="Arial"/>
              </w:rPr>
              <w:t>INVERSIONES REALES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313.387,97 €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86"/>
              <w:jc w:val="right"/>
            </w:pPr>
            <w:r>
              <w:rPr>
                <w:rFonts w:ascii="Arial" w:eastAsia="Arial" w:hAnsi="Arial" w:cs="Arial"/>
              </w:rPr>
              <w:t>417.106,75 €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705.355,54 €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920.487,36 €</w:t>
            </w:r>
          </w:p>
        </w:tc>
      </w:tr>
      <w:tr w:rsidR="00E23B86">
        <w:trPr>
          <w:trHeight w:val="616"/>
        </w:trPr>
        <w:tc>
          <w:tcPr>
            <w:tcW w:w="2778" w:type="dxa"/>
            <w:tcBorders>
              <w:top w:val="nil"/>
              <w:left w:val="single" w:sz="2" w:space="0" w:color="000001"/>
              <w:bottom w:val="single" w:sz="2" w:space="0" w:color="000001"/>
              <w:right w:val="single" w:sz="2" w:space="0" w:color="000001"/>
            </w:tcBorders>
          </w:tcPr>
          <w:p w:rsidR="00E23B86" w:rsidRDefault="00BA7C13">
            <w:pPr>
              <w:spacing w:after="0"/>
              <w:jc w:val="both"/>
            </w:pPr>
            <w:r>
              <w:rPr>
                <w:rFonts w:ascii="Arial" w:eastAsia="Arial" w:hAnsi="Arial" w:cs="Arial"/>
              </w:rPr>
              <w:t>TRANSFERENCIAS DE</w:t>
            </w:r>
          </w:p>
          <w:p w:rsidR="00E23B86" w:rsidRDefault="00BA7C13">
            <w:pPr>
              <w:spacing w:after="0"/>
            </w:pPr>
            <w:r>
              <w:rPr>
                <w:rFonts w:ascii="Arial" w:eastAsia="Arial" w:hAnsi="Arial" w:cs="Arial"/>
              </w:rPr>
              <w:t>CAPITAL</w:t>
            </w:r>
          </w:p>
        </w:tc>
        <w:tc>
          <w:tcPr>
            <w:tcW w:w="1416" w:type="dxa"/>
            <w:tcBorders>
              <w:top w:val="nil"/>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c>
          <w:tcPr>
            <w:tcW w:w="1418" w:type="dxa"/>
            <w:tcBorders>
              <w:top w:val="nil"/>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nil"/>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560" w:type="dxa"/>
            <w:tcBorders>
              <w:top w:val="nil"/>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ACTIVOS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46"/>
            </w:pPr>
            <w:r>
              <w:rPr>
                <w:rFonts w:ascii="Arial" w:eastAsia="Arial" w:hAnsi="Arial" w:cs="Arial"/>
              </w:rPr>
              <w:t>50.000,00 €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48"/>
            </w:pPr>
            <w:r>
              <w:rPr>
                <w:rFonts w:ascii="Arial" w:eastAsia="Arial" w:hAnsi="Arial" w:cs="Arial"/>
              </w:rPr>
              <w:t>50.000,00 €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48"/>
            </w:pPr>
            <w:r>
              <w:rPr>
                <w:rFonts w:ascii="Arial" w:eastAsia="Arial" w:hAnsi="Arial" w:cs="Arial"/>
              </w:rPr>
              <w:t>50.000,00 €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50.000,00 €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PASIVOS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612.852,83 €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463.209,00 €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393.422,43 €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236.408,72 €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3"/>
              <w:jc w:val="center"/>
            </w:pPr>
            <w:r>
              <w:rPr>
                <w:rFonts w:ascii="Arial" w:eastAsia="Arial" w:hAnsi="Arial" w:cs="Arial"/>
              </w:rPr>
              <w:t>Totales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22.780.715,6 9 €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23.486.917,8 8 €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24.215.012,3 3 €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24.965.677,71 €</w:t>
            </w:r>
          </w:p>
        </w:tc>
      </w:tr>
    </w:tbl>
    <w:p w:rsidR="00E23B86" w:rsidRDefault="00BA7C13">
      <w:pPr>
        <w:spacing w:after="10" w:line="248" w:lineRule="auto"/>
        <w:ind w:left="373" w:right="552" w:hanging="10"/>
        <w:jc w:val="both"/>
      </w:pPr>
      <w:r>
        <w:rPr>
          <w:noProof/>
        </w:rPr>
        <mc:AlternateContent>
          <mc:Choice Requires="wpg">
            <w:drawing>
              <wp:anchor distT="0" distB="0" distL="114300" distR="114300" simplePos="0" relativeHeight="2517514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1539" name="Group 56153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2903" name="Rectangle 2290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2904" name="Rectangle 22904"/>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91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1539" style="width:12.7031pt;height:280.35pt;position:absolute;mso-position-horizontal-relative:page;mso-position-horizontal:absolute;margin-left:681.958pt;mso-position-vertical-relative:page;margin-top:531.65pt;" coordsize="1613,35604">
                <v:rect id="Rectangle 2290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2904"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391 </w:t>
                        </w:r>
                      </w:p>
                    </w:txbxContent>
                  </v:textbox>
                </v:rect>
                <w10:wrap type="square"/>
              </v:group>
            </w:pict>
          </mc:Fallback>
        </mc:AlternateContent>
      </w:r>
      <w:r>
        <w:rPr>
          <w:rFonts w:ascii="Arial" w:eastAsia="Arial" w:hAnsi="Arial" w:cs="Arial"/>
        </w:rPr>
        <w:t>Previsión Gastos Epelcan, (no está sectorizada como Administra</w:t>
      </w:r>
      <w:r>
        <w:rPr>
          <w:rFonts w:ascii="Arial" w:eastAsia="Arial" w:hAnsi="Arial" w:cs="Arial"/>
        </w:rPr>
        <w:t>ción pública):</w:t>
      </w:r>
    </w:p>
    <w:tbl>
      <w:tblPr>
        <w:tblStyle w:val="TableGrid"/>
        <w:tblW w:w="8590" w:type="dxa"/>
        <w:tblInd w:w="350" w:type="dxa"/>
        <w:tblCellMar>
          <w:top w:w="63" w:type="dxa"/>
          <w:left w:w="56" w:type="dxa"/>
          <w:bottom w:w="0" w:type="dxa"/>
          <w:right w:w="51" w:type="dxa"/>
        </w:tblCellMar>
        <w:tblLook w:val="04A0" w:firstRow="1" w:lastRow="0" w:firstColumn="1" w:lastColumn="0" w:noHBand="0" w:noVBand="1"/>
      </w:tblPr>
      <w:tblGrid>
        <w:gridCol w:w="2778"/>
        <w:gridCol w:w="1416"/>
        <w:gridCol w:w="1418"/>
        <w:gridCol w:w="1418"/>
        <w:gridCol w:w="1560"/>
      </w:tblGrid>
      <w:tr w:rsidR="00E23B86">
        <w:trPr>
          <w:trHeight w:val="870"/>
        </w:trPr>
        <w:tc>
          <w:tcPr>
            <w:tcW w:w="277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center"/>
            </w:pPr>
            <w:r>
              <w:rPr>
                <w:rFonts w:ascii="Arial" w:eastAsia="Arial" w:hAnsi="Arial" w:cs="Arial"/>
              </w:rPr>
              <w:t>GASTOS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center"/>
            </w:pPr>
            <w:r>
              <w:rPr>
                <w:rFonts w:ascii="Arial" w:eastAsia="Arial" w:hAnsi="Arial" w:cs="Arial"/>
              </w:rPr>
              <w:t>PRESUPUE STO 2020</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rPr>
              <w:t>PREVISIÓN</w:t>
            </w:r>
          </w:p>
          <w:p w:rsidR="00E23B86" w:rsidRDefault="00BA7C13">
            <w:pPr>
              <w:spacing w:after="0"/>
              <w:ind w:left="50"/>
              <w:jc w:val="both"/>
            </w:pPr>
            <w:r>
              <w:rPr>
                <w:rFonts w:ascii="Arial" w:eastAsia="Arial" w:hAnsi="Arial" w:cs="Arial"/>
              </w:rPr>
              <w:t>PRESUPUE</w:t>
            </w:r>
          </w:p>
          <w:p w:rsidR="00E23B86" w:rsidRDefault="00BA7C13">
            <w:pPr>
              <w:spacing w:after="0"/>
              <w:ind w:left="154"/>
            </w:pPr>
            <w:r>
              <w:rPr>
                <w:rFonts w:ascii="Arial" w:eastAsia="Arial" w:hAnsi="Arial" w:cs="Arial"/>
              </w:rPr>
              <w:t>STO 2021</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56"/>
              <w:jc w:val="both"/>
            </w:pPr>
            <w:r>
              <w:rPr>
                <w:rFonts w:ascii="Arial" w:eastAsia="Arial" w:hAnsi="Arial" w:cs="Arial"/>
              </w:rPr>
              <w:t>PREVISIÓN</w:t>
            </w:r>
          </w:p>
          <w:p w:rsidR="00E23B86" w:rsidRDefault="00BA7C13">
            <w:pPr>
              <w:spacing w:after="0"/>
              <w:ind w:left="50"/>
              <w:jc w:val="both"/>
            </w:pPr>
            <w:r>
              <w:rPr>
                <w:rFonts w:ascii="Arial" w:eastAsia="Arial" w:hAnsi="Arial" w:cs="Arial"/>
              </w:rPr>
              <w:t>PRESUPUE</w:t>
            </w:r>
          </w:p>
          <w:p w:rsidR="00E23B86" w:rsidRDefault="00BA7C13">
            <w:pPr>
              <w:spacing w:after="0"/>
              <w:ind w:left="154"/>
            </w:pPr>
            <w:r>
              <w:rPr>
                <w:rFonts w:ascii="Arial" w:eastAsia="Arial" w:hAnsi="Arial" w:cs="Arial"/>
              </w:rPr>
              <w:t>STO 2022</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128"/>
            </w:pPr>
            <w:r>
              <w:rPr>
                <w:rFonts w:ascii="Arial" w:eastAsia="Arial" w:hAnsi="Arial" w:cs="Arial"/>
              </w:rPr>
              <w:t>PREVISIÓN</w:t>
            </w:r>
          </w:p>
          <w:p w:rsidR="00E23B86" w:rsidRDefault="00BA7C13">
            <w:pPr>
              <w:spacing w:after="0"/>
              <w:jc w:val="center"/>
            </w:pPr>
            <w:r>
              <w:rPr>
                <w:rFonts w:ascii="Arial" w:eastAsia="Arial" w:hAnsi="Arial" w:cs="Arial"/>
              </w:rPr>
              <w:t>PRESUPUES TO 2023</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GASTOS DE PERSONAL</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570.646,64 €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582.059,57 €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593.700,76 €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605.574,78 €</w:t>
            </w:r>
          </w:p>
        </w:tc>
      </w:tr>
      <w:tr w:rsidR="00E23B86">
        <w:trPr>
          <w:trHeight w:val="870"/>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 xml:space="preserve">GASTOS EN BIENES </w:t>
            </w:r>
          </w:p>
          <w:p w:rsidR="00E23B86" w:rsidRDefault="00BA7C13">
            <w:pPr>
              <w:spacing w:after="0"/>
            </w:pPr>
            <w:r>
              <w:rPr>
                <w:rFonts w:ascii="Arial" w:eastAsia="Arial" w:hAnsi="Arial" w:cs="Arial"/>
              </w:rPr>
              <w:t>CORRIENTES Y SERVICIOS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419.929,08 €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408.516,15 €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left="24"/>
              <w:jc w:val="both"/>
            </w:pPr>
            <w:r>
              <w:rPr>
                <w:rFonts w:ascii="Arial" w:eastAsia="Arial" w:hAnsi="Arial" w:cs="Arial"/>
              </w:rPr>
              <w:t>396.874,96 €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385.000,94 €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GASTOS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618"/>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CORRIENTES</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INVERSIONES REALES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616"/>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TRANSFERENCIAS DE CAPITAL</w:t>
            </w:r>
          </w:p>
        </w:tc>
        <w:tc>
          <w:tcPr>
            <w:tcW w:w="1416"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vAlign w:val="center"/>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ACTIVOS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pPr>
            <w:r>
              <w:rPr>
                <w:rFonts w:ascii="Arial" w:eastAsia="Arial" w:hAnsi="Arial" w:cs="Arial"/>
              </w:rPr>
              <w:t>PASIVOS FINANCIEROS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0,00 €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2"/>
              <w:jc w:val="right"/>
            </w:pPr>
            <w:r>
              <w:rPr>
                <w:rFonts w:ascii="Arial" w:eastAsia="Arial" w:hAnsi="Arial" w:cs="Arial"/>
              </w:rPr>
              <w:t>0,00 €</w:t>
            </w:r>
          </w:p>
        </w:tc>
      </w:tr>
      <w:tr w:rsidR="00E23B86">
        <w:trPr>
          <w:trHeight w:val="364"/>
        </w:trPr>
        <w:tc>
          <w:tcPr>
            <w:tcW w:w="277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right="3"/>
              <w:jc w:val="center"/>
            </w:pPr>
            <w:r>
              <w:rPr>
                <w:rFonts w:ascii="Arial" w:eastAsia="Arial" w:hAnsi="Arial" w:cs="Arial"/>
              </w:rPr>
              <w:t>Totales</w:t>
            </w:r>
          </w:p>
        </w:tc>
        <w:tc>
          <w:tcPr>
            <w:tcW w:w="1416"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418" w:type="dxa"/>
            <w:tcBorders>
              <w:top w:val="single" w:sz="2" w:space="0" w:color="000001"/>
              <w:left w:val="single" w:sz="2" w:space="0" w:color="000001"/>
              <w:bottom w:val="single" w:sz="2" w:space="0" w:color="000001"/>
              <w:right w:val="single" w:sz="2" w:space="0" w:color="000001"/>
            </w:tcBorders>
          </w:tcPr>
          <w:p w:rsidR="00E23B86" w:rsidRDefault="00BA7C13">
            <w:pPr>
              <w:spacing w:after="0"/>
              <w:ind w:left="24"/>
              <w:jc w:val="both"/>
            </w:pPr>
            <w:r>
              <w:rPr>
                <w:rFonts w:ascii="Arial" w:eastAsia="Arial" w:hAnsi="Arial" w:cs="Arial"/>
              </w:rPr>
              <w:t>990.575,72 €</w:t>
            </w:r>
          </w:p>
        </w:tc>
        <w:tc>
          <w:tcPr>
            <w:tcW w:w="1560" w:type="dxa"/>
            <w:tcBorders>
              <w:top w:val="single" w:sz="2" w:space="0" w:color="000001"/>
              <w:left w:val="single" w:sz="2" w:space="0" w:color="000001"/>
              <w:bottom w:val="single" w:sz="2" w:space="0" w:color="000001"/>
              <w:right w:val="single" w:sz="2" w:space="0" w:color="000001"/>
            </w:tcBorders>
          </w:tcPr>
          <w:p w:rsidR="00E23B86" w:rsidRDefault="00BA7C13">
            <w:pPr>
              <w:spacing w:after="0"/>
              <w:jc w:val="right"/>
            </w:pPr>
            <w:r>
              <w:rPr>
                <w:rFonts w:ascii="Arial" w:eastAsia="Arial" w:hAnsi="Arial" w:cs="Arial"/>
              </w:rPr>
              <w:t>990.575,72 €</w:t>
            </w:r>
          </w:p>
        </w:tc>
      </w:tr>
    </w:tbl>
    <w:p w:rsidR="00E23B86" w:rsidRDefault="00BA7C13">
      <w:pPr>
        <w:spacing w:after="0" w:line="249" w:lineRule="auto"/>
        <w:ind w:left="355" w:right="554" w:hanging="10"/>
        <w:jc w:val="both"/>
      </w:pPr>
      <w:r>
        <w:rPr>
          <w:rFonts w:ascii="Arial" w:eastAsia="Arial" w:hAnsi="Arial" w:cs="Arial"/>
          <w:b/>
        </w:rPr>
        <w:t>PRIMERO BIS.- Corrección de la nomenclatura de una partida presupuestaria durante el transcurso de la sesión plenaria: la partida del presupuesto de gastos 2310248004 que se denomina PROYECTO DE ACTIVIDADES MEJORA CALIDAD DE VIDA DE MAYORES pasa a denomina</w:t>
      </w:r>
      <w:r>
        <w:rPr>
          <w:rFonts w:ascii="Arial" w:eastAsia="Arial" w:hAnsi="Arial" w:cs="Arial"/>
          <w:b/>
        </w:rPr>
        <w:t>rse: ASOCIACIÓN DE MAYORES</w:t>
      </w:r>
    </w:p>
    <w:p w:rsidR="00E23B86" w:rsidRDefault="00BA7C13">
      <w:pPr>
        <w:spacing w:after="619" w:line="249" w:lineRule="auto"/>
        <w:ind w:left="355" w:right="554" w:hanging="10"/>
        <w:jc w:val="both"/>
      </w:pPr>
      <w:r>
        <w:rPr>
          <w:rFonts w:ascii="Arial" w:eastAsia="Arial" w:hAnsi="Arial" w:cs="Arial"/>
          <w:b/>
        </w:rPr>
        <w:t>ANTÓN GUANCHE: PROYECTO DE ACTIVIDADES PARA LA MEJORA  DE LA CALIDAD DE VIDA DE LAS PERSONAS MAYORES. (PÁGINA 4 DEL PRESUPUESTO DE GASTOS 2020. RELACIÓN DE BOLSAS Y PARTIDAS.)</w:t>
      </w:r>
    </w:p>
    <w:p w:rsidR="00E23B86" w:rsidRDefault="00BA7C13">
      <w:pPr>
        <w:spacing w:after="365" w:line="249" w:lineRule="auto"/>
        <w:ind w:left="355" w:right="554" w:hanging="10"/>
        <w:jc w:val="both"/>
      </w:pPr>
      <w:r>
        <w:rPr>
          <w:rFonts w:ascii="Arial" w:eastAsia="Arial" w:hAnsi="Arial" w:cs="Arial"/>
          <w:b/>
        </w:rPr>
        <w:t>SEGUNDO. - El Presupuesto General definitivamente apr</w:t>
      </w:r>
      <w:r>
        <w:rPr>
          <w:rFonts w:ascii="Arial" w:eastAsia="Arial" w:hAnsi="Arial" w:cs="Arial"/>
          <w:b/>
        </w:rPr>
        <w:t>obados será insertado en el Boletín Oficial de la Provincia resumido por capítulos, además de la Plantilla Orgánica y resumen del Plan Presupuestario, y las Bases de Ejecución íntegramente.</w:t>
      </w:r>
    </w:p>
    <w:p w:rsidR="00E23B86" w:rsidRDefault="00BA7C13">
      <w:pPr>
        <w:spacing w:after="111" w:line="249" w:lineRule="auto"/>
        <w:ind w:left="355" w:right="554" w:hanging="10"/>
        <w:jc w:val="both"/>
      </w:pPr>
      <w:r>
        <w:rPr>
          <w:rFonts w:ascii="Arial" w:eastAsia="Arial" w:hAnsi="Arial" w:cs="Arial"/>
          <w:b/>
        </w:rPr>
        <w:t>TERCERO. - Del Presupuesto General definitivamente aprobado se remitirá copia a la Administración del Estado y a la Comunidad Autónoma. La remisión será simultánea al envío al Boletín Oficial de la Provincia.”</w:t>
      </w:r>
    </w:p>
    <w:p w:rsidR="00E23B86" w:rsidRDefault="00BA7C13">
      <w:pPr>
        <w:spacing w:after="838" w:line="250" w:lineRule="auto"/>
        <w:ind w:left="355" w:right="567" w:hanging="10"/>
        <w:jc w:val="both"/>
      </w:pPr>
      <w:r>
        <w:rPr>
          <w:rFonts w:ascii="Arial" w:eastAsia="Arial" w:hAnsi="Arial" w:cs="Arial"/>
          <w:b/>
          <w:sz w:val="24"/>
        </w:rPr>
        <w:t>4.-Expediente 1667/2020. Propuesta del Conceja</w:t>
      </w:r>
      <w:r>
        <w:rPr>
          <w:rFonts w:ascii="Arial" w:eastAsia="Arial" w:hAnsi="Arial" w:cs="Arial"/>
          <w:b/>
          <w:sz w:val="24"/>
        </w:rPr>
        <w:t>l delegado de Hacienda al Pleno de fecha 14 de febrero de 2020 de aprobación inicial de la modificación presupuestaria por suplemento de créditos financiado con remanente de tesorería para gastos generales, por la cantidad de 516.986,97 Euros.</w:t>
      </w:r>
    </w:p>
    <w:p w:rsidR="00E23B86" w:rsidRDefault="00BA7C13">
      <w:pPr>
        <w:spacing w:after="485" w:line="249" w:lineRule="auto"/>
        <w:ind w:left="355" w:right="554" w:hanging="10"/>
        <w:jc w:val="both"/>
      </w:pPr>
      <w:r>
        <w:rPr>
          <w:rFonts w:ascii="Arial" w:eastAsia="Arial" w:hAnsi="Arial" w:cs="Arial"/>
          <w:b/>
        </w:rPr>
        <w:t xml:space="preserve">  Consta en </w:t>
      </w:r>
      <w:r>
        <w:rPr>
          <w:rFonts w:ascii="Arial" w:eastAsia="Arial" w:hAnsi="Arial" w:cs="Arial"/>
          <w:b/>
        </w:rPr>
        <w:t>el expediente Informe de Intervención emitido por Don Nicolás Rojo Garnica, que desempeña el puesto de trabajo de Interventor Municipal, de 14 de febrero de 2020, del siguiente tenor literal:</w:t>
      </w:r>
    </w:p>
    <w:p w:rsidR="00E23B86" w:rsidRDefault="00BA7C13">
      <w:pPr>
        <w:spacing w:after="95" w:line="265" w:lineRule="auto"/>
        <w:ind w:left="359" w:right="550" w:hanging="10"/>
        <w:jc w:val="center"/>
      </w:pPr>
      <w:r>
        <w:rPr>
          <w:rFonts w:ascii="Arial" w:eastAsia="Arial" w:hAnsi="Arial" w:cs="Arial"/>
        </w:rPr>
        <w:t>“INFORME</w:t>
      </w:r>
    </w:p>
    <w:p w:rsidR="00E23B86" w:rsidRDefault="00BA7C13">
      <w:pPr>
        <w:spacing w:after="110" w:line="248" w:lineRule="auto"/>
        <w:ind w:left="363" w:right="552" w:firstLine="284"/>
        <w:jc w:val="both"/>
      </w:pPr>
      <w:r>
        <w:rPr>
          <w:rFonts w:ascii="Arial" w:eastAsia="Arial" w:hAnsi="Arial" w:cs="Arial"/>
        </w:rPr>
        <w:t xml:space="preserve">Visto el Artículo 12.5 de la Ley Orgánica 2/2012, de 27 de abril, de Estabilidad Presupuestaria y Sostenibilidad Financiera, que señala que </w:t>
      </w:r>
      <w:r>
        <w:rPr>
          <w:rFonts w:ascii="Arial" w:eastAsia="Arial" w:hAnsi="Arial" w:cs="Arial"/>
          <w:i/>
        </w:rPr>
        <w:t>“Los ingresos que se obtengan por encima de lo previsto se destinarán íntegramente a reducir el nivel de deuda públi</w:t>
      </w:r>
      <w:r>
        <w:rPr>
          <w:rFonts w:ascii="Arial" w:eastAsia="Arial" w:hAnsi="Arial" w:cs="Arial"/>
          <w:i/>
        </w:rPr>
        <w:t xml:space="preserve">ca”. </w:t>
      </w:r>
    </w:p>
    <w:p w:rsidR="00E23B86" w:rsidRDefault="00BA7C13">
      <w:pPr>
        <w:spacing w:after="110" w:line="248" w:lineRule="auto"/>
        <w:ind w:left="363" w:right="552" w:firstLine="284"/>
        <w:jc w:val="both"/>
      </w:pPr>
      <w:r>
        <w:rPr>
          <w:rFonts w:ascii="Arial" w:eastAsia="Arial" w:hAnsi="Arial" w:cs="Arial"/>
        </w:rPr>
        <w:t xml:space="preserve">Vista la deuda financiera del Ayuntamiento, a 31 de diciembre de 2019, que asciende a 2.407.332,20 Euros, procedente de: </w:t>
      </w:r>
    </w:p>
    <w:p w:rsidR="00E23B86" w:rsidRDefault="00BA7C13">
      <w:pPr>
        <w:numPr>
          <w:ilvl w:val="0"/>
          <w:numId w:val="33"/>
        </w:numPr>
        <w:spacing w:after="110" w:line="248" w:lineRule="auto"/>
        <w:ind w:right="552" w:firstLine="284"/>
        <w:jc w:val="both"/>
      </w:pPr>
      <w:r>
        <w:rPr>
          <w:noProof/>
        </w:rPr>
        <mc:AlternateContent>
          <mc:Choice Requires="wpg">
            <w:drawing>
              <wp:anchor distT="0" distB="0" distL="114300" distR="114300" simplePos="0" relativeHeight="2517524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89940" name="Group 48994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3054" name="Rectangle 2305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3055" name="Rectangle 23055"/>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Documento firmado electró</w:t>
                              </w:r>
                              <w:r>
                                <w:rPr>
                                  <w:rFonts w:ascii="Arial" w:eastAsia="Arial" w:hAnsi="Arial" w:cs="Arial"/>
                                  <w:sz w:val="12"/>
                                </w:rPr>
                                <w:t xml:space="preserve">nicamente desde la plataforma esPublico Gestiona | Página 92 de 391 </w:t>
                              </w:r>
                            </w:p>
                          </w:txbxContent>
                        </wps:txbx>
                        <wps:bodyPr horzOverflow="overflow" vert="horz" lIns="0" tIns="0" rIns="0" bIns="0" rtlCol="0">
                          <a:noAutofit/>
                        </wps:bodyPr>
                      </wps:wsp>
                    </wpg:wgp>
                  </a:graphicData>
                </a:graphic>
              </wp:anchor>
            </w:drawing>
          </mc:Choice>
          <mc:Fallback xmlns:a="http://schemas.openxmlformats.org/drawingml/2006/main">
            <w:pict>
              <v:group id="Group 489940" style="width:12.7031pt;height:280.35pt;position:absolute;mso-position-horizontal-relative:page;mso-position-horizontal:absolute;margin-left:681.958pt;mso-position-vertical-relative:page;margin-top:531.65pt;" coordsize="1613,35604">
                <v:rect id="Rectangle 2305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3055"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391 </w:t>
                        </w:r>
                      </w:p>
                    </w:txbxContent>
                  </v:textbox>
                </v:rect>
                <w10:wrap type="square"/>
              </v:group>
            </w:pict>
          </mc:Fallback>
        </mc:AlternateContent>
      </w:r>
      <w:r>
        <w:rPr>
          <w:rFonts w:ascii="Arial" w:eastAsia="Arial" w:hAnsi="Arial" w:cs="Arial"/>
        </w:rPr>
        <w:t xml:space="preserve">Préstamo 301516-53 de La Caixa, por importe de 925.169,98 Euros. </w:t>
      </w:r>
    </w:p>
    <w:p w:rsidR="00E23B86" w:rsidRDefault="00BA7C13">
      <w:pPr>
        <w:numPr>
          <w:ilvl w:val="0"/>
          <w:numId w:val="33"/>
        </w:numPr>
        <w:spacing w:after="483" w:line="248" w:lineRule="auto"/>
        <w:ind w:right="552" w:firstLine="284"/>
        <w:jc w:val="both"/>
      </w:pPr>
      <w:r>
        <w:rPr>
          <w:rFonts w:ascii="Arial" w:eastAsia="Arial" w:hAnsi="Arial" w:cs="Arial"/>
        </w:rPr>
        <w:t xml:space="preserve">Préstamo 0830003865 BBVA, por importe de 1.482.162,22 Euros. </w:t>
      </w:r>
    </w:p>
    <w:p w:rsidR="00E23B86" w:rsidRDefault="00BA7C13">
      <w:pPr>
        <w:spacing w:after="485" w:line="248" w:lineRule="auto"/>
        <w:ind w:left="363" w:right="552" w:firstLine="284"/>
        <w:jc w:val="both"/>
      </w:pPr>
      <w:r>
        <w:rPr>
          <w:rFonts w:ascii="Arial" w:eastAsia="Arial" w:hAnsi="Arial" w:cs="Arial"/>
        </w:rPr>
        <w:t xml:space="preserve">Dado que los derechos reconocidos netos por los capítulos I al V de Ingresos, asciende a 26.527.733,91 Euros, este Ratio importa un 9,07 %, frente al 13,70 %, obtenido en la Liquidación del presupuesto del ejercicio 2018. </w:t>
      </w:r>
    </w:p>
    <w:p w:rsidR="00E23B86" w:rsidRDefault="00BA7C13">
      <w:pPr>
        <w:spacing w:after="110" w:line="248" w:lineRule="auto"/>
        <w:ind w:left="363" w:right="552" w:firstLine="284"/>
        <w:jc w:val="both"/>
      </w:pPr>
      <w:r>
        <w:rPr>
          <w:rFonts w:ascii="Arial" w:eastAsia="Arial" w:hAnsi="Arial" w:cs="Arial"/>
        </w:rPr>
        <w:t>El criterio que viene aplicando e</w:t>
      </w:r>
      <w:r>
        <w:rPr>
          <w:rFonts w:ascii="Arial" w:eastAsia="Arial" w:hAnsi="Arial" w:cs="Arial"/>
        </w:rPr>
        <w:t>l Ministerio de Hacienda es que todos los ingresos de ejercicio corriente recaudados por encima de las previsiones iniciales, excluidos los ingresos finalistas, en el momento del cierre del ejercicio, han de destinarse obligatoriamente a la reducción de de</w:t>
      </w:r>
      <w:r>
        <w:rPr>
          <w:rFonts w:ascii="Arial" w:eastAsia="Arial" w:hAnsi="Arial" w:cs="Arial"/>
        </w:rPr>
        <w:t xml:space="preserve">uda vía amortización anticipada de las operaciones existentes, mediante la tramitación de un expediente de Suplemento de Crédito, financiado con Remanente de Tesorería para Gastos Generales. </w:t>
      </w:r>
    </w:p>
    <w:p w:rsidR="00E23B86" w:rsidRDefault="00BA7C13">
      <w:pPr>
        <w:spacing w:after="110" w:line="248" w:lineRule="auto"/>
        <w:ind w:left="363" w:right="552" w:firstLine="284"/>
        <w:jc w:val="both"/>
      </w:pPr>
      <w:r>
        <w:rPr>
          <w:rFonts w:ascii="Arial" w:eastAsia="Arial" w:hAnsi="Arial" w:cs="Arial"/>
        </w:rPr>
        <w:t>Quedan fuera de la aplicación del artículo 12.5, dado su carácte</w:t>
      </w:r>
      <w:r>
        <w:rPr>
          <w:rFonts w:ascii="Arial" w:eastAsia="Arial" w:hAnsi="Arial" w:cs="Arial"/>
        </w:rPr>
        <w:t xml:space="preserve">r finalista, las subvenciones, las cuotas de urbanización, los ingresos urbanísticos, las operaciones de préstamo, etc. </w:t>
      </w:r>
    </w:p>
    <w:p w:rsidR="00E23B86" w:rsidRDefault="00BA7C13">
      <w:pPr>
        <w:spacing w:after="110" w:line="248" w:lineRule="auto"/>
        <w:ind w:left="363" w:right="552" w:firstLine="284"/>
        <w:jc w:val="both"/>
      </w:pPr>
      <w:r>
        <w:rPr>
          <w:rFonts w:ascii="Arial" w:eastAsia="Arial" w:hAnsi="Arial" w:cs="Arial"/>
        </w:rPr>
        <w:t>A través del siguiente cuadro, se hace una comparativa de las previsiones iniciales y la recaudación líquida de los ingresos de carácte</w:t>
      </w:r>
      <w:r>
        <w:rPr>
          <w:rFonts w:ascii="Arial" w:eastAsia="Arial" w:hAnsi="Arial" w:cs="Arial"/>
        </w:rPr>
        <w:t>r no finalista, poniendo de manifiesto, la tramitación de un expediente de modificación presupuestaria, para amortizar anticipadamente la cantidad de 516.986,97 Euros:</w:t>
      </w:r>
    </w:p>
    <w:tbl>
      <w:tblPr>
        <w:tblStyle w:val="TableGrid"/>
        <w:tblW w:w="8522" w:type="dxa"/>
        <w:tblInd w:w="493" w:type="dxa"/>
        <w:tblCellMar>
          <w:top w:w="11" w:type="dxa"/>
          <w:left w:w="109" w:type="dxa"/>
          <w:bottom w:w="0" w:type="dxa"/>
          <w:right w:w="104" w:type="dxa"/>
        </w:tblCellMar>
        <w:tblLook w:val="04A0" w:firstRow="1" w:lastRow="0" w:firstColumn="1" w:lastColumn="0" w:noHBand="0" w:noVBand="1"/>
      </w:tblPr>
      <w:tblGrid>
        <w:gridCol w:w="2000"/>
        <w:gridCol w:w="2268"/>
        <w:gridCol w:w="2246"/>
        <w:gridCol w:w="2008"/>
      </w:tblGrid>
      <w:tr w:rsidR="00E23B86">
        <w:trPr>
          <w:trHeight w:val="515"/>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7"/>
              <w:jc w:val="center"/>
            </w:pPr>
            <w:r>
              <w:rPr>
                <w:rFonts w:ascii="Arial" w:eastAsia="Arial" w:hAnsi="Arial" w:cs="Arial"/>
                <w:b/>
              </w:rPr>
              <w:t>INGRESO</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center"/>
            </w:pPr>
            <w:r>
              <w:rPr>
                <w:rFonts w:ascii="Arial" w:eastAsia="Arial" w:hAnsi="Arial" w:cs="Arial"/>
                <w:b/>
              </w:rPr>
              <w:t>PREVISIONES INICIALES</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center"/>
            </w:pPr>
            <w:r>
              <w:rPr>
                <w:rFonts w:ascii="Arial" w:eastAsia="Arial" w:hAnsi="Arial" w:cs="Arial"/>
                <w:b/>
              </w:rPr>
              <w:t>RECAUDACIÓN LÍQUIDA</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center"/>
            </w:pPr>
            <w:r>
              <w:rPr>
                <w:rFonts w:ascii="Arial" w:eastAsia="Arial" w:hAnsi="Arial" w:cs="Arial"/>
                <w:b/>
              </w:rPr>
              <w:t>IMPORTE AMORTIZAR</w:t>
            </w:r>
          </w:p>
        </w:tc>
      </w:tr>
      <w:tr w:rsidR="00E23B86">
        <w:trPr>
          <w:trHeight w:val="516"/>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IMPUESTOS DIRECTOS</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8.379.385,00 €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8.026.368,57 €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4"/>
              <w:jc w:val="right"/>
            </w:pPr>
            <w:r>
              <w:rPr>
                <w:rFonts w:ascii="Arial" w:eastAsia="Arial" w:hAnsi="Arial" w:cs="Arial"/>
              </w:rPr>
              <w:t>0,00 €</w:t>
            </w:r>
          </w:p>
        </w:tc>
      </w:tr>
      <w:tr w:rsidR="00E23B86">
        <w:trPr>
          <w:trHeight w:val="516"/>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IMPUESTOS INDIRECTOS</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4.635.600,00 €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4.757.714,66 €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122.114,66 €</w:t>
            </w:r>
          </w:p>
        </w:tc>
      </w:tr>
      <w:tr w:rsidR="00E23B86">
        <w:trPr>
          <w:trHeight w:val="262"/>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TASAS</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2.319.082,00 €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2.249.208,71 €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4"/>
              <w:jc w:val="right"/>
            </w:pPr>
            <w:r>
              <w:rPr>
                <w:rFonts w:ascii="Arial" w:eastAsia="Arial" w:hAnsi="Arial" w:cs="Arial"/>
              </w:rPr>
              <w:t>0,00 €</w:t>
            </w:r>
          </w:p>
        </w:tc>
      </w:tr>
      <w:tr w:rsidR="00E23B86">
        <w:trPr>
          <w:trHeight w:val="770"/>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 xml:space="preserve">PARTICIPACIÓN </w:t>
            </w:r>
          </w:p>
          <w:p w:rsidR="00E23B86" w:rsidRDefault="00BA7C13">
            <w:pPr>
              <w:spacing w:after="0"/>
            </w:pPr>
            <w:r>
              <w:rPr>
                <w:rFonts w:ascii="Arial" w:eastAsia="Arial" w:hAnsi="Arial" w:cs="Arial"/>
              </w:rPr>
              <w:t xml:space="preserve">TRIBUTOS </w:t>
            </w:r>
          </w:p>
          <w:p w:rsidR="00E23B86" w:rsidRDefault="00BA7C13">
            <w:pPr>
              <w:spacing w:after="0"/>
            </w:pPr>
            <w:r>
              <w:rPr>
                <w:rFonts w:ascii="Arial" w:eastAsia="Arial" w:hAnsi="Arial" w:cs="Arial"/>
              </w:rPr>
              <w:t>ESTADO</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5.000.000,00 €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5.373.166,18 €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373.166,18 €</w:t>
            </w:r>
          </w:p>
        </w:tc>
      </w:tr>
      <w:tr w:rsidR="00E23B86">
        <w:trPr>
          <w:trHeight w:val="516"/>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 xml:space="preserve">INGRESOS </w:t>
            </w:r>
          </w:p>
          <w:p w:rsidR="00E23B86" w:rsidRDefault="00BA7C13">
            <w:pPr>
              <w:spacing w:after="0"/>
            </w:pPr>
            <w:r>
              <w:rPr>
                <w:rFonts w:ascii="Arial" w:eastAsia="Arial" w:hAnsi="Arial" w:cs="Arial"/>
              </w:rPr>
              <w:t>PATRIMONIALES</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3"/>
              <w:jc w:val="right"/>
            </w:pPr>
            <w:r>
              <w:rPr>
                <w:rFonts w:ascii="Arial" w:eastAsia="Arial" w:hAnsi="Arial" w:cs="Arial"/>
              </w:rPr>
              <w:t>7.955,00 €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29.661,13 €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3"/>
              <w:jc w:val="right"/>
            </w:pPr>
            <w:r>
              <w:rPr>
                <w:rFonts w:ascii="Arial" w:eastAsia="Arial" w:hAnsi="Arial" w:cs="Arial"/>
              </w:rPr>
              <w:t>21.706,13 €</w:t>
            </w:r>
          </w:p>
        </w:tc>
      </w:tr>
      <w:tr w:rsidR="00E23B86">
        <w:trPr>
          <w:trHeight w:val="263"/>
        </w:trPr>
        <w:tc>
          <w:tcPr>
            <w:tcW w:w="6514" w:type="dxa"/>
            <w:gridSpan w:val="3"/>
            <w:tcBorders>
              <w:top w:val="single" w:sz="4" w:space="0" w:color="00000A"/>
              <w:left w:val="single" w:sz="4" w:space="0" w:color="00000A"/>
              <w:bottom w:val="single" w:sz="4" w:space="0" w:color="00000A"/>
              <w:right w:val="single" w:sz="4" w:space="0" w:color="00000A"/>
            </w:tcBorders>
          </w:tcPr>
          <w:p w:rsidR="00E23B86" w:rsidRDefault="00BA7C13">
            <w:pPr>
              <w:spacing w:after="0"/>
              <w:ind w:right="5"/>
              <w:jc w:val="right"/>
            </w:pPr>
            <w:r>
              <w:rPr>
                <w:rFonts w:ascii="Arial" w:eastAsia="Arial" w:hAnsi="Arial" w:cs="Arial"/>
                <w:b/>
              </w:rPr>
              <w:t>TOTAL</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b/>
              </w:rPr>
              <w:t>516.986,97 €</w:t>
            </w:r>
          </w:p>
        </w:tc>
      </w:tr>
    </w:tbl>
    <w:p w:rsidR="00E23B86" w:rsidRDefault="00BA7C13">
      <w:pPr>
        <w:spacing w:after="110" w:line="248" w:lineRule="auto"/>
        <w:ind w:left="363" w:right="552" w:firstLine="284"/>
        <w:jc w:val="both"/>
      </w:pPr>
      <w:r>
        <w:rPr>
          <w:rFonts w:ascii="Arial" w:eastAsia="Arial" w:hAnsi="Arial" w:cs="Arial"/>
        </w:rPr>
        <w:t xml:space="preserve">Por tanto, queda justificado la tramitación del presente expediente, por la exigencia de un mandato legal, a realizar con la aprobación de la liquidación del presupuesto general. </w:t>
      </w:r>
    </w:p>
    <w:p w:rsidR="00E23B86" w:rsidRDefault="00BA7C13">
      <w:pPr>
        <w:spacing w:after="110" w:line="248" w:lineRule="auto"/>
        <w:ind w:left="363" w:right="552" w:firstLine="284"/>
        <w:jc w:val="both"/>
      </w:pPr>
      <w:r>
        <w:rPr>
          <w:rFonts w:ascii="Arial" w:eastAsia="Arial" w:hAnsi="Arial" w:cs="Arial"/>
        </w:rPr>
        <w:t xml:space="preserve">Considerando los dos préstamos vigentes, con las siguientes cargas financieras son: </w:t>
      </w:r>
    </w:p>
    <w:p w:rsidR="00E23B86" w:rsidRDefault="00BA7C13">
      <w:pPr>
        <w:numPr>
          <w:ilvl w:val="0"/>
          <w:numId w:val="33"/>
        </w:numPr>
        <w:spacing w:after="110" w:line="248" w:lineRule="auto"/>
        <w:ind w:right="552" w:firstLine="284"/>
        <w:jc w:val="both"/>
      </w:pPr>
      <w:r>
        <w:rPr>
          <w:rFonts w:ascii="Arial" w:eastAsia="Arial" w:hAnsi="Arial" w:cs="Arial"/>
        </w:rPr>
        <w:t>Préstamo 07.00024 de La Caixa, por importe de 925.169,98 Euros, con un interésfijo del 0,49 % y que finaliza en mayo del año 2022, siendo la cuota del último mes, de 31.70</w:t>
      </w:r>
      <w:r>
        <w:rPr>
          <w:rFonts w:ascii="Arial" w:eastAsia="Arial" w:hAnsi="Arial" w:cs="Arial"/>
        </w:rPr>
        <w:t xml:space="preserve">6,67 Euros de principal y 392,32 Euros mensuales de intereses y con comisión del 1 %, por cancelación anticipada. </w:t>
      </w:r>
    </w:p>
    <w:p w:rsidR="00E23B86" w:rsidRDefault="00BA7C13">
      <w:pPr>
        <w:numPr>
          <w:ilvl w:val="0"/>
          <w:numId w:val="33"/>
        </w:numPr>
        <w:spacing w:after="110" w:line="248" w:lineRule="auto"/>
        <w:ind w:right="552" w:firstLine="284"/>
        <w:jc w:val="both"/>
      </w:pPr>
      <w:r>
        <w:rPr>
          <w:rFonts w:ascii="Arial" w:eastAsia="Arial" w:hAnsi="Arial" w:cs="Arial"/>
        </w:rPr>
        <w:t>Préstamo 0830003865 BBVA, por importe de 1.482.162,22 Euros, por, con unEuribor Trimestral más un diferencial de 41 puntos básicos, siendo la</w:t>
      </w:r>
      <w:r>
        <w:rPr>
          <w:rFonts w:ascii="Arial" w:eastAsia="Arial" w:hAnsi="Arial" w:cs="Arial"/>
        </w:rPr>
        <w:t xml:space="preserve"> cuota del último trimestre, de 57.826,33 Euros de principal y 470,24 Euros trimestrales de intereses, finalizando en noviembre de 2028. </w:t>
      </w:r>
    </w:p>
    <w:p w:rsidR="00E23B86" w:rsidRDefault="00BA7C13">
      <w:pPr>
        <w:spacing w:after="859" w:line="248" w:lineRule="auto"/>
        <w:ind w:left="363" w:right="552" w:firstLine="284"/>
        <w:jc w:val="both"/>
      </w:pPr>
      <w:r>
        <w:rPr>
          <w:noProof/>
        </w:rPr>
        <mc:AlternateContent>
          <mc:Choice Requires="wpg">
            <w:drawing>
              <wp:anchor distT="0" distB="0" distL="114300" distR="114300" simplePos="0" relativeHeight="2517534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7284" name="Group 51728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3199" name="Rectangle 2319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3200" name="Rectangle 23200"/>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93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7284" style="width:12.7031pt;height:280.35pt;position:absolute;mso-position-horizontal-relative:page;mso-position-horizontal:absolute;margin-left:681.958pt;mso-position-vertical-relative:page;margin-top:531.65pt;" coordsize="1613,35604">
                <v:rect id="Rectangle 2319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3200"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391 </w:t>
                        </w:r>
                      </w:p>
                    </w:txbxContent>
                  </v:textbox>
                </v:rect>
                <w10:wrap type="square"/>
              </v:group>
            </w:pict>
          </mc:Fallback>
        </mc:AlternateContent>
      </w:r>
      <w:r>
        <w:rPr>
          <w:rFonts w:ascii="Arial" w:eastAsia="Arial" w:hAnsi="Arial" w:cs="Arial"/>
        </w:rPr>
        <w:t>Considerando de la Liquidación del Presupuesto del ejercicio 2019, fue de 18.219.677,27 Euros, que constituye del importe máximo a incorporar al ejercicio present</w:t>
      </w:r>
      <w:r>
        <w:rPr>
          <w:rFonts w:ascii="Arial" w:eastAsia="Arial" w:hAnsi="Arial" w:cs="Arial"/>
        </w:rPr>
        <w:t xml:space="preserve">e. </w:t>
      </w:r>
    </w:p>
    <w:p w:rsidR="00E23B86" w:rsidRDefault="00BA7C13">
      <w:pPr>
        <w:spacing w:after="110" w:line="248" w:lineRule="auto"/>
        <w:ind w:left="373" w:right="552" w:hanging="10"/>
        <w:jc w:val="both"/>
      </w:pPr>
      <w:r>
        <w:rPr>
          <w:rFonts w:ascii="Arial" w:eastAsia="Arial" w:hAnsi="Arial" w:cs="Arial"/>
        </w:rPr>
        <w:t>Considerando que a través de los datos obtenidos de la liquidación del ejercicio 2019 se ha obtenido unos remanentes de crédito al final del ejercicio, no comprometidos e incorporables, que importaron un total de 7.897.956,28 Euros, resultando necesari</w:t>
      </w:r>
      <w:r>
        <w:rPr>
          <w:rFonts w:ascii="Arial" w:eastAsia="Arial" w:hAnsi="Arial" w:cs="Arial"/>
        </w:rPr>
        <w:t xml:space="preserve">o la utilización de un expediente de modificación presupuestaria: el suplemento de crédito financiado con remanente de tesorería para gastos generales. </w:t>
      </w:r>
    </w:p>
    <w:p w:rsidR="00E23B86" w:rsidRDefault="00BA7C13">
      <w:pPr>
        <w:spacing w:after="149" w:line="248" w:lineRule="auto"/>
        <w:ind w:left="373" w:right="552" w:hanging="10"/>
        <w:jc w:val="both"/>
      </w:pPr>
      <w:r>
        <w:rPr>
          <w:rFonts w:ascii="Arial" w:eastAsia="Arial" w:hAnsi="Arial" w:cs="Arial"/>
        </w:rPr>
        <w:t>Considerando que el artículo 177 del Real Decreto Legislativo 2/2004, de 5 de marzo, por el que se apru</w:t>
      </w:r>
      <w:r>
        <w:rPr>
          <w:rFonts w:ascii="Arial" w:eastAsia="Arial" w:hAnsi="Arial" w:cs="Arial"/>
        </w:rPr>
        <w:t xml:space="preserve">eba el texto refundido de la Ley Reguladora de las Haciendas Locales, regula los expedientes de modificación presupuestaria mediante suplementos de crédito, al señalar que: </w:t>
      </w:r>
    </w:p>
    <w:p w:rsidR="00E23B86" w:rsidRDefault="00BA7C13">
      <w:pPr>
        <w:numPr>
          <w:ilvl w:val="0"/>
          <w:numId w:val="34"/>
        </w:numPr>
        <w:spacing w:after="110" w:line="248" w:lineRule="auto"/>
        <w:ind w:right="552" w:hanging="10"/>
        <w:jc w:val="both"/>
      </w:pPr>
      <w:r>
        <w:rPr>
          <w:rFonts w:ascii="Arial" w:eastAsia="Arial" w:hAnsi="Arial" w:cs="Arial"/>
        </w:rPr>
        <w:t>Cuando haya de realizarse algún gasto que no pueda demorarse hasta el ejerciciosig</w:t>
      </w:r>
      <w:r>
        <w:rPr>
          <w:rFonts w:ascii="Arial" w:eastAsia="Arial" w:hAnsi="Arial" w:cs="Arial"/>
        </w:rPr>
        <w:t xml:space="preserve">uiente, y sea insuficiente en el presupuesto de la corporación el crédito consignado, el presidente de la corporación ordenará la incoación del expediente de suplemento de crédito. </w:t>
      </w:r>
    </w:p>
    <w:p w:rsidR="00E23B86" w:rsidRDefault="00BA7C13">
      <w:pPr>
        <w:numPr>
          <w:ilvl w:val="0"/>
          <w:numId w:val="34"/>
        </w:numPr>
        <w:spacing w:after="149" w:line="248" w:lineRule="auto"/>
        <w:ind w:right="552" w:hanging="10"/>
        <w:jc w:val="both"/>
      </w:pPr>
      <w:r>
        <w:rPr>
          <w:rFonts w:ascii="Arial" w:eastAsia="Arial" w:hAnsi="Arial" w:cs="Arial"/>
        </w:rPr>
        <w:t>El expediente, que habrá de ser previamente informado por la Intervención,</w:t>
      </w:r>
      <w:r>
        <w:rPr>
          <w:rFonts w:ascii="Arial" w:eastAsia="Arial" w:hAnsi="Arial" w:cs="Arial"/>
        </w:rPr>
        <w:t xml:space="preserve"> sesometerá a la aprobación del Pleno de la corporación, con sujeción a los mismos trámites y requisitos que los presupuestos. Serán, asimismo, de aplicación, las normas sobre información, reclamación y publicidad de los presupuestos a que se refiere el ar</w:t>
      </w:r>
      <w:r>
        <w:rPr>
          <w:rFonts w:ascii="Arial" w:eastAsia="Arial" w:hAnsi="Arial" w:cs="Arial"/>
        </w:rPr>
        <w:t xml:space="preserve">tículo 169 de esta ley. </w:t>
      </w:r>
    </w:p>
    <w:p w:rsidR="00E23B86" w:rsidRDefault="00BA7C13">
      <w:pPr>
        <w:numPr>
          <w:ilvl w:val="0"/>
          <w:numId w:val="34"/>
        </w:numPr>
        <w:spacing w:after="148" w:line="248" w:lineRule="auto"/>
        <w:ind w:right="552" w:hanging="10"/>
        <w:jc w:val="both"/>
      </w:pPr>
      <w:r>
        <w:rPr>
          <w:rFonts w:ascii="Arial" w:eastAsia="Arial" w:hAnsi="Arial" w:cs="Arial"/>
        </w:rPr>
        <w:t xml:space="preserve">El expediente deberá especificar la concreta partida presupuestaria a incrementar yel medio o recurso que ha de financiar el aumento que se propone. </w:t>
      </w:r>
    </w:p>
    <w:p w:rsidR="00E23B86" w:rsidRDefault="00BA7C13">
      <w:pPr>
        <w:numPr>
          <w:ilvl w:val="0"/>
          <w:numId w:val="34"/>
        </w:numPr>
        <w:spacing w:after="485" w:line="248" w:lineRule="auto"/>
        <w:ind w:right="552" w:hanging="10"/>
        <w:jc w:val="both"/>
      </w:pPr>
      <w:r>
        <w:rPr>
          <w:rFonts w:ascii="Arial" w:eastAsia="Arial" w:hAnsi="Arial" w:cs="Arial"/>
        </w:rPr>
        <w:t>Dicho aumento se financiará con cargo al remanente líquido de tesorería, connuevos o mayores ingresos recaudados sobre los totales previstos en el presupuesto corriente, y mediante anulaciones o bajas de créditos de gastos de otras partidas del presupuesto</w:t>
      </w:r>
      <w:r>
        <w:rPr>
          <w:rFonts w:ascii="Arial" w:eastAsia="Arial" w:hAnsi="Arial" w:cs="Arial"/>
        </w:rPr>
        <w:t xml:space="preserve"> vigente no comprometidos, cuyas dotaciones se estimen reducibles sin perturbación del respectivo servicio. En el expediente se acreditará que los ingresos previstos en el presupuesto vengan efectuándose con normalidad, salvo que aquéllos tengan carácter f</w:t>
      </w:r>
      <w:r>
        <w:rPr>
          <w:rFonts w:ascii="Arial" w:eastAsia="Arial" w:hAnsi="Arial" w:cs="Arial"/>
        </w:rPr>
        <w:t xml:space="preserve">inalista. </w:t>
      </w:r>
    </w:p>
    <w:p w:rsidR="00E23B86" w:rsidRDefault="00BA7C13">
      <w:pPr>
        <w:spacing w:after="110" w:line="248" w:lineRule="auto"/>
        <w:ind w:left="363" w:right="552" w:firstLine="284"/>
        <w:jc w:val="both"/>
      </w:pPr>
      <w:r>
        <w:rPr>
          <w:rFonts w:ascii="Arial" w:eastAsia="Arial" w:hAnsi="Arial" w:cs="Arial"/>
        </w:rPr>
        <w:t>Considerando que de acuerdo con lo establecido en el artículo 35, 36, 37 y 38 del Real Decreto 500/1990, de 20 de abril, por el que se desarrolla el Capítulo primero del Título sexto de la Ley 39/1988, de 28 de diciembre, los suplementos de créd</w:t>
      </w:r>
      <w:r>
        <w:rPr>
          <w:rFonts w:ascii="Arial" w:eastAsia="Arial" w:hAnsi="Arial" w:cs="Arial"/>
        </w:rPr>
        <w:t xml:space="preserve">itos se podrán financiar con el remanente líquido de tesorería, el expediente de Modificación, previo informe de la Intervención, será sometida a la aprobación del Pleno, y le serán de aplicación las normas sobre información, reclamaciones y publicidad de </w:t>
      </w:r>
      <w:r>
        <w:rPr>
          <w:rFonts w:ascii="Arial" w:eastAsia="Arial" w:hAnsi="Arial" w:cs="Arial"/>
        </w:rPr>
        <w:t xml:space="preserve">aprobación del Presupuesto. </w:t>
      </w:r>
    </w:p>
    <w:p w:rsidR="00E23B86" w:rsidRDefault="00BA7C13">
      <w:pPr>
        <w:spacing w:after="110" w:line="248" w:lineRule="auto"/>
        <w:ind w:left="363" w:right="552" w:firstLine="284"/>
        <w:jc w:val="both"/>
      </w:pPr>
      <w:r>
        <w:rPr>
          <w:noProof/>
        </w:rPr>
        <mc:AlternateContent>
          <mc:Choice Requires="wpg">
            <w:drawing>
              <wp:anchor distT="0" distB="0" distL="114300" distR="114300" simplePos="0" relativeHeight="2517544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0228" name="Group 49022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3297" name="Rectangle 2329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3298" name="Rectangle 23298"/>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94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0228" style="width:12.7031pt;height:280.35pt;position:absolute;mso-position-horizontal-relative:page;mso-position-horizontal:absolute;margin-left:681.958pt;mso-position-vertical-relative:page;margin-top:531.65pt;" coordsize="1613,35604">
                <v:rect id="Rectangle 2329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3298"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391 </w:t>
                        </w:r>
                      </w:p>
                    </w:txbxContent>
                  </v:textbox>
                </v:rect>
                <w10:wrap type="square"/>
              </v:group>
            </w:pict>
          </mc:Fallback>
        </mc:AlternateContent>
      </w:r>
      <w:r>
        <w:rPr>
          <w:rFonts w:ascii="Arial" w:eastAsia="Arial" w:hAnsi="Arial" w:cs="Arial"/>
        </w:rPr>
        <w:t>Por tanto, aprobado inicialmen</w:t>
      </w:r>
      <w:r>
        <w:rPr>
          <w:rFonts w:ascii="Arial" w:eastAsia="Arial" w:hAnsi="Arial" w:cs="Arial"/>
        </w:rPr>
        <w:t xml:space="preserve">te el expediente por el Pleno, se expondrá al público, previo anuncio en el Boletín Oficial de la Provincia, por 15 días, durante los cuales los interesados podrán examinarlo y presentar reclamaciones al Pleno. </w:t>
      </w:r>
    </w:p>
    <w:p w:rsidR="00E23B86" w:rsidRDefault="00BA7C13">
      <w:pPr>
        <w:spacing w:after="110" w:line="248" w:lineRule="auto"/>
        <w:ind w:left="363" w:right="552" w:firstLine="284"/>
        <w:jc w:val="both"/>
      </w:pPr>
      <w:r>
        <w:rPr>
          <w:rFonts w:ascii="Arial" w:eastAsia="Arial" w:hAnsi="Arial" w:cs="Arial"/>
        </w:rPr>
        <w:t>El expediente se considerará definitivamente</w:t>
      </w:r>
      <w:r>
        <w:rPr>
          <w:rFonts w:ascii="Arial" w:eastAsia="Arial" w:hAnsi="Arial" w:cs="Arial"/>
        </w:rPr>
        <w:t xml:space="preserve"> aprobado si durante el citado plazo no se hubiesen presentado reclamaciones; en caso contrario, el Pleno dispondrá de un plazo de un mes para resolverlas. Aprobado definitivamente el expediente será insertado en Boletín Oficial de la Provincia. </w:t>
      </w:r>
    </w:p>
    <w:p w:rsidR="00E23B86" w:rsidRDefault="00BA7C13">
      <w:pPr>
        <w:spacing w:after="859" w:line="248" w:lineRule="auto"/>
        <w:ind w:left="363" w:right="552" w:firstLine="284"/>
        <w:jc w:val="both"/>
      </w:pPr>
      <w:r>
        <w:rPr>
          <w:rFonts w:ascii="Arial" w:eastAsia="Arial" w:hAnsi="Arial" w:cs="Arial"/>
        </w:rPr>
        <w:t>Por ello,</w:t>
      </w:r>
      <w:r>
        <w:rPr>
          <w:rFonts w:ascii="Arial" w:eastAsia="Arial" w:hAnsi="Arial" w:cs="Arial"/>
        </w:rPr>
        <w:t xml:space="preserve"> este Interventor informa favorablemente la adopción del siguiente ACUERDO: </w:t>
      </w:r>
    </w:p>
    <w:p w:rsidR="00E23B86" w:rsidRDefault="00BA7C13">
      <w:pPr>
        <w:spacing w:after="0" w:line="248" w:lineRule="auto"/>
        <w:ind w:left="363" w:right="552" w:firstLine="284"/>
        <w:jc w:val="both"/>
      </w:pPr>
      <w:r>
        <w:rPr>
          <w:rFonts w:ascii="Arial" w:eastAsia="Arial" w:hAnsi="Arial" w:cs="Arial"/>
          <w:b/>
        </w:rPr>
        <w:t>Primero:</w:t>
      </w:r>
      <w:r>
        <w:rPr>
          <w:rFonts w:ascii="Arial" w:eastAsia="Arial" w:hAnsi="Arial" w:cs="Arial"/>
        </w:rPr>
        <w:t xml:space="preserve"> Aplicar la Regla General a que se refiere el artículo 12.5 de la Ley Orgánica 2/2012, de 27 de abril, de Estabilidad Presupuestaria y Sostenibilidad Financiera, para dest</w:t>
      </w:r>
      <w:r>
        <w:rPr>
          <w:rFonts w:ascii="Arial" w:eastAsia="Arial" w:hAnsi="Arial" w:cs="Arial"/>
        </w:rPr>
        <w:t>inar el superávit obtenido de las liquidación del ejercicio 2017, a reducir el nivel de endeudamiento neto, en la cantidad de QUINIENTOS DIECISEIS MIL NOVECIENTOS OCHENTA Y SEIS EUROS CON NOVENTA Y SIETE CÉNTIMOS</w:t>
      </w:r>
    </w:p>
    <w:p w:rsidR="00E23B86" w:rsidRDefault="00BA7C13">
      <w:pPr>
        <w:spacing w:after="485" w:line="248" w:lineRule="auto"/>
        <w:ind w:left="373" w:right="552" w:hanging="10"/>
        <w:jc w:val="both"/>
      </w:pPr>
      <w:r>
        <w:rPr>
          <w:rFonts w:ascii="Arial" w:eastAsia="Arial" w:hAnsi="Arial" w:cs="Arial"/>
        </w:rPr>
        <w:t>(516.986,97 Euros), al tratarse de ingresos</w:t>
      </w:r>
      <w:r>
        <w:rPr>
          <w:rFonts w:ascii="Arial" w:eastAsia="Arial" w:hAnsi="Arial" w:cs="Arial"/>
        </w:rPr>
        <w:t xml:space="preserve">, de carácter no finalista, obtenidos por encima de lo previsto en el año 2019, financiado con Remanente de Tesorería para gastos generales, con destino a la amortización parcial del Préstamo 0830003865, concertado con la entidad financiera BBVA. </w:t>
      </w:r>
    </w:p>
    <w:p w:rsidR="00E23B86" w:rsidRDefault="00BA7C13">
      <w:pPr>
        <w:spacing w:after="0" w:line="265" w:lineRule="auto"/>
        <w:ind w:left="10" w:right="551" w:hanging="10"/>
        <w:jc w:val="right"/>
      </w:pPr>
      <w:r>
        <w:rPr>
          <w:rFonts w:ascii="Arial" w:eastAsia="Arial" w:hAnsi="Arial" w:cs="Arial"/>
          <w:b/>
        </w:rPr>
        <w:t>Segundo:</w:t>
      </w:r>
      <w:r>
        <w:rPr>
          <w:rFonts w:ascii="Arial" w:eastAsia="Arial" w:hAnsi="Arial" w:cs="Arial"/>
        </w:rPr>
        <w:t xml:space="preserve"> Aprobar el expediente 1667/2020 de modificación presupuestaria por</w:t>
      </w:r>
    </w:p>
    <w:p w:rsidR="00E23B86" w:rsidRDefault="00BA7C13">
      <w:pPr>
        <w:spacing w:after="423" w:line="248" w:lineRule="auto"/>
        <w:ind w:left="373" w:right="552" w:hanging="10"/>
        <w:jc w:val="both"/>
      </w:pPr>
      <w:r>
        <w:rPr>
          <w:rFonts w:ascii="Arial" w:eastAsia="Arial" w:hAnsi="Arial" w:cs="Arial"/>
        </w:rPr>
        <w:t>Suplemento de Créditos financiado con remanente de tesorería para gastos generales, por la cantidad de 516.986,97 Euros, de acuerdo al siguiente detalle:</w:t>
      </w:r>
    </w:p>
    <w:p w:rsidR="00E23B86" w:rsidRDefault="00BA7C13">
      <w:pPr>
        <w:spacing w:after="0"/>
        <w:ind w:right="227"/>
        <w:jc w:val="center"/>
      </w:pPr>
      <w:r>
        <w:rPr>
          <w:rFonts w:ascii="Arial" w:eastAsia="Arial" w:hAnsi="Arial" w:cs="Arial"/>
          <w:i/>
          <w:color w:val="2E74B5"/>
        </w:rPr>
        <w:t>ESTADO DE INGRESOS</w:t>
      </w:r>
    </w:p>
    <w:tbl>
      <w:tblPr>
        <w:tblStyle w:val="TableGrid"/>
        <w:tblW w:w="8292" w:type="dxa"/>
        <w:tblInd w:w="457" w:type="dxa"/>
        <w:tblCellMar>
          <w:top w:w="13" w:type="dxa"/>
          <w:left w:w="71" w:type="dxa"/>
          <w:bottom w:w="0" w:type="dxa"/>
          <w:right w:w="68" w:type="dxa"/>
        </w:tblCellMar>
        <w:tblLook w:val="04A0" w:firstRow="1" w:lastRow="0" w:firstColumn="1" w:lastColumn="0" w:noHBand="0" w:noVBand="1"/>
      </w:tblPr>
      <w:tblGrid>
        <w:gridCol w:w="1628"/>
        <w:gridCol w:w="5102"/>
        <w:gridCol w:w="1562"/>
      </w:tblGrid>
      <w:tr w:rsidR="00E23B86">
        <w:trPr>
          <w:trHeight w:val="262"/>
        </w:trPr>
        <w:tc>
          <w:tcPr>
            <w:tcW w:w="1628" w:type="dxa"/>
            <w:tcBorders>
              <w:top w:val="single" w:sz="4" w:space="0" w:color="000001"/>
              <w:left w:val="single" w:sz="5" w:space="0" w:color="000001"/>
              <w:bottom w:val="single" w:sz="4" w:space="0" w:color="000001"/>
              <w:right w:val="single" w:sz="4" w:space="0" w:color="000001"/>
            </w:tcBorders>
            <w:shd w:val="clear" w:color="auto" w:fill="D8D8D8"/>
          </w:tcPr>
          <w:p w:rsidR="00E23B86" w:rsidRDefault="00BA7C13">
            <w:pPr>
              <w:spacing w:after="0"/>
              <w:jc w:val="center"/>
            </w:pPr>
            <w:r>
              <w:rPr>
                <w:rFonts w:ascii="Arial" w:eastAsia="Arial" w:hAnsi="Arial" w:cs="Arial"/>
              </w:rPr>
              <w:t>Partida</w:t>
            </w:r>
          </w:p>
        </w:tc>
        <w:tc>
          <w:tcPr>
            <w:tcW w:w="5103" w:type="dxa"/>
            <w:tcBorders>
              <w:top w:val="single" w:sz="4" w:space="0" w:color="000001"/>
              <w:left w:val="single" w:sz="4" w:space="0" w:color="000001"/>
              <w:bottom w:val="single" w:sz="4" w:space="0" w:color="000001"/>
              <w:right w:val="single" w:sz="5" w:space="0" w:color="000001"/>
            </w:tcBorders>
            <w:shd w:val="clear" w:color="auto" w:fill="D8D8D8"/>
          </w:tcPr>
          <w:p w:rsidR="00E23B86" w:rsidRDefault="00BA7C13">
            <w:pPr>
              <w:spacing w:after="0"/>
              <w:ind w:right="4"/>
              <w:jc w:val="center"/>
            </w:pPr>
            <w:r>
              <w:rPr>
                <w:rFonts w:ascii="Arial" w:eastAsia="Arial" w:hAnsi="Arial" w:cs="Arial"/>
              </w:rPr>
              <w:t>Denominación</w:t>
            </w:r>
          </w:p>
        </w:tc>
        <w:tc>
          <w:tcPr>
            <w:tcW w:w="1562" w:type="dxa"/>
            <w:tcBorders>
              <w:top w:val="single" w:sz="4" w:space="0" w:color="000001"/>
              <w:left w:val="single" w:sz="5" w:space="0" w:color="000001"/>
              <w:bottom w:val="single" w:sz="4" w:space="0" w:color="000001"/>
              <w:right w:val="single" w:sz="5" w:space="0" w:color="000001"/>
            </w:tcBorders>
            <w:shd w:val="clear" w:color="auto" w:fill="D8D8D8"/>
          </w:tcPr>
          <w:p w:rsidR="00E23B86" w:rsidRDefault="00BA7C13">
            <w:pPr>
              <w:spacing w:after="0"/>
              <w:ind w:right="1"/>
              <w:jc w:val="center"/>
            </w:pPr>
            <w:r>
              <w:rPr>
                <w:rFonts w:ascii="Arial" w:eastAsia="Arial" w:hAnsi="Arial" w:cs="Arial"/>
              </w:rPr>
              <w:t>Importe</w:t>
            </w:r>
          </w:p>
        </w:tc>
      </w:tr>
      <w:tr w:rsidR="00E23B86">
        <w:trPr>
          <w:trHeight w:val="552"/>
        </w:trPr>
        <w:tc>
          <w:tcPr>
            <w:tcW w:w="1628" w:type="dxa"/>
            <w:tcBorders>
              <w:top w:val="single" w:sz="4" w:space="0" w:color="000001"/>
              <w:left w:val="single" w:sz="5" w:space="0" w:color="000001"/>
              <w:bottom w:val="single" w:sz="4" w:space="0" w:color="000001"/>
              <w:right w:val="single" w:sz="4" w:space="0" w:color="000001"/>
            </w:tcBorders>
            <w:vAlign w:val="center"/>
          </w:tcPr>
          <w:p w:rsidR="00E23B86" w:rsidRDefault="00BA7C13">
            <w:pPr>
              <w:spacing w:after="0"/>
              <w:jc w:val="center"/>
            </w:pPr>
            <w:r>
              <w:rPr>
                <w:rFonts w:ascii="Arial" w:eastAsia="Arial" w:hAnsi="Arial" w:cs="Arial"/>
              </w:rPr>
              <w:t>870.00</w:t>
            </w:r>
          </w:p>
        </w:tc>
        <w:tc>
          <w:tcPr>
            <w:tcW w:w="5103" w:type="dxa"/>
            <w:tcBorders>
              <w:top w:val="single" w:sz="4" w:space="0" w:color="000001"/>
              <w:left w:val="single" w:sz="4" w:space="0" w:color="000001"/>
              <w:bottom w:val="single" w:sz="4" w:space="0" w:color="000001"/>
              <w:right w:val="single" w:sz="5" w:space="0" w:color="000001"/>
            </w:tcBorders>
            <w:vAlign w:val="center"/>
          </w:tcPr>
          <w:p w:rsidR="00E23B86" w:rsidRDefault="00BA7C13">
            <w:pPr>
              <w:spacing w:after="0"/>
            </w:pPr>
            <w:r>
              <w:rPr>
                <w:rFonts w:ascii="Arial" w:eastAsia="Arial" w:hAnsi="Arial" w:cs="Arial"/>
              </w:rPr>
              <w:t>Remanente de Tesorería para gastos generales</w:t>
            </w:r>
          </w:p>
        </w:tc>
        <w:tc>
          <w:tcPr>
            <w:tcW w:w="1562" w:type="dxa"/>
            <w:tcBorders>
              <w:top w:val="single" w:sz="4" w:space="0" w:color="000001"/>
              <w:left w:val="single" w:sz="5" w:space="0" w:color="000001"/>
              <w:bottom w:val="single" w:sz="4" w:space="0" w:color="000001"/>
              <w:right w:val="single" w:sz="5" w:space="0" w:color="000001"/>
            </w:tcBorders>
            <w:vAlign w:val="center"/>
          </w:tcPr>
          <w:p w:rsidR="00E23B86" w:rsidRDefault="00BA7C13">
            <w:pPr>
              <w:spacing w:after="0"/>
              <w:jc w:val="right"/>
            </w:pPr>
            <w:r>
              <w:rPr>
                <w:rFonts w:ascii="Arial" w:eastAsia="Arial" w:hAnsi="Arial" w:cs="Arial"/>
              </w:rPr>
              <w:t>516.986,97</w:t>
            </w:r>
          </w:p>
        </w:tc>
      </w:tr>
      <w:tr w:rsidR="00E23B86">
        <w:trPr>
          <w:trHeight w:val="262"/>
        </w:trPr>
        <w:tc>
          <w:tcPr>
            <w:tcW w:w="1628" w:type="dxa"/>
            <w:tcBorders>
              <w:top w:val="single" w:sz="4" w:space="0" w:color="000001"/>
              <w:left w:val="single" w:sz="5" w:space="0" w:color="000001"/>
              <w:bottom w:val="single" w:sz="4" w:space="0" w:color="000001"/>
              <w:right w:val="single" w:sz="4" w:space="0" w:color="000001"/>
            </w:tcBorders>
            <w:shd w:val="clear" w:color="auto" w:fill="D8D8D8"/>
          </w:tcPr>
          <w:p w:rsidR="00E23B86" w:rsidRDefault="00BA7C13">
            <w:pPr>
              <w:spacing w:after="0"/>
            </w:pPr>
            <w:r>
              <w:rPr>
                <w:rFonts w:ascii="Arial" w:eastAsia="Arial" w:hAnsi="Arial" w:cs="Arial"/>
              </w:rPr>
              <w:t xml:space="preserve"> </w:t>
            </w:r>
          </w:p>
        </w:tc>
        <w:tc>
          <w:tcPr>
            <w:tcW w:w="5103" w:type="dxa"/>
            <w:tcBorders>
              <w:top w:val="single" w:sz="4" w:space="0" w:color="000001"/>
              <w:left w:val="single" w:sz="4" w:space="0" w:color="000001"/>
              <w:bottom w:val="single" w:sz="4" w:space="0" w:color="000001"/>
              <w:right w:val="single" w:sz="5" w:space="0" w:color="000001"/>
            </w:tcBorders>
            <w:shd w:val="clear" w:color="auto" w:fill="D8D8D8"/>
          </w:tcPr>
          <w:p w:rsidR="00E23B86" w:rsidRDefault="00BA7C13">
            <w:pPr>
              <w:spacing w:after="0"/>
            </w:pPr>
            <w:r>
              <w:rPr>
                <w:rFonts w:ascii="Arial" w:eastAsia="Arial" w:hAnsi="Arial" w:cs="Arial"/>
              </w:rPr>
              <w:t xml:space="preserve">                                           TOTAL</w:t>
            </w:r>
          </w:p>
        </w:tc>
        <w:tc>
          <w:tcPr>
            <w:tcW w:w="1562" w:type="dxa"/>
            <w:tcBorders>
              <w:top w:val="single" w:sz="4" w:space="0" w:color="000001"/>
              <w:left w:val="single" w:sz="5" w:space="0" w:color="000001"/>
              <w:bottom w:val="single" w:sz="4" w:space="0" w:color="000001"/>
              <w:right w:val="single" w:sz="5" w:space="0" w:color="000001"/>
            </w:tcBorders>
            <w:shd w:val="clear" w:color="auto" w:fill="D8D8D8"/>
          </w:tcPr>
          <w:p w:rsidR="00E23B86" w:rsidRDefault="00BA7C13">
            <w:pPr>
              <w:spacing w:after="0"/>
              <w:jc w:val="right"/>
            </w:pPr>
            <w:r>
              <w:rPr>
                <w:rFonts w:ascii="Arial" w:eastAsia="Arial" w:hAnsi="Arial" w:cs="Arial"/>
              </w:rPr>
              <w:t>516.986,97</w:t>
            </w:r>
          </w:p>
        </w:tc>
      </w:tr>
    </w:tbl>
    <w:p w:rsidR="00E23B86" w:rsidRDefault="00BA7C13">
      <w:pPr>
        <w:spacing w:after="0"/>
        <w:ind w:left="10" w:right="225" w:hanging="10"/>
        <w:jc w:val="center"/>
      </w:pPr>
      <w:r>
        <w:rPr>
          <w:rFonts w:ascii="Arial" w:eastAsia="Arial" w:hAnsi="Arial" w:cs="Arial"/>
          <w:b/>
          <w:i/>
          <w:color w:val="2E74B5"/>
        </w:rPr>
        <w:t>ESTADO DE GASTOS</w:t>
      </w:r>
    </w:p>
    <w:tbl>
      <w:tblPr>
        <w:tblStyle w:val="TableGrid"/>
        <w:tblW w:w="8222" w:type="dxa"/>
        <w:tblInd w:w="491" w:type="dxa"/>
        <w:tblCellMar>
          <w:top w:w="13" w:type="dxa"/>
          <w:left w:w="71" w:type="dxa"/>
          <w:bottom w:w="0" w:type="dxa"/>
          <w:right w:w="68" w:type="dxa"/>
        </w:tblCellMar>
        <w:tblLook w:val="04A0" w:firstRow="1" w:lastRow="0" w:firstColumn="1" w:lastColumn="0" w:noHBand="0" w:noVBand="1"/>
      </w:tblPr>
      <w:tblGrid>
        <w:gridCol w:w="1558"/>
        <w:gridCol w:w="5104"/>
        <w:gridCol w:w="1560"/>
      </w:tblGrid>
      <w:tr w:rsidR="00E23B86">
        <w:trPr>
          <w:trHeight w:val="264"/>
        </w:trPr>
        <w:tc>
          <w:tcPr>
            <w:tcW w:w="1558" w:type="dxa"/>
            <w:tcBorders>
              <w:top w:val="single" w:sz="4" w:space="0" w:color="00000A"/>
              <w:left w:val="single" w:sz="4" w:space="0" w:color="00000A"/>
              <w:bottom w:val="single" w:sz="4" w:space="0" w:color="00000A"/>
              <w:right w:val="single" w:sz="4" w:space="0" w:color="00000A"/>
            </w:tcBorders>
            <w:shd w:val="clear" w:color="auto" w:fill="D9D9D9"/>
          </w:tcPr>
          <w:p w:rsidR="00E23B86" w:rsidRDefault="00BA7C13">
            <w:pPr>
              <w:spacing w:after="0"/>
              <w:ind w:right="2"/>
              <w:jc w:val="center"/>
            </w:pPr>
            <w:r>
              <w:rPr>
                <w:rFonts w:ascii="Arial" w:eastAsia="Arial" w:hAnsi="Arial" w:cs="Arial"/>
              </w:rPr>
              <w:t>Aplicación</w:t>
            </w:r>
          </w:p>
        </w:tc>
        <w:tc>
          <w:tcPr>
            <w:tcW w:w="5105"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jc w:val="center"/>
            </w:pPr>
            <w:r>
              <w:rPr>
                <w:rFonts w:ascii="Arial" w:eastAsia="Arial" w:hAnsi="Arial" w:cs="Arial"/>
              </w:rPr>
              <w:t>Denominación</w:t>
            </w:r>
          </w:p>
        </w:tc>
        <w:tc>
          <w:tcPr>
            <w:tcW w:w="1560" w:type="dxa"/>
            <w:tcBorders>
              <w:top w:val="single" w:sz="4" w:space="0" w:color="00000A"/>
              <w:left w:val="single" w:sz="5" w:space="0" w:color="00000A"/>
              <w:bottom w:val="single" w:sz="4" w:space="0" w:color="00000A"/>
              <w:right w:val="single" w:sz="4" w:space="0" w:color="00000A"/>
            </w:tcBorders>
            <w:shd w:val="clear" w:color="auto" w:fill="D9D9D9"/>
          </w:tcPr>
          <w:p w:rsidR="00E23B86" w:rsidRDefault="00BA7C13">
            <w:pPr>
              <w:spacing w:after="0"/>
            </w:pPr>
            <w:r>
              <w:rPr>
                <w:rFonts w:ascii="Arial" w:eastAsia="Arial" w:hAnsi="Arial" w:cs="Arial"/>
              </w:rPr>
              <w:t>Importe</w:t>
            </w:r>
          </w:p>
        </w:tc>
      </w:tr>
      <w:tr w:rsidR="00E23B86">
        <w:trPr>
          <w:trHeight w:val="768"/>
        </w:trPr>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E23B86" w:rsidRDefault="00BA7C13">
            <w:pPr>
              <w:spacing w:after="0"/>
              <w:ind w:right="1"/>
              <w:jc w:val="center"/>
            </w:pPr>
            <w:r>
              <w:rPr>
                <w:rFonts w:ascii="Arial" w:eastAsia="Arial" w:hAnsi="Arial" w:cs="Arial"/>
              </w:rPr>
              <w:t>011.00913.00</w:t>
            </w:r>
          </w:p>
        </w:tc>
        <w:tc>
          <w:tcPr>
            <w:tcW w:w="5105" w:type="dxa"/>
            <w:tcBorders>
              <w:top w:val="single" w:sz="4" w:space="0" w:color="00000A"/>
              <w:left w:val="single" w:sz="4" w:space="0" w:color="00000A"/>
              <w:bottom w:val="single" w:sz="4" w:space="0" w:color="00000A"/>
              <w:right w:val="single" w:sz="5" w:space="0" w:color="00000A"/>
            </w:tcBorders>
            <w:shd w:val="clear" w:color="auto" w:fill="FFFFFF"/>
            <w:vAlign w:val="center"/>
          </w:tcPr>
          <w:p w:rsidR="00E23B86" w:rsidRDefault="00BA7C13">
            <w:pPr>
              <w:spacing w:after="0"/>
              <w:ind w:left="1" w:right="3"/>
            </w:pPr>
            <w:r>
              <w:rPr>
                <w:rFonts w:ascii="Arial" w:eastAsia="Arial" w:hAnsi="Arial" w:cs="Arial"/>
              </w:rPr>
              <w:t>Amortización de préstamos a largo plazo de entres fuera del Sector Público</w:t>
            </w:r>
          </w:p>
        </w:tc>
        <w:tc>
          <w:tcPr>
            <w:tcW w:w="1560" w:type="dxa"/>
            <w:tcBorders>
              <w:top w:val="single" w:sz="4" w:space="0" w:color="00000A"/>
              <w:left w:val="single" w:sz="5" w:space="0" w:color="00000A"/>
              <w:bottom w:val="single" w:sz="4" w:space="0" w:color="00000A"/>
              <w:right w:val="single" w:sz="4" w:space="0" w:color="00000A"/>
            </w:tcBorders>
            <w:shd w:val="clear" w:color="auto" w:fill="FFFFFF"/>
            <w:vAlign w:val="center"/>
          </w:tcPr>
          <w:p w:rsidR="00E23B86" w:rsidRDefault="00BA7C13">
            <w:pPr>
              <w:spacing w:after="0"/>
              <w:jc w:val="right"/>
            </w:pPr>
            <w:r>
              <w:rPr>
                <w:rFonts w:ascii="Arial" w:eastAsia="Arial" w:hAnsi="Arial" w:cs="Arial"/>
              </w:rPr>
              <w:t>516.986,97</w:t>
            </w:r>
          </w:p>
        </w:tc>
      </w:tr>
      <w:tr w:rsidR="00E23B86">
        <w:trPr>
          <w:trHeight w:val="264"/>
        </w:trPr>
        <w:tc>
          <w:tcPr>
            <w:tcW w:w="1558" w:type="dxa"/>
            <w:tcBorders>
              <w:top w:val="single" w:sz="4" w:space="0" w:color="00000A"/>
              <w:left w:val="single" w:sz="4" w:space="0" w:color="00000A"/>
              <w:bottom w:val="single" w:sz="4" w:space="0" w:color="00000A"/>
              <w:right w:val="single" w:sz="4" w:space="0" w:color="00000A"/>
            </w:tcBorders>
            <w:shd w:val="clear" w:color="auto" w:fill="D9D9D9"/>
          </w:tcPr>
          <w:p w:rsidR="00E23B86" w:rsidRDefault="00E23B86"/>
        </w:tc>
        <w:tc>
          <w:tcPr>
            <w:tcW w:w="5105"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ind w:left="3"/>
              <w:jc w:val="center"/>
            </w:pPr>
            <w:r>
              <w:rPr>
                <w:rFonts w:ascii="Arial" w:eastAsia="Arial" w:hAnsi="Arial" w:cs="Arial"/>
              </w:rPr>
              <w:t>TOTAL</w:t>
            </w:r>
          </w:p>
        </w:tc>
        <w:tc>
          <w:tcPr>
            <w:tcW w:w="1560" w:type="dxa"/>
            <w:tcBorders>
              <w:top w:val="single" w:sz="4" w:space="0" w:color="00000A"/>
              <w:left w:val="single" w:sz="5" w:space="0" w:color="00000A"/>
              <w:bottom w:val="single" w:sz="4" w:space="0" w:color="00000A"/>
              <w:right w:val="single" w:sz="4" w:space="0" w:color="00000A"/>
            </w:tcBorders>
            <w:shd w:val="clear" w:color="auto" w:fill="D9D9D9"/>
          </w:tcPr>
          <w:p w:rsidR="00E23B86" w:rsidRDefault="00BA7C13">
            <w:pPr>
              <w:spacing w:after="0"/>
              <w:jc w:val="right"/>
            </w:pPr>
            <w:r>
              <w:rPr>
                <w:rFonts w:ascii="Arial" w:eastAsia="Arial" w:hAnsi="Arial" w:cs="Arial"/>
              </w:rPr>
              <w:t>516.986,97</w:t>
            </w:r>
          </w:p>
        </w:tc>
      </w:tr>
    </w:tbl>
    <w:p w:rsidR="00E23B86" w:rsidRDefault="00BA7C13">
      <w:pPr>
        <w:spacing w:after="485" w:line="248" w:lineRule="auto"/>
        <w:ind w:left="363" w:right="552" w:firstLine="284"/>
        <w:jc w:val="both"/>
      </w:pPr>
      <w:r>
        <w:rPr>
          <w:rFonts w:ascii="Arial" w:eastAsia="Arial" w:hAnsi="Arial" w:cs="Arial"/>
          <w:b/>
        </w:rPr>
        <w:t>Tercero:</w:t>
      </w:r>
      <w:r>
        <w:rPr>
          <w:rFonts w:ascii="Arial" w:eastAsia="Arial" w:hAnsi="Arial" w:cs="Arial"/>
        </w:rPr>
        <w:t xml:space="preserve"> Exponer este expediente al público mediante anuncio publicado en el Boletín Oficial de la Provincia, por 15 días, durante los cuales los interesados podrán examinarlo y presentar reclamaciones ante el Pleno. El expediente se considerará definitivamente ap</w:t>
      </w:r>
      <w:r>
        <w:rPr>
          <w:rFonts w:ascii="Arial" w:eastAsia="Arial" w:hAnsi="Arial" w:cs="Arial"/>
        </w:rPr>
        <w:t>robado si durante el citado plazo no se hubiesen presentado reclamaciones, en caso contrario el Pleno dispondrá de un mes para resolverlas.</w:t>
      </w:r>
    </w:p>
    <w:p w:rsidR="00E23B86" w:rsidRDefault="00BA7C13">
      <w:pPr>
        <w:spacing w:after="111" w:line="249" w:lineRule="auto"/>
        <w:ind w:left="345" w:right="554" w:firstLine="284"/>
        <w:jc w:val="both"/>
      </w:pPr>
      <w:r>
        <w:rPr>
          <w:noProof/>
        </w:rPr>
        <mc:AlternateContent>
          <mc:Choice Requires="wpg">
            <w:drawing>
              <wp:anchor distT="0" distB="0" distL="114300" distR="114300" simplePos="0" relativeHeight="2517555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5669" name="Group 50566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3440" name="Rectangle 2344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3441" name="Rectangle 23441"/>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Documento fir</w:t>
                              </w:r>
                              <w:r>
                                <w:rPr>
                                  <w:rFonts w:ascii="Arial" w:eastAsia="Arial" w:hAnsi="Arial" w:cs="Arial"/>
                                  <w:sz w:val="12"/>
                                </w:rPr>
                                <w:t xml:space="preserve">mado electrónicamente desde la plataforma esPublico Gestiona | Página 95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5669" style="width:12.7031pt;height:280.35pt;position:absolute;mso-position-horizontal-relative:page;mso-position-horizontal:absolute;margin-left:681.958pt;mso-position-vertical-relative:page;margin-top:531.65pt;" coordsize="1613,35604">
                <v:rect id="Rectangle 2344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3441"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391 </w:t>
                        </w:r>
                      </w:p>
                    </w:txbxContent>
                  </v:textbox>
                </v:rect>
                <w10:wrap type="square"/>
              </v:group>
            </w:pict>
          </mc:Fallback>
        </mc:AlternateContent>
      </w:r>
      <w:r>
        <w:rPr>
          <w:rFonts w:ascii="Arial" w:eastAsia="Arial" w:hAnsi="Arial" w:cs="Arial"/>
          <w:b/>
        </w:rPr>
        <w:t>Consta en el expediente propuesta del Concejal delegado de Hacienda, D. Airam Pérez Chinea, de fecha 14 de febrero de 2020, que transcrito literalmente dice:</w:t>
      </w:r>
    </w:p>
    <w:p w:rsidR="00E23B86" w:rsidRDefault="00BA7C13">
      <w:pPr>
        <w:spacing w:after="110" w:line="248" w:lineRule="auto"/>
        <w:ind w:left="363" w:right="552" w:firstLine="720"/>
        <w:jc w:val="both"/>
      </w:pPr>
      <w:r>
        <w:rPr>
          <w:rFonts w:ascii="Arial" w:eastAsia="Arial" w:hAnsi="Arial" w:cs="Arial"/>
        </w:rPr>
        <w:t>“Dado al Expediente Nº 1667/2020 de Modificación de Créditos mediante la modalidad de Suplemento de Crédito, financiado con Remanente de Tesorería para Gastos Generales.</w:t>
      </w:r>
    </w:p>
    <w:p w:rsidR="00E23B86" w:rsidRDefault="00BA7C13">
      <w:pPr>
        <w:spacing w:after="110" w:line="248" w:lineRule="auto"/>
        <w:ind w:left="363" w:right="552" w:firstLine="720"/>
        <w:jc w:val="both"/>
      </w:pPr>
      <w:r>
        <w:rPr>
          <w:rFonts w:ascii="Arial" w:eastAsia="Arial" w:hAnsi="Arial" w:cs="Arial"/>
        </w:rPr>
        <w:t>Visto el informe favorable de la Intervención de Fondos de fecha 14 de febrero de 2020</w:t>
      </w:r>
      <w:r>
        <w:rPr>
          <w:rFonts w:ascii="Arial" w:eastAsia="Arial" w:hAnsi="Arial" w:cs="Arial"/>
        </w:rPr>
        <w:t>, que dice literalmente:</w:t>
      </w:r>
    </w:p>
    <w:p w:rsidR="00E23B86" w:rsidRDefault="00BA7C13">
      <w:pPr>
        <w:spacing w:after="53" w:line="248" w:lineRule="auto"/>
        <w:ind w:left="363" w:right="552" w:firstLine="708"/>
        <w:jc w:val="both"/>
      </w:pPr>
      <w:r>
        <w:rPr>
          <w:rFonts w:ascii="Arial" w:eastAsia="Arial" w:hAnsi="Arial" w:cs="Arial"/>
        </w:rPr>
        <w:t>Visto el Artículo 12.5 de la Ley Orgánica 2/2012, de 27 de abril, de Estabilidad Presupuestaria y Sostenibilidad Financiera, que señala que “</w:t>
      </w:r>
      <w:r>
        <w:rPr>
          <w:rFonts w:ascii="Arial" w:eastAsia="Arial" w:hAnsi="Arial" w:cs="Arial"/>
          <w:i/>
        </w:rPr>
        <w:t>Los ingresos que se obtengan por encima de lo previsto se destinarán íntegramente a reduci</w:t>
      </w:r>
      <w:r>
        <w:rPr>
          <w:rFonts w:ascii="Arial" w:eastAsia="Arial" w:hAnsi="Arial" w:cs="Arial"/>
          <w:i/>
        </w:rPr>
        <w:t>r el nivel de deuda pública”</w:t>
      </w:r>
      <w:r>
        <w:rPr>
          <w:rFonts w:ascii="Arial" w:eastAsia="Arial" w:hAnsi="Arial" w:cs="Arial"/>
        </w:rPr>
        <w:t xml:space="preserve">. </w:t>
      </w:r>
    </w:p>
    <w:p w:rsidR="00E23B86" w:rsidRDefault="00BA7C13">
      <w:pPr>
        <w:spacing w:after="54" w:line="248" w:lineRule="auto"/>
        <w:ind w:left="363" w:right="552" w:firstLine="708"/>
        <w:jc w:val="both"/>
      </w:pPr>
      <w:r>
        <w:rPr>
          <w:rFonts w:ascii="Arial" w:eastAsia="Arial" w:hAnsi="Arial" w:cs="Arial"/>
        </w:rPr>
        <w:t>Vista la deuda financiera del Ayuntamiento, a 31 de diciembre de 2019, que asciende a 2.407.332,20 Euros, procedente de:</w:t>
      </w:r>
    </w:p>
    <w:p w:rsidR="00E23B86" w:rsidRDefault="00BA7C13">
      <w:pPr>
        <w:numPr>
          <w:ilvl w:val="0"/>
          <w:numId w:val="35"/>
        </w:numPr>
        <w:spacing w:after="55" w:line="248" w:lineRule="auto"/>
        <w:ind w:right="552" w:hanging="360"/>
        <w:jc w:val="both"/>
      </w:pPr>
      <w:r>
        <w:rPr>
          <w:rFonts w:ascii="Arial" w:eastAsia="Arial" w:hAnsi="Arial" w:cs="Arial"/>
        </w:rPr>
        <w:t xml:space="preserve">Préstamo 301516-53 de La Caixa, por importe de 925.169,98 Euros. </w:t>
      </w:r>
      <w:r>
        <w:rPr>
          <w:rFonts w:ascii="Times New Roman" w:eastAsia="Times New Roman" w:hAnsi="Times New Roman" w:cs="Times New Roman"/>
          <w:sz w:val="20"/>
        </w:rPr>
        <w:t>-</w:t>
      </w:r>
      <w:r>
        <w:rPr>
          <w:rFonts w:ascii="Times New Roman" w:eastAsia="Times New Roman" w:hAnsi="Times New Roman" w:cs="Times New Roman"/>
          <w:sz w:val="20"/>
        </w:rPr>
        <w:tab/>
      </w:r>
      <w:r>
        <w:rPr>
          <w:rFonts w:ascii="Arial" w:eastAsia="Arial" w:hAnsi="Arial" w:cs="Arial"/>
        </w:rPr>
        <w:t>Préstamo 0830003865 BBVA, por importe</w:t>
      </w:r>
      <w:r>
        <w:rPr>
          <w:rFonts w:ascii="Arial" w:eastAsia="Arial" w:hAnsi="Arial" w:cs="Arial"/>
        </w:rPr>
        <w:t xml:space="preserve"> de 1.482.162,22 Euros.</w:t>
      </w:r>
    </w:p>
    <w:p w:rsidR="00E23B86" w:rsidRDefault="00BA7C13">
      <w:pPr>
        <w:spacing w:after="51" w:line="248" w:lineRule="auto"/>
        <w:ind w:left="363" w:right="552" w:firstLine="348"/>
        <w:jc w:val="both"/>
      </w:pPr>
      <w:r>
        <w:rPr>
          <w:rFonts w:ascii="Arial" w:eastAsia="Arial" w:hAnsi="Arial" w:cs="Arial"/>
        </w:rPr>
        <w:t>Dado que los derechos reconocidos netos por los capítulos I al V de Ingresos, asciende a 26.527.733,91 Euros, este Ratio importa un 9,07 %, frente al 13,70 %, obtenido en la Liquidación del presupuesto del ejercicio 2018.</w:t>
      </w:r>
    </w:p>
    <w:p w:rsidR="00E23B86" w:rsidRDefault="00BA7C13">
      <w:pPr>
        <w:spacing w:after="110" w:line="248" w:lineRule="auto"/>
        <w:ind w:left="363" w:right="552" w:firstLine="708"/>
        <w:jc w:val="both"/>
      </w:pPr>
      <w:r>
        <w:rPr>
          <w:rFonts w:ascii="Arial" w:eastAsia="Arial" w:hAnsi="Arial" w:cs="Arial"/>
        </w:rPr>
        <w:t>El criteri</w:t>
      </w:r>
      <w:r>
        <w:rPr>
          <w:rFonts w:ascii="Arial" w:eastAsia="Arial" w:hAnsi="Arial" w:cs="Arial"/>
        </w:rPr>
        <w:t>o que viene aplicando el Ministerio de Hacienda es que todos los ingresos de ejercicio corriente recaudados por encima de las previsiones iniciales, excluidos los ingresos finalistas, en el momento del cierre del ejercicio, han de destinarse obligatoriamen</w:t>
      </w:r>
      <w:r>
        <w:rPr>
          <w:rFonts w:ascii="Arial" w:eastAsia="Arial" w:hAnsi="Arial" w:cs="Arial"/>
        </w:rPr>
        <w:t xml:space="preserve">te a la reducción de deuda vía amortización anticipada de las operaciones existentes, mediante la tramitación de un expediente de Suplemento de Crédito, financiado con Remanente de Tesorería para Gastos Generales. </w:t>
      </w:r>
    </w:p>
    <w:p w:rsidR="00E23B86" w:rsidRDefault="00BA7C13">
      <w:pPr>
        <w:spacing w:after="53" w:line="248" w:lineRule="auto"/>
        <w:ind w:left="363" w:right="552" w:firstLine="708"/>
        <w:jc w:val="both"/>
      </w:pPr>
      <w:r>
        <w:rPr>
          <w:rFonts w:ascii="Arial" w:eastAsia="Arial" w:hAnsi="Arial" w:cs="Arial"/>
        </w:rPr>
        <w:t>Quedan fuera de la aplicación del artícul</w:t>
      </w:r>
      <w:r>
        <w:rPr>
          <w:rFonts w:ascii="Arial" w:eastAsia="Arial" w:hAnsi="Arial" w:cs="Arial"/>
        </w:rPr>
        <w:t>o 12.5, dado su carácter finalista, las subvenciones, las cuotas de urbanización, los ingresos urbanísticos, las operaciones de préstamo, etc.</w:t>
      </w:r>
    </w:p>
    <w:p w:rsidR="00E23B86" w:rsidRDefault="00BA7C13">
      <w:pPr>
        <w:spacing w:after="56" w:line="248" w:lineRule="auto"/>
        <w:ind w:left="363" w:right="552" w:firstLine="708"/>
        <w:jc w:val="both"/>
      </w:pPr>
      <w:r>
        <w:rPr>
          <w:rFonts w:ascii="Arial" w:eastAsia="Arial" w:hAnsi="Arial" w:cs="Arial"/>
        </w:rPr>
        <w:t>A través del siguiente cuadro, se hace una comparativa de las previsiones iniciales y la recaudación líquida de l</w:t>
      </w:r>
      <w:r>
        <w:rPr>
          <w:rFonts w:ascii="Arial" w:eastAsia="Arial" w:hAnsi="Arial" w:cs="Arial"/>
        </w:rPr>
        <w:t>os ingresos de carácter no finalista, poniendo de manifiesto, la tramitación de un expediente de modificación presupuestaria, para amortizar anticipadamente la cantidad de 516.986,97 Euros:</w:t>
      </w:r>
    </w:p>
    <w:tbl>
      <w:tblPr>
        <w:tblStyle w:val="TableGrid"/>
        <w:tblW w:w="8522" w:type="dxa"/>
        <w:tblInd w:w="493" w:type="dxa"/>
        <w:tblCellMar>
          <w:top w:w="10" w:type="dxa"/>
          <w:left w:w="109" w:type="dxa"/>
          <w:bottom w:w="0" w:type="dxa"/>
          <w:right w:w="104" w:type="dxa"/>
        </w:tblCellMar>
        <w:tblLook w:val="04A0" w:firstRow="1" w:lastRow="0" w:firstColumn="1" w:lastColumn="0" w:noHBand="0" w:noVBand="1"/>
      </w:tblPr>
      <w:tblGrid>
        <w:gridCol w:w="2000"/>
        <w:gridCol w:w="2268"/>
        <w:gridCol w:w="2246"/>
        <w:gridCol w:w="2008"/>
      </w:tblGrid>
      <w:tr w:rsidR="00E23B86">
        <w:trPr>
          <w:trHeight w:val="514"/>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7"/>
              <w:jc w:val="center"/>
            </w:pPr>
            <w:r>
              <w:rPr>
                <w:rFonts w:ascii="Arial" w:eastAsia="Arial" w:hAnsi="Arial" w:cs="Arial"/>
                <w:b/>
              </w:rPr>
              <w:t>INGRESO</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jc w:val="center"/>
            </w:pPr>
            <w:r>
              <w:rPr>
                <w:rFonts w:ascii="Arial" w:eastAsia="Arial" w:hAnsi="Arial" w:cs="Arial"/>
                <w:b/>
              </w:rPr>
              <w:t>PREVISIONES INICIALES</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center"/>
            </w:pPr>
            <w:r>
              <w:rPr>
                <w:rFonts w:ascii="Arial" w:eastAsia="Arial" w:hAnsi="Arial" w:cs="Arial"/>
                <w:b/>
              </w:rPr>
              <w:t>RECAUDACIÓN LÍQUIDA</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jc w:val="center"/>
            </w:pPr>
            <w:r>
              <w:rPr>
                <w:rFonts w:ascii="Arial" w:eastAsia="Arial" w:hAnsi="Arial" w:cs="Arial"/>
                <w:b/>
              </w:rPr>
              <w:t>IMPORTE AMORTIZAR</w:t>
            </w:r>
          </w:p>
        </w:tc>
      </w:tr>
      <w:tr w:rsidR="00E23B86">
        <w:trPr>
          <w:trHeight w:val="516"/>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IMPUESTOS DIRECTOS</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8.379.385,00 €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8.026.368,57 €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4"/>
              <w:jc w:val="right"/>
            </w:pPr>
            <w:r>
              <w:rPr>
                <w:rFonts w:ascii="Arial" w:eastAsia="Arial" w:hAnsi="Arial" w:cs="Arial"/>
              </w:rPr>
              <w:t>0,00 €</w:t>
            </w:r>
          </w:p>
        </w:tc>
      </w:tr>
      <w:tr w:rsidR="00E23B86">
        <w:trPr>
          <w:trHeight w:val="516"/>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IMPUESTOS INDIRECTOS</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4.635.600,00 €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4.757.714,66 €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122.114,66 €</w:t>
            </w:r>
          </w:p>
        </w:tc>
      </w:tr>
      <w:tr w:rsidR="00E23B86">
        <w:trPr>
          <w:trHeight w:val="264"/>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TASAS</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2.319.082,00 €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2.249.208,71 €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4"/>
              <w:jc w:val="right"/>
            </w:pPr>
            <w:r>
              <w:rPr>
                <w:rFonts w:ascii="Arial" w:eastAsia="Arial" w:hAnsi="Arial" w:cs="Arial"/>
              </w:rPr>
              <w:t>0,00 €</w:t>
            </w:r>
          </w:p>
        </w:tc>
      </w:tr>
      <w:tr w:rsidR="00E23B86">
        <w:trPr>
          <w:trHeight w:val="768"/>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 xml:space="preserve">PARTICIPACIÓN </w:t>
            </w:r>
          </w:p>
          <w:p w:rsidR="00E23B86" w:rsidRDefault="00BA7C13">
            <w:pPr>
              <w:spacing w:after="0"/>
            </w:pPr>
            <w:r>
              <w:rPr>
                <w:rFonts w:ascii="Arial" w:eastAsia="Arial" w:hAnsi="Arial" w:cs="Arial"/>
              </w:rPr>
              <w:t xml:space="preserve">TRIBUTOS </w:t>
            </w:r>
          </w:p>
          <w:p w:rsidR="00E23B86" w:rsidRDefault="00BA7C13">
            <w:pPr>
              <w:spacing w:after="0"/>
            </w:pPr>
            <w:r>
              <w:rPr>
                <w:rFonts w:ascii="Arial" w:eastAsia="Arial" w:hAnsi="Arial" w:cs="Arial"/>
              </w:rPr>
              <w:t>ESTADO</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5.000.000,00 €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5.373.166,18 €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rPr>
              <w:t>373.166,18 €</w:t>
            </w:r>
          </w:p>
        </w:tc>
      </w:tr>
      <w:tr w:rsidR="00E23B86">
        <w:trPr>
          <w:trHeight w:val="516"/>
        </w:trPr>
        <w:tc>
          <w:tcPr>
            <w:tcW w:w="2000" w:type="dxa"/>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rPr>
              <w:t xml:space="preserve">INGRESOS </w:t>
            </w:r>
          </w:p>
          <w:p w:rsidR="00E23B86" w:rsidRDefault="00BA7C13">
            <w:pPr>
              <w:spacing w:after="0"/>
            </w:pPr>
            <w:r>
              <w:rPr>
                <w:rFonts w:ascii="Arial" w:eastAsia="Arial" w:hAnsi="Arial" w:cs="Arial"/>
              </w:rPr>
              <w:t>PATRIMONIALES</w:t>
            </w:r>
          </w:p>
        </w:tc>
        <w:tc>
          <w:tcPr>
            <w:tcW w:w="2268" w:type="dxa"/>
            <w:tcBorders>
              <w:top w:val="single" w:sz="4" w:space="0" w:color="00000A"/>
              <w:left w:val="single" w:sz="5" w:space="0" w:color="00000A"/>
              <w:bottom w:val="single" w:sz="4" w:space="0" w:color="00000A"/>
              <w:right w:val="single" w:sz="5" w:space="0" w:color="00000A"/>
            </w:tcBorders>
          </w:tcPr>
          <w:p w:rsidR="00E23B86" w:rsidRDefault="00BA7C13">
            <w:pPr>
              <w:spacing w:after="0"/>
              <w:ind w:right="3"/>
              <w:jc w:val="right"/>
            </w:pPr>
            <w:r>
              <w:rPr>
                <w:rFonts w:ascii="Arial" w:eastAsia="Arial" w:hAnsi="Arial" w:cs="Arial"/>
              </w:rPr>
              <w:t>7.955,00 €</w:t>
            </w:r>
          </w:p>
        </w:tc>
        <w:tc>
          <w:tcPr>
            <w:tcW w:w="2246"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right"/>
            </w:pPr>
            <w:r>
              <w:rPr>
                <w:rFonts w:ascii="Arial" w:eastAsia="Arial" w:hAnsi="Arial" w:cs="Arial"/>
              </w:rPr>
              <w:t>29.661,13 €</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3"/>
              <w:jc w:val="right"/>
            </w:pPr>
            <w:r>
              <w:rPr>
                <w:rFonts w:ascii="Arial" w:eastAsia="Arial" w:hAnsi="Arial" w:cs="Arial"/>
              </w:rPr>
              <w:t>21.706,13 €</w:t>
            </w:r>
          </w:p>
        </w:tc>
      </w:tr>
      <w:tr w:rsidR="00E23B86">
        <w:trPr>
          <w:trHeight w:val="265"/>
        </w:trPr>
        <w:tc>
          <w:tcPr>
            <w:tcW w:w="6514" w:type="dxa"/>
            <w:gridSpan w:val="3"/>
            <w:tcBorders>
              <w:top w:val="single" w:sz="4" w:space="0" w:color="00000A"/>
              <w:left w:val="single" w:sz="4" w:space="0" w:color="00000A"/>
              <w:bottom w:val="single" w:sz="4" w:space="0" w:color="00000A"/>
              <w:right w:val="single" w:sz="4" w:space="0" w:color="00000A"/>
            </w:tcBorders>
          </w:tcPr>
          <w:p w:rsidR="00E23B86" w:rsidRDefault="00BA7C13">
            <w:pPr>
              <w:spacing w:after="0"/>
              <w:ind w:right="5"/>
              <w:jc w:val="right"/>
            </w:pPr>
            <w:r>
              <w:rPr>
                <w:rFonts w:ascii="Arial" w:eastAsia="Arial" w:hAnsi="Arial" w:cs="Arial"/>
                <w:b/>
              </w:rPr>
              <w:t>TOTAL</w:t>
            </w:r>
          </w:p>
        </w:tc>
        <w:tc>
          <w:tcPr>
            <w:tcW w:w="2008" w:type="dxa"/>
            <w:tcBorders>
              <w:top w:val="single" w:sz="4" w:space="0" w:color="00000A"/>
              <w:left w:val="single" w:sz="4" w:space="0" w:color="00000A"/>
              <w:bottom w:val="single" w:sz="4" w:space="0" w:color="00000A"/>
              <w:right w:val="single" w:sz="5" w:space="0" w:color="00000A"/>
            </w:tcBorders>
          </w:tcPr>
          <w:p w:rsidR="00E23B86" w:rsidRDefault="00BA7C13">
            <w:pPr>
              <w:spacing w:after="0"/>
              <w:ind w:right="2"/>
              <w:jc w:val="right"/>
            </w:pPr>
            <w:r>
              <w:rPr>
                <w:rFonts w:ascii="Arial" w:eastAsia="Arial" w:hAnsi="Arial" w:cs="Arial"/>
                <w:b/>
              </w:rPr>
              <w:t>516.986,97 €</w:t>
            </w:r>
          </w:p>
        </w:tc>
      </w:tr>
    </w:tbl>
    <w:p w:rsidR="00E23B86" w:rsidRDefault="00BA7C13">
      <w:pPr>
        <w:spacing w:after="53" w:line="248" w:lineRule="auto"/>
        <w:ind w:left="363" w:right="552" w:firstLine="708"/>
        <w:jc w:val="both"/>
      </w:pPr>
      <w:r>
        <w:rPr>
          <w:noProof/>
        </w:rPr>
        <mc:AlternateContent>
          <mc:Choice Requires="wpg">
            <w:drawing>
              <wp:anchor distT="0" distB="0" distL="114300" distR="114300" simplePos="0" relativeHeight="2517565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1786" name="Group 52178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3584" name="Rectangle 2358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3585" name="Rectangle 23585"/>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96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1786" style="width:12.7031pt;height:280.35pt;position:absolute;mso-position-horizontal-relative:page;mso-position-horizontal:absolute;margin-left:681.958pt;mso-position-vertical-relative:page;margin-top:531.65pt;" coordsize="1613,35604">
                <v:rect id="Rectangle 2358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3585"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391 </w:t>
                        </w:r>
                      </w:p>
                    </w:txbxContent>
                  </v:textbox>
                </v:rect>
                <w10:wrap type="square"/>
              </v:group>
            </w:pict>
          </mc:Fallback>
        </mc:AlternateContent>
      </w:r>
      <w:r>
        <w:rPr>
          <w:rFonts w:ascii="Arial" w:eastAsia="Arial" w:hAnsi="Arial" w:cs="Arial"/>
        </w:rPr>
        <w:t>Por tanto, queda justificado la tramitación del presente expediente, por la exigencia de un mandato legal, a realizar con la aprobación de la liquidación del pres</w:t>
      </w:r>
      <w:r>
        <w:rPr>
          <w:rFonts w:ascii="Arial" w:eastAsia="Arial" w:hAnsi="Arial" w:cs="Arial"/>
        </w:rPr>
        <w:t>upuesto general.</w:t>
      </w:r>
    </w:p>
    <w:p w:rsidR="00E23B86" w:rsidRDefault="00BA7C13">
      <w:pPr>
        <w:spacing w:after="365" w:line="248" w:lineRule="auto"/>
        <w:ind w:left="363" w:right="552" w:firstLine="360"/>
        <w:jc w:val="both"/>
      </w:pPr>
      <w:r>
        <w:rPr>
          <w:rFonts w:ascii="Arial" w:eastAsia="Arial" w:hAnsi="Arial" w:cs="Arial"/>
        </w:rPr>
        <w:t>Considerando los dos préstamos vigentes, con las siguientes cargas financieras son:</w:t>
      </w:r>
    </w:p>
    <w:p w:rsidR="00E23B86" w:rsidRDefault="00BA7C13">
      <w:pPr>
        <w:numPr>
          <w:ilvl w:val="0"/>
          <w:numId w:val="35"/>
        </w:numPr>
        <w:spacing w:after="53" w:line="248" w:lineRule="auto"/>
        <w:ind w:right="552" w:hanging="360"/>
        <w:jc w:val="both"/>
      </w:pPr>
      <w:r>
        <w:rPr>
          <w:rFonts w:ascii="Arial" w:eastAsia="Arial" w:hAnsi="Arial" w:cs="Arial"/>
        </w:rPr>
        <w:t>Préstamo 07.00024 de La Caixa, por importe de 925.169,98 Euros, con un interés fijo del 0,49 % y que finaliza en mayo del año 2022, siendo la cuota del último mes, de 31.706,67 Euros de principal y 392,32 Euros mensuales de intereses y con comisión del 1 %</w:t>
      </w:r>
      <w:r>
        <w:rPr>
          <w:rFonts w:ascii="Arial" w:eastAsia="Arial" w:hAnsi="Arial" w:cs="Arial"/>
        </w:rPr>
        <w:t>, por cancelación anticipada.</w:t>
      </w:r>
    </w:p>
    <w:p w:rsidR="00E23B86" w:rsidRDefault="00BA7C13">
      <w:pPr>
        <w:numPr>
          <w:ilvl w:val="0"/>
          <w:numId w:val="35"/>
        </w:numPr>
        <w:spacing w:after="51" w:line="248" w:lineRule="auto"/>
        <w:ind w:right="552" w:hanging="360"/>
        <w:jc w:val="both"/>
      </w:pPr>
      <w:r>
        <w:rPr>
          <w:rFonts w:ascii="Arial" w:eastAsia="Arial" w:hAnsi="Arial" w:cs="Arial"/>
        </w:rPr>
        <w:t>Préstamo 0830003865 BBVA, por importe de 1.482.162,22 Euros, por, con un Euribor Trimestral más un diferencial de 41 puntos básicos, siendo la cuota del último trimestre, de 57.826,33 Euros de principal y 470,24 Euros trimestr</w:t>
      </w:r>
      <w:r>
        <w:rPr>
          <w:rFonts w:ascii="Arial" w:eastAsia="Arial" w:hAnsi="Arial" w:cs="Arial"/>
        </w:rPr>
        <w:t>ales de intereses, finalizando en noviembre de 2028.</w:t>
      </w:r>
    </w:p>
    <w:p w:rsidR="00E23B86" w:rsidRDefault="00BA7C13">
      <w:pPr>
        <w:spacing w:after="39"/>
        <w:ind w:left="712"/>
      </w:pPr>
      <w:r>
        <w:rPr>
          <w:rFonts w:ascii="Times New Roman" w:eastAsia="Times New Roman" w:hAnsi="Times New Roman" w:cs="Times New Roman"/>
        </w:rPr>
        <w:t>-</w:t>
      </w:r>
    </w:p>
    <w:p w:rsidR="00E23B86" w:rsidRDefault="00BA7C13">
      <w:pPr>
        <w:spacing w:after="365" w:line="248" w:lineRule="auto"/>
        <w:ind w:left="363" w:right="552" w:firstLine="708"/>
        <w:jc w:val="both"/>
      </w:pPr>
      <w:r>
        <w:rPr>
          <w:rFonts w:ascii="Arial" w:eastAsia="Arial" w:hAnsi="Arial" w:cs="Arial"/>
        </w:rPr>
        <w:t>Considerando de la Liquidación del Presupuesto del ejercicio 2019, fue de 18.219.677,27 Euros, que constituye del importe máximo a incorporar al ejercicio presente.</w:t>
      </w:r>
    </w:p>
    <w:p w:rsidR="00E23B86" w:rsidRDefault="00BA7C13">
      <w:pPr>
        <w:spacing w:after="53" w:line="248" w:lineRule="auto"/>
        <w:ind w:left="363" w:right="552" w:firstLine="708"/>
        <w:jc w:val="both"/>
      </w:pPr>
      <w:r>
        <w:rPr>
          <w:rFonts w:ascii="Arial" w:eastAsia="Arial" w:hAnsi="Arial" w:cs="Arial"/>
        </w:rPr>
        <w:t>Considerando que a través de los dat</w:t>
      </w:r>
      <w:r>
        <w:rPr>
          <w:rFonts w:ascii="Arial" w:eastAsia="Arial" w:hAnsi="Arial" w:cs="Arial"/>
        </w:rPr>
        <w:t>os obtenidos de la liquidación del ejercicio 2019 se ha obtenido unos remanentes de crédito al final del ejercicio, no comprometidos e incorporables, que importaron un total de 7.897.956,28 Euros, resultando necesario la utilización de un expediente de mod</w:t>
      </w:r>
      <w:r>
        <w:rPr>
          <w:rFonts w:ascii="Arial" w:eastAsia="Arial" w:hAnsi="Arial" w:cs="Arial"/>
        </w:rPr>
        <w:t>ificación presupuestaria: el suplemento de crédito financiado con remanente de tesorería para gastos generales.</w:t>
      </w:r>
    </w:p>
    <w:p w:rsidR="00E23B86" w:rsidRDefault="00BA7C13">
      <w:pPr>
        <w:spacing w:after="87" w:line="248" w:lineRule="auto"/>
        <w:ind w:left="363" w:right="552" w:firstLine="708"/>
        <w:jc w:val="both"/>
      </w:pPr>
      <w:r>
        <w:rPr>
          <w:rFonts w:ascii="Arial" w:eastAsia="Arial" w:hAnsi="Arial" w:cs="Arial"/>
        </w:rPr>
        <w:t>Considerando que el artículo 177 del Real Decreto Legislativo 2/2004, de 5 de marzo, por el que se aprueba el texto refundido de la Ley Regulado</w:t>
      </w:r>
      <w:r>
        <w:rPr>
          <w:rFonts w:ascii="Arial" w:eastAsia="Arial" w:hAnsi="Arial" w:cs="Arial"/>
        </w:rPr>
        <w:t xml:space="preserve">ra de las Haciendas Locales, regula los expedientes de modificación presupuestaria </w:t>
      </w:r>
      <w:r>
        <w:rPr>
          <w:rFonts w:ascii="Arial" w:eastAsia="Arial" w:hAnsi="Arial" w:cs="Arial"/>
          <w:i/>
        </w:rPr>
        <w:t xml:space="preserve">mediante suplementos de crédito, </w:t>
      </w:r>
      <w:r>
        <w:rPr>
          <w:rFonts w:ascii="Arial" w:eastAsia="Arial" w:hAnsi="Arial" w:cs="Arial"/>
        </w:rPr>
        <w:t>al señalar que:</w:t>
      </w:r>
    </w:p>
    <w:p w:rsidR="00E23B86" w:rsidRDefault="00BA7C13">
      <w:pPr>
        <w:numPr>
          <w:ilvl w:val="0"/>
          <w:numId w:val="36"/>
        </w:numPr>
        <w:spacing w:after="89" w:line="248" w:lineRule="auto"/>
        <w:ind w:right="552" w:hanging="360"/>
        <w:jc w:val="both"/>
      </w:pPr>
      <w:r>
        <w:rPr>
          <w:rFonts w:ascii="Arial" w:eastAsia="Arial" w:hAnsi="Arial" w:cs="Arial"/>
        </w:rPr>
        <w:t>Cuando haya de realizarse algún gasto que no pueda demorarse hasta el ejercicio siguiente, y sea insuficiente en el presupue</w:t>
      </w:r>
      <w:r>
        <w:rPr>
          <w:rFonts w:ascii="Arial" w:eastAsia="Arial" w:hAnsi="Arial" w:cs="Arial"/>
        </w:rPr>
        <w:t>sto de la corporación el crédito consignado, el presidente de la corporación ordenará la incoación del expediente de suplemento de crédito.</w:t>
      </w:r>
    </w:p>
    <w:p w:rsidR="00E23B86" w:rsidRDefault="00BA7C13">
      <w:pPr>
        <w:numPr>
          <w:ilvl w:val="0"/>
          <w:numId w:val="36"/>
        </w:numPr>
        <w:spacing w:after="89" w:line="248" w:lineRule="auto"/>
        <w:ind w:right="552" w:hanging="360"/>
        <w:jc w:val="both"/>
      </w:pPr>
      <w:r>
        <w:rPr>
          <w:rFonts w:ascii="Arial" w:eastAsia="Arial" w:hAnsi="Arial" w:cs="Arial"/>
        </w:rPr>
        <w:t xml:space="preserve">El expediente, que habrá de ser previamente informado por la Intervención, se someterá a la aprobación del Pleno de </w:t>
      </w:r>
      <w:r>
        <w:rPr>
          <w:rFonts w:ascii="Arial" w:eastAsia="Arial" w:hAnsi="Arial" w:cs="Arial"/>
        </w:rPr>
        <w:t>la corporación, con sujeción a los mismos trámites y requisitos que los presupuestos. Serán, asimismo, de aplicación, las normas sobre información, reclamación y publicidad de los presupuestos a que se refiere el artículo 169 de esta ley.</w:t>
      </w:r>
    </w:p>
    <w:p w:rsidR="00E23B86" w:rsidRDefault="00BA7C13">
      <w:pPr>
        <w:numPr>
          <w:ilvl w:val="0"/>
          <w:numId w:val="36"/>
        </w:numPr>
        <w:spacing w:after="88" w:line="248" w:lineRule="auto"/>
        <w:ind w:right="552" w:hanging="360"/>
        <w:jc w:val="both"/>
      </w:pPr>
      <w:r>
        <w:rPr>
          <w:rFonts w:ascii="Arial" w:eastAsia="Arial" w:hAnsi="Arial" w:cs="Arial"/>
        </w:rPr>
        <w:t>El expediente deb</w:t>
      </w:r>
      <w:r>
        <w:rPr>
          <w:rFonts w:ascii="Arial" w:eastAsia="Arial" w:hAnsi="Arial" w:cs="Arial"/>
        </w:rPr>
        <w:t>erá especificar la concreta partida presupuestaria a incrementar y el medio o recurso que ha de financiar el aumento que se propone.</w:t>
      </w:r>
    </w:p>
    <w:p w:rsidR="00E23B86" w:rsidRDefault="00BA7C13">
      <w:pPr>
        <w:numPr>
          <w:ilvl w:val="0"/>
          <w:numId w:val="36"/>
        </w:numPr>
        <w:spacing w:after="53" w:line="248" w:lineRule="auto"/>
        <w:ind w:right="552" w:hanging="360"/>
        <w:jc w:val="both"/>
      </w:pPr>
      <w:r>
        <w:rPr>
          <w:rFonts w:ascii="Arial" w:eastAsia="Arial" w:hAnsi="Arial" w:cs="Arial"/>
        </w:rPr>
        <w:t>Dicho aumento se financiará con cargo al remanente líquido de tesorería, con nuevos o mayores ingresos recaudados sobre los totales previstos en el presupuesto corriente, y mediante anulaciones o bajas de créditos de gastos de otras partidas del presupuest</w:t>
      </w:r>
      <w:r>
        <w:rPr>
          <w:rFonts w:ascii="Arial" w:eastAsia="Arial" w:hAnsi="Arial" w:cs="Arial"/>
        </w:rPr>
        <w:t xml:space="preserve">o vigente no comprometidos, cuyas dotaciones se estimen reducibles sin perturbación del respectivo servicio. En el expediente se acreditará que los ingresos previstos en el presupuesto vengan efectuándose con normalidad, salvo que aquéllos tengan carácter </w:t>
      </w:r>
      <w:r>
        <w:rPr>
          <w:rFonts w:ascii="Arial" w:eastAsia="Arial" w:hAnsi="Arial" w:cs="Arial"/>
        </w:rPr>
        <w:t>finalista.</w:t>
      </w:r>
    </w:p>
    <w:p w:rsidR="00E23B86" w:rsidRDefault="00BA7C13">
      <w:pPr>
        <w:spacing w:after="51" w:line="248" w:lineRule="auto"/>
        <w:ind w:left="363" w:right="552" w:firstLine="708"/>
        <w:jc w:val="both"/>
      </w:pPr>
      <w:r>
        <w:rPr>
          <w:noProof/>
        </w:rPr>
        <mc:AlternateContent>
          <mc:Choice Requires="wpg">
            <w:drawing>
              <wp:anchor distT="0" distB="0" distL="114300" distR="114300" simplePos="0" relativeHeight="2517575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0907" name="Group 49090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3690" name="Rectangle 2369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3691" name="Rectangle 23691"/>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97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0907" style="width:12.7031pt;height:280.35pt;position:absolute;mso-position-horizontal-relative:page;mso-position-horizontal:absolute;margin-left:681.958pt;mso-position-vertical-relative:page;margin-top:531.65pt;" coordsize="1613,35604">
                <v:rect id="Rectangle 2369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3691"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391 </w:t>
                        </w:r>
                      </w:p>
                    </w:txbxContent>
                  </v:textbox>
                </v:rect>
                <w10:wrap type="square"/>
              </v:group>
            </w:pict>
          </mc:Fallback>
        </mc:AlternateContent>
      </w:r>
      <w:r>
        <w:rPr>
          <w:rFonts w:ascii="Arial" w:eastAsia="Arial" w:hAnsi="Arial" w:cs="Arial"/>
        </w:rPr>
        <w:t>Considerando que de acuerdo con lo establecido e</w:t>
      </w:r>
      <w:r>
        <w:rPr>
          <w:rFonts w:ascii="Arial" w:eastAsia="Arial" w:hAnsi="Arial" w:cs="Arial"/>
        </w:rPr>
        <w:t>n el artículo 35, 36, 37 y 38 del Real Decreto 500/1990, de 20 de abril, por el que se desarrolla el Capítulo primero del Título sexto de la Ley 39/1988, de 28 de diciembre, los suplementos de créditos se podrán financiar con el remanente líquido de tesore</w:t>
      </w:r>
      <w:r>
        <w:rPr>
          <w:rFonts w:ascii="Arial" w:eastAsia="Arial" w:hAnsi="Arial" w:cs="Arial"/>
        </w:rPr>
        <w:t>ría, el expediente de Modificación, previo informe de la Intervención, será sometida a la aprobación del Pleno, y le serán de aplicación las normas sobre información, reclamaciones y publicidad de aprobación del  Presupuesto.</w:t>
      </w:r>
    </w:p>
    <w:p w:rsidR="00E23B86" w:rsidRDefault="00BA7C13">
      <w:pPr>
        <w:spacing w:after="52" w:line="249" w:lineRule="auto"/>
        <w:ind w:left="337" w:right="549" w:firstLine="708"/>
        <w:jc w:val="both"/>
      </w:pPr>
      <w:r>
        <w:rPr>
          <w:rFonts w:ascii="Arial" w:eastAsia="Arial" w:hAnsi="Arial" w:cs="Arial"/>
          <w:color w:val="00000A"/>
        </w:rPr>
        <w:t>Por tanto, aprobado inicialmen</w:t>
      </w:r>
      <w:r>
        <w:rPr>
          <w:rFonts w:ascii="Arial" w:eastAsia="Arial" w:hAnsi="Arial" w:cs="Arial"/>
          <w:color w:val="00000A"/>
        </w:rPr>
        <w:t>te el expediente por el Pleno, se expondrá al público, previo anuncio en el Boletín Oficial de la Provincia, por 15 días, durante los cuales los interesados podrán examinarlo y presentar reclamaciones al Pleno.</w:t>
      </w:r>
    </w:p>
    <w:p w:rsidR="00E23B86" w:rsidRDefault="00BA7C13">
      <w:pPr>
        <w:spacing w:after="52" w:line="249" w:lineRule="auto"/>
        <w:ind w:left="337" w:right="549" w:firstLine="708"/>
        <w:jc w:val="both"/>
      </w:pPr>
      <w:r>
        <w:rPr>
          <w:rFonts w:ascii="Arial" w:eastAsia="Arial" w:hAnsi="Arial" w:cs="Arial"/>
          <w:color w:val="00000A"/>
        </w:rPr>
        <w:t xml:space="preserve">El expediente se considerará definitivamente </w:t>
      </w:r>
      <w:r>
        <w:rPr>
          <w:rFonts w:ascii="Arial" w:eastAsia="Arial" w:hAnsi="Arial" w:cs="Arial"/>
          <w:color w:val="00000A"/>
        </w:rPr>
        <w:t>aprobado si durante el citado plazo no se hubiesen presentado reclamaciones; en caso contrario, el Pleno dispondrá de un plazo de un mes para resolverlas. Aprobado definitivamente el expediente será insertado en Boletín Oficial de la Provincia.</w:t>
      </w:r>
    </w:p>
    <w:p w:rsidR="00E23B86" w:rsidRDefault="00BA7C13">
      <w:pPr>
        <w:spacing w:after="0"/>
        <w:ind w:right="561"/>
        <w:jc w:val="right"/>
      </w:pPr>
      <w:r>
        <w:rPr>
          <w:rFonts w:ascii="Arial" w:eastAsia="Arial" w:hAnsi="Arial" w:cs="Arial"/>
          <w:color w:val="00000A"/>
        </w:rPr>
        <w:t>Por ello, e</w:t>
      </w:r>
      <w:r>
        <w:rPr>
          <w:rFonts w:ascii="Arial" w:eastAsia="Arial" w:hAnsi="Arial" w:cs="Arial"/>
          <w:color w:val="00000A"/>
        </w:rPr>
        <w:t>ste Interventor informa favorablemente la adopción del siguiente</w:t>
      </w:r>
    </w:p>
    <w:p w:rsidR="00E23B86" w:rsidRDefault="00BA7C13">
      <w:pPr>
        <w:spacing w:after="362" w:line="249" w:lineRule="auto"/>
        <w:ind w:left="347" w:right="549" w:hanging="10"/>
        <w:jc w:val="both"/>
      </w:pPr>
      <w:r>
        <w:rPr>
          <w:rFonts w:ascii="Arial" w:eastAsia="Arial" w:hAnsi="Arial" w:cs="Arial"/>
          <w:color w:val="00000A"/>
        </w:rPr>
        <w:t>ACUERDO:</w:t>
      </w:r>
    </w:p>
    <w:p w:rsidR="00E23B86" w:rsidRDefault="00BA7C13">
      <w:pPr>
        <w:spacing w:after="52" w:line="249" w:lineRule="auto"/>
        <w:ind w:left="347" w:right="549" w:hanging="10"/>
        <w:jc w:val="both"/>
      </w:pPr>
      <w:r>
        <w:rPr>
          <w:rFonts w:ascii="Arial" w:eastAsia="Arial" w:hAnsi="Arial" w:cs="Arial"/>
          <w:b/>
          <w:color w:val="00000A"/>
        </w:rPr>
        <w:t>Primero:</w:t>
      </w:r>
      <w:r>
        <w:rPr>
          <w:rFonts w:ascii="Arial" w:eastAsia="Arial" w:hAnsi="Arial" w:cs="Arial"/>
          <w:color w:val="00000A"/>
        </w:rPr>
        <w:t xml:space="preserve"> Aplicar la Regla General a que se refiere el artículo 12.5 de la Ley Orgánica 2/2012, de 27 de abril, de Estabilidad Presupuestaria y Sostenibilidad Financiera, para destina</w:t>
      </w:r>
      <w:r>
        <w:rPr>
          <w:rFonts w:ascii="Arial" w:eastAsia="Arial" w:hAnsi="Arial" w:cs="Arial"/>
          <w:color w:val="00000A"/>
        </w:rPr>
        <w:t>r el superávit obtenido de las liquidación del ejercicio 2017, a reducir el nivel de endeudamiento neto, en la cantidad de QUINIENTOS DIECISEIS MIL NOVECIENTOS OCHENTA Y SEIS EUROS CON NOVENTA Y SIETE CÉNTIMOS (516.986,97 Euros), al tratarse de ingresos, d</w:t>
      </w:r>
      <w:r>
        <w:rPr>
          <w:rFonts w:ascii="Arial" w:eastAsia="Arial" w:hAnsi="Arial" w:cs="Arial"/>
          <w:color w:val="00000A"/>
        </w:rPr>
        <w:t xml:space="preserve">e carácter no finalista, obtenidos por encima de lo previsto en el año 2019, financiado con Remanente de Tesorería para gastos generales, con destino a la amortización parcial del Préstamo 0830003865, concertado con la entidad financiera BBVA. </w:t>
      </w:r>
    </w:p>
    <w:p w:rsidR="00E23B86" w:rsidRDefault="00BA7C13">
      <w:pPr>
        <w:spacing w:after="110" w:line="248" w:lineRule="auto"/>
        <w:ind w:left="373" w:right="552" w:hanging="10"/>
        <w:jc w:val="both"/>
      </w:pPr>
      <w:r>
        <w:rPr>
          <w:rFonts w:ascii="Arial" w:eastAsia="Arial" w:hAnsi="Arial" w:cs="Arial"/>
          <w:b/>
        </w:rPr>
        <w:t>Segundo:</w:t>
      </w:r>
      <w:r>
        <w:rPr>
          <w:rFonts w:ascii="Arial" w:eastAsia="Arial" w:hAnsi="Arial" w:cs="Arial"/>
        </w:rPr>
        <w:t xml:space="preserve"> Aprobar el expediente 1667/2020 de modificación presupuestaria por Suplemento de Créditos financiado con remanente de tesorería para gastos generales, por la cantidad de 516.986,97 Euros, de acuerdo al siguiente detalle: </w:t>
      </w:r>
    </w:p>
    <w:p w:rsidR="00E23B86" w:rsidRDefault="00BA7C13">
      <w:pPr>
        <w:spacing w:after="0"/>
        <w:ind w:left="10" w:right="225" w:hanging="10"/>
        <w:jc w:val="center"/>
      </w:pPr>
      <w:r>
        <w:rPr>
          <w:rFonts w:ascii="Arial" w:eastAsia="Arial" w:hAnsi="Arial" w:cs="Arial"/>
          <w:b/>
          <w:i/>
          <w:color w:val="2E74B5"/>
        </w:rPr>
        <w:t>ESTADO DE INGRESOS</w:t>
      </w:r>
    </w:p>
    <w:tbl>
      <w:tblPr>
        <w:tblStyle w:val="TableGrid"/>
        <w:tblW w:w="8292" w:type="dxa"/>
        <w:tblInd w:w="456" w:type="dxa"/>
        <w:tblCellMar>
          <w:top w:w="13" w:type="dxa"/>
          <w:left w:w="71" w:type="dxa"/>
          <w:bottom w:w="0" w:type="dxa"/>
          <w:right w:w="68" w:type="dxa"/>
        </w:tblCellMar>
        <w:tblLook w:val="04A0" w:firstRow="1" w:lastRow="0" w:firstColumn="1" w:lastColumn="0" w:noHBand="0" w:noVBand="1"/>
      </w:tblPr>
      <w:tblGrid>
        <w:gridCol w:w="1628"/>
        <w:gridCol w:w="5103"/>
        <w:gridCol w:w="1561"/>
      </w:tblGrid>
      <w:tr w:rsidR="00E23B86">
        <w:trPr>
          <w:trHeight w:val="264"/>
        </w:trPr>
        <w:tc>
          <w:tcPr>
            <w:tcW w:w="1628" w:type="dxa"/>
            <w:tcBorders>
              <w:top w:val="single" w:sz="4" w:space="0" w:color="000001"/>
              <w:left w:val="single" w:sz="4" w:space="0" w:color="000001"/>
              <w:bottom w:val="single" w:sz="4" w:space="0" w:color="000001"/>
              <w:right w:val="single" w:sz="4" w:space="0" w:color="000001"/>
            </w:tcBorders>
            <w:shd w:val="clear" w:color="auto" w:fill="D8D8D8"/>
          </w:tcPr>
          <w:p w:rsidR="00E23B86" w:rsidRDefault="00BA7C13">
            <w:pPr>
              <w:spacing w:after="0"/>
              <w:ind w:right="1"/>
              <w:jc w:val="center"/>
            </w:pPr>
            <w:r>
              <w:rPr>
                <w:rFonts w:ascii="Arial" w:eastAsia="Arial" w:hAnsi="Arial" w:cs="Arial"/>
              </w:rPr>
              <w:t>Partida</w:t>
            </w:r>
          </w:p>
        </w:tc>
        <w:tc>
          <w:tcPr>
            <w:tcW w:w="5103" w:type="dxa"/>
            <w:tcBorders>
              <w:top w:val="single" w:sz="4" w:space="0" w:color="000001"/>
              <w:left w:val="single" w:sz="4" w:space="0" w:color="000001"/>
              <w:bottom w:val="single" w:sz="4" w:space="0" w:color="000001"/>
              <w:right w:val="single" w:sz="5" w:space="0" w:color="000001"/>
            </w:tcBorders>
            <w:shd w:val="clear" w:color="auto" w:fill="D8D8D8"/>
          </w:tcPr>
          <w:p w:rsidR="00E23B86" w:rsidRDefault="00BA7C13">
            <w:pPr>
              <w:spacing w:after="0"/>
              <w:ind w:right="5"/>
              <w:jc w:val="center"/>
            </w:pPr>
            <w:r>
              <w:rPr>
                <w:rFonts w:ascii="Arial" w:eastAsia="Arial" w:hAnsi="Arial" w:cs="Arial"/>
              </w:rPr>
              <w:t>Denomi</w:t>
            </w:r>
            <w:r>
              <w:rPr>
                <w:rFonts w:ascii="Arial" w:eastAsia="Arial" w:hAnsi="Arial" w:cs="Arial"/>
              </w:rPr>
              <w:t>nación</w:t>
            </w:r>
          </w:p>
        </w:tc>
        <w:tc>
          <w:tcPr>
            <w:tcW w:w="1561" w:type="dxa"/>
            <w:tcBorders>
              <w:top w:val="single" w:sz="4" w:space="0" w:color="000001"/>
              <w:left w:val="single" w:sz="5" w:space="0" w:color="000001"/>
              <w:bottom w:val="single" w:sz="4" w:space="0" w:color="000001"/>
              <w:right w:val="single" w:sz="4" w:space="0" w:color="000001"/>
            </w:tcBorders>
            <w:shd w:val="clear" w:color="auto" w:fill="D8D8D8"/>
          </w:tcPr>
          <w:p w:rsidR="00E23B86" w:rsidRDefault="00BA7C13">
            <w:pPr>
              <w:spacing w:after="0"/>
              <w:ind w:right="1"/>
              <w:jc w:val="center"/>
            </w:pPr>
            <w:r>
              <w:rPr>
                <w:rFonts w:ascii="Arial" w:eastAsia="Arial" w:hAnsi="Arial" w:cs="Arial"/>
              </w:rPr>
              <w:t>Importe</w:t>
            </w:r>
          </w:p>
        </w:tc>
      </w:tr>
      <w:tr w:rsidR="00E23B86">
        <w:trPr>
          <w:trHeight w:val="550"/>
        </w:trPr>
        <w:tc>
          <w:tcPr>
            <w:tcW w:w="16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23B86" w:rsidRDefault="00BA7C13">
            <w:pPr>
              <w:spacing w:after="0"/>
              <w:jc w:val="center"/>
            </w:pPr>
            <w:r>
              <w:rPr>
                <w:rFonts w:ascii="Arial" w:eastAsia="Arial" w:hAnsi="Arial" w:cs="Arial"/>
              </w:rPr>
              <w:t>870.00</w:t>
            </w:r>
          </w:p>
        </w:tc>
        <w:tc>
          <w:tcPr>
            <w:tcW w:w="5103" w:type="dxa"/>
            <w:tcBorders>
              <w:top w:val="single" w:sz="4" w:space="0" w:color="000001"/>
              <w:left w:val="single" w:sz="4" w:space="0" w:color="000001"/>
              <w:bottom w:val="single" w:sz="4" w:space="0" w:color="000001"/>
              <w:right w:val="single" w:sz="5" w:space="0" w:color="000001"/>
            </w:tcBorders>
            <w:shd w:val="clear" w:color="auto" w:fill="FFFFFF"/>
            <w:vAlign w:val="center"/>
          </w:tcPr>
          <w:p w:rsidR="00E23B86" w:rsidRDefault="00BA7C13">
            <w:pPr>
              <w:spacing w:after="0"/>
            </w:pPr>
            <w:r>
              <w:rPr>
                <w:rFonts w:ascii="Arial" w:eastAsia="Arial" w:hAnsi="Arial" w:cs="Arial"/>
              </w:rPr>
              <w:t>Remanente de Tesorería para gastos generales</w:t>
            </w:r>
          </w:p>
        </w:tc>
        <w:tc>
          <w:tcPr>
            <w:tcW w:w="1561" w:type="dxa"/>
            <w:tcBorders>
              <w:top w:val="single" w:sz="4" w:space="0" w:color="000001"/>
              <w:left w:val="single" w:sz="5" w:space="0" w:color="000001"/>
              <w:bottom w:val="single" w:sz="4" w:space="0" w:color="000001"/>
              <w:right w:val="single" w:sz="4" w:space="0" w:color="000001"/>
            </w:tcBorders>
            <w:shd w:val="clear" w:color="auto" w:fill="FFFFFF"/>
            <w:vAlign w:val="center"/>
          </w:tcPr>
          <w:p w:rsidR="00E23B86" w:rsidRDefault="00BA7C13">
            <w:pPr>
              <w:spacing w:after="0"/>
              <w:jc w:val="right"/>
            </w:pPr>
            <w:r>
              <w:rPr>
                <w:rFonts w:ascii="Arial" w:eastAsia="Arial" w:hAnsi="Arial" w:cs="Arial"/>
              </w:rPr>
              <w:t>516.986,97</w:t>
            </w:r>
          </w:p>
        </w:tc>
      </w:tr>
      <w:tr w:rsidR="00E23B86">
        <w:trPr>
          <w:trHeight w:val="264"/>
        </w:trPr>
        <w:tc>
          <w:tcPr>
            <w:tcW w:w="1628" w:type="dxa"/>
            <w:tcBorders>
              <w:top w:val="single" w:sz="4" w:space="0" w:color="000001"/>
              <w:left w:val="single" w:sz="4" w:space="0" w:color="000001"/>
              <w:bottom w:val="single" w:sz="4" w:space="0" w:color="000001"/>
              <w:right w:val="single" w:sz="4" w:space="0" w:color="000001"/>
            </w:tcBorders>
            <w:shd w:val="clear" w:color="auto" w:fill="D8D8D8"/>
          </w:tcPr>
          <w:p w:rsidR="00E23B86" w:rsidRDefault="00BA7C13">
            <w:pPr>
              <w:spacing w:after="0"/>
            </w:pPr>
            <w:r>
              <w:rPr>
                <w:rFonts w:ascii="Arial" w:eastAsia="Arial" w:hAnsi="Arial" w:cs="Arial"/>
              </w:rPr>
              <w:t xml:space="preserve"> </w:t>
            </w:r>
          </w:p>
        </w:tc>
        <w:tc>
          <w:tcPr>
            <w:tcW w:w="5103" w:type="dxa"/>
            <w:tcBorders>
              <w:top w:val="single" w:sz="4" w:space="0" w:color="000001"/>
              <w:left w:val="single" w:sz="4" w:space="0" w:color="000001"/>
              <w:bottom w:val="single" w:sz="4" w:space="0" w:color="000001"/>
              <w:right w:val="single" w:sz="5" w:space="0" w:color="000001"/>
            </w:tcBorders>
            <w:shd w:val="clear" w:color="auto" w:fill="D8D8D8"/>
          </w:tcPr>
          <w:p w:rsidR="00E23B86" w:rsidRDefault="00BA7C13">
            <w:pPr>
              <w:spacing w:after="0"/>
            </w:pPr>
            <w:r>
              <w:rPr>
                <w:rFonts w:ascii="Arial" w:eastAsia="Arial" w:hAnsi="Arial" w:cs="Arial"/>
              </w:rPr>
              <w:t xml:space="preserve">                                           TOTAL</w:t>
            </w:r>
          </w:p>
        </w:tc>
        <w:tc>
          <w:tcPr>
            <w:tcW w:w="1561" w:type="dxa"/>
            <w:tcBorders>
              <w:top w:val="single" w:sz="4" w:space="0" w:color="000001"/>
              <w:left w:val="single" w:sz="5" w:space="0" w:color="000001"/>
              <w:bottom w:val="single" w:sz="4" w:space="0" w:color="000001"/>
              <w:right w:val="single" w:sz="4" w:space="0" w:color="000001"/>
            </w:tcBorders>
            <w:shd w:val="clear" w:color="auto" w:fill="D8D8D8"/>
          </w:tcPr>
          <w:p w:rsidR="00E23B86" w:rsidRDefault="00BA7C13">
            <w:pPr>
              <w:spacing w:after="0"/>
              <w:jc w:val="right"/>
            </w:pPr>
            <w:r>
              <w:rPr>
                <w:rFonts w:ascii="Arial" w:eastAsia="Arial" w:hAnsi="Arial" w:cs="Arial"/>
              </w:rPr>
              <w:t>516.986,97</w:t>
            </w:r>
          </w:p>
        </w:tc>
      </w:tr>
    </w:tbl>
    <w:p w:rsidR="00E23B86" w:rsidRDefault="00BA7C13">
      <w:pPr>
        <w:spacing w:after="0"/>
        <w:ind w:left="10" w:right="225" w:hanging="10"/>
        <w:jc w:val="center"/>
      </w:pPr>
      <w:r>
        <w:rPr>
          <w:rFonts w:ascii="Arial" w:eastAsia="Arial" w:hAnsi="Arial" w:cs="Arial"/>
          <w:b/>
          <w:i/>
          <w:color w:val="2E74B5"/>
        </w:rPr>
        <w:t>ESTADO DE GASTOS</w:t>
      </w:r>
    </w:p>
    <w:tbl>
      <w:tblPr>
        <w:tblStyle w:val="TableGrid"/>
        <w:tblW w:w="8222" w:type="dxa"/>
        <w:tblInd w:w="704" w:type="dxa"/>
        <w:tblCellMar>
          <w:top w:w="13" w:type="dxa"/>
          <w:left w:w="71" w:type="dxa"/>
          <w:bottom w:w="0" w:type="dxa"/>
          <w:right w:w="68" w:type="dxa"/>
        </w:tblCellMar>
        <w:tblLook w:val="04A0" w:firstRow="1" w:lastRow="0" w:firstColumn="1" w:lastColumn="0" w:noHBand="0" w:noVBand="1"/>
      </w:tblPr>
      <w:tblGrid>
        <w:gridCol w:w="1558"/>
        <w:gridCol w:w="5105"/>
        <w:gridCol w:w="1559"/>
      </w:tblGrid>
      <w:tr w:rsidR="00E23B86">
        <w:trPr>
          <w:trHeight w:val="262"/>
        </w:trPr>
        <w:tc>
          <w:tcPr>
            <w:tcW w:w="1558" w:type="dxa"/>
            <w:tcBorders>
              <w:top w:val="single" w:sz="4" w:space="0" w:color="00000A"/>
              <w:left w:val="single" w:sz="4" w:space="0" w:color="00000A"/>
              <w:bottom w:val="single" w:sz="4" w:space="0" w:color="00000A"/>
              <w:right w:val="single" w:sz="4" w:space="0" w:color="00000A"/>
            </w:tcBorders>
            <w:shd w:val="clear" w:color="auto" w:fill="D9D9D9"/>
          </w:tcPr>
          <w:p w:rsidR="00E23B86" w:rsidRDefault="00BA7C13">
            <w:pPr>
              <w:spacing w:after="0"/>
              <w:ind w:right="2"/>
              <w:jc w:val="center"/>
            </w:pPr>
            <w:r>
              <w:rPr>
                <w:rFonts w:ascii="Arial" w:eastAsia="Arial" w:hAnsi="Arial" w:cs="Arial"/>
              </w:rPr>
              <w:t>Aplicación</w:t>
            </w:r>
          </w:p>
        </w:tc>
        <w:tc>
          <w:tcPr>
            <w:tcW w:w="5105"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jc w:val="center"/>
            </w:pPr>
            <w:r>
              <w:rPr>
                <w:rFonts w:ascii="Arial" w:eastAsia="Arial" w:hAnsi="Arial" w:cs="Arial"/>
              </w:rPr>
              <w:t>Denominación</w:t>
            </w:r>
          </w:p>
        </w:tc>
        <w:tc>
          <w:tcPr>
            <w:tcW w:w="1559" w:type="dxa"/>
            <w:tcBorders>
              <w:top w:val="single" w:sz="4" w:space="0" w:color="00000A"/>
              <w:left w:val="single" w:sz="5" w:space="0" w:color="00000A"/>
              <w:bottom w:val="single" w:sz="4" w:space="0" w:color="00000A"/>
              <w:right w:val="single" w:sz="4" w:space="0" w:color="00000A"/>
            </w:tcBorders>
            <w:shd w:val="clear" w:color="auto" w:fill="D9D9D9"/>
          </w:tcPr>
          <w:p w:rsidR="00E23B86" w:rsidRDefault="00BA7C13">
            <w:pPr>
              <w:spacing w:after="0"/>
            </w:pPr>
            <w:r>
              <w:rPr>
                <w:rFonts w:ascii="Arial" w:eastAsia="Arial" w:hAnsi="Arial" w:cs="Arial"/>
              </w:rPr>
              <w:t>Importe</w:t>
            </w:r>
          </w:p>
        </w:tc>
      </w:tr>
      <w:tr w:rsidR="00E23B86">
        <w:trPr>
          <w:trHeight w:val="770"/>
        </w:trPr>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E23B86" w:rsidRDefault="00BA7C13">
            <w:pPr>
              <w:spacing w:after="0"/>
              <w:ind w:right="1"/>
              <w:jc w:val="center"/>
            </w:pPr>
            <w:r>
              <w:rPr>
                <w:rFonts w:ascii="Arial" w:eastAsia="Arial" w:hAnsi="Arial" w:cs="Arial"/>
              </w:rPr>
              <w:t>011.00913.00</w:t>
            </w:r>
          </w:p>
        </w:tc>
        <w:tc>
          <w:tcPr>
            <w:tcW w:w="5105" w:type="dxa"/>
            <w:tcBorders>
              <w:top w:val="single" w:sz="4" w:space="0" w:color="00000A"/>
              <w:left w:val="single" w:sz="4" w:space="0" w:color="00000A"/>
              <w:bottom w:val="single" w:sz="4" w:space="0" w:color="00000A"/>
              <w:right w:val="single" w:sz="5" w:space="0" w:color="00000A"/>
            </w:tcBorders>
            <w:shd w:val="clear" w:color="auto" w:fill="FFFFFF"/>
            <w:vAlign w:val="center"/>
          </w:tcPr>
          <w:p w:rsidR="00E23B86" w:rsidRDefault="00BA7C13">
            <w:pPr>
              <w:spacing w:after="0"/>
              <w:ind w:left="1" w:right="4"/>
            </w:pPr>
            <w:r>
              <w:rPr>
                <w:rFonts w:ascii="Arial" w:eastAsia="Arial" w:hAnsi="Arial" w:cs="Arial"/>
              </w:rPr>
              <w:t>Amortización de préstamos a largo plazo de entres fuera del Sector Público</w:t>
            </w:r>
          </w:p>
        </w:tc>
        <w:tc>
          <w:tcPr>
            <w:tcW w:w="1559" w:type="dxa"/>
            <w:tcBorders>
              <w:top w:val="single" w:sz="4" w:space="0" w:color="00000A"/>
              <w:left w:val="single" w:sz="5" w:space="0" w:color="00000A"/>
              <w:bottom w:val="single" w:sz="4" w:space="0" w:color="00000A"/>
              <w:right w:val="single" w:sz="4" w:space="0" w:color="00000A"/>
            </w:tcBorders>
            <w:shd w:val="clear" w:color="auto" w:fill="FFFFFF"/>
            <w:vAlign w:val="center"/>
          </w:tcPr>
          <w:p w:rsidR="00E23B86" w:rsidRDefault="00BA7C13">
            <w:pPr>
              <w:spacing w:after="0"/>
              <w:jc w:val="right"/>
            </w:pPr>
            <w:r>
              <w:rPr>
                <w:rFonts w:ascii="Arial" w:eastAsia="Arial" w:hAnsi="Arial" w:cs="Arial"/>
              </w:rPr>
              <w:t>516.986,97</w:t>
            </w:r>
          </w:p>
        </w:tc>
      </w:tr>
      <w:tr w:rsidR="00E23B86">
        <w:trPr>
          <w:trHeight w:val="262"/>
        </w:trPr>
        <w:tc>
          <w:tcPr>
            <w:tcW w:w="1558" w:type="dxa"/>
            <w:tcBorders>
              <w:top w:val="single" w:sz="4" w:space="0" w:color="00000A"/>
              <w:left w:val="single" w:sz="4" w:space="0" w:color="00000A"/>
              <w:bottom w:val="single" w:sz="4" w:space="0" w:color="00000A"/>
              <w:right w:val="single" w:sz="4" w:space="0" w:color="00000A"/>
            </w:tcBorders>
            <w:shd w:val="clear" w:color="auto" w:fill="D9D9D9"/>
          </w:tcPr>
          <w:p w:rsidR="00E23B86" w:rsidRDefault="00E23B86"/>
        </w:tc>
        <w:tc>
          <w:tcPr>
            <w:tcW w:w="5105"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ind w:left="3"/>
              <w:jc w:val="center"/>
            </w:pPr>
            <w:r>
              <w:rPr>
                <w:rFonts w:ascii="Arial" w:eastAsia="Arial" w:hAnsi="Arial" w:cs="Arial"/>
              </w:rPr>
              <w:t>TOTAL</w:t>
            </w:r>
          </w:p>
        </w:tc>
        <w:tc>
          <w:tcPr>
            <w:tcW w:w="1559" w:type="dxa"/>
            <w:tcBorders>
              <w:top w:val="single" w:sz="4" w:space="0" w:color="00000A"/>
              <w:left w:val="single" w:sz="5" w:space="0" w:color="00000A"/>
              <w:bottom w:val="single" w:sz="4" w:space="0" w:color="00000A"/>
              <w:right w:val="single" w:sz="4" w:space="0" w:color="00000A"/>
            </w:tcBorders>
            <w:shd w:val="clear" w:color="auto" w:fill="D9D9D9"/>
          </w:tcPr>
          <w:p w:rsidR="00E23B86" w:rsidRDefault="00BA7C13">
            <w:pPr>
              <w:spacing w:after="0"/>
              <w:jc w:val="right"/>
            </w:pPr>
            <w:r>
              <w:rPr>
                <w:rFonts w:ascii="Arial" w:eastAsia="Arial" w:hAnsi="Arial" w:cs="Arial"/>
              </w:rPr>
              <w:t>516.986,97</w:t>
            </w:r>
          </w:p>
        </w:tc>
      </w:tr>
    </w:tbl>
    <w:p w:rsidR="00E23B86" w:rsidRDefault="00BA7C13">
      <w:pPr>
        <w:spacing w:after="497" w:line="248" w:lineRule="auto"/>
        <w:ind w:left="373" w:right="552" w:hanging="10"/>
        <w:jc w:val="both"/>
      </w:pPr>
      <w:r>
        <w:rPr>
          <w:rFonts w:ascii="Arial" w:eastAsia="Arial" w:hAnsi="Arial" w:cs="Arial"/>
          <w:b/>
        </w:rPr>
        <w:t xml:space="preserve">Tercero: </w:t>
      </w:r>
      <w:r>
        <w:rPr>
          <w:rFonts w:ascii="Arial" w:eastAsia="Arial" w:hAnsi="Arial" w:cs="Arial"/>
        </w:rPr>
        <w:t>Exponer este expediente al público mediante anuncio publicado en el Boletín Oficial de la Provincia, por 15 días, durante los cuales los interesados podrán examinarlo y presentar reclamaciones ante el Pleno. El expediente se considerará definitivamente apr</w:t>
      </w:r>
      <w:r>
        <w:rPr>
          <w:rFonts w:ascii="Arial" w:eastAsia="Arial" w:hAnsi="Arial" w:cs="Arial"/>
        </w:rPr>
        <w:t>obado si durante el citado plazo no se hubiesen presentado reclamaciones, en caso contrario el Pleno dispondrá de un mes para resolverlas…/…”</w:t>
      </w:r>
    </w:p>
    <w:p w:rsidR="00E23B86" w:rsidRDefault="00BA7C13">
      <w:pPr>
        <w:spacing w:after="305" w:line="248" w:lineRule="auto"/>
        <w:ind w:left="363" w:right="552" w:firstLine="720"/>
        <w:jc w:val="both"/>
      </w:pPr>
      <w:r>
        <w:rPr>
          <w:rFonts w:ascii="Arial" w:eastAsia="Arial" w:hAnsi="Arial" w:cs="Arial"/>
        </w:rPr>
        <w:t>Por todo ello, y en consonancia con informe favorable de la Intervención General, por esta Concejalía se Propone la adopción del siguiente ACUERDO:</w:t>
      </w:r>
    </w:p>
    <w:p w:rsidR="00E23B86" w:rsidRDefault="00BA7C13">
      <w:pPr>
        <w:spacing w:after="51" w:line="248" w:lineRule="auto"/>
        <w:ind w:left="373" w:right="552" w:hanging="10"/>
        <w:jc w:val="both"/>
      </w:pPr>
      <w:r>
        <w:rPr>
          <w:noProof/>
        </w:rPr>
        <mc:AlternateContent>
          <mc:Choice Requires="wpg">
            <w:drawing>
              <wp:anchor distT="0" distB="0" distL="114300" distR="114300" simplePos="0" relativeHeight="2517585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9021" name="Group 53902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3901" name="Rectangle 2390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3902" name="Rectangle 2390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98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9021" style="width:12.7031pt;height:280.35pt;position:absolute;mso-position-horizontal-relative:page;mso-position-horizontal:absolute;margin-left:681.958pt;mso-position-vertical-relative:page;margin-top:531.65pt;" coordsize="1613,35604">
                <v:rect id="Rectangle 2390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390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391 </w:t>
                        </w:r>
                      </w:p>
                    </w:txbxContent>
                  </v:textbox>
                </v:rect>
                <w10:wrap type="square"/>
              </v:group>
            </w:pict>
          </mc:Fallback>
        </mc:AlternateContent>
      </w:r>
      <w:r>
        <w:rPr>
          <w:rFonts w:ascii="Arial" w:eastAsia="Arial" w:hAnsi="Arial" w:cs="Arial"/>
        </w:rPr>
        <w:t xml:space="preserve">PRIMERO. - Aprobar el expediente 1667/2020 de modificación presupuestaria por Suplemento de Créditos financiado con remanente de tesorería para gastos generales, </w:t>
      </w:r>
      <w:r>
        <w:rPr>
          <w:rFonts w:ascii="Arial" w:eastAsia="Arial" w:hAnsi="Arial" w:cs="Arial"/>
        </w:rPr>
        <w:t xml:space="preserve">por la cantidad de 516.986,97 Euros, de acuerdo al siguiente detalle: </w:t>
      </w:r>
    </w:p>
    <w:p w:rsidR="00E23B86" w:rsidRDefault="00BA7C13">
      <w:pPr>
        <w:spacing w:after="0"/>
        <w:ind w:left="10" w:right="225" w:hanging="10"/>
        <w:jc w:val="center"/>
      </w:pPr>
      <w:r>
        <w:rPr>
          <w:rFonts w:ascii="Arial" w:eastAsia="Arial" w:hAnsi="Arial" w:cs="Arial"/>
          <w:b/>
          <w:i/>
          <w:color w:val="2E74B5"/>
        </w:rPr>
        <w:t>ESTADO DE INGRESOS</w:t>
      </w:r>
    </w:p>
    <w:tbl>
      <w:tblPr>
        <w:tblStyle w:val="TableGrid"/>
        <w:tblW w:w="8292" w:type="dxa"/>
        <w:tblInd w:w="456" w:type="dxa"/>
        <w:tblCellMar>
          <w:top w:w="13" w:type="dxa"/>
          <w:left w:w="71" w:type="dxa"/>
          <w:bottom w:w="0" w:type="dxa"/>
          <w:right w:w="68" w:type="dxa"/>
        </w:tblCellMar>
        <w:tblLook w:val="04A0" w:firstRow="1" w:lastRow="0" w:firstColumn="1" w:lastColumn="0" w:noHBand="0" w:noVBand="1"/>
      </w:tblPr>
      <w:tblGrid>
        <w:gridCol w:w="1628"/>
        <w:gridCol w:w="5103"/>
        <w:gridCol w:w="1561"/>
      </w:tblGrid>
      <w:tr w:rsidR="00E23B86">
        <w:trPr>
          <w:trHeight w:val="262"/>
        </w:trPr>
        <w:tc>
          <w:tcPr>
            <w:tcW w:w="1628" w:type="dxa"/>
            <w:tcBorders>
              <w:top w:val="single" w:sz="4" w:space="0" w:color="000001"/>
              <w:left w:val="single" w:sz="4" w:space="0" w:color="000001"/>
              <w:bottom w:val="single" w:sz="4" w:space="0" w:color="000001"/>
              <w:right w:val="single" w:sz="4" w:space="0" w:color="000001"/>
            </w:tcBorders>
            <w:shd w:val="clear" w:color="auto" w:fill="D8D8D8"/>
          </w:tcPr>
          <w:p w:rsidR="00E23B86" w:rsidRDefault="00BA7C13">
            <w:pPr>
              <w:spacing w:after="0"/>
              <w:ind w:right="1"/>
              <w:jc w:val="center"/>
            </w:pPr>
            <w:r>
              <w:rPr>
                <w:rFonts w:ascii="Arial" w:eastAsia="Arial" w:hAnsi="Arial" w:cs="Arial"/>
              </w:rPr>
              <w:t>Partida</w:t>
            </w:r>
          </w:p>
        </w:tc>
        <w:tc>
          <w:tcPr>
            <w:tcW w:w="5103" w:type="dxa"/>
            <w:tcBorders>
              <w:top w:val="single" w:sz="4" w:space="0" w:color="000001"/>
              <w:left w:val="single" w:sz="4" w:space="0" w:color="000001"/>
              <w:bottom w:val="single" w:sz="4" w:space="0" w:color="000001"/>
              <w:right w:val="single" w:sz="5" w:space="0" w:color="000001"/>
            </w:tcBorders>
            <w:shd w:val="clear" w:color="auto" w:fill="D8D8D8"/>
          </w:tcPr>
          <w:p w:rsidR="00E23B86" w:rsidRDefault="00BA7C13">
            <w:pPr>
              <w:spacing w:after="0"/>
              <w:ind w:right="5"/>
              <w:jc w:val="center"/>
            </w:pPr>
            <w:r>
              <w:rPr>
                <w:rFonts w:ascii="Arial" w:eastAsia="Arial" w:hAnsi="Arial" w:cs="Arial"/>
              </w:rPr>
              <w:t>Denominación</w:t>
            </w:r>
          </w:p>
        </w:tc>
        <w:tc>
          <w:tcPr>
            <w:tcW w:w="1561" w:type="dxa"/>
            <w:tcBorders>
              <w:top w:val="single" w:sz="4" w:space="0" w:color="000001"/>
              <w:left w:val="single" w:sz="5" w:space="0" w:color="000001"/>
              <w:bottom w:val="single" w:sz="4" w:space="0" w:color="000001"/>
              <w:right w:val="single" w:sz="4" w:space="0" w:color="000001"/>
            </w:tcBorders>
            <w:shd w:val="clear" w:color="auto" w:fill="D8D8D8"/>
          </w:tcPr>
          <w:p w:rsidR="00E23B86" w:rsidRDefault="00BA7C13">
            <w:pPr>
              <w:spacing w:after="0"/>
              <w:ind w:right="1"/>
              <w:jc w:val="center"/>
            </w:pPr>
            <w:r>
              <w:rPr>
                <w:rFonts w:ascii="Arial" w:eastAsia="Arial" w:hAnsi="Arial" w:cs="Arial"/>
              </w:rPr>
              <w:t>Importe</w:t>
            </w:r>
          </w:p>
        </w:tc>
      </w:tr>
      <w:tr w:rsidR="00E23B86">
        <w:trPr>
          <w:trHeight w:val="552"/>
        </w:trPr>
        <w:tc>
          <w:tcPr>
            <w:tcW w:w="16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23B86" w:rsidRDefault="00BA7C13">
            <w:pPr>
              <w:spacing w:after="0"/>
              <w:jc w:val="center"/>
            </w:pPr>
            <w:r>
              <w:rPr>
                <w:rFonts w:ascii="Arial" w:eastAsia="Arial" w:hAnsi="Arial" w:cs="Arial"/>
              </w:rPr>
              <w:t>870.00</w:t>
            </w:r>
          </w:p>
        </w:tc>
        <w:tc>
          <w:tcPr>
            <w:tcW w:w="5103" w:type="dxa"/>
            <w:tcBorders>
              <w:top w:val="single" w:sz="4" w:space="0" w:color="000001"/>
              <w:left w:val="single" w:sz="4" w:space="0" w:color="000001"/>
              <w:bottom w:val="single" w:sz="4" w:space="0" w:color="000001"/>
              <w:right w:val="single" w:sz="5" w:space="0" w:color="000001"/>
            </w:tcBorders>
            <w:shd w:val="clear" w:color="auto" w:fill="FFFFFF"/>
            <w:vAlign w:val="center"/>
          </w:tcPr>
          <w:p w:rsidR="00E23B86" w:rsidRDefault="00BA7C13">
            <w:pPr>
              <w:spacing w:after="0"/>
            </w:pPr>
            <w:r>
              <w:rPr>
                <w:rFonts w:ascii="Arial" w:eastAsia="Arial" w:hAnsi="Arial" w:cs="Arial"/>
              </w:rPr>
              <w:t>Remanente de Tesorería para gastos generales</w:t>
            </w:r>
          </w:p>
        </w:tc>
        <w:tc>
          <w:tcPr>
            <w:tcW w:w="1561" w:type="dxa"/>
            <w:tcBorders>
              <w:top w:val="single" w:sz="4" w:space="0" w:color="000001"/>
              <w:left w:val="single" w:sz="5" w:space="0" w:color="000001"/>
              <w:bottom w:val="single" w:sz="4" w:space="0" w:color="000001"/>
              <w:right w:val="single" w:sz="4" w:space="0" w:color="000001"/>
            </w:tcBorders>
            <w:shd w:val="clear" w:color="auto" w:fill="FFFFFF"/>
            <w:vAlign w:val="center"/>
          </w:tcPr>
          <w:p w:rsidR="00E23B86" w:rsidRDefault="00BA7C13">
            <w:pPr>
              <w:spacing w:after="0"/>
              <w:jc w:val="right"/>
            </w:pPr>
            <w:r>
              <w:rPr>
                <w:rFonts w:ascii="Arial" w:eastAsia="Arial" w:hAnsi="Arial" w:cs="Arial"/>
              </w:rPr>
              <w:t>516.986,97</w:t>
            </w:r>
          </w:p>
        </w:tc>
      </w:tr>
      <w:tr w:rsidR="00E23B86">
        <w:trPr>
          <w:trHeight w:val="262"/>
        </w:trPr>
        <w:tc>
          <w:tcPr>
            <w:tcW w:w="1628" w:type="dxa"/>
            <w:tcBorders>
              <w:top w:val="single" w:sz="4" w:space="0" w:color="000001"/>
              <w:left w:val="single" w:sz="4" w:space="0" w:color="000001"/>
              <w:bottom w:val="single" w:sz="4" w:space="0" w:color="000001"/>
              <w:right w:val="single" w:sz="4" w:space="0" w:color="000001"/>
            </w:tcBorders>
            <w:shd w:val="clear" w:color="auto" w:fill="D8D8D8"/>
          </w:tcPr>
          <w:p w:rsidR="00E23B86" w:rsidRDefault="00BA7C13">
            <w:pPr>
              <w:spacing w:after="0"/>
            </w:pPr>
            <w:r>
              <w:rPr>
                <w:rFonts w:ascii="Arial" w:eastAsia="Arial" w:hAnsi="Arial" w:cs="Arial"/>
              </w:rPr>
              <w:t xml:space="preserve"> </w:t>
            </w:r>
          </w:p>
        </w:tc>
        <w:tc>
          <w:tcPr>
            <w:tcW w:w="5103" w:type="dxa"/>
            <w:tcBorders>
              <w:top w:val="single" w:sz="4" w:space="0" w:color="000001"/>
              <w:left w:val="single" w:sz="4" w:space="0" w:color="000001"/>
              <w:bottom w:val="single" w:sz="4" w:space="0" w:color="000001"/>
              <w:right w:val="single" w:sz="5" w:space="0" w:color="000001"/>
            </w:tcBorders>
            <w:shd w:val="clear" w:color="auto" w:fill="D8D8D8"/>
          </w:tcPr>
          <w:p w:rsidR="00E23B86" w:rsidRDefault="00BA7C13">
            <w:pPr>
              <w:spacing w:after="0"/>
            </w:pPr>
            <w:r>
              <w:rPr>
                <w:rFonts w:ascii="Arial" w:eastAsia="Arial" w:hAnsi="Arial" w:cs="Arial"/>
              </w:rPr>
              <w:t xml:space="preserve">                                           TOTAL</w:t>
            </w:r>
          </w:p>
        </w:tc>
        <w:tc>
          <w:tcPr>
            <w:tcW w:w="1561" w:type="dxa"/>
            <w:tcBorders>
              <w:top w:val="single" w:sz="4" w:space="0" w:color="000001"/>
              <w:left w:val="single" w:sz="5" w:space="0" w:color="000001"/>
              <w:bottom w:val="single" w:sz="4" w:space="0" w:color="000001"/>
              <w:right w:val="single" w:sz="4" w:space="0" w:color="000001"/>
            </w:tcBorders>
            <w:shd w:val="clear" w:color="auto" w:fill="D8D8D8"/>
          </w:tcPr>
          <w:p w:rsidR="00E23B86" w:rsidRDefault="00BA7C13">
            <w:pPr>
              <w:spacing w:after="0"/>
              <w:jc w:val="right"/>
            </w:pPr>
            <w:r>
              <w:rPr>
                <w:rFonts w:ascii="Arial" w:eastAsia="Arial" w:hAnsi="Arial" w:cs="Arial"/>
              </w:rPr>
              <w:t>516.986,97</w:t>
            </w:r>
          </w:p>
        </w:tc>
      </w:tr>
    </w:tbl>
    <w:p w:rsidR="00E23B86" w:rsidRDefault="00BA7C13">
      <w:pPr>
        <w:spacing w:after="0"/>
        <w:ind w:left="10" w:right="225" w:hanging="10"/>
        <w:jc w:val="center"/>
      </w:pPr>
      <w:r>
        <w:rPr>
          <w:rFonts w:ascii="Arial" w:eastAsia="Arial" w:hAnsi="Arial" w:cs="Arial"/>
          <w:b/>
          <w:i/>
          <w:color w:val="2E74B5"/>
        </w:rPr>
        <w:t>ESTADO DE GASTOS</w:t>
      </w:r>
    </w:p>
    <w:tbl>
      <w:tblPr>
        <w:tblStyle w:val="TableGrid"/>
        <w:tblW w:w="8222" w:type="dxa"/>
        <w:tblInd w:w="1113" w:type="dxa"/>
        <w:tblCellMar>
          <w:top w:w="13" w:type="dxa"/>
          <w:left w:w="71" w:type="dxa"/>
          <w:bottom w:w="0" w:type="dxa"/>
          <w:right w:w="68" w:type="dxa"/>
        </w:tblCellMar>
        <w:tblLook w:val="04A0" w:firstRow="1" w:lastRow="0" w:firstColumn="1" w:lastColumn="0" w:noHBand="0" w:noVBand="1"/>
      </w:tblPr>
      <w:tblGrid>
        <w:gridCol w:w="1558"/>
        <w:gridCol w:w="5104"/>
        <w:gridCol w:w="1560"/>
      </w:tblGrid>
      <w:tr w:rsidR="00E23B86">
        <w:trPr>
          <w:trHeight w:val="264"/>
        </w:trPr>
        <w:tc>
          <w:tcPr>
            <w:tcW w:w="1558" w:type="dxa"/>
            <w:tcBorders>
              <w:top w:val="single" w:sz="4" w:space="0" w:color="00000A"/>
              <w:left w:val="single" w:sz="4" w:space="0" w:color="00000A"/>
              <w:bottom w:val="single" w:sz="4" w:space="0" w:color="00000A"/>
              <w:right w:val="single" w:sz="4" w:space="0" w:color="00000A"/>
            </w:tcBorders>
            <w:shd w:val="clear" w:color="auto" w:fill="D9D9D9"/>
          </w:tcPr>
          <w:p w:rsidR="00E23B86" w:rsidRDefault="00BA7C13">
            <w:pPr>
              <w:spacing w:after="0"/>
              <w:ind w:right="2"/>
              <w:jc w:val="center"/>
            </w:pPr>
            <w:r>
              <w:rPr>
                <w:rFonts w:ascii="Arial" w:eastAsia="Arial" w:hAnsi="Arial" w:cs="Arial"/>
              </w:rPr>
              <w:t>Aplicación</w:t>
            </w:r>
          </w:p>
        </w:tc>
        <w:tc>
          <w:tcPr>
            <w:tcW w:w="5104"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jc w:val="center"/>
            </w:pPr>
            <w:r>
              <w:rPr>
                <w:rFonts w:ascii="Arial" w:eastAsia="Arial" w:hAnsi="Arial" w:cs="Arial"/>
              </w:rPr>
              <w:t>Denominación</w:t>
            </w:r>
          </w:p>
        </w:tc>
        <w:tc>
          <w:tcPr>
            <w:tcW w:w="1560" w:type="dxa"/>
            <w:tcBorders>
              <w:top w:val="single" w:sz="4" w:space="0" w:color="00000A"/>
              <w:left w:val="single" w:sz="5" w:space="0" w:color="00000A"/>
              <w:bottom w:val="single" w:sz="4" w:space="0" w:color="00000A"/>
              <w:right w:val="single" w:sz="4" w:space="0" w:color="00000A"/>
            </w:tcBorders>
            <w:shd w:val="clear" w:color="auto" w:fill="D9D9D9"/>
          </w:tcPr>
          <w:p w:rsidR="00E23B86" w:rsidRDefault="00BA7C13">
            <w:pPr>
              <w:spacing w:after="0"/>
            </w:pPr>
            <w:r>
              <w:rPr>
                <w:rFonts w:ascii="Arial" w:eastAsia="Arial" w:hAnsi="Arial" w:cs="Arial"/>
              </w:rPr>
              <w:t>Importe</w:t>
            </w:r>
          </w:p>
        </w:tc>
      </w:tr>
      <w:tr w:rsidR="00E23B86">
        <w:trPr>
          <w:trHeight w:val="768"/>
        </w:trPr>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E23B86" w:rsidRDefault="00BA7C13">
            <w:pPr>
              <w:spacing w:after="0"/>
              <w:ind w:right="1"/>
              <w:jc w:val="center"/>
            </w:pPr>
            <w:r>
              <w:rPr>
                <w:rFonts w:ascii="Arial" w:eastAsia="Arial" w:hAnsi="Arial" w:cs="Arial"/>
              </w:rPr>
              <w:t>011.00913.00</w:t>
            </w:r>
          </w:p>
        </w:tc>
        <w:tc>
          <w:tcPr>
            <w:tcW w:w="5104" w:type="dxa"/>
            <w:tcBorders>
              <w:top w:val="single" w:sz="4" w:space="0" w:color="00000A"/>
              <w:left w:val="single" w:sz="4" w:space="0" w:color="00000A"/>
              <w:bottom w:val="single" w:sz="4" w:space="0" w:color="00000A"/>
              <w:right w:val="single" w:sz="5" w:space="0" w:color="00000A"/>
            </w:tcBorders>
            <w:shd w:val="clear" w:color="auto" w:fill="FFFFFF"/>
            <w:vAlign w:val="center"/>
          </w:tcPr>
          <w:p w:rsidR="00E23B86" w:rsidRDefault="00BA7C13">
            <w:pPr>
              <w:spacing w:after="0"/>
              <w:ind w:right="3"/>
            </w:pPr>
            <w:r>
              <w:rPr>
                <w:rFonts w:ascii="Arial" w:eastAsia="Arial" w:hAnsi="Arial" w:cs="Arial"/>
              </w:rPr>
              <w:t>Amortización de préstamos a largo plazo de entres fuera del Sector Público</w:t>
            </w:r>
          </w:p>
        </w:tc>
        <w:tc>
          <w:tcPr>
            <w:tcW w:w="1560" w:type="dxa"/>
            <w:tcBorders>
              <w:top w:val="single" w:sz="4" w:space="0" w:color="00000A"/>
              <w:left w:val="single" w:sz="5" w:space="0" w:color="00000A"/>
              <w:bottom w:val="single" w:sz="4" w:space="0" w:color="00000A"/>
              <w:right w:val="single" w:sz="4" w:space="0" w:color="00000A"/>
            </w:tcBorders>
            <w:shd w:val="clear" w:color="auto" w:fill="FFFFFF"/>
            <w:vAlign w:val="center"/>
          </w:tcPr>
          <w:p w:rsidR="00E23B86" w:rsidRDefault="00BA7C13">
            <w:pPr>
              <w:spacing w:after="0"/>
              <w:jc w:val="right"/>
            </w:pPr>
            <w:r>
              <w:rPr>
                <w:rFonts w:ascii="Arial" w:eastAsia="Arial" w:hAnsi="Arial" w:cs="Arial"/>
              </w:rPr>
              <w:t>516.986,97</w:t>
            </w:r>
          </w:p>
        </w:tc>
      </w:tr>
      <w:tr w:rsidR="00E23B86">
        <w:trPr>
          <w:trHeight w:val="264"/>
        </w:trPr>
        <w:tc>
          <w:tcPr>
            <w:tcW w:w="1558" w:type="dxa"/>
            <w:tcBorders>
              <w:top w:val="single" w:sz="4" w:space="0" w:color="00000A"/>
              <w:left w:val="single" w:sz="4" w:space="0" w:color="00000A"/>
              <w:bottom w:val="single" w:sz="4" w:space="0" w:color="00000A"/>
              <w:right w:val="single" w:sz="4" w:space="0" w:color="00000A"/>
            </w:tcBorders>
            <w:shd w:val="clear" w:color="auto" w:fill="D9D9D9"/>
          </w:tcPr>
          <w:p w:rsidR="00E23B86" w:rsidRDefault="00E23B86"/>
        </w:tc>
        <w:tc>
          <w:tcPr>
            <w:tcW w:w="5104"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ind w:left="3"/>
              <w:jc w:val="center"/>
            </w:pPr>
            <w:r>
              <w:rPr>
                <w:rFonts w:ascii="Arial" w:eastAsia="Arial" w:hAnsi="Arial" w:cs="Arial"/>
              </w:rPr>
              <w:t>TOTAL</w:t>
            </w:r>
          </w:p>
        </w:tc>
        <w:tc>
          <w:tcPr>
            <w:tcW w:w="1560" w:type="dxa"/>
            <w:tcBorders>
              <w:top w:val="single" w:sz="4" w:space="0" w:color="00000A"/>
              <w:left w:val="single" w:sz="5" w:space="0" w:color="00000A"/>
              <w:bottom w:val="single" w:sz="4" w:space="0" w:color="00000A"/>
              <w:right w:val="single" w:sz="4" w:space="0" w:color="00000A"/>
            </w:tcBorders>
            <w:shd w:val="clear" w:color="auto" w:fill="D9D9D9"/>
          </w:tcPr>
          <w:p w:rsidR="00E23B86" w:rsidRDefault="00BA7C13">
            <w:pPr>
              <w:spacing w:after="0"/>
              <w:jc w:val="right"/>
            </w:pPr>
            <w:r>
              <w:rPr>
                <w:rFonts w:ascii="Arial" w:eastAsia="Arial" w:hAnsi="Arial" w:cs="Arial"/>
              </w:rPr>
              <w:t>516.986,97</w:t>
            </w:r>
          </w:p>
        </w:tc>
      </w:tr>
    </w:tbl>
    <w:p w:rsidR="00E23B86" w:rsidRDefault="00BA7C13">
      <w:pPr>
        <w:spacing w:after="245" w:line="248" w:lineRule="auto"/>
        <w:ind w:left="373" w:right="552" w:hanging="10"/>
        <w:jc w:val="both"/>
      </w:pPr>
      <w:r>
        <w:rPr>
          <w:rFonts w:ascii="Arial" w:eastAsia="Arial" w:hAnsi="Arial" w:cs="Arial"/>
        </w:rPr>
        <w:t>SEGUNDO. - Exponer el expediente 1667/2020 de modificación presupuestaria por Suplemento de Créditos financiado con remanente de tesorería para gastos generales, a Información pública por espacio de quince días hábiles, en el Boletín Oficial de la Provinci</w:t>
      </w:r>
      <w:r>
        <w:rPr>
          <w:rFonts w:ascii="Arial" w:eastAsia="Arial" w:hAnsi="Arial" w:cs="Arial"/>
        </w:rPr>
        <w:t>a, plazo durante el cual los interesados podrán examinarlos y presentar reclamaciones ante el Pleno. El Pleno dispondrá del plazo de un mes para resolverlas.</w:t>
      </w:r>
    </w:p>
    <w:p w:rsidR="00E23B86" w:rsidRDefault="00BA7C13">
      <w:pPr>
        <w:spacing w:after="246" w:line="248" w:lineRule="auto"/>
        <w:ind w:left="373" w:right="552" w:hanging="10"/>
        <w:jc w:val="both"/>
      </w:pPr>
      <w:r>
        <w:rPr>
          <w:rFonts w:ascii="Arial" w:eastAsia="Arial" w:hAnsi="Arial" w:cs="Arial"/>
        </w:rPr>
        <w:t>TERCERO. - El expediente 1667/2020 de modificación presupuestaria por Suplemento de Créditos finan</w:t>
      </w:r>
      <w:r>
        <w:rPr>
          <w:rFonts w:ascii="Arial" w:eastAsia="Arial" w:hAnsi="Arial" w:cs="Arial"/>
        </w:rPr>
        <w:t>ciado con remanente de tesorería para gastos generales, se considerará definitivamente aprobado si al término de exposición al público no se hubiera presentado reclamaciones; en caso contrario, se requerirá acuerdo expreso por el que se resuelven las formu</w:t>
      </w:r>
      <w:r>
        <w:rPr>
          <w:rFonts w:ascii="Arial" w:eastAsia="Arial" w:hAnsi="Arial" w:cs="Arial"/>
        </w:rPr>
        <w:t>ladas y se apruebe definitivamente.</w:t>
      </w:r>
    </w:p>
    <w:p w:rsidR="00E23B86" w:rsidRDefault="00BA7C13">
      <w:pPr>
        <w:spacing w:after="365" w:line="248" w:lineRule="auto"/>
        <w:ind w:left="373" w:right="552" w:hanging="10"/>
        <w:jc w:val="both"/>
      </w:pPr>
      <w:r>
        <w:rPr>
          <w:rFonts w:ascii="Arial" w:eastAsia="Arial" w:hAnsi="Arial" w:cs="Arial"/>
        </w:rPr>
        <w:t>CUARTO. - El expediente 1667/2020 de modificación presupuestaria por Suplemento de Créditos financiado con remanente de tesorería para gastos generales, definitivamente aprobado será insertado en el Boletín Oficial de la</w:t>
      </w:r>
      <w:r>
        <w:rPr>
          <w:rFonts w:ascii="Arial" w:eastAsia="Arial" w:hAnsi="Arial" w:cs="Arial"/>
        </w:rPr>
        <w:t xml:space="preserve"> Provincia.”</w:t>
      </w:r>
    </w:p>
    <w:p w:rsidR="00E23B86" w:rsidRDefault="00BA7C13">
      <w:pPr>
        <w:spacing w:after="111" w:line="249" w:lineRule="auto"/>
        <w:ind w:left="355" w:right="554" w:hanging="10"/>
        <w:jc w:val="both"/>
      </w:pPr>
      <w:r>
        <w:rPr>
          <w:rFonts w:ascii="Arial" w:eastAsia="Arial" w:hAnsi="Arial" w:cs="Arial"/>
          <w:b/>
        </w:rPr>
        <w:t>DICTAMEN DE LA COMISIÓN INFORMATIVA DE HACIENDA, RECURSOS HUMANOS Y SERVICIOS GENERALES.</w:t>
      </w:r>
    </w:p>
    <w:p w:rsidR="00E23B86" w:rsidRDefault="00BA7C13">
      <w:pPr>
        <w:spacing w:after="110" w:line="248" w:lineRule="auto"/>
        <w:ind w:left="373" w:right="552" w:hanging="10"/>
        <w:jc w:val="both"/>
      </w:pPr>
      <w:r>
        <w:rPr>
          <w:rFonts w:ascii="Arial" w:eastAsia="Arial" w:hAnsi="Arial" w:cs="Arial"/>
        </w:rPr>
        <w:t>Votos a favor: 4.</w:t>
      </w:r>
    </w:p>
    <w:p w:rsidR="00E23B86" w:rsidRDefault="00BA7C13">
      <w:pPr>
        <w:spacing w:after="110" w:line="248" w:lineRule="auto"/>
        <w:ind w:left="373" w:right="552" w:hanging="10"/>
        <w:jc w:val="both"/>
      </w:pPr>
      <w:r>
        <w:rPr>
          <w:rFonts w:ascii="Arial" w:eastAsia="Arial" w:hAnsi="Arial" w:cs="Arial"/>
        </w:rPr>
        <w:t>Los 4 concejales del Grupo Socialista: Don José Francisco Pinto Ramos, Doña Hilaria Cecilia Otazo González, Doña Margarita Eva Tendero Barroso y Don Olegario Francisco Alonso Bello.</w:t>
      </w:r>
    </w:p>
    <w:p w:rsidR="00E23B86" w:rsidRDefault="00BA7C13">
      <w:pPr>
        <w:spacing w:after="110" w:line="248" w:lineRule="auto"/>
        <w:ind w:left="373" w:right="552" w:hanging="10"/>
        <w:jc w:val="both"/>
      </w:pPr>
      <w:r>
        <w:rPr>
          <w:rFonts w:ascii="Arial" w:eastAsia="Arial" w:hAnsi="Arial" w:cs="Arial"/>
        </w:rPr>
        <w:t>Votos en contra: 0.</w:t>
      </w:r>
    </w:p>
    <w:p w:rsidR="00E23B86" w:rsidRDefault="00BA7C13">
      <w:pPr>
        <w:spacing w:after="110" w:line="248" w:lineRule="auto"/>
        <w:ind w:left="373" w:right="552" w:hanging="10"/>
        <w:jc w:val="both"/>
      </w:pPr>
      <w:r>
        <w:rPr>
          <w:rFonts w:ascii="Arial" w:eastAsia="Arial" w:hAnsi="Arial" w:cs="Arial"/>
        </w:rPr>
        <w:t>Abstenciones: 3:</w:t>
      </w:r>
    </w:p>
    <w:p w:rsidR="00E23B86" w:rsidRDefault="00BA7C13">
      <w:pPr>
        <w:spacing w:after="110" w:line="248" w:lineRule="auto"/>
        <w:ind w:left="373" w:right="552" w:hanging="10"/>
        <w:jc w:val="both"/>
      </w:pPr>
      <w:r>
        <w:rPr>
          <w:rFonts w:ascii="Arial" w:eastAsia="Arial" w:hAnsi="Arial" w:cs="Arial"/>
        </w:rPr>
        <w:t>Las 2 concejalas del Grupo Mixto: Doñ</w:t>
      </w:r>
      <w:r>
        <w:rPr>
          <w:rFonts w:ascii="Arial" w:eastAsia="Arial" w:hAnsi="Arial" w:cs="Arial"/>
        </w:rPr>
        <w:t>a María del Carmen Coello González (SSP) y Doña Ángela Cruz Perera (CC-PNC).</w:t>
      </w:r>
    </w:p>
    <w:p w:rsidR="00E23B86" w:rsidRDefault="00BA7C13">
      <w:pPr>
        <w:spacing w:after="483" w:line="248" w:lineRule="auto"/>
        <w:ind w:left="373" w:right="552" w:hanging="10"/>
        <w:jc w:val="both"/>
      </w:pPr>
      <w:r>
        <w:rPr>
          <w:rFonts w:ascii="Arial" w:eastAsia="Arial" w:hAnsi="Arial" w:cs="Arial"/>
        </w:rPr>
        <w:t>1 del concejal del Grupo Popular, Don Juan Miguel Olivera González.</w:t>
      </w:r>
    </w:p>
    <w:p w:rsidR="00E23B86" w:rsidRDefault="00BA7C13">
      <w:pPr>
        <w:spacing w:after="111" w:line="249" w:lineRule="auto"/>
        <w:ind w:left="355" w:right="554" w:hanging="10"/>
        <w:jc w:val="both"/>
      </w:pPr>
      <w:r>
        <w:rPr>
          <w:noProof/>
        </w:rPr>
        <mc:AlternateContent>
          <mc:Choice Requires="wpg">
            <w:drawing>
              <wp:anchor distT="0" distB="0" distL="114300" distR="114300" simplePos="0" relativeHeight="2517596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1898" name="Group 49189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3951" name="Rectangle 2395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3952" name="Rectangle 23952"/>
                        <wps:cNvSpPr/>
                        <wps:spPr>
                          <a:xfrm rot="-5399999">
                            <a:off x="-2070399" y="1300621"/>
                            <a:ext cx="4406424" cy="113224"/>
                          </a:xfrm>
                          <a:prstGeom prst="rect">
                            <a:avLst/>
                          </a:prstGeom>
                          <a:ln>
                            <a:noFill/>
                          </a:ln>
                        </wps:spPr>
                        <wps:txbx>
                          <w:txbxContent>
                            <w:p w:rsidR="00E23B86" w:rsidRDefault="00BA7C13">
                              <w:r>
                                <w:rPr>
                                  <w:rFonts w:ascii="Arial" w:eastAsia="Arial" w:hAnsi="Arial" w:cs="Arial"/>
                                  <w:sz w:val="12"/>
                                </w:rPr>
                                <w:t>Document</w:t>
                              </w:r>
                              <w:r>
                                <w:rPr>
                                  <w:rFonts w:ascii="Arial" w:eastAsia="Arial" w:hAnsi="Arial" w:cs="Arial"/>
                                  <w:sz w:val="12"/>
                                </w:rPr>
                                <w:t xml:space="preserve">o firmado electrónicamente desde la plataforma esPublico Gestiona | Página 99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1898" style="width:12.7031pt;height:280.35pt;position:absolute;mso-position-horizontal-relative:page;mso-position-horizontal:absolute;margin-left:681.958pt;mso-position-vertical-relative:page;margin-top:531.65pt;" coordsize="1613,35604">
                <v:rect id="Rectangle 2395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3952" style="position:absolute;width:44064;height:1132;left:-20703;top:1300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391 </w:t>
                        </w:r>
                      </w:p>
                    </w:txbxContent>
                  </v:textbox>
                </v:rect>
                <w10:wrap type="square"/>
              </v:group>
            </w:pict>
          </mc:Fallback>
        </mc:AlternateContent>
      </w:r>
      <w:r>
        <w:rPr>
          <w:rFonts w:ascii="Arial" w:eastAsia="Arial" w:hAnsi="Arial" w:cs="Arial"/>
          <w:b/>
        </w:rPr>
        <w:t>JUNTA DE PORTAVOCES</w:t>
      </w:r>
    </w:p>
    <w:p w:rsidR="00E23B86" w:rsidRDefault="00BA7C13">
      <w:pPr>
        <w:spacing w:after="2" w:line="353" w:lineRule="auto"/>
        <w:ind w:left="355" w:right="6371" w:hanging="10"/>
        <w:jc w:val="both"/>
      </w:pPr>
      <w:r>
        <w:rPr>
          <w:rFonts w:ascii="Arial" w:eastAsia="Arial" w:hAnsi="Arial" w:cs="Arial"/>
        </w:rPr>
        <w:t xml:space="preserve">Quedó oída. </w:t>
      </w:r>
      <w:r>
        <w:rPr>
          <w:rFonts w:ascii="Arial" w:eastAsia="Arial" w:hAnsi="Arial" w:cs="Arial"/>
          <w:b/>
        </w:rPr>
        <w:t>VOTACIÓN EN EL PLENO</w:t>
      </w:r>
    </w:p>
    <w:p w:rsidR="00E23B86" w:rsidRDefault="00BA7C13">
      <w:pPr>
        <w:spacing w:after="110" w:line="248" w:lineRule="auto"/>
        <w:ind w:left="373" w:right="552" w:hanging="10"/>
        <w:jc w:val="both"/>
      </w:pPr>
      <w:r>
        <w:rPr>
          <w:rFonts w:ascii="Arial" w:eastAsia="Arial" w:hAnsi="Arial" w:cs="Arial"/>
        </w:rPr>
        <w:t>Votos a favor: 17.</w:t>
      </w:r>
    </w:p>
    <w:p w:rsidR="00E23B86" w:rsidRDefault="00BA7C13">
      <w:pPr>
        <w:spacing w:after="110" w:line="248" w:lineRule="auto"/>
        <w:ind w:left="373" w:right="552" w:hanging="10"/>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Chinea, 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E23B86" w:rsidRDefault="00BA7C13">
      <w:pPr>
        <w:spacing w:after="110" w:line="248" w:lineRule="auto"/>
        <w:ind w:left="373" w:right="552" w:hanging="10"/>
        <w:jc w:val="both"/>
      </w:pPr>
      <w:r>
        <w:rPr>
          <w:rFonts w:ascii="Arial" w:eastAsia="Arial" w:hAnsi="Arial" w:cs="Arial"/>
        </w:rPr>
        <w:t>3 concejales del Grupo Popular: Don Juan Miguel Olivera González, Don Jacobo López Fariña y Doña Raquel M</w:t>
      </w:r>
      <w:r>
        <w:rPr>
          <w:rFonts w:ascii="Arial" w:eastAsia="Arial" w:hAnsi="Arial" w:cs="Arial"/>
        </w:rPr>
        <w:t xml:space="preserve">artín Castro. </w:t>
      </w:r>
    </w:p>
    <w:p w:rsidR="00E23B86" w:rsidRDefault="00BA7C13">
      <w:pPr>
        <w:spacing w:after="110" w:line="248" w:lineRule="auto"/>
        <w:ind w:left="373" w:right="552" w:hanging="10"/>
        <w:jc w:val="both"/>
      </w:pPr>
      <w:r>
        <w:rPr>
          <w:rFonts w:ascii="Arial" w:eastAsia="Arial" w:hAnsi="Arial" w:cs="Arial"/>
        </w:rPr>
        <w:t>3 concejales del Grupo Mixto: Doña María del Carmen Coello González y Doña María del Pilar Maceín Núñez (SSP) y Doña Ángela Cruz Perera (CC-PNC).</w:t>
      </w:r>
    </w:p>
    <w:p w:rsidR="00E23B86" w:rsidRDefault="00BA7C13">
      <w:pPr>
        <w:spacing w:after="110" w:line="248" w:lineRule="auto"/>
        <w:ind w:left="373" w:right="552" w:hanging="10"/>
        <w:jc w:val="both"/>
      </w:pPr>
      <w:r>
        <w:rPr>
          <w:rFonts w:ascii="Arial" w:eastAsia="Arial" w:hAnsi="Arial" w:cs="Arial"/>
        </w:rPr>
        <w:t>Abstenciones: 1:</w:t>
      </w:r>
    </w:p>
    <w:p w:rsidR="00E23B86" w:rsidRDefault="00BA7C13">
      <w:pPr>
        <w:spacing w:after="1121" w:line="248" w:lineRule="auto"/>
        <w:ind w:left="373" w:right="552" w:hanging="10"/>
        <w:jc w:val="both"/>
      </w:pPr>
      <w:r>
        <w:rPr>
          <w:rFonts w:ascii="Arial" w:eastAsia="Arial" w:hAnsi="Arial" w:cs="Arial"/>
        </w:rPr>
        <w:t>1 del concejal Don José Fernando Gómez Martín (PvxC).</w:t>
      </w:r>
    </w:p>
    <w:p w:rsidR="00E23B86" w:rsidRDefault="00BA7C13">
      <w:pPr>
        <w:pStyle w:val="Ttulo3"/>
        <w:spacing w:after="84" w:line="265" w:lineRule="auto"/>
        <w:ind w:left="682" w:right="1276"/>
        <w:jc w:val="center"/>
      </w:pPr>
      <w:r>
        <w:rPr>
          <w:i w:val="0"/>
          <w:color w:val="000000"/>
        </w:rPr>
        <w:t>ACUERDO DEL PLENO</w:t>
      </w:r>
    </w:p>
    <w:p w:rsidR="00E23B86" w:rsidRDefault="00BA7C13">
      <w:pPr>
        <w:spacing w:after="53" w:line="248" w:lineRule="auto"/>
        <w:ind w:left="373" w:right="552" w:hanging="10"/>
        <w:jc w:val="both"/>
      </w:pPr>
      <w:r>
        <w:rPr>
          <w:rFonts w:ascii="Arial" w:eastAsia="Arial" w:hAnsi="Arial" w:cs="Arial"/>
        </w:rPr>
        <w:t xml:space="preserve">PRIMERO. - Aprobar el expediente 1667/2020 de modificación presupuestaria por Suplemento de Créditos financiado con remanente de tesorería para gastos generales, por la cantidad de 516.986,97 Euros, de acuerdo al siguiente detalle: </w:t>
      </w:r>
    </w:p>
    <w:p w:rsidR="00E23B86" w:rsidRDefault="00BA7C13">
      <w:pPr>
        <w:spacing w:after="0"/>
        <w:ind w:left="10" w:right="225" w:hanging="10"/>
        <w:jc w:val="center"/>
      </w:pPr>
      <w:r>
        <w:rPr>
          <w:rFonts w:ascii="Arial" w:eastAsia="Arial" w:hAnsi="Arial" w:cs="Arial"/>
          <w:b/>
          <w:i/>
          <w:color w:val="2E74B5"/>
        </w:rPr>
        <w:t>ESTADO DE INGRESOS</w:t>
      </w:r>
    </w:p>
    <w:tbl>
      <w:tblPr>
        <w:tblStyle w:val="TableGrid"/>
        <w:tblW w:w="8292" w:type="dxa"/>
        <w:tblInd w:w="456" w:type="dxa"/>
        <w:tblCellMar>
          <w:top w:w="13" w:type="dxa"/>
          <w:left w:w="71" w:type="dxa"/>
          <w:bottom w:w="0" w:type="dxa"/>
          <w:right w:w="68" w:type="dxa"/>
        </w:tblCellMar>
        <w:tblLook w:val="04A0" w:firstRow="1" w:lastRow="0" w:firstColumn="1" w:lastColumn="0" w:noHBand="0" w:noVBand="1"/>
      </w:tblPr>
      <w:tblGrid>
        <w:gridCol w:w="1628"/>
        <w:gridCol w:w="5103"/>
        <w:gridCol w:w="1561"/>
      </w:tblGrid>
      <w:tr w:rsidR="00E23B86">
        <w:trPr>
          <w:trHeight w:val="264"/>
        </w:trPr>
        <w:tc>
          <w:tcPr>
            <w:tcW w:w="1628" w:type="dxa"/>
            <w:tcBorders>
              <w:top w:val="single" w:sz="4" w:space="0" w:color="000001"/>
              <w:left w:val="single" w:sz="4" w:space="0" w:color="000001"/>
              <w:bottom w:val="single" w:sz="4" w:space="0" w:color="000001"/>
              <w:right w:val="single" w:sz="4" w:space="0" w:color="000001"/>
            </w:tcBorders>
            <w:shd w:val="clear" w:color="auto" w:fill="D8D8D8"/>
          </w:tcPr>
          <w:p w:rsidR="00E23B86" w:rsidRDefault="00BA7C13">
            <w:pPr>
              <w:spacing w:after="0"/>
              <w:ind w:right="1"/>
              <w:jc w:val="center"/>
            </w:pPr>
            <w:r>
              <w:rPr>
                <w:rFonts w:ascii="Arial" w:eastAsia="Arial" w:hAnsi="Arial" w:cs="Arial"/>
              </w:rPr>
              <w:t>Part</w:t>
            </w:r>
            <w:r>
              <w:rPr>
                <w:rFonts w:ascii="Arial" w:eastAsia="Arial" w:hAnsi="Arial" w:cs="Arial"/>
              </w:rPr>
              <w:t>ida</w:t>
            </w:r>
          </w:p>
        </w:tc>
        <w:tc>
          <w:tcPr>
            <w:tcW w:w="5103" w:type="dxa"/>
            <w:tcBorders>
              <w:top w:val="single" w:sz="4" w:space="0" w:color="000001"/>
              <w:left w:val="single" w:sz="4" w:space="0" w:color="000001"/>
              <w:bottom w:val="single" w:sz="4" w:space="0" w:color="000001"/>
              <w:right w:val="single" w:sz="5" w:space="0" w:color="000001"/>
            </w:tcBorders>
            <w:shd w:val="clear" w:color="auto" w:fill="D8D8D8"/>
          </w:tcPr>
          <w:p w:rsidR="00E23B86" w:rsidRDefault="00BA7C13">
            <w:pPr>
              <w:spacing w:after="0"/>
              <w:ind w:right="5"/>
              <w:jc w:val="center"/>
            </w:pPr>
            <w:r>
              <w:rPr>
                <w:rFonts w:ascii="Arial" w:eastAsia="Arial" w:hAnsi="Arial" w:cs="Arial"/>
              </w:rPr>
              <w:t>Denominación</w:t>
            </w:r>
          </w:p>
        </w:tc>
        <w:tc>
          <w:tcPr>
            <w:tcW w:w="1561" w:type="dxa"/>
            <w:tcBorders>
              <w:top w:val="single" w:sz="4" w:space="0" w:color="000001"/>
              <w:left w:val="single" w:sz="5" w:space="0" w:color="000001"/>
              <w:bottom w:val="single" w:sz="4" w:space="0" w:color="000001"/>
              <w:right w:val="single" w:sz="4" w:space="0" w:color="000001"/>
            </w:tcBorders>
            <w:shd w:val="clear" w:color="auto" w:fill="D8D8D8"/>
          </w:tcPr>
          <w:p w:rsidR="00E23B86" w:rsidRDefault="00BA7C13">
            <w:pPr>
              <w:spacing w:after="0"/>
              <w:ind w:right="1"/>
              <w:jc w:val="center"/>
            </w:pPr>
            <w:r>
              <w:rPr>
                <w:rFonts w:ascii="Arial" w:eastAsia="Arial" w:hAnsi="Arial" w:cs="Arial"/>
              </w:rPr>
              <w:t>Importe</w:t>
            </w:r>
          </w:p>
        </w:tc>
      </w:tr>
      <w:tr w:rsidR="00E23B86">
        <w:trPr>
          <w:trHeight w:val="550"/>
        </w:trPr>
        <w:tc>
          <w:tcPr>
            <w:tcW w:w="162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E23B86" w:rsidRDefault="00BA7C13">
            <w:pPr>
              <w:spacing w:after="0"/>
              <w:jc w:val="center"/>
            </w:pPr>
            <w:r>
              <w:rPr>
                <w:rFonts w:ascii="Arial" w:eastAsia="Arial" w:hAnsi="Arial" w:cs="Arial"/>
              </w:rPr>
              <w:t>870.00</w:t>
            </w:r>
          </w:p>
        </w:tc>
        <w:tc>
          <w:tcPr>
            <w:tcW w:w="5103" w:type="dxa"/>
            <w:tcBorders>
              <w:top w:val="single" w:sz="4" w:space="0" w:color="000001"/>
              <w:left w:val="single" w:sz="4" w:space="0" w:color="000001"/>
              <w:bottom w:val="single" w:sz="4" w:space="0" w:color="000001"/>
              <w:right w:val="single" w:sz="5" w:space="0" w:color="000001"/>
            </w:tcBorders>
            <w:shd w:val="clear" w:color="auto" w:fill="FFFFFF"/>
            <w:vAlign w:val="center"/>
          </w:tcPr>
          <w:p w:rsidR="00E23B86" w:rsidRDefault="00BA7C13">
            <w:pPr>
              <w:spacing w:after="0"/>
            </w:pPr>
            <w:r>
              <w:rPr>
                <w:rFonts w:ascii="Arial" w:eastAsia="Arial" w:hAnsi="Arial" w:cs="Arial"/>
              </w:rPr>
              <w:t>Remanente de Tesorería para gastos generales</w:t>
            </w:r>
          </w:p>
        </w:tc>
        <w:tc>
          <w:tcPr>
            <w:tcW w:w="1561" w:type="dxa"/>
            <w:tcBorders>
              <w:top w:val="single" w:sz="4" w:space="0" w:color="000001"/>
              <w:left w:val="single" w:sz="5" w:space="0" w:color="000001"/>
              <w:bottom w:val="single" w:sz="4" w:space="0" w:color="000001"/>
              <w:right w:val="single" w:sz="4" w:space="0" w:color="000001"/>
            </w:tcBorders>
            <w:shd w:val="clear" w:color="auto" w:fill="FFFFFF"/>
            <w:vAlign w:val="center"/>
          </w:tcPr>
          <w:p w:rsidR="00E23B86" w:rsidRDefault="00BA7C13">
            <w:pPr>
              <w:spacing w:after="0"/>
              <w:jc w:val="right"/>
            </w:pPr>
            <w:r>
              <w:rPr>
                <w:rFonts w:ascii="Arial" w:eastAsia="Arial" w:hAnsi="Arial" w:cs="Arial"/>
              </w:rPr>
              <w:t>516.986,97</w:t>
            </w:r>
          </w:p>
        </w:tc>
      </w:tr>
      <w:tr w:rsidR="00E23B86">
        <w:trPr>
          <w:trHeight w:val="264"/>
        </w:trPr>
        <w:tc>
          <w:tcPr>
            <w:tcW w:w="1628" w:type="dxa"/>
            <w:tcBorders>
              <w:top w:val="single" w:sz="4" w:space="0" w:color="000001"/>
              <w:left w:val="single" w:sz="4" w:space="0" w:color="000001"/>
              <w:bottom w:val="single" w:sz="4" w:space="0" w:color="000001"/>
              <w:right w:val="single" w:sz="4" w:space="0" w:color="000001"/>
            </w:tcBorders>
            <w:shd w:val="clear" w:color="auto" w:fill="D8D8D8"/>
          </w:tcPr>
          <w:p w:rsidR="00E23B86" w:rsidRDefault="00BA7C13">
            <w:pPr>
              <w:spacing w:after="0"/>
            </w:pPr>
            <w:r>
              <w:rPr>
                <w:rFonts w:ascii="Arial" w:eastAsia="Arial" w:hAnsi="Arial" w:cs="Arial"/>
              </w:rPr>
              <w:t xml:space="preserve"> </w:t>
            </w:r>
          </w:p>
        </w:tc>
        <w:tc>
          <w:tcPr>
            <w:tcW w:w="5103" w:type="dxa"/>
            <w:tcBorders>
              <w:top w:val="single" w:sz="4" w:space="0" w:color="000001"/>
              <w:left w:val="single" w:sz="4" w:space="0" w:color="000001"/>
              <w:bottom w:val="single" w:sz="4" w:space="0" w:color="000001"/>
              <w:right w:val="single" w:sz="5" w:space="0" w:color="000001"/>
            </w:tcBorders>
            <w:shd w:val="clear" w:color="auto" w:fill="D8D8D8"/>
          </w:tcPr>
          <w:p w:rsidR="00E23B86" w:rsidRDefault="00BA7C13">
            <w:pPr>
              <w:spacing w:after="0"/>
            </w:pPr>
            <w:r>
              <w:rPr>
                <w:rFonts w:ascii="Arial" w:eastAsia="Arial" w:hAnsi="Arial" w:cs="Arial"/>
              </w:rPr>
              <w:t xml:space="preserve">                                           TOTAL</w:t>
            </w:r>
          </w:p>
        </w:tc>
        <w:tc>
          <w:tcPr>
            <w:tcW w:w="1561" w:type="dxa"/>
            <w:tcBorders>
              <w:top w:val="single" w:sz="4" w:space="0" w:color="000001"/>
              <w:left w:val="single" w:sz="5" w:space="0" w:color="000001"/>
              <w:bottom w:val="single" w:sz="4" w:space="0" w:color="000001"/>
              <w:right w:val="single" w:sz="4" w:space="0" w:color="000001"/>
            </w:tcBorders>
            <w:shd w:val="clear" w:color="auto" w:fill="D8D8D8"/>
          </w:tcPr>
          <w:p w:rsidR="00E23B86" w:rsidRDefault="00BA7C13">
            <w:pPr>
              <w:spacing w:after="0"/>
              <w:jc w:val="right"/>
            </w:pPr>
            <w:r>
              <w:rPr>
                <w:rFonts w:ascii="Arial" w:eastAsia="Arial" w:hAnsi="Arial" w:cs="Arial"/>
              </w:rPr>
              <w:t>516.986,97</w:t>
            </w:r>
          </w:p>
        </w:tc>
      </w:tr>
    </w:tbl>
    <w:p w:rsidR="00E23B86" w:rsidRDefault="00BA7C13">
      <w:pPr>
        <w:spacing w:after="0"/>
        <w:ind w:left="10" w:right="225" w:hanging="10"/>
        <w:jc w:val="center"/>
      </w:pPr>
      <w:r>
        <w:rPr>
          <w:noProof/>
        </w:rPr>
        <mc:AlternateContent>
          <mc:Choice Requires="wpg">
            <w:drawing>
              <wp:anchor distT="0" distB="0" distL="114300" distR="114300" simplePos="0" relativeHeight="251760640"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7627" name="Group 50762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089" name="Rectangle 2408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090" name="Rectangle 2409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7627" style="width:12.7031pt;height:280.35pt;position:absolute;mso-position-horizontal-relative:page;mso-position-horizontal:absolute;margin-left:681.958pt;mso-position-vertical-relative:page;margin-top:531.65pt;" coordsize="1613,35604">
                <v:rect id="Rectangle 2408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09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391 </w:t>
                        </w:r>
                      </w:p>
                    </w:txbxContent>
                  </v:textbox>
                </v:rect>
                <w10:wrap type="topAndBottom"/>
              </v:group>
            </w:pict>
          </mc:Fallback>
        </mc:AlternateContent>
      </w:r>
      <w:r>
        <w:rPr>
          <w:rFonts w:ascii="Arial" w:eastAsia="Arial" w:hAnsi="Arial" w:cs="Arial"/>
          <w:b/>
          <w:i/>
          <w:color w:val="2E74B5"/>
        </w:rPr>
        <w:t>ESTADO DE GASTOS</w:t>
      </w:r>
    </w:p>
    <w:tbl>
      <w:tblPr>
        <w:tblStyle w:val="TableGrid"/>
        <w:tblW w:w="8222" w:type="dxa"/>
        <w:tblInd w:w="1203" w:type="dxa"/>
        <w:tblCellMar>
          <w:top w:w="13" w:type="dxa"/>
          <w:left w:w="71" w:type="dxa"/>
          <w:bottom w:w="0" w:type="dxa"/>
          <w:right w:w="68" w:type="dxa"/>
        </w:tblCellMar>
        <w:tblLook w:val="04A0" w:firstRow="1" w:lastRow="0" w:firstColumn="1" w:lastColumn="0" w:noHBand="0" w:noVBand="1"/>
      </w:tblPr>
      <w:tblGrid>
        <w:gridCol w:w="1558"/>
        <w:gridCol w:w="5102"/>
        <w:gridCol w:w="1562"/>
      </w:tblGrid>
      <w:tr w:rsidR="00E23B86">
        <w:trPr>
          <w:trHeight w:val="262"/>
        </w:trPr>
        <w:tc>
          <w:tcPr>
            <w:tcW w:w="1558" w:type="dxa"/>
            <w:tcBorders>
              <w:top w:val="single" w:sz="4" w:space="0" w:color="00000A"/>
              <w:left w:val="single" w:sz="4" w:space="0" w:color="00000A"/>
              <w:bottom w:val="single" w:sz="4" w:space="0" w:color="00000A"/>
              <w:right w:val="single" w:sz="4" w:space="0" w:color="00000A"/>
            </w:tcBorders>
            <w:shd w:val="clear" w:color="auto" w:fill="D9D9D9"/>
          </w:tcPr>
          <w:p w:rsidR="00E23B86" w:rsidRDefault="00BA7C13">
            <w:pPr>
              <w:spacing w:after="0"/>
              <w:ind w:right="2"/>
              <w:jc w:val="center"/>
            </w:pPr>
            <w:r>
              <w:rPr>
                <w:rFonts w:ascii="Arial" w:eastAsia="Arial" w:hAnsi="Arial" w:cs="Arial"/>
              </w:rPr>
              <w:t>Aplicación</w:t>
            </w:r>
          </w:p>
        </w:tc>
        <w:tc>
          <w:tcPr>
            <w:tcW w:w="5103"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ind w:right="4"/>
              <w:jc w:val="center"/>
            </w:pPr>
            <w:r>
              <w:rPr>
                <w:rFonts w:ascii="Arial" w:eastAsia="Arial" w:hAnsi="Arial" w:cs="Arial"/>
              </w:rPr>
              <w:t>Denominación</w:t>
            </w:r>
          </w:p>
        </w:tc>
        <w:tc>
          <w:tcPr>
            <w:tcW w:w="1562" w:type="dxa"/>
            <w:tcBorders>
              <w:top w:val="single" w:sz="4" w:space="0" w:color="00000A"/>
              <w:left w:val="single" w:sz="5" w:space="0" w:color="00000A"/>
              <w:bottom w:val="single" w:sz="4" w:space="0" w:color="00000A"/>
              <w:right w:val="single" w:sz="4" w:space="0" w:color="00000A"/>
            </w:tcBorders>
            <w:shd w:val="clear" w:color="auto" w:fill="D9D9D9"/>
          </w:tcPr>
          <w:p w:rsidR="00E23B86" w:rsidRDefault="00BA7C13">
            <w:pPr>
              <w:spacing w:after="0"/>
            </w:pPr>
            <w:r>
              <w:rPr>
                <w:rFonts w:ascii="Arial" w:eastAsia="Arial" w:hAnsi="Arial" w:cs="Arial"/>
              </w:rPr>
              <w:t>Importe</w:t>
            </w:r>
          </w:p>
        </w:tc>
      </w:tr>
      <w:tr w:rsidR="00E23B86">
        <w:trPr>
          <w:trHeight w:val="770"/>
        </w:trPr>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E23B86" w:rsidRDefault="00BA7C13">
            <w:pPr>
              <w:spacing w:after="0"/>
              <w:ind w:right="1"/>
              <w:jc w:val="center"/>
            </w:pPr>
            <w:r>
              <w:rPr>
                <w:rFonts w:ascii="Arial" w:eastAsia="Arial" w:hAnsi="Arial" w:cs="Arial"/>
              </w:rPr>
              <w:t>011.00913.00</w:t>
            </w:r>
          </w:p>
        </w:tc>
        <w:tc>
          <w:tcPr>
            <w:tcW w:w="5103" w:type="dxa"/>
            <w:tcBorders>
              <w:top w:val="single" w:sz="4" w:space="0" w:color="00000A"/>
              <w:left w:val="single" w:sz="4" w:space="0" w:color="00000A"/>
              <w:bottom w:val="single" w:sz="4" w:space="0" w:color="00000A"/>
              <w:right w:val="single" w:sz="5" w:space="0" w:color="00000A"/>
            </w:tcBorders>
            <w:shd w:val="clear" w:color="auto" w:fill="FFFFFF"/>
            <w:vAlign w:val="center"/>
          </w:tcPr>
          <w:p w:rsidR="00E23B86" w:rsidRDefault="00BA7C13">
            <w:pPr>
              <w:spacing w:after="0"/>
            </w:pPr>
            <w:r>
              <w:rPr>
                <w:rFonts w:ascii="Arial" w:eastAsia="Arial" w:hAnsi="Arial" w:cs="Arial"/>
              </w:rPr>
              <w:t>Amortización de préstamos a largo plazo de entres fuera del Sector Público</w:t>
            </w:r>
          </w:p>
        </w:tc>
        <w:tc>
          <w:tcPr>
            <w:tcW w:w="1562" w:type="dxa"/>
            <w:tcBorders>
              <w:top w:val="single" w:sz="4" w:space="0" w:color="00000A"/>
              <w:left w:val="single" w:sz="5" w:space="0" w:color="00000A"/>
              <w:bottom w:val="single" w:sz="4" w:space="0" w:color="00000A"/>
              <w:right w:val="single" w:sz="4" w:space="0" w:color="00000A"/>
            </w:tcBorders>
            <w:shd w:val="clear" w:color="auto" w:fill="FFFFFF"/>
            <w:vAlign w:val="center"/>
          </w:tcPr>
          <w:p w:rsidR="00E23B86" w:rsidRDefault="00BA7C13">
            <w:pPr>
              <w:spacing w:after="0"/>
              <w:jc w:val="right"/>
            </w:pPr>
            <w:r>
              <w:rPr>
                <w:rFonts w:ascii="Arial" w:eastAsia="Arial" w:hAnsi="Arial" w:cs="Arial"/>
              </w:rPr>
              <w:t>516.986,97</w:t>
            </w:r>
          </w:p>
        </w:tc>
      </w:tr>
      <w:tr w:rsidR="00E23B86">
        <w:trPr>
          <w:trHeight w:val="262"/>
        </w:trPr>
        <w:tc>
          <w:tcPr>
            <w:tcW w:w="1558" w:type="dxa"/>
            <w:tcBorders>
              <w:top w:val="single" w:sz="4" w:space="0" w:color="00000A"/>
              <w:left w:val="single" w:sz="4" w:space="0" w:color="00000A"/>
              <w:bottom w:val="single" w:sz="4" w:space="0" w:color="00000A"/>
              <w:right w:val="single" w:sz="4" w:space="0" w:color="00000A"/>
            </w:tcBorders>
            <w:shd w:val="clear" w:color="auto" w:fill="D9D9D9"/>
          </w:tcPr>
          <w:p w:rsidR="00E23B86" w:rsidRDefault="00E23B86"/>
        </w:tc>
        <w:tc>
          <w:tcPr>
            <w:tcW w:w="5103" w:type="dxa"/>
            <w:tcBorders>
              <w:top w:val="single" w:sz="4" w:space="0" w:color="00000A"/>
              <w:left w:val="single" w:sz="4" w:space="0" w:color="00000A"/>
              <w:bottom w:val="single" w:sz="4" w:space="0" w:color="00000A"/>
              <w:right w:val="single" w:sz="5" w:space="0" w:color="00000A"/>
            </w:tcBorders>
            <w:shd w:val="clear" w:color="auto" w:fill="D9D9D9"/>
          </w:tcPr>
          <w:p w:rsidR="00E23B86" w:rsidRDefault="00BA7C13">
            <w:pPr>
              <w:spacing w:after="0"/>
              <w:ind w:right="1"/>
              <w:jc w:val="center"/>
            </w:pPr>
            <w:r>
              <w:rPr>
                <w:rFonts w:ascii="Arial" w:eastAsia="Arial" w:hAnsi="Arial" w:cs="Arial"/>
              </w:rPr>
              <w:t>TOTAL</w:t>
            </w:r>
          </w:p>
        </w:tc>
        <w:tc>
          <w:tcPr>
            <w:tcW w:w="1562" w:type="dxa"/>
            <w:tcBorders>
              <w:top w:val="single" w:sz="4" w:space="0" w:color="00000A"/>
              <w:left w:val="single" w:sz="5" w:space="0" w:color="00000A"/>
              <w:bottom w:val="single" w:sz="4" w:space="0" w:color="00000A"/>
              <w:right w:val="single" w:sz="4" w:space="0" w:color="00000A"/>
            </w:tcBorders>
            <w:shd w:val="clear" w:color="auto" w:fill="D9D9D9"/>
          </w:tcPr>
          <w:p w:rsidR="00E23B86" w:rsidRDefault="00BA7C13">
            <w:pPr>
              <w:spacing w:after="0"/>
              <w:jc w:val="right"/>
            </w:pPr>
            <w:r>
              <w:rPr>
                <w:rFonts w:ascii="Arial" w:eastAsia="Arial" w:hAnsi="Arial" w:cs="Arial"/>
              </w:rPr>
              <w:t>516.986,97</w:t>
            </w:r>
          </w:p>
        </w:tc>
      </w:tr>
    </w:tbl>
    <w:p w:rsidR="00E23B86" w:rsidRDefault="00BA7C13">
      <w:pPr>
        <w:spacing w:after="245" w:line="248" w:lineRule="auto"/>
        <w:ind w:left="373" w:right="552" w:hanging="10"/>
        <w:jc w:val="both"/>
      </w:pPr>
      <w:r>
        <w:rPr>
          <w:rFonts w:ascii="Arial" w:eastAsia="Arial" w:hAnsi="Arial" w:cs="Arial"/>
        </w:rPr>
        <w:t xml:space="preserve">SEGUNDO. - Exponer el expediente 1667/2020 de modificación presupuestaria por Suplemento de Créditos financiado con remanente de tesorería para gastos generales, </w:t>
      </w:r>
      <w:r>
        <w:rPr>
          <w:rFonts w:ascii="Arial" w:eastAsia="Arial" w:hAnsi="Arial" w:cs="Arial"/>
        </w:rPr>
        <w:t>a Información pública por espacio de quince días hábiles, en el Boletín Oficial de la Provincia, plazo durante el cual los interesados podrán examinarlos y presentar reclamaciones ante el Pleno. El Pleno dispondrá del plazo de un mes para resolverlas.</w:t>
      </w:r>
    </w:p>
    <w:p w:rsidR="00E23B86" w:rsidRDefault="00BA7C13">
      <w:pPr>
        <w:spacing w:after="245" w:line="248" w:lineRule="auto"/>
        <w:ind w:left="373" w:right="552" w:hanging="10"/>
        <w:jc w:val="both"/>
      </w:pPr>
      <w:r>
        <w:rPr>
          <w:rFonts w:ascii="Arial" w:eastAsia="Arial" w:hAnsi="Arial" w:cs="Arial"/>
        </w:rPr>
        <w:t>TERC</w:t>
      </w:r>
      <w:r>
        <w:rPr>
          <w:rFonts w:ascii="Arial" w:eastAsia="Arial" w:hAnsi="Arial" w:cs="Arial"/>
        </w:rPr>
        <w:t>ERO. - El expediente 1667/2020 de modificación presupuestaria por Suplemento de Créditos financiado con remanente de tesorería para gastos generales, se considerará definitivamente aprobado si al término de exposición al público no se hubiera presentado re</w:t>
      </w:r>
      <w:r>
        <w:rPr>
          <w:rFonts w:ascii="Arial" w:eastAsia="Arial" w:hAnsi="Arial" w:cs="Arial"/>
        </w:rPr>
        <w:t>clamaciones; en caso contrario, se requerirá acuerdo expreso por el que se resuelven las formuladas y se apruebe definitivamente.</w:t>
      </w:r>
    </w:p>
    <w:p w:rsidR="00E23B86" w:rsidRDefault="00BA7C13">
      <w:pPr>
        <w:spacing w:after="110" w:line="248" w:lineRule="auto"/>
        <w:ind w:left="373" w:right="552" w:hanging="10"/>
        <w:jc w:val="both"/>
      </w:pPr>
      <w:r>
        <w:rPr>
          <w:rFonts w:ascii="Arial" w:eastAsia="Arial" w:hAnsi="Arial" w:cs="Arial"/>
        </w:rPr>
        <w:t>CUARTO. - El expediente 1667/2020 de modificación presupuestaria por Suplemento de Créditos financiado con remanente de tesore</w:t>
      </w:r>
      <w:r>
        <w:rPr>
          <w:rFonts w:ascii="Arial" w:eastAsia="Arial" w:hAnsi="Arial" w:cs="Arial"/>
        </w:rPr>
        <w:t>ría para gastos generales, definitivamente aprobado será insertado en el Boletín Oficial de la Provincia.”</w:t>
      </w:r>
    </w:p>
    <w:p w:rsidR="00E23B86" w:rsidRDefault="00BA7C13">
      <w:pPr>
        <w:spacing w:after="464" w:line="250" w:lineRule="auto"/>
        <w:ind w:left="355" w:right="565" w:hanging="10"/>
        <w:jc w:val="both"/>
      </w:pPr>
      <w:r>
        <w:rPr>
          <w:rFonts w:ascii="Arial" w:eastAsia="Arial" w:hAnsi="Arial" w:cs="Arial"/>
          <w:b/>
          <w:sz w:val="24"/>
        </w:rPr>
        <w:t>5.-Expediente 11880/2019. Propuesta de la Alcaldesa-Presidenta de fecha 24 de febrero de 2020 de adjudicación del contrato de la adquisición del bien inmueble: “parcelas de Acceso a Candelaria” aprobado por el Pleno de 26 de diciembre de 2019 y publicada l</w:t>
      </w:r>
      <w:r>
        <w:rPr>
          <w:rFonts w:ascii="Arial" w:eastAsia="Arial" w:hAnsi="Arial" w:cs="Arial"/>
          <w:b/>
          <w:sz w:val="24"/>
        </w:rPr>
        <w:t>a licitación pública en el Plataforma de Contratación del Sector Público de 10 de enero de 2020.</w:t>
      </w:r>
    </w:p>
    <w:p w:rsidR="00E23B86" w:rsidRDefault="00BA7C13">
      <w:pPr>
        <w:spacing w:after="485" w:line="249" w:lineRule="auto"/>
        <w:ind w:left="345" w:right="554" w:firstLine="708"/>
        <w:jc w:val="both"/>
      </w:pPr>
      <w:r>
        <w:rPr>
          <w:rFonts w:ascii="Arial" w:eastAsia="Arial" w:hAnsi="Arial" w:cs="Arial"/>
          <w:b/>
        </w:rPr>
        <w:t>Consta en el expediente informe de Secretaría General de fecha 24 de febrero de 2020 con la fiscalización favorable del Interventor Municipal de fecha 24 de febrero de 2020 que transcrito literalmente dice:</w:t>
      </w:r>
    </w:p>
    <w:p w:rsidR="00E23B86" w:rsidRDefault="00BA7C13">
      <w:pPr>
        <w:spacing w:after="110" w:line="248" w:lineRule="auto"/>
        <w:ind w:left="2112" w:right="552" w:hanging="10"/>
        <w:jc w:val="both"/>
      </w:pPr>
      <w:r>
        <w:rPr>
          <w:rFonts w:ascii="Arial" w:eastAsia="Arial" w:hAnsi="Arial" w:cs="Arial"/>
        </w:rPr>
        <w:t xml:space="preserve">“INFORME  DE SECRETARÍA GENERAL                  </w:t>
      </w:r>
      <w:r>
        <w:rPr>
          <w:rFonts w:ascii="Arial" w:eastAsia="Arial" w:hAnsi="Arial" w:cs="Arial"/>
        </w:rPr>
        <w:t xml:space="preserve">         </w:t>
      </w:r>
    </w:p>
    <w:p w:rsidR="00E23B86" w:rsidRDefault="00BA7C13">
      <w:pPr>
        <w:spacing w:after="483" w:line="248" w:lineRule="auto"/>
        <w:ind w:left="373" w:right="552" w:hanging="10"/>
        <w:jc w:val="both"/>
      </w:pPr>
      <w:r>
        <w:rPr>
          <w:rFonts w:ascii="Arial" w:eastAsia="Arial" w:hAnsi="Arial" w:cs="Arial"/>
        </w:rPr>
        <w:t>Visto el expediente antedicho el Secretario General emite el siguiente informe:</w:t>
      </w:r>
    </w:p>
    <w:p w:rsidR="00E23B86" w:rsidRDefault="00BA7C13">
      <w:pPr>
        <w:spacing w:after="95" w:line="265" w:lineRule="auto"/>
        <w:ind w:left="359" w:right="377" w:hanging="10"/>
        <w:jc w:val="center"/>
      </w:pPr>
      <w:r>
        <w:rPr>
          <w:rFonts w:ascii="Arial" w:eastAsia="Arial" w:hAnsi="Arial" w:cs="Arial"/>
        </w:rPr>
        <w:t xml:space="preserve">ANTECEDENTES DE HECHO </w:t>
      </w:r>
    </w:p>
    <w:p w:rsidR="00E23B86" w:rsidRDefault="00BA7C13">
      <w:pPr>
        <w:spacing w:after="110" w:line="248" w:lineRule="auto"/>
        <w:ind w:left="1070" w:right="552" w:hanging="10"/>
        <w:jc w:val="both"/>
      </w:pPr>
      <w:r>
        <w:rPr>
          <w:rFonts w:ascii="Arial" w:eastAsia="Arial" w:hAnsi="Arial" w:cs="Arial"/>
        </w:rPr>
        <w:t>Único.- Consta en el expediente los siguientes trámites:</w:t>
      </w:r>
    </w:p>
    <w:p w:rsidR="00E23B86" w:rsidRDefault="00BA7C13">
      <w:pPr>
        <w:spacing w:after="110" w:line="248" w:lineRule="auto"/>
        <w:ind w:left="363" w:right="552" w:firstLine="708"/>
        <w:jc w:val="both"/>
      </w:pPr>
      <w:r>
        <w:rPr>
          <w:rFonts w:ascii="Arial" w:eastAsia="Arial" w:hAnsi="Arial" w:cs="Arial"/>
        </w:rPr>
        <w:t>1.- Memoria de la Alcaldía-Presidencia de fecha 13 de diciembre de 2019 en el que se j</w:t>
      </w:r>
      <w:r>
        <w:rPr>
          <w:rFonts w:ascii="Arial" w:eastAsia="Arial" w:hAnsi="Arial" w:cs="Arial"/>
        </w:rPr>
        <w:t>ustifica la necesidad o conveniencia de la adquisición, el fin o fines a los que pretende destinarse el bien inmueble y el procedimiento de adjudicación.</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616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2808" name="Group 49280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171" name="Rectangle 2417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172" name="Rectangle 2417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101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2808" style="width:12.7031pt;height:280.35pt;position:absolute;mso-position-horizontal-relative:page;mso-position-horizontal:absolute;margin-left:681.958pt;mso-position-vertical-relative:page;margin-top:531.65pt;" coordsize="1613,35604">
                <v:rect id="Rectangle 2417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17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101 de 391 </w:t>
                        </w:r>
                      </w:p>
                    </w:txbxContent>
                  </v:textbox>
                </v:rect>
                <w10:wrap type="square"/>
              </v:group>
            </w:pict>
          </mc:Fallback>
        </mc:AlternateContent>
      </w:r>
      <w:r>
        <w:rPr>
          <w:rFonts w:ascii="Arial" w:eastAsia="Arial" w:hAnsi="Arial" w:cs="Arial"/>
        </w:rPr>
        <w:t>2.- Informe de la Arquitecta Municipal de 13 de diciembre de 2019 sobre la descripción, planos, ficha y la valoración técnica del bien inmueble objeto de la pre</w:t>
      </w:r>
      <w:r>
        <w:rPr>
          <w:rFonts w:ascii="Arial" w:eastAsia="Arial" w:hAnsi="Arial" w:cs="Arial"/>
        </w:rPr>
        <w:t>sente licitación y que la Técnico cifra en 2.270.150 euros.</w:t>
      </w:r>
    </w:p>
    <w:p w:rsidR="00E23B86" w:rsidRDefault="00BA7C13">
      <w:pPr>
        <w:spacing w:after="110" w:line="248" w:lineRule="auto"/>
        <w:ind w:left="363" w:right="552" w:firstLine="708"/>
        <w:jc w:val="both"/>
      </w:pPr>
      <w:r>
        <w:rPr>
          <w:rFonts w:ascii="Arial" w:eastAsia="Arial" w:hAnsi="Arial" w:cs="Arial"/>
        </w:rPr>
        <w:t>3.- Informe del Interventor de fecha 16 de diciembre de 2019, a petición del Secretario, en el que concluye que es competencia del Pleno porque los recursos ordinarios del presupuesto son de 21.75</w:t>
      </w:r>
      <w:r>
        <w:rPr>
          <w:rFonts w:ascii="Arial" w:eastAsia="Arial" w:hAnsi="Arial" w:cs="Arial"/>
        </w:rPr>
        <w:t>2.971 euros.</w:t>
      </w:r>
    </w:p>
    <w:p w:rsidR="00E23B86" w:rsidRDefault="00BA7C13">
      <w:pPr>
        <w:spacing w:after="110" w:line="248" w:lineRule="auto"/>
        <w:ind w:left="363" w:right="552" w:firstLine="708"/>
        <w:jc w:val="both"/>
      </w:pPr>
      <w:r>
        <w:rPr>
          <w:rFonts w:ascii="Arial" w:eastAsia="Arial" w:hAnsi="Arial" w:cs="Arial"/>
        </w:rPr>
        <w:t xml:space="preserve"> Por tanto el 10 por ciento de los recursos ordinarios es de 2.175.297,10 euros y el presupuesto de licitación es superior porque es de 2.270.150 euros por tanto es del Pleno.</w:t>
      </w:r>
    </w:p>
    <w:p w:rsidR="00E23B86" w:rsidRDefault="00BA7C13">
      <w:pPr>
        <w:spacing w:after="110" w:line="248" w:lineRule="auto"/>
        <w:ind w:left="363" w:right="552" w:firstLine="708"/>
        <w:jc w:val="both"/>
      </w:pPr>
      <w:r>
        <w:rPr>
          <w:rFonts w:ascii="Arial" w:eastAsia="Arial" w:hAnsi="Arial" w:cs="Arial"/>
        </w:rPr>
        <w:t>4.- Consta en el expediente documento contable A de autorización del gasto por importe de 2.270.150 euros de la aplicación presupuestaria 2019.13300.61000 una vez que se ha publicado la aprobación definitiva de la modificación presupuestaria por crédito ex</w:t>
      </w:r>
      <w:r>
        <w:rPr>
          <w:rFonts w:ascii="Arial" w:eastAsia="Arial" w:hAnsi="Arial" w:cs="Arial"/>
        </w:rPr>
        <w:t>traordinario en el BOP de fecha 16 de diciembre de 2019.</w:t>
      </w:r>
    </w:p>
    <w:p w:rsidR="00E23B86" w:rsidRDefault="00BA7C13">
      <w:pPr>
        <w:spacing w:after="110" w:line="248" w:lineRule="auto"/>
        <w:ind w:left="363" w:right="552" w:firstLine="708"/>
        <w:jc w:val="both"/>
      </w:pPr>
      <w:r>
        <w:rPr>
          <w:rFonts w:ascii="Arial" w:eastAsia="Arial" w:hAnsi="Arial" w:cs="Arial"/>
        </w:rPr>
        <w:t>5.- Consta en el expediente el PCAP firmado por el Agente de Empleo y Desarrollo Local y el Secretario General de fecha 20 de diciembre de 2020.</w:t>
      </w:r>
    </w:p>
    <w:p w:rsidR="00E23B86" w:rsidRDefault="00BA7C13">
      <w:pPr>
        <w:spacing w:after="110" w:line="248" w:lineRule="auto"/>
        <w:ind w:left="363" w:right="552" w:firstLine="708"/>
        <w:jc w:val="both"/>
      </w:pPr>
      <w:r>
        <w:rPr>
          <w:rFonts w:ascii="Arial" w:eastAsia="Arial" w:hAnsi="Arial" w:cs="Arial"/>
        </w:rPr>
        <w:t>6.- Consta en el expediente dictamen favorable de la C</w:t>
      </w:r>
      <w:r>
        <w:rPr>
          <w:rFonts w:ascii="Arial" w:eastAsia="Arial" w:hAnsi="Arial" w:cs="Arial"/>
        </w:rPr>
        <w:t>omisión Informativa de Planificación y Gestión Urbanística y Ambiental de fecha 20 de diciembre de 2020.</w:t>
      </w:r>
    </w:p>
    <w:p w:rsidR="00E23B86" w:rsidRDefault="00BA7C13">
      <w:pPr>
        <w:spacing w:after="110" w:line="248" w:lineRule="auto"/>
        <w:ind w:left="363" w:right="552" w:firstLine="708"/>
        <w:jc w:val="both"/>
      </w:pPr>
      <w:r>
        <w:rPr>
          <w:rFonts w:ascii="Arial" w:eastAsia="Arial" w:hAnsi="Arial" w:cs="Arial"/>
        </w:rPr>
        <w:t>7.- Consta en el expediente Acuerdo del Pleno ordinario de fecha 26 de diciembre de 2019 por el que se adopta el siguiente acuerdo:</w:t>
      </w:r>
    </w:p>
    <w:p w:rsidR="00E23B86" w:rsidRDefault="00BA7C13">
      <w:pPr>
        <w:spacing w:after="269" w:line="251" w:lineRule="auto"/>
        <w:ind w:left="345" w:right="705" w:firstLine="708"/>
        <w:jc w:val="both"/>
      </w:pPr>
      <w:r>
        <w:rPr>
          <w:rFonts w:ascii="Arial" w:eastAsia="Arial" w:hAnsi="Arial" w:cs="Arial"/>
          <w:i/>
        </w:rPr>
        <w:t>Primero.- Aprobar e</w:t>
      </w:r>
      <w:r>
        <w:rPr>
          <w:rFonts w:ascii="Arial" w:eastAsia="Arial" w:hAnsi="Arial" w:cs="Arial"/>
          <w:i/>
        </w:rPr>
        <w:t>l expediente de adquisición del bien inmueble: “parcelas del ámbito de la UA-C01 Acceso a Candelaria”, convocar su licitación y disponer la apertura del procedimiento de adjudicación</w:t>
      </w:r>
      <w:r>
        <w:rPr>
          <w:rFonts w:ascii="Arial" w:eastAsia="Arial" w:hAnsi="Arial" w:cs="Arial"/>
          <w:i/>
          <w:sz w:val="24"/>
        </w:rPr>
        <w:t xml:space="preserve">. </w:t>
      </w:r>
    </w:p>
    <w:p w:rsidR="00E23B86" w:rsidRDefault="00BA7C13">
      <w:pPr>
        <w:spacing w:after="266" w:line="250" w:lineRule="auto"/>
        <w:ind w:left="1070" w:right="700" w:hanging="10"/>
        <w:jc w:val="both"/>
      </w:pPr>
      <w:r>
        <w:rPr>
          <w:rFonts w:ascii="Arial" w:eastAsia="Arial" w:hAnsi="Arial" w:cs="Arial"/>
          <w:i/>
          <w:sz w:val="24"/>
        </w:rPr>
        <w:t>Segundo. Aprobar el gasto correspondiente:</w:t>
      </w:r>
    </w:p>
    <w:tbl>
      <w:tblPr>
        <w:tblStyle w:val="TableGrid"/>
        <w:tblW w:w="8631" w:type="dxa"/>
        <w:tblInd w:w="346" w:type="dxa"/>
        <w:tblCellMar>
          <w:top w:w="13" w:type="dxa"/>
          <w:left w:w="109" w:type="dxa"/>
          <w:bottom w:w="0" w:type="dxa"/>
          <w:right w:w="115" w:type="dxa"/>
        </w:tblCellMar>
        <w:tblLook w:val="04A0" w:firstRow="1" w:lastRow="0" w:firstColumn="1" w:lastColumn="0" w:noHBand="0" w:noVBand="1"/>
      </w:tblPr>
      <w:tblGrid>
        <w:gridCol w:w="2862"/>
        <w:gridCol w:w="2871"/>
        <w:gridCol w:w="2898"/>
      </w:tblGrid>
      <w:tr w:rsidR="00E23B86">
        <w:trPr>
          <w:trHeight w:val="561"/>
        </w:trPr>
        <w:tc>
          <w:tcPr>
            <w:tcW w:w="28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135"/>
              <w:jc w:val="center"/>
            </w:pPr>
            <w:r>
              <w:rPr>
                <w:rFonts w:ascii="Arial" w:eastAsia="Arial" w:hAnsi="Arial" w:cs="Arial"/>
                <w:i/>
                <w:sz w:val="24"/>
              </w:rPr>
              <w:t>Anualidad</w:t>
            </w:r>
          </w:p>
        </w:tc>
        <w:tc>
          <w:tcPr>
            <w:tcW w:w="2871"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i/>
                <w:sz w:val="24"/>
              </w:rPr>
              <w:t>Aplicación presupu</w:t>
            </w:r>
            <w:r>
              <w:rPr>
                <w:rFonts w:ascii="Arial" w:eastAsia="Arial" w:hAnsi="Arial" w:cs="Arial"/>
                <w:i/>
                <w:sz w:val="24"/>
              </w:rPr>
              <w:t>estaria</w:t>
            </w:r>
          </w:p>
        </w:tc>
        <w:tc>
          <w:tcPr>
            <w:tcW w:w="289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139"/>
              <w:jc w:val="center"/>
            </w:pPr>
            <w:r>
              <w:rPr>
                <w:rFonts w:ascii="Arial" w:eastAsia="Arial" w:hAnsi="Arial" w:cs="Arial"/>
                <w:i/>
                <w:sz w:val="24"/>
              </w:rPr>
              <w:t>Importe</w:t>
            </w:r>
          </w:p>
        </w:tc>
      </w:tr>
      <w:tr w:rsidR="00E23B86">
        <w:trPr>
          <w:trHeight w:val="287"/>
        </w:trPr>
        <w:tc>
          <w:tcPr>
            <w:tcW w:w="286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i/>
                <w:sz w:val="24"/>
              </w:rPr>
              <w:t>2019</w:t>
            </w:r>
          </w:p>
        </w:tc>
        <w:tc>
          <w:tcPr>
            <w:tcW w:w="2871"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i/>
                <w:sz w:val="24"/>
              </w:rPr>
              <w:t>13300.61000</w:t>
            </w:r>
          </w:p>
        </w:tc>
        <w:tc>
          <w:tcPr>
            <w:tcW w:w="289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i/>
                <w:sz w:val="24"/>
              </w:rPr>
              <w:t>2.270.150,00</w:t>
            </w:r>
          </w:p>
        </w:tc>
      </w:tr>
    </w:tbl>
    <w:p w:rsidR="00E23B86" w:rsidRDefault="00BA7C13">
      <w:pPr>
        <w:spacing w:after="266" w:line="250" w:lineRule="auto"/>
        <w:ind w:left="337" w:right="700" w:firstLine="708"/>
        <w:jc w:val="both"/>
      </w:pPr>
      <w:r>
        <w:rPr>
          <w:rFonts w:ascii="Arial" w:eastAsia="Arial" w:hAnsi="Arial" w:cs="Arial"/>
          <w:i/>
          <w:sz w:val="24"/>
        </w:rPr>
        <w:t xml:space="preserve">Tercero.- Aprobar el Pliego de Cláusulas Administrativas Particulares (PCAP) de fecha 20 de diciembre de 2019 y el informe técnico de valoración de 13 de diciembre de 2019 como tasación del bien que regirá la licitación. </w:t>
      </w:r>
    </w:p>
    <w:p w:rsidR="00E23B86" w:rsidRDefault="00BA7C13">
      <w:pPr>
        <w:spacing w:after="266" w:line="250" w:lineRule="auto"/>
        <w:ind w:left="337" w:right="700" w:firstLine="708"/>
        <w:jc w:val="both"/>
      </w:pPr>
      <w:r>
        <w:rPr>
          <w:rFonts w:ascii="Arial" w:eastAsia="Arial" w:hAnsi="Arial" w:cs="Arial"/>
          <w:i/>
          <w:sz w:val="24"/>
        </w:rPr>
        <w:t>Cuarto.- Publicar el anuncio de li</w:t>
      </w:r>
      <w:r>
        <w:rPr>
          <w:rFonts w:ascii="Arial" w:eastAsia="Arial" w:hAnsi="Arial" w:cs="Arial"/>
          <w:i/>
          <w:sz w:val="24"/>
        </w:rPr>
        <w:t xml:space="preserve">citación en el perfil de contratante con el contenido contemplado en el anexo III de la Ley 9/2017 de 8 de noviembre, de Contratos del Sector Público. </w:t>
      </w:r>
    </w:p>
    <w:p w:rsidR="00E23B86" w:rsidRDefault="00BA7C13">
      <w:pPr>
        <w:spacing w:after="266" w:line="250" w:lineRule="auto"/>
        <w:ind w:left="337" w:right="700" w:firstLine="708"/>
        <w:jc w:val="both"/>
      </w:pPr>
      <w:r>
        <w:rPr>
          <w:rFonts w:ascii="Arial" w:eastAsia="Arial" w:hAnsi="Arial" w:cs="Arial"/>
          <w:i/>
          <w:sz w:val="24"/>
        </w:rPr>
        <w:t>Quinto.- Publicar en el perfil de contratante la siguiente documentación integrante del expediente de co</w:t>
      </w:r>
      <w:r>
        <w:rPr>
          <w:rFonts w:ascii="Arial" w:eastAsia="Arial" w:hAnsi="Arial" w:cs="Arial"/>
          <w:i/>
          <w:sz w:val="24"/>
        </w:rPr>
        <w:t>ntratación: Memoria de la Alcaldía-Presidencia de 13 de diciembre de 2019 (con la modificación sobrevenidamente operada en los criterios de adjudicación que son 2, según la redacción del PCAP de 20 de diciembre de 2019), informe técnico de valoración y tas</w:t>
      </w:r>
      <w:r>
        <w:rPr>
          <w:rFonts w:ascii="Arial" w:eastAsia="Arial" w:hAnsi="Arial" w:cs="Arial"/>
          <w:i/>
          <w:sz w:val="24"/>
        </w:rPr>
        <w:t xml:space="preserve">ación del bien de 13 de diciembre de 2019, el PCAP de 20 de diciembre de 2019 y el certificado del acuerdo plenario adoptado. </w:t>
      </w:r>
    </w:p>
    <w:p w:rsidR="00E23B86" w:rsidRDefault="00BA7C13">
      <w:pPr>
        <w:spacing w:after="266" w:line="250" w:lineRule="auto"/>
        <w:ind w:left="337" w:right="700" w:firstLine="708"/>
        <w:jc w:val="both"/>
      </w:pPr>
      <w:r>
        <w:rPr>
          <w:rFonts w:ascii="Arial" w:eastAsia="Arial" w:hAnsi="Arial" w:cs="Arial"/>
          <w:i/>
          <w:sz w:val="24"/>
        </w:rPr>
        <w:t>Sexto.- Designar Responsable del presente contrato a Doña Nayra Guzman Hernández como Arquitecta municipal de la Oficina Técnica.</w:t>
      </w:r>
      <w:r>
        <w:rPr>
          <w:rFonts w:ascii="Arial" w:eastAsia="Arial" w:hAnsi="Arial" w:cs="Arial"/>
          <w:i/>
          <w:sz w:val="24"/>
        </w:rPr>
        <w:t xml:space="preserve"> </w:t>
      </w:r>
    </w:p>
    <w:p w:rsidR="00E23B86" w:rsidRDefault="00BA7C13">
      <w:pPr>
        <w:spacing w:after="266" w:line="250" w:lineRule="auto"/>
        <w:ind w:left="337" w:right="700" w:firstLine="708"/>
        <w:jc w:val="both"/>
      </w:pPr>
      <w:r>
        <w:rPr>
          <w:noProof/>
        </w:rPr>
        <mc:AlternateContent>
          <mc:Choice Requires="wpg">
            <w:drawing>
              <wp:anchor distT="0" distB="0" distL="114300" distR="114300" simplePos="0" relativeHeight="2517626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6397" name="Group 49639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268" name="Rectangle 2426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269" name="Rectangle 2426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102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6397" style="width:12.7031pt;height:280.35pt;position:absolute;mso-position-horizontal-relative:page;mso-position-horizontal:absolute;margin-left:681.958pt;mso-position-vertical-relative:page;margin-top:531.65pt;" coordsize="1613,35604">
                <v:rect id="Rectangle 2426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26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102 de 391 </w:t>
                        </w:r>
                      </w:p>
                    </w:txbxContent>
                  </v:textbox>
                </v:rect>
                <w10:wrap type="square"/>
              </v:group>
            </w:pict>
          </mc:Fallback>
        </mc:AlternateContent>
      </w:r>
      <w:r>
        <w:rPr>
          <w:rFonts w:ascii="Arial" w:eastAsia="Arial" w:hAnsi="Arial" w:cs="Arial"/>
          <w:i/>
          <w:sz w:val="24"/>
        </w:rPr>
        <w:t>Séptimo. - Designar como Unidad encargada del seguimient</w:t>
      </w:r>
      <w:r>
        <w:rPr>
          <w:rFonts w:ascii="Arial" w:eastAsia="Arial" w:hAnsi="Arial" w:cs="Arial"/>
          <w:i/>
          <w:sz w:val="24"/>
        </w:rPr>
        <w:t>o y ejecución del contrato: Concejalía de P. y G. Urbanística y Ambiental.</w:t>
      </w:r>
    </w:p>
    <w:p w:rsidR="00E23B86" w:rsidRDefault="00BA7C13">
      <w:pPr>
        <w:spacing w:after="716" w:line="250" w:lineRule="auto"/>
        <w:ind w:left="337" w:right="700" w:firstLine="708"/>
        <w:jc w:val="both"/>
      </w:pPr>
      <w:r>
        <w:rPr>
          <w:rFonts w:ascii="Arial" w:eastAsia="Arial" w:hAnsi="Arial" w:cs="Arial"/>
          <w:i/>
          <w:sz w:val="24"/>
        </w:rPr>
        <w:t>Octavo.- Queda condiciona la adjudicación, a la condición suspensiva de la efectiva dotación de crédito en el ejercicio siguiente, mediante la oportuna modificación presupuestaria, por incorporación de remanentes de créditos, financiado con remanente de te</w:t>
      </w:r>
      <w:r>
        <w:rPr>
          <w:rFonts w:ascii="Arial" w:eastAsia="Arial" w:hAnsi="Arial" w:cs="Arial"/>
          <w:i/>
          <w:sz w:val="24"/>
        </w:rPr>
        <w:t xml:space="preserve">sorería, una vez aprobada la liquidación del presupuesto general según el informe del Interventor de fecha 20 de diciembre de 2019. </w:t>
      </w:r>
    </w:p>
    <w:p w:rsidR="00E23B86" w:rsidRDefault="00BA7C13">
      <w:pPr>
        <w:spacing w:after="110" w:line="248" w:lineRule="auto"/>
        <w:ind w:left="363" w:right="552" w:firstLine="708"/>
        <w:jc w:val="both"/>
      </w:pPr>
      <w:r>
        <w:rPr>
          <w:rFonts w:ascii="Arial" w:eastAsia="Arial" w:hAnsi="Arial" w:cs="Arial"/>
        </w:rPr>
        <w:t>8.- La presente licitación se publicó en el PCSP entre el día 10 de enero de 2020 y el día 5 de febrero de 2020.</w:t>
      </w:r>
    </w:p>
    <w:p w:rsidR="00E23B86" w:rsidRDefault="00BA7C13">
      <w:pPr>
        <w:spacing w:after="110" w:line="248" w:lineRule="auto"/>
        <w:ind w:left="363" w:right="552" w:firstLine="708"/>
        <w:jc w:val="both"/>
      </w:pPr>
      <w:r>
        <w:rPr>
          <w:rFonts w:ascii="Arial" w:eastAsia="Arial" w:hAnsi="Arial" w:cs="Arial"/>
        </w:rPr>
        <w:t>9.- Consta</w:t>
      </w:r>
      <w:r>
        <w:rPr>
          <w:rFonts w:ascii="Arial" w:eastAsia="Arial" w:hAnsi="Arial" w:cs="Arial"/>
        </w:rPr>
        <w:t xml:space="preserve"> en el expediente certificación de la Secretaria de la Mesa de Contratación de fecha 7 de febrero de 2020 sobre la única oferta presentada a nombre de:</w:t>
      </w:r>
    </w:p>
    <w:p w:rsidR="00E23B86" w:rsidRDefault="00BA7C13">
      <w:pPr>
        <w:spacing w:after="110" w:line="248" w:lineRule="auto"/>
        <w:ind w:left="373" w:right="552" w:hanging="10"/>
        <w:jc w:val="both"/>
      </w:pPr>
      <w:r>
        <w:rPr>
          <w:rFonts w:ascii="Arial" w:eastAsia="Arial" w:hAnsi="Arial" w:cs="Arial"/>
        </w:rPr>
        <w:t>Andrés Jesús Chico Castellano.</w:t>
      </w:r>
    </w:p>
    <w:p w:rsidR="00E23B86" w:rsidRDefault="00BA7C13">
      <w:pPr>
        <w:spacing w:after="110" w:line="248" w:lineRule="auto"/>
        <w:ind w:left="373" w:right="552" w:hanging="10"/>
        <w:jc w:val="both"/>
      </w:pPr>
      <w:r>
        <w:rPr>
          <w:rFonts w:ascii="Arial" w:eastAsia="Arial" w:hAnsi="Arial" w:cs="Arial"/>
        </w:rPr>
        <w:t>Evangelina Chico Castellano.</w:t>
      </w:r>
    </w:p>
    <w:p w:rsidR="00E23B86" w:rsidRDefault="00BA7C13">
      <w:pPr>
        <w:spacing w:after="2" w:line="353" w:lineRule="auto"/>
        <w:ind w:left="373" w:right="5597" w:hanging="10"/>
        <w:jc w:val="both"/>
      </w:pPr>
      <w:r>
        <w:rPr>
          <w:rFonts w:ascii="Arial" w:eastAsia="Arial" w:hAnsi="Arial" w:cs="Arial"/>
        </w:rPr>
        <w:t xml:space="preserve">José  Aurelio Chico Castellano Juan Carmelo </w:t>
      </w:r>
      <w:r>
        <w:rPr>
          <w:rFonts w:ascii="Arial" w:eastAsia="Arial" w:hAnsi="Arial" w:cs="Arial"/>
        </w:rPr>
        <w:t xml:space="preserve">Chico Castellano. </w:t>
      </w:r>
    </w:p>
    <w:p w:rsidR="00E23B86" w:rsidRDefault="00BA7C13">
      <w:pPr>
        <w:spacing w:after="110" w:line="248" w:lineRule="auto"/>
        <w:ind w:left="373" w:right="552" w:hanging="10"/>
        <w:jc w:val="both"/>
      </w:pPr>
      <w:r>
        <w:rPr>
          <w:rFonts w:ascii="Arial" w:eastAsia="Arial" w:hAnsi="Arial" w:cs="Arial"/>
        </w:rPr>
        <w:t>Heraclia Castro  Castro.</w:t>
      </w:r>
    </w:p>
    <w:p w:rsidR="00E23B86" w:rsidRDefault="00BA7C13">
      <w:pPr>
        <w:spacing w:after="110" w:line="248" w:lineRule="auto"/>
        <w:ind w:left="373" w:right="552" w:hanging="10"/>
        <w:jc w:val="both"/>
      </w:pPr>
      <w:r>
        <w:rPr>
          <w:rFonts w:ascii="Arial" w:eastAsia="Arial" w:hAnsi="Arial" w:cs="Arial"/>
        </w:rPr>
        <w:t xml:space="preserve">Ramiro Oliva Rodríguez. </w:t>
      </w:r>
    </w:p>
    <w:p w:rsidR="00E23B86" w:rsidRDefault="00BA7C13">
      <w:pPr>
        <w:spacing w:after="485" w:line="248" w:lineRule="auto"/>
        <w:ind w:left="363" w:right="552" w:firstLine="708"/>
        <w:jc w:val="both"/>
      </w:pPr>
      <w:r>
        <w:rPr>
          <w:rFonts w:ascii="Arial" w:eastAsia="Arial" w:hAnsi="Arial" w:cs="Arial"/>
        </w:rPr>
        <w:t>10.- Se transcriben a continuación las 3 Mesas de Contratación celebradas los días 12, 14 y 19 de febrero de 2020:</w:t>
      </w:r>
    </w:p>
    <w:p w:rsidR="00E23B86" w:rsidRDefault="00BA7C13">
      <w:pPr>
        <w:spacing w:after="467" w:line="265" w:lineRule="auto"/>
        <w:ind w:left="1780" w:hanging="10"/>
      </w:pPr>
      <w:r>
        <w:rPr>
          <w:rFonts w:ascii="Arial" w:eastAsia="Arial" w:hAnsi="Arial" w:cs="Arial"/>
          <w:u w:val="single" w:color="000000"/>
        </w:rPr>
        <w:t>Mesa de contratación de fecha 12 de febrero de 2020:</w:t>
      </w:r>
    </w:p>
    <w:p w:rsidR="00E23B86" w:rsidRDefault="00BA7C13">
      <w:pPr>
        <w:spacing w:after="502" w:line="249" w:lineRule="auto"/>
        <w:ind w:left="336" w:right="550" w:hanging="10"/>
        <w:jc w:val="center"/>
      </w:pPr>
      <w:r>
        <w:rPr>
          <w:rFonts w:ascii="Arial" w:eastAsia="Arial" w:hAnsi="Arial" w:cs="Arial"/>
          <w:i/>
        </w:rPr>
        <w:t>ACTA</w:t>
      </w:r>
    </w:p>
    <w:p w:rsidR="00E23B86" w:rsidRDefault="00BA7C13">
      <w:pPr>
        <w:spacing w:after="0" w:line="250" w:lineRule="auto"/>
        <w:ind w:left="347" w:hanging="10"/>
      </w:pPr>
      <w:r>
        <w:rPr>
          <w:rFonts w:ascii="Arial" w:eastAsia="Arial" w:hAnsi="Arial" w:cs="Arial"/>
          <w:i/>
          <w:sz w:val="24"/>
          <w:u w:val="single" w:color="000000"/>
        </w:rPr>
        <w:t>DE CALIFICACIÓN DE LA DOCUMENTACIÓN GENERAL Y APERTURA DEL SOBRE A, DEL PROCEDIMIENTO ABIERTO, PARA LA CONTRATACIÓN</w:t>
      </w:r>
    </w:p>
    <w:p w:rsidR="00E23B86" w:rsidRDefault="00BA7C13">
      <w:pPr>
        <w:spacing w:after="246" w:line="250" w:lineRule="auto"/>
        <w:ind w:left="347" w:hanging="10"/>
      </w:pPr>
      <w:r>
        <w:rPr>
          <w:rFonts w:ascii="Arial" w:eastAsia="Arial" w:hAnsi="Arial" w:cs="Arial"/>
          <w:i/>
          <w:sz w:val="24"/>
          <w:u w:val="single" w:color="000000"/>
        </w:rPr>
        <w:t>CONSISTENTE EN LA ADQUISICIÓN DE PARCELA DE LA UA-CO1ACCESO A CANDELARIA</w:t>
      </w:r>
    </w:p>
    <w:p w:rsidR="00E23B86" w:rsidRDefault="00BA7C13">
      <w:pPr>
        <w:spacing w:after="240" w:line="251" w:lineRule="auto"/>
        <w:ind w:left="355" w:right="573" w:hanging="10"/>
        <w:jc w:val="both"/>
      </w:pPr>
      <w:r>
        <w:rPr>
          <w:rFonts w:ascii="Arial" w:eastAsia="Arial" w:hAnsi="Arial" w:cs="Arial"/>
          <w:i/>
        </w:rPr>
        <w:t xml:space="preserve">Miembros de la Mesa de Contratación </w:t>
      </w:r>
    </w:p>
    <w:p w:rsidR="00E23B86" w:rsidRDefault="00BA7C13">
      <w:pPr>
        <w:spacing w:after="242" w:line="249" w:lineRule="auto"/>
        <w:ind w:left="347" w:hanging="10"/>
      </w:pPr>
      <w:r>
        <w:rPr>
          <w:rFonts w:ascii="Arial" w:eastAsia="Arial" w:hAnsi="Arial" w:cs="Arial"/>
          <w:i/>
          <w:u w:val="single" w:color="000000"/>
        </w:rPr>
        <w:t>Asistentes:</w:t>
      </w:r>
    </w:p>
    <w:p w:rsidR="00E23B86" w:rsidRDefault="00BA7C13">
      <w:pPr>
        <w:spacing w:after="5" w:line="249" w:lineRule="auto"/>
        <w:ind w:left="347" w:hanging="10"/>
      </w:pPr>
      <w:r>
        <w:rPr>
          <w:rFonts w:ascii="Arial" w:eastAsia="Arial" w:hAnsi="Arial" w:cs="Arial"/>
          <w:i/>
          <w:u w:val="single" w:color="000000"/>
        </w:rPr>
        <w:t>Presidente:</w:t>
      </w:r>
    </w:p>
    <w:p w:rsidR="00E23B86" w:rsidRDefault="00BA7C13">
      <w:pPr>
        <w:spacing w:after="240" w:line="251" w:lineRule="auto"/>
        <w:ind w:left="355" w:right="573" w:hanging="10"/>
        <w:jc w:val="both"/>
      </w:pPr>
      <w:r>
        <w:rPr>
          <w:rFonts w:ascii="Arial" w:eastAsia="Arial" w:hAnsi="Arial" w:cs="Arial"/>
          <w:i/>
        </w:rPr>
        <w:t>D. Jor</w:t>
      </w:r>
      <w:r>
        <w:rPr>
          <w:rFonts w:ascii="Arial" w:eastAsia="Arial" w:hAnsi="Arial" w:cs="Arial"/>
          <w:i/>
        </w:rPr>
        <w:t>ge Baute Delgado</w:t>
      </w:r>
    </w:p>
    <w:p w:rsidR="00E23B86" w:rsidRDefault="00BA7C13">
      <w:pPr>
        <w:spacing w:after="5" w:line="249" w:lineRule="auto"/>
        <w:ind w:left="347" w:hanging="10"/>
      </w:pPr>
      <w:r>
        <w:rPr>
          <w:rFonts w:ascii="Arial" w:eastAsia="Arial" w:hAnsi="Arial" w:cs="Arial"/>
          <w:i/>
          <w:u w:val="single" w:color="000000"/>
        </w:rPr>
        <w:t>Vocales</w:t>
      </w:r>
      <w:r>
        <w:rPr>
          <w:rFonts w:ascii="Arial" w:eastAsia="Arial" w:hAnsi="Arial" w:cs="Arial"/>
          <w:i/>
        </w:rPr>
        <w:t>:</w:t>
      </w:r>
    </w:p>
    <w:p w:rsidR="00E23B86" w:rsidRDefault="00BA7C13">
      <w:pPr>
        <w:spacing w:after="8" w:line="251" w:lineRule="auto"/>
        <w:ind w:left="355" w:right="573" w:hanging="10"/>
        <w:jc w:val="both"/>
      </w:pPr>
      <w:r>
        <w:rPr>
          <w:rFonts w:ascii="Arial" w:eastAsia="Arial" w:hAnsi="Arial" w:cs="Arial"/>
          <w:i/>
        </w:rPr>
        <w:t xml:space="preserve">D. Airam Pérez Chinea </w:t>
      </w:r>
    </w:p>
    <w:p w:rsidR="00E23B86" w:rsidRDefault="00BA7C13">
      <w:pPr>
        <w:spacing w:after="8" w:line="251" w:lineRule="auto"/>
        <w:ind w:left="355" w:right="573" w:hanging="10"/>
        <w:jc w:val="both"/>
      </w:pPr>
      <w:r>
        <w:rPr>
          <w:noProof/>
        </w:rPr>
        <mc:AlternateContent>
          <mc:Choice Requires="wpg">
            <w:drawing>
              <wp:anchor distT="0" distB="0" distL="114300" distR="114300" simplePos="0" relativeHeight="2517637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4087" name="Group 49408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339" name="Rectangle 2433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340" name="Rectangle 2434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103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4087" style="width:12.7031pt;height:280.35pt;position:absolute;mso-position-horizontal-relative:page;mso-position-horizontal:absolute;margin-left:681.958pt;mso-position-vertical-relative:page;margin-top:531.65pt;" coordsize="1613,35604">
                <v:rect id="Rectangle 2433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34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103 de 391 </w:t>
                        </w:r>
                      </w:p>
                    </w:txbxContent>
                  </v:textbox>
                </v:rect>
                <w10:wrap type="square"/>
              </v:group>
            </w:pict>
          </mc:Fallback>
        </mc:AlternateContent>
      </w:r>
      <w:r>
        <w:rPr>
          <w:rFonts w:ascii="Arial" w:eastAsia="Arial" w:hAnsi="Arial" w:cs="Arial"/>
          <w:i/>
        </w:rPr>
        <w:t>D. Octavi</w:t>
      </w:r>
      <w:r>
        <w:rPr>
          <w:rFonts w:ascii="Arial" w:eastAsia="Arial" w:hAnsi="Arial" w:cs="Arial"/>
          <w:i/>
        </w:rPr>
        <w:t xml:space="preserve">o Manuel Fernández Hernández </w:t>
      </w:r>
    </w:p>
    <w:p w:rsidR="00E23B86" w:rsidRDefault="00BA7C13">
      <w:pPr>
        <w:spacing w:after="8" w:line="251" w:lineRule="auto"/>
        <w:ind w:left="355" w:right="573" w:hanging="10"/>
        <w:jc w:val="both"/>
      </w:pPr>
      <w:r>
        <w:rPr>
          <w:rFonts w:ascii="Arial" w:eastAsia="Arial" w:hAnsi="Arial" w:cs="Arial"/>
          <w:i/>
        </w:rPr>
        <w:t>D. Nicolás Rojo Garnica</w:t>
      </w:r>
    </w:p>
    <w:p w:rsidR="00E23B86" w:rsidRDefault="00BA7C13">
      <w:pPr>
        <w:spacing w:after="8" w:line="251" w:lineRule="auto"/>
        <w:ind w:left="355" w:right="573" w:hanging="10"/>
        <w:jc w:val="both"/>
      </w:pPr>
      <w:r>
        <w:rPr>
          <w:rFonts w:ascii="Arial" w:eastAsia="Arial" w:hAnsi="Arial" w:cs="Arial"/>
          <w:i/>
        </w:rPr>
        <w:t xml:space="preserve">D. Zebenzui Mesa Marcelino </w:t>
      </w:r>
    </w:p>
    <w:p w:rsidR="00E23B86" w:rsidRDefault="00BA7C13">
      <w:pPr>
        <w:spacing w:after="5" w:line="249" w:lineRule="auto"/>
        <w:ind w:left="347" w:hanging="10"/>
      </w:pPr>
      <w:r>
        <w:rPr>
          <w:rFonts w:ascii="Arial" w:eastAsia="Arial" w:hAnsi="Arial" w:cs="Arial"/>
          <w:i/>
          <w:u w:val="single" w:color="000000"/>
        </w:rPr>
        <w:t>Secretaria</w:t>
      </w:r>
    </w:p>
    <w:p w:rsidR="00E23B86" w:rsidRDefault="00BA7C13">
      <w:pPr>
        <w:spacing w:after="263" w:line="251" w:lineRule="auto"/>
        <w:ind w:left="355" w:right="5628" w:hanging="10"/>
        <w:jc w:val="both"/>
      </w:pPr>
      <w:r>
        <w:rPr>
          <w:rFonts w:ascii="Arial" w:eastAsia="Arial" w:hAnsi="Arial" w:cs="Arial"/>
          <w:i/>
        </w:rPr>
        <w:t xml:space="preserve">Dña. Mª del Pilar Chico Delgado </w:t>
      </w:r>
      <w:r>
        <w:rPr>
          <w:rFonts w:ascii="Arial" w:eastAsia="Arial" w:hAnsi="Arial" w:cs="Arial"/>
          <w:i/>
          <w:u w:val="single" w:color="000000"/>
        </w:rPr>
        <w:t>No asistentes:</w:t>
      </w:r>
    </w:p>
    <w:p w:rsidR="00E23B86" w:rsidRDefault="00BA7C13">
      <w:pPr>
        <w:spacing w:after="0"/>
        <w:ind w:left="352"/>
      </w:pPr>
      <w:r>
        <w:rPr>
          <w:rFonts w:ascii="Arial" w:eastAsia="Arial" w:hAnsi="Arial" w:cs="Arial"/>
          <w:i/>
          <w:sz w:val="24"/>
        </w:rPr>
        <w:t xml:space="preserve">  </w:t>
      </w:r>
    </w:p>
    <w:p w:rsidR="00E23B86" w:rsidRDefault="00BA7C13">
      <w:pPr>
        <w:spacing w:after="243" w:line="251" w:lineRule="auto"/>
        <w:ind w:left="345" w:right="573" w:firstLine="708"/>
        <w:jc w:val="both"/>
      </w:pPr>
      <w:r>
        <w:rPr>
          <w:rFonts w:ascii="Arial" w:eastAsia="Arial" w:hAnsi="Arial" w:cs="Arial"/>
          <w:i/>
        </w:rPr>
        <w:t xml:space="preserve">En Candelaria, a once de febrero de dos mil veinte, siendo las nueve horas y diez  minutos, se constituye en la Sala de reuniones de la Casa Consistorial, la Mesa de Contratación designada en el procedimiento abierto para la contratación consistente en la </w:t>
      </w:r>
      <w:r>
        <w:rPr>
          <w:rFonts w:ascii="Arial" w:eastAsia="Arial" w:hAnsi="Arial" w:cs="Arial"/>
          <w:i/>
        </w:rPr>
        <w:t>adquisición de una parcela de la UA-CO1-Acceso a Candelaria,  al objeto de proceder a la apertura del sobre A de las proposiciones presentadas, de acuerdo con lo establecido en la cláusula décima del Pliego de cláusulas administrativas particulares que rig</w:t>
      </w:r>
      <w:r>
        <w:rPr>
          <w:rFonts w:ascii="Arial" w:eastAsia="Arial" w:hAnsi="Arial" w:cs="Arial"/>
          <w:i/>
        </w:rPr>
        <w:t>e el mencionado procedimiento.</w:t>
      </w:r>
    </w:p>
    <w:p w:rsidR="00E23B86" w:rsidRDefault="00BA7C13">
      <w:pPr>
        <w:spacing w:after="265" w:line="251" w:lineRule="auto"/>
        <w:ind w:left="345" w:right="573" w:firstLine="708"/>
        <w:jc w:val="both"/>
      </w:pPr>
      <w:r>
        <w:rPr>
          <w:rFonts w:ascii="Arial" w:eastAsia="Arial" w:hAnsi="Arial" w:cs="Arial"/>
          <w:i/>
        </w:rPr>
        <w:t>El pliego de cláusulas administrativas particulares y el informe técnico de valoración del inmueble han sido aprobados mediante Acuerdo del Ayuntamiento Pleno en sesión ordinaria de fecha 26 de diciembre de 2019.</w:t>
      </w:r>
    </w:p>
    <w:p w:rsidR="00E23B86" w:rsidRDefault="00BA7C13">
      <w:pPr>
        <w:spacing w:after="274" w:line="241" w:lineRule="auto"/>
        <w:ind w:left="3280" w:right="3503"/>
        <w:jc w:val="center"/>
      </w:pPr>
      <w:r>
        <w:rPr>
          <w:rFonts w:ascii="Arial" w:eastAsia="Arial" w:hAnsi="Arial" w:cs="Arial"/>
          <w:i/>
        </w:rPr>
        <w:t>I</w:t>
      </w:r>
    </w:p>
    <w:p w:rsidR="00E23B86" w:rsidRDefault="00BA7C13">
      <w:pPr>
        <w:spacing w:after="274" w:line="241" w:lineRule="auto"/>
        <w:ind w:left="3280" w:right="3503"/>
        <w:jc w:val="center"/>
      </w:pPr>
      <w:r>
        <w:rPr>
          <w:rFonts w:ascii="Arial" w:eastAsia="Arial" w:hAnsi="Arial" w:cs="Arial"/>
          <w:b/>
          <w:i/>
          <w:color w:val="00000A"/>
        </w:rPr>
        <w:t>ACTO DE CALIFICACIÓN</w:t>
      </w:r>
    </w:p>
    <w:p w:rsidR="00E23B86" w:rsidRDefault="00BA7C13">
      <w:pPr>
        <w:spacing w:after="111" w:line="251" w:lineRule="auto"/>
        <w:ind w:left="345" w:right="573" w:firstLine="708"/>
        <w:jc w:val="both"/>
      </w:pPr>
      <w:r>
        <w:rPr>
          <w:rFonts w:ascii="Arial" w:eastAsia="Arial" w:hAnsi="Arial" w:cs="Arial"/>
          <w:i/>
        </w:rPr>
        <w:t>Declarado abierto el acto por la Presidencia, se da lectura del certificado de proposiciones:</w:t>
      </w:r>
    </w:p>
    <w:p w:rsidR="00E23B86" w:rsidRDefault="00BA7C13">
      <w:pPr>
        <w:spacing w:after="111" w:line="251" w:lineRule="auto"/>
        <w:ind w:left="355" w:right="573" w:hanging="10"/>
        <w:jc w:val="both"/>
      </w:pPr>
      <w:r>
        <w:rPr>
          <w:rFonts w:ascii="Arial" w:eastAsia="Arial" w:hAnsi="Arial" w:cs="Arial"/>
          <w:i/>
        </w:rPr>
        <w:t>“MARÍA DEL PILAR CHICO DELGADO, SECRETARIA DE LA MESA DE CONTRATACIÓN DE LA LICITACIÓN: ADQUISICIÓN PARCELA DE LA UA-CO1. ACCESO A CANDELARIA</w:t>
      </w:r>
      <w:r>
        <w:rPr>
          <w:rFonts w:ascii="Arial" w:eastAsia="Arial" w:hAnsi="Arial" w:cs="Arial"/>
          <w:i/>
        </w:rPr>
        <w:t>.</w:t>
      </w:r>
    </w:p>
    <w:p w:rsidR="00E23B86" w:rsidRDefault="00BA7C13">
      <w:pPr>
        <w:spacing w:after="242" w:line="249" w:lineRule="auto"/>
        <w:ind w:left="336" w:right="552" w:hanging="10"/>
        <w:jc w:val="center"/>
      </w:pPr>
      <w:r>
        <w:rPr>
          <w:rFonts w:ascii="Arial" w:eastAsia="Arial" w:hAnsi="Arial" w:cs="Arial"/>
          <w:i/>
        </w:rPr>
        <w:t>CERTIFICO</w:t>
      </w:r>
    </w:p>
    <w:p w:rsidR="00E23B86" w:rsidRDefault="00BA7C13">
      <w:pPr>
        <w:spacing w:after="8" w:line="251" w:lineRule="auto"/>
        <w:ind w:left="345" w:right="573" w:firstLine="696"/>
        <w:jc w:val="both"/>
      </w:pPr>
      <w:r>
        <w:rPr>
          <w:noProof/>
        </w:rPr>
        <mc:AlternateContent>
          <mc:Choice Requires="wpg">
            <w:drawing>
              <wp:anchor distT="0" distB="0" distL="114300" distR="114300" simplePos="0" relativeHeight="2517647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3394" name="Group 50339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441" name="Rectangle 2444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442" name="Rectangle 2444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3394" style="width:12.7031pt;height:280.35pt;position:absolute;mso-position-horizontal-relative:page;mso-position-horizontal:absolute;margin-left:681.958pt;mso-position-vertical-relative:page;margin-top:531.65pt;" coordsize="1613,35604">
                <v:rect id="Rectangle 2444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44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104 de 391 </w:t>
                        </w:r>
                      </w:p>
                    </w:txbxContent>
                  </v:textbox>
                </v:rect>
                <w10:wrap type="square"/>
              </v:group>
            </w:pict>
          </mc:Fallback>
        </mc:AlternateContent>
      </w:r>
      <w:r>
        <w:rPr>
          <w:rFonts w:ascii="Arial" w:eastAsia="Arial" w:hAnsi="Arial" w:cs="Arial"/>
          <w:i/>
        </w:rPr>
        <w:t>Que durante el plazo de los veintiséis días a contar desde el día siguiente al de publicación del anuncio de licitación en la plataforma de contratación del sector público, se han presentado en tiempo y forma las siguientes proposiciones:</w:t>
      </w:r>
    </w:p>
    <w:tbl>
      <w:tblPr>
        <w:tblStyle w:val="TableGrid"/>
        <w:tblW w:w="8649" w:type="dxa"/>
        <w:tblInd w:w="351" w:type="dxa"/>
        <w:tblCellMar>
          <w:top w:w="11" w:type="dxa"/>
          <w:left w:w="129" w:type="dxa"/>
          <w:bottom w:w="0" w:type="dxa"/>
          <w:right w:w="115" w:type="dxa"/>
        </w:tblCellMar>
        <w:tblLook w:val="04A0" w:firstRow="1" w:lastRow="0" w:firstColumn="1" w:lastColumn="0" w:noHBand="0" w:noVBand="1"/>
      </w:tblPr>
      <w:tblGrid>
        <w:gridCol w:w="2268"/>
        <w:gridCol w:w="2553"/>
        <w:gridCol w:w="3828"/>
      </w:tblGrid>
      <w:tr w:rsidR="00E23B86">
        <w:trPr>
          <w:trHeight w:val="381"/>
        </w:trPr>
        <w:tc>
          <w:tcPr>
            <w:tcW w:w="2268" w:type="dxa"/>
            <w:tcBorders>
              <w:top w:val="single" w:sz="4" w:space="0" w:color="A6A6A6"/>
              <w:left w:val="single" w:sz="4" w:space="0" w:color="A6A6A6"/>
              <w:bottom w:val="single" w:sz="4" w:space="0" w:color="A6A6A6"/>
              <w:right w:val="single" w:sz="4" w:space="0" w:color="A6A6A6"/>
            </w:tcBorders>
          </w:tcPr>
          <w:p w:rsidR="00E23B86" w:rsidRDefault="00BA7C13">
            <w:pPr>
              <w:spacing w:after="0"/>
              <w:ind w:right="29"/>
              <w:jc w:val="center"/>
            </w:pPr>
            <w:r>
              <w:rPr>
                <w:rFonts w:ascii="Arial" w:eastAsia="Arial" w:hAnsi="Arial" w:cs="Arial"/>
                <w:i/>
              </w:rPr>
              <w:t>Interesados</w:t>
            </w:r>
          </w:p>
        </w:tc>
        <w:tc>
          <w:tcPr>
            <w:tcW w:w="2553" w:type="dxa"/>
            <w:tcBorders>
              <w:top w:val="single" w:sz="4" w:space="0" w:color="A6A6A6"/>
              <w:left w:val="single" w:sz="4" w:space="0" w:color="A6A6A6"/>
              <w:bottom w:val="single" w:sz="4" w:space="0" w:color="A6A6A6"/>
              <w:right w:val="single" w:sz="5" w:space="0" w:color="A6A6A6"/>
            </w:tcBorders>
          </w:tcPr>
          <w:p w:rsidR="00E23B86" w:rsidRDefault="00BA7C13">
            <w:pPr>
              <w:spacing w:after="0"/>
              <w:ind w:right="33"/>
              <w:jc w:val="center"/>
            </w:pPr>
            <w:r>
              <w:rPr>
                <w:rFonts w:ascii="Arial" w:eastAsia="Arial" w:hAnsi="Arial" w:cs="Arial"/>
                <w:i/>
              </w:rPr>
              <w:t>Regis</w:t>
            </w:r>
            <w:r>
              <w:rPr>
                <w:rFonts w:ascii="Arial" w:eastAsia="Arial" w:hAnsi="Arial" w:cs="Arial"/>
                <w:i/>
              </w:rPr>
              <w:t>tro y Fecha</w:t>
            </w:r>
          </w:p>
        </w:tc>
        <w:tc>
          <w:tcPr>
            <w:tcW w:w="3828" w:type="dxa"/>
            <w:tcBorders>
              <w:top w:val="single" w:sz="4" w:space="0" w:color="A6A6A6"/>
              <w:left w:val="single" w:sz="5" w:space="0" w:color="A6A6A6"/>
              <w:bottom w:val="single" w:sz="4" w:space="0" w:color="A6A6A6"/>
              <w:right w:val="single" w:sz="5" w:space="0" w:color="A6A6A6"/>
            </w:tcBorders>
          </w:tcPr>
          <w:p w:rsidR="00E23B86" w:rsidRDefault="00BA7C13">
            <w:pPr>
              <w:spacing w:after="0"/>
              <w:ind w:right="35"/>
              <w:jc w:val="center"/>
            </w:pPr>
            <w:r>
              <w:rPr>
                <w:rFonts w:ascii="Arial" w:eastAsia="Arial" w:hAnsi="Arial" w:cs="Arial"/>
                <w:i/>
              </w:rPr>
              <w:t>Asunto</w:t>
            </w:r>
          </w:p>
        </w:tc>
      </w:tr>
      <w:tr w:rsidR="00E23B86">
        <w:trPr>
          <w:trHeight w:val="4293"/>
        </w:trPr>
        <w:tc>
          <w:tcPr>
            <w:tcW w:w="2268" w:type="dxa"/>
            <w:tcBorders>
              <w:top w:val="single" w:sz="4" w:space="0" w:color="A6A6A6"/>
              <w:left w:val="single" w:sz="4" w:space="0" w:color="A6A6A6"/>
              <w:bottom w:val="single" w:sz="4" w:space="0" w:color="A6A6A6"/>
              <w:right w:val="single" w:sz="4" w:space="0" w:color="A6A6A6"/>
            </w:tcBorders>
          </w:tcPr>
          <w:p w:rsidR="00E23B86" w:rsidRDefault="00BA7C13">
            <w:pPr>
              <w:numPr>
                <w:ilvl w:val="0"/>
                <w:numId w:val="228"/>
              </w:numPr>
              <w:spacing w:after="0"/>
              <w:ind w:right="11"/>
            </w:pPr>
            <w:r>
              <w:rPr>
                <w:rFonts w:ascii="Arial" w:eastAsia="Arial" w:hAnsi="Arial" w:cs="Arial"/>
                <w:i/>
                <w:sz w:val="18"/>
              </w:rPr>
              <w:t xml:space="preserve">ANDRÉS </w:t>
            </w:r>
          </w:p>
          <w:p w:rsidR="00E23B86" w:rsidRDefault="00BA7C13">
            <w:pPr>
              <w:spacing w:after="0"/>
              <w:ind w:left="700"/>
            </w:pPr>
            <w:r>
              <w:rPr>
                <w:rFonts w:ascii="Arial" w:eastAsia="Arial" w:hAnsi="Arial" w:cs="Arial"/>
                <w:i/>
                <w:sz w:val="18"/>
              </w:rPr>
              <w:t xml:space="preserve">JESÚS CHICO </w:t>
            </w:r>
          </w:p>
          <w:p w:rsidR="00E23B86" w:rsidRDefault="00BA7C13">
            <w:pPr>
              <w:spacing w:after="0" w:line="247" w:lineRule="auto"/>
              <w:ind w:left="340" w:right="42" w:firstLine="360"/>
            </w:pPr>
            <w:r>
              <w:rPr>
                <w:rFonts w:ascii="Arial" w:eastAsia="Arial" w:hAnsi="Arial" w:cs="Arial"/>
                <w:i/>
                <w:sz w:val="18"/>
              </w:rPr>
              <w:t xml:space="preserve">CASTELLANO </w:t>
            </w:r>
            <w:r>
              <w:rPr>
                <w:rFonts w:ascii="Segoe UI Symbol" w:eastAsia="Segoe UI Symbol" w:hAnsi="Segoe UI Symbol" w:cs="Segoe UI Symbol"/>
                <w:sz w:val="20"/>
              </w:rPr>
              <w:t xml:space="preserve"> </w:t>
            </w:r>
            <w:r>
              <w:rPr>
                <w:rFonts w:ascii="Arial" w:eastAsia="Arial" w:hAnsi="Arial" w:cs="Arial"/>
                <w:i/>
                <w:sz w:val="18"/>
              </w:rPr>
              <w:t xml:space="preserve">EVENGELINA </w:t>
            </w:r>
          </w:p>
          <w:p w:rsidR="00E23B86" w:rsidRDefault="00BA7C13">
            <w:pPr>
              <w:spacing w:after="0" w:line="248" w:lineRule="auto"/>
              <w:ind w:left="340" w:right="42" w:firstLine="360"/>
            </w:pPr>
            <w:r>
              <w:rPr>
                <w:rFonts w:ascii="Arial" w:eastAsia="Arial" w:hAnsi="Arial" w:cs="Arial"/>
                <w:i/>
                <w:sz w:val="18"/>
              </w:rPr>
              <w:t xml:space="preserve">CHICO CASTELLANO </w:t>
            </w:r>
            <w:r>
              <w:rPr>
                <w:rFonts w:ascii="Segoe UI Symbol" w:eastAsia="Segoe UI Symbol" w:hAnsi="Segoe UI Symbol" w:cs="Segoe UI Symbol"/>
                <w:sz w:val="20"/>
              </w:rPr>
              <w:t xml:space="preserve"> </w:t>
            </w:r>
            <w:r>
              <w:rPr>
                <w:rFonts w:ascii="Arial" w:eastAsia="Arial" w:hAnsi="Arial" w:cs="Arial"/>
                <w:i/>
                <w:sz w:val="18"/>
              </w:rPr>
              <w:t xml:space="preserve">HERACLIA CASTRO </w:t>
            </w:r>
          </w:p>
          <w:p w:rsidR="00E23B86" w:rsidRDefault="00BA7C13">
            <w:pPr>
              <w:spacing w:after="50"/>
              <w:ind w:left="127"/>
              <w:jc w:val="center"/>
            </w:pPr>
            <w:r>
              <w:rPr>
                <w:rFonts w:ascii="Arial" w:eastAsia="Arial" w:hAnsi="Arial" w:cs="Arial"/>
                <w:i/>
                <w:sz w:val="18"/>
              </w:rPr>
              <w:t>CASTRO</w:t>
            </w:r>
          </w:p>
          <w:p w:rsidR="00E23B86" w:rsidRDefault="00BA7C13">
            <w:pPr>
              <w:numPr>
                <w:ilvl w:val="0"/>
                <w:numId w:val="228"/>
              </w:numPr>
              <w:spacing w:after="0" w:line="248" w:lineRule="auto"/>
              <w:ind w:right="11"/>
            </w:pPr>
            <w:r>
              <w:rPr>
                <w:rFonts w:ascii="Arial" w:eastAsia="Arial" w:hAnsi="Arial" w:cs="Arial"/>
                <w:i/>
                <w:sz w:val="18"/>
              </w:rPr>
              <w:t xml:space="preserve">JOSE AURELIO CHICO CASTELLANO </w:t>
            </w:r>
            <w:r>
              <w:rPr>
                <w:rFonts w:ascii="Segoe UI Symbol" w:eastAsia="Segoe UI Symbol" w:hAnsi="Segoe UI Symbol" w:cs="Segoe UI Symbol"/>
                <w:sz w:val="20"/>
              </w:rPr>
              <w:t xml:space="preserve"> </w:t>
            </w:r>
            <w:r>
              <w:rPr>
                <w:rFonts w:ascii="Arial" w:eastAsia="Arial" w:hAnsi="Arial" w:cs="Arial"/>
                <w:i/>
                <w:sz w:val="18"/>
              </w:rPr>
              <w:t xml:space="preserve">JUAN </w:t>
            </w:r>
          </w:p>
          <w:p w:rsidR="00E23B86" w:rsidRDefault="00BA7C13">
            <w:pPr>
              <w:spacing w:after="0"/>
              <w:ind w:left="267"/>
              <w:jc w:val="center"/>
            </w:pPr>
            <w:r>
              <w:rPr>
                <w:rFonts w:ascii="Arial" w:eastAsia="Arial" w:hAnsi="Arial" w:cs="Arial"/>
                <w:i/>
                <w:sz w:val="18"/>
              </w:rPr>
              <w:t xml:space="preserve">CARMELO </w:t>
            </w:r>
          </w:p>
          <w:p w:rsidR="00E23B86" w:rsidRDefault="00BA7C13">
            <w:pPr>
              <w:spacing w:after="0"/>
              <w:ind w:left="340" w:right="34" w:firstLine="360"/>
            </w:pPr>
            <w:r>
              <w:rPr>
                <w:rFonts w:ascii="Arial" w:eastAsia="Arial" w:hAnsi="Arial" w:cs="Arial"/>
                <w:i/>
                <w:sz w:val="18"/>
              </w:rPr>
              <w:t xml:space="preserve">CHICO CASTELLANO </w:t>
            </w:r>
            <w:r>
              <w:rPr>
                <w:rFonts w:ascii="Segoe UI Symbol" w:eastAsia="Segoe UI Symbol" w:hAnsi="Segoe UI Symbol" w:cs="Segoe UI Symbol"/>
                <w:sz w:val="20"/>
              </w:rPr>
              <w:t xml:space="preserve"> </w:t>
            </w:r>
            <w:r>
              <w:rPr>
                <w:rFonts w:ascii="Arial" w:eastAsia="Arial" w:hAnsi="Arial" w:cs="Arial"/>
                <w:i/>
                <w:sz w:val="18"/>
              </w:rPr>
              <w:t>RAMIRO OLIVA RODRÍGUEZ</w:t>
            </w:r>
          </w:p>
        </w:tc>
        <w:tc>
          <w:tcPr>
            <w:tcW w:w="2553" w:type="dxa"/>
            <w:tcBorders>
              <w:top w:val="single" w:sz="4" w:space="0" w:color="A6A6A6"/>
              <w:left w:val="single" w:sz="4" w:space="0" w:color="A6A6A6"/>
              <w:bottom w:val="single" w:sz="4" w:space="0" w:color="A6A6A6"/>
              <w:right w:val="single" w:sz="5" w:space="0" w:color="A6A6A6"/>
            </w:tcBorders>
          </w:tcPr>
          <w:p w:rsidR="00E23B86" w:rsidRDefault="00BA7C13">
            <w:pPr>
              <w:spacing w:after="0"/>
              <w:ind w:right="30"/>
              <w:jc w:val="center"/>
            </w:pPr>
            <w:r>
              <w:rPr>
                <w:noProof/>
              </w:rPr>
              <w:drawing>
                <wp:inline distT="0" distB="0" distL="0" distR="0">
                  <wp:extent cx="862584" cy="219456"/>
                  <wp:effectExtent l="0" t="0" r="0" b="0"/>
                  <wp:docPr id="609789" name="Picture 609789"/>
                  <wp:cNvGraphicFramePr/>
                  <a:graphic xmlns:a="http://schemas.openxmlformats.org/drawingml/2006/main">
                    <a:graphicData uri="http://schemas.openxmlformats.org/drawingml/2006/picture">
                      <pic:pic xmlns:pic="http://schemas.openxmlformats.org/drawingml/2006/picture">
                        <pic:nvPicPr>
                          <pic:cNvPr id="609789" name="Picture 609789"/>
                          <pic:cNvPicPr/>
                        </pic:nvPicPr>
                        <pic:blipFill>
                          <a:blip r:embed="rId7"/>
                          <a:stretch>
                            <a:fillRect/>
                          </a:stretch>
                        </pic:blipFill>
                        <pic:spPr>
                          <a:xfrm>
                            <a:off x="0" y="0"/>
                            <a:ext cx="862584" cy="219456"/>
                          </a:xfrm>
                          <a:prstGeom prst="rect">
                            <a:avLst/>
                          </a:prstGeom>
                        </pic:spPr>
                      </pic:pic>
                    </a:graphicData>
                  </a:graphic>
                </wp:inline>
              </w:drawing>
            </w:r>
            <w:r>
              <w:rPr>
                <w:rFonts w:ascii="Arial" w:eastAsia="Arial" w:hAnsi="Arial" w:cs="Arial"/>
                <w:i/>
                <w:sz w:val="18"/>
              </w:rPr>
              <w:t xml:space="preserve"> //</w:t>
            </w:r>
          </w:p>
        </w:tc>
        <w:tc>
          <w:tcPr>
            <w:tcW w:w="3828" w:type="dxa"/>
            <w:tcBorders>
              <w:top w:val="single" w:sz="4" w:space="0" w:color="A6A6A6"/>
              <w:left w:val="single" w:sz="5" w:space="0" w:color="A6A6A6"/>
              <w:bottom w:val="single" w:sz="4" w:space="0" w:color="A6A6A6"/>
              <w:right w:val="single" w:sz="5" w:space="0" w:color="A6A6A6"/>
            </w:tcBorders>
          </w:tcPr>
          <w:p w:rsidR="00E23B86" w:rsidRDefault="00BA7C13">
            <w:pPr>
              <w:spacing w:after="2" w:line="239" w:lineRule="auto"/>
              <w:ind w:right="4"/>
              <w:jc w:val="center"/>
            </w:pPr>
            <w:r>
              <w:rPr>
                <w:rFonts w:ascii="Arial" w:eastAsia="Arial" w:hAnsi="Arial" w:cs="Arial"/>
                <w:i/>
                <w:sz w:val="18"/>
              </w:rPr>
              <w:t>Presentación de documentación en relación a la Licitación para la Adquisición de</w:t>
            </w:r>
          </w:p>
          <w:p w:rsidR="00E23B86" w:rsidRDefault="00BA7C13">
            <w:pPr>
              <w:spacing w:after="0"/>
              <w:jc w:val="center"/>
            </w:pPr>
            <w:r>
              <w:rPr>
                <w:rFonts w:ascii="Arial" w:eastAsia="Arial" w:hAnsi="Arial" w:cs="Arial"/>
                <w:i/>
                <w:sz w:val="18"/>
              </w:rPr>
              <w:t>Parcelas del ámbito de la AU-C01 (Acceso a Candelaria) Expte. nº 11880/2019</w:t>
            </w:r>
          </w:p>
        </w:tc>
      </w:tr>
    </w:tbl>
    <w:p w:rsidR="00E23B86" w:rsidRDefault="00BA7C13">
      <w:pPr>
        <w:spacing w:after="0" w:line="251" w:lineRule="auto"/>
        <w:ind w:left="345" w:right="573" w:firstLine="708"/>
        <w:jc w:val="both"/>
      </w:pPr>
      <w:r>
        <w:rPr>
          <w:rFonts w:ascii="Arial" w:eastAsia="Arial" w:hAnsi="Arial" w:cs="Arial"/>
          <w:i/>
        </w:rPr>
        <w:t>Y para que conste, a los efectos del expediente de su razón, emito el presente certificado con el V.º B.º del Sr. Alcalde Accidental, D. Jorge Baute Delgado</w:t>
      </w:r>
    </w:p>
    <w:p w:rsidR="00E23B86" w:rsidRDefault="00BA7C13">
      <w:pPr>
        <w:spacing w:after="8" w:line="251" w:lineRule="auto"/>
        <w:ind w:left="355" w:right="573" w:hanging="10"/>
        <w:jc w:val="both"/>
      </w:pPr>
      <w:r>
        <w:rPr>
          <w:rFonts w:ascii="Arial" w:eastAsia="Arial" w:hAnsi="Arial" w:cs="Arial"/>
          <w:i/>
        </w:rPr>
        <w:t>(delegación por decreto nº 278/2020 de 05 de febrero).”</w:t>
      </w:r>
    </w:p>
    <w:p w:rsidR="00E23B86" w:rsidRDefault="00BA7C13">
      <w:pPr>
        <w:spacing w:after="0" w:line="251" w:lineRule="auto"/>
        <w:ind w:left="345" w:right="573" w:firstLine="708"/>
        <w:jc w:val="both"/>
      </w:pPr>
      <w:r>
        <w:rPr>
          <w:rFonts w:ascii="Arial" w:eastAsia="Arial" w:hAnsi="Arial" w:cs="Arial"/>
          <w:i/>
        </w:rPr>
        <w:t>Acto seguido se procede a la apertura del s</w:t>
      </w:r>
      <w:r>
        <w:rPr>
          <w:rFonts w:ascii="Arial" w:eastAsia="Arial" w:hAnsi="Arial" w:cs="Arial"/>
          <w:i/>
        </w:rPr>
        <w:t>obre “A” y al examen de la documentación presentada por los licitadores, observando que la misma corresponde con la exigida 7.4 del PCAP.</w:t>
      </w:r>
    </w:p>
    <w:p w:rsidR="00E23B86" w:rsidRDefault="00BA7C13">
      <w:pPr>
        <w:spacing w:after="243" w:line="251" w:lineRule="auto"/>
        <w:ind w:left="345" w:right="573" w:firstLine="708"/>
        <w:jc w:val="both"/>
      </w:pPr>
      <w:r>
        <w:rPr>
          <w:rFonts w:ascii="Arial" w:eastAsia="Arial" w:hAnsi="Arial" w:cs="Arial"/>
          <w:i/>
        </w:rPr>
        <w:t>Posteriormente se comprueba que los bienes ofertados corresponden con la descripción técnica de la parcela realizada p</w:t>
      </w:r>
      <w:r>
        <w:rPr>
          <w:rFonts w:ascii="Arial" w:eastAsia="Arial" w:hAnsi="Arial" w:cs="Arial"/>
          <w:i/>
        </w:rPr>
        <w:t xml:space="preserve">or la Oficina Técnica Municipal, y que efectivamente  coinciden, adjuntándose al expediente las fichas catastrales facilitadas por dicha área y que corresponden con las certificaciones registrales aportadas por los licitadores.    </w:t>
      </w:r>
    </w:p>
    <w:p w:rsidR="00E23B86" w:rsidRDefault="00BA7C13">
      <w:pPr>
        <w:spacing w:after="1481" w:line="251" w:lineRule="auto"/>
        <w:ind w:left="345" w:right="573" w:firstLine="708"/>
        <w:jc w:val="both"/>
      </w:pPr>
      <w:r>
        <w:rPr>
          <w:rFonts w:ascii="Arial" w:eastAsia="Arial" w:hAnsi="Arial" w:cs="Arial"/>
          <w:i/>
        </w:rPr>
        <w:t>La Mesa de Contratación,</w:t>
      </w:r>
      <w:r>
        <w:rPr>
          <w:rFonts w:ascii="Arial" w:eastAsia="Arial" w:hAnsi="Arial" w:cs="Arial"/>
          <w:i/>
        </w:rPr>
        <w:t xml:space="preserve"> acuerda que se convoque la Mesa para la apertura del sobre C.</w:t>
      </w:r>
    </w:p>
    <w:p w:rsidR="00E23B86" w:rsidRDefault="00BA7C13">
      <w:pPr>
        <w:spacing w:after="3" w:line="265" w:lineRule="auto"/>
        <w:ind w:left="2674" w:hanging="10"/>
      </w:pPr>
      <w:r>
        <w:rPr>
          <w:rFonts w:ascii="Arial" w:eastAsia="Arial" w:hAnsi="Arial" w:cs="Arial"/>
          <w:u w:val="single" w:color="000000"/>
        </w:rPr>
        <w:t>Mesa de contratación de fecha 14 de febrero de 2020:</w:t>
      </w:r>
    </w:p>
    <w:p w:rsidR="00E23B86" w:rsidRDefault="00BA7C13">
      <w:pPr>
        <w:spacing w:after="111" w:line="249" w:lineRule="auto"/>
        <w:ind w:left="336" w:right="546" w:hanging="10"/>
        <w:jc w:val="center"/>
      </w:pPr>
      <w:r>
        <w:rPr>
          <w:rFonts w:ascii="Arial" w:eastAsia="Arial" w:hAnsi="Arial" w:cs="Arial"/>
          <w:i/>
        </w:rPr>
        <w:t>“ACTA</w:t>
      </w:r>
    </w:p>
    <w:p w:rsidR="00E23B86" w:rsidRDefault="00BA7C13">
      <w:pPr>
        <w:spacing w:after="0" w:line="250" w:lineRule="auto"/>
        <w:ind w:left="347" w:hanging="10"/>
      </w:pPr>
      <w:r>
        <w:rPr>
          <w:rFonts w:ascii="Arial" w:eastAsia="Arial" w:hAnsi="Arial" w:cs="Arial"/>
          <w:i/>
          <w:sz w:val="24"/>
          <w:u w:val="single" w:color="000000"/>
        </w:rPr>
        <w:t>APERTURA DEL SOBRE C, DEL PROCEDIMIENTO ABIERTO, PARA LA CONTRATACIÓN CONSISTENTE EN LA ADQUISICIÓN DE PARCELA DE LA</w:t>
      </w:r>
    </w:p>
    <w:p w:rsidR="00E23B86" w:rsidRDefault="00BA7C13">
      <w:pPr>
        <w:spacing w:after="246" w:line="250" w:lineRule="auto"/>
        <w:ind w:left="347" w:hanging="10"/>
      </w:pPr>
      <w:r>
        <w:rPr>
          <w:rFonts w:ascii="Arial" w:eastAsia="Arial" w:hAnsi="Arial" w:cs="Arial"/>
          <w:i/>
          <w:sz w:val="24"/>
          <w:u w:val="single" w:color="000000"/>
        </w:rPr>
        <w:t>UA-CO1-ACCESO A CANDELARIA</w:t>
      </w:r>
    </w:p>
    <w:p w:rsidR="00E23B86" w:rsidRDefault="00BA7C13">
      <w:pPr>
        <w:spacing w:after="240" w:line="251" w:lineRule="auto"/>
        <w:ind w:left="355" w:right="573" w:hanging="10"/>
        <w:jc w:val="both"/>
      </w:pPr>
      <w:r>
        <w:rPr>
          <w:rFonts w:ascii="Arial" w:eastAsia="Arial" w:hAnsi="Arial" w:cs="Arial"/>
          <w:i/>
        </w:rPr>
        <w:t xml:space="preserve">Miembros de la Mesa de Contratación </w:t>
      </w:r>
    </w:p>
    <w:p w:rsidR="00E23B86" w:rsidRDefault="00BA7C13">
      <w:pPr>
        <w:spacing w:after="242" w:line="249" w:lineRule="auto"/>
        <w:ind w:left="347" w:hanging="10"/>
      </w:pPr>
      <w:r>
        <w:rPr>
          <w:rFonts w:ascii="Arial" w:eastAsia="Arial" w:hAnsi="Arial" w:cs="Arial"/>
          <w:i/>
          <w:u w:val="single" w:color="000000"/>
        </w:rPr>
        <w:t>Asistentes:</w:t>
      </w:r>
    </w:p>
    <w:p w:rsidR="00E23B86" w:rsidRDefault="00BA7C13">
      <w:pPr>
        <w:spacing w:after="5" w:line="249" w:lineRule="auto"/>
        <w:ind w:left="347" w:hanging="10"/>
      </w:pPr>
      <w:r>
        <w:rPr>
          <w:rFonts w:ascii="Arial" w:eastAsia="Arial" w:hAnsi="Arial" w:cs="Arial"/>
          <w:i/>
          <w:u w:val="single" w:color="000000"/>
        </w:rPr>
        <w:t>Presidenta:</w:t>
      </w:r>
    </w:p>
    <w:p w:rsidR="00E23B86" w:rsidRDefault="00BA7C13">
      <w:pPr>
        <w:spacing w:after="240" w:line="251" w:lineRule="auto"/>
        <w:ind w:left="355" w:right="573" w:hanging="10"/>
        <w:jc w:val="both"/>
      </w:pPr>
      <w:r>
        <w:rPr>
          <w:rFonts w:ascii="Arial" w:eastAsia="Arial" w:hAnsi="Arial" w:cs="Arial"/>
          <w:i/>
        </w:rPr>
        <w:t xml:space="preserve">Dña. Mª Concepción Brito Núñez </w:t>
      </w:r>
    </w:p>
    <w:p w:rsidR="00E23B86" w:rsidRDefault="00BA7C13">
      <w:pPr>
        <w:spacing w:after="5" w:line="249" w:lineRule="auto"/>
        <w:ind w:left="347" w:hanging="10"/>
      </w:pPr>
      <w:r>
        <w:rPr>
          <w:rFonts w:ascii="Arial" w:eastAsia="Arial" w:hAnsi="Arial" w:cs="Arial"/>
          <w:i/>
          <w:u w:val="single" w:color="000000"/>
        </w:rPr>
        <w:t>Vocales</w:t>
      </w:r>
      <w:r>
        <w:rPr>
          <w:rFonts w:ascii="Arial" w:eastAsia="Arial" w:hAnsi="Arial" w:cs="Arial"/>
          <w:i/>
        </w:rPr>
        <w:t>:</w:t>
      </w:r>
    </w:p>
    <w:p w:rsidR="00E23B86" w:rsidRDefault="00BA7C13">
      <w:pPr>
        <w:spacing w:after="8" w:line="251" w:lineRule="auto"/>
        <w:ind w:left="355" w:right="573" w:hanging="10"/>
        <w:jc w:val="both"/>
      </w:pPr>
      <w:r>
        <w:rPr>
          <w:rFonts w:ascii="Arial" w:eastAsia="Arial" w:hAnsi="Arial" w:cs="Arial"/>
          <w:i/>
        </w:rPr>
        <w:t xml:space="preserve">D. Airam Pérez Chinea </w:t>
      </w:r>
    </w:p>
    <w:p w:rsidR="00E23B86" w:rsidRDefault="00BA7C13">
      <w:pPr>
        <w:spacing w:after="8" w:line="251" w:lineRule="auto"/>
        <w:ind w:left="355" w:right="573" w:hanging="10"/>
        <w:jc w:val="both"/>
      </w:pPr>
      <w:r>
        <w:rPr>
          <w:rFonts w:ascii="Arial" w:eastAsia="Arial" w:hAnsi="Arial" w:cs="Arial"/>
          <w:i/>
        </w:rPr>
        <w:t xml:space="preserve">D. Octavio Manuel Fernández Hernández </w:t>
      </w:r>
    </w:p>
    <w:p w:rsidR="00E23B86" w:rsidRDefault="00BA7C13">
      <w:pPr>
        <w:spacing w:after="8" w:line="251" w:lineRule="auto"/>
        <w:ind w:left="355" w:right="573" w:hanging="10"/>
        <w:jc w:val="both"/>
      </w:pPr>
      <w:r>
        <w:rPr>
          <w:rFonts w:ascii="Arial" w:eastAsia="Arial" w:hAnsi="Arial" w:cs="Arial"/>
          <w:i/>
        </w:rPr>
        <w:t>D. Nicolás Rojo Garnica</w:t>
      </w:r>
    </w:p>
    <w:p w:rsidR="00E23B86" w:rsidRDefault="00BA7C13">
      <w:pPr>
        <w:spacing w:after="0" w:line="251" w:lineRule="auto"/>
        <w:ind w:left="355" w:right="5195" w:hanging="10"/>
        <w:jc w:val="both"/>
      </w:pPr>
      <w:r>
        <w:rPr>
          <w:rFonts w:ascii="Arial" w:eastAsia="Arial" w:hAnsi="Arial" w:cs="Arial"/>
          <w:i/>
        </w:rPr>
        <w:t xml:space="preserve">D. Zebenzui Mesa Marcelino </w:t>
      </w:r>
      <w:r>
        <w:rPr>
          <w:rFonts w:ascii="Arial" w:eastAsia="Arial" w:hAnsi="Arial" w:cs="Arial"/>
          <w:i/>
          <w:u w:val="single" w:color="000000"/>
        </w:rPr>
        <w:t>Secretaria</w:t>
      </w:r>
    </w:p>
    <w:p w:rsidR="00E23B86" w:rsidRDefault="00BA7C13">
      <w:pPr>
        <w:spacing w:after="243" w:line="251" w:lineRule="auto"/>
        <w:ind w:left="355" w:right="5628" w:hanging="10"/>
        <w:jc w:val="both"/>
      </w:pPr>
      <w:r>
        <w:rPr>
          <w:rFonts w:ascii="Arial" w:eastAsia="Arial" w:hAnsi="Arial" w:cs="Arial"/>
          <w:i/>
        </w:rPr>
        <w:t xml:space="preserve">Dña. Mª del Pilar Chico Delgado </w:t>
      </w:r>
      <w:r>
        <w:rPr>
          <w:rFonts w:ascii="Arial" w:eastAsia="Arial" w:hAnsi="Arial" w:cs="Arial"/>
          <w:i/>
          <w:u w:val="single" w:color="000000"/>
        </w:rPr>
        <w:t>No asistentes:</w:t>
      </w:r>
    </w:p>
    <w:p w:rsidR="00E23B86" w:rsidRDefault="00BA7C13">
      <w:pPr>
        <w:spacing w:after="0"/>
        <w:ind w:left="352"/>
      </w:pPr>
      <w:r>
        <w:rPr>
          <w:rFonts w:ascii="Arial" w:eastAsia="Arial" w:hAnsi="Arial" w:cs="Arial"/>
          <w:i/>
        </w:rPr>
        <w:t xml:space="preserve">  </w:t>
      </w:r>
    </w:p>
    <w:p w:rsidR="00E23B86" w:rsidRDefault="00BA7C13">
      <w:pPr>
        <w:spacing w:after="497" w:line="251" w:lineRule="auto"/>
        <w:ind w:left="345" w:right="573" w:firstLine="708"/>
        <w:jc w:val="both"/>
      </w:pPr>
      <w:r>
        <w:rPr>
          <w:noProof/>
        </w:rPr>
        <mc:AlternateContent>
          <mc:Choice Requires="wpg">
            <w:drawing>
              <wp:anchor distT="0" distB="0" distL="114300" distR="114300" simplePos="0" relativeHeight="2517657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4668" name="Group 49466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499" name="Rectangle 2449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500" name="Rectangle 2450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105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4668" style="width:12.7031pt;height:280.35pt;position:absolute;mso-position-horizontal-relative:page;mso-position-horizontal:absolute;margin-left:681.958pt;mso-position-vertical-relative:page;margin-top:531.65pt;" coordsize="1613,35604">
                <v:rect id="Rectangle 2449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50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105 de 391 </w:t>
                        </w:r>
                      </w:p>
                    </w:txbxContent>
                  </v:textbox>
                </v:rect>
                <w10:wrap type="square"/>
              </v:group>
            </w:pict>
          </mc:Fallback>
        </mc:AlternateContent>
      </w:r>
      <w:r>
        <w:rPr>
          <w:rFonts w:ascii="Arial" w:eastAsia="Arial" w:hAnsi="Arial" w:cs="Arial"/>
          <w:i/>
        </w:rPr>
        <w:t>En Cande</w:t>
      </w:r>
      <w:r>
        <w:rPr>
          <w:rFonts w:ascii="Arial" w:eastAsia="Arial" w:hAnsi="Arial" w:cs="Arial"/>
          <w:i/>
        </w:rPr>
        <w:t>laria, a catorce de febrero de dos mil veinte, siendo las ocho horas y cincuenta  minutos, se constituye en la Sala de reuniones de la Casa Consistorial, la Mesa de Contratación designada en el procedimiento abierto para la contratación consistente en la a</w:t>
      </w:r>
      <w:r>
        <w:rPr>
          <w:rFonts w:ascii="Arial" w:eastAsia="Arial" w:hAnsi="Arial" w:cs="Arial"/>
          <w:i/>
        </w:rPr>
        <w:t>dquisición de una parcela de la UA-CO1-Acceso a Candelaria,  al objeto de proceder a la apertura del sobre C de las proposiciones presentadas, de acuerdo con lo establecido en la cláusula décima del Pliego de cláusulas administrativas particulares que rige</w:t>
      </w:r>
      <w:r>
        <w:rPr>
          <w:rFonts w:ascii="Arial" w:eastAsia="Arial" w:hAnsi="Arial" w:cs="Arial"/>
          <w:i/>
        </w:rPr>
        <w:t xml:space="preserve"> el mencionado procedimiento.</w:t>
      </w:r>
    </w:p>
    <w:p w:rsidR="00E23B86" w:rsidRDefault="00BA7C13">
      <w:pPr>
        <w:spacing w:after="0" w:line="251" w:lineRule="auto"/>
        <w:ind w:left="345" w:right="573" w:firstLine="708"/>
        <w:jc w:val="both"/>
      </w:pPr>
      <w:r>
        <w:rPr>
          <w:rFonts w:ascii="Arial" w:eastAsia="Arial" w:hAnsi="Arial" w:cs="Arial"/>
          <w:i/>
        </w:rPr>
        <w:t xml:space="preserve">Declarado abierto el acto por la Presidencia, la secretaria de la mesa abre el sobre C aportado por los licitadores, entregándose la documentación a la  Arquitecta municipal para la valoración del criterio de juicio de valor. </w:t>
      </w:r>
    </w:p>
    <w:p w:rsidR="00E23B86" w:rsidRDefault="00BA7C13">
      <w:pPr>
        <w:spacing w:after="2601" w:line="251" w:lineRule="auto"/>
        <w:ind w:left="345" w:right="573" w:firstLine="708"/>
        <w:jc w:val="both"/>
      </w:pPr>
      <w:r>
        <w:rPr>
          <w:rFonts w:ascii="Arial" w:eastAsia="Arial" w:hAnsi="Arial" w:cs="Arial"/>
          <w:i/>
        </w:rPr>
        <w:t>La Mesa acuerda que una vez emitido  el informe técnico, la Mesa se reunirá en acto público para dar lectura del informe técnico de valoración del criterio de juicio de valor y en el mismo acto se procederá a la apertura del sobre B de la proposición econ</w:t>
      </w:r>
      <w:r>
        <w:rPr>
          <w:rFonts w:ascii="Arial" w:eastAsia="Arial" w:hAnsi="Arial" w:cs="Arial"/>
          <w:i/>
        </w:rPr>
        <w:t>ómica”.</w:t>
      </w:r>
    </w:p>
    <w:p w:rsidR="00E23B86" w:rsidRDefault="00BA7C13">
      <w:pPr>
        <w:spacing w:after="3" w:line="265" w:lineRule="auto"/>
        <w:ind w:left="2674" w:hanging="10"/>
      </w:pPr>
      <w:r>
        <w:rPr>
          <w:rFonts w:ascii="Arial" w:eastAsia="Arial" w:hAnsi="Arial" w:cs="Arial"/>
          <w:u w:val="single" w:color="000000"/>
        </w:rPr>
        <w:t>Mesa de contratación de fecha 19 de febrero de 2020:</w:t>
      </w:r>
    </w:p>
    <w:p w:rsidR="00E23B86" w:rsidRDefault="00BA7C13">
      <w:pPr>
        <w:spacing w:after="487" w:line="265" w:lineRule="auto"/>
        <w:ind w:left="359" w:right="467" w:hanging="10"/>
        <w:jc w:val="center"/>
      </w:pPr>
      <w:r>
        <w:rPr>
          <w:rFonts w:ascii="Arial" w:eastAsia="Arial" w:hAnsi="Arial" w:cs="Arial"/>
        </w:rPr>
        <w:t xml:space="preserve">              “</w:t>
      </w:r>
      <w:r>
        <w:rPr>
          <w:rFonts w:ascii="Arial" w:eastAsia="Arial" w:hAnsi="Arial" w:cs="Arial"/>
          <w:i/>
        </w:rPr>
        <w:t>ACTA</w:t>
      </w:r>
    </w:p>
    <w:p w:rsidR="00E23B86" w:rsidRDefault="00BA7C13">
      <w:pPr>
        <w:spacing w:after="0" w:line="250" w:lineRule="auto"/>
        <w:ind w:left="347" w:hanging="10"/>
      </w:pPr>
      <w:r>
        <w:rPr>
          <w:rFonts w:ascii="Arial" w:eastAsia="Arial" w:hAnsi="Arial" w:cs="Arial"/>
          <w:i/>
          <w:sz w:val="24"/>
          <w:u w:val="single" w:color="000000"/>
        </w:rPr>
        <w:t>APERTURA DEL SOBRE B, DEL PROCEDIMIENTO ABIERTO, PARA LA CONTRATACIÓN CONSISTENTE EN LA ADQUISICIÓN DE PARCELA DE LA</w:t>
      </w:r>
    </w:p>
    <w:p w:rsidR="00E23B86" w:rsidRDefault="00BA7C13">
      <w:pPr>
        <w:spacing w:after="244" w:line="250" w:lineRule="auto"/>
        <w:ind w:left="347" w:hanging="10"/>
      </w:pPr>
      <w:r>
        <w:rPr>
          <w:rFonts w:ascii="Arial" w:eastAsia="Arial" w:hAnsi="Arial" w:cs="Arial"/>
          <w:i/>
          <w:sz w:val="24"/>
          <w:u w:val="single" w:color="000000"/>
        </w:rPr>
        <w:t>UA-CO1-ACCESO A CANDELARIA</w:t>
      </w:r>
    </w:p>
    <w:p w:rsidR="00E23B86" w:rsidRDefault="00BA7C13">
      <w:pPr>
        <w:spacing w:after="1000" w:line="251" w:lineRule="auto"/>
        <w:ind w:left="355" w:right="573" w:hanging="10"/>
        <w:jc w:val="both"/>
      </w:pPr>
      <w:r>
        <w:rPr>
          <w:rFonts w:ascii="Arial" w:eastAsia="Arial" w:hAnsi="Arial" w:cs="Arial"/>
          <w:i/>
        </w:rPr>
        <w:t xml:space="preserve">Miembros de la Mesa de Contratación </w:t>
      </w:r>
    </w:p>
    <w:p w:rsidR="00E23B86" w:rsidRDefault="00BA7C13">
      <w:pPr>
        <w:spacing w:after="242" w:line="249" w:lineRule="auto"/>
        <w:ind w:left="347" w:hanging="10"/>
      </w:pPr>
      <w:r>
        <w:rPr>
          <w:rFonts w:ascii="Arial" w:eastAsia="Arial" w:hAnsi="Arial" w:cs="Arial"/>
          <w:i/>
          <w:u w:val="single" w:color="000000"/>
        </w:rPr>
        <w:t>Asistentes:</w:t>
      </w:r>
    </w:p>
    <w:p w:rsidR="00E23B86" w:rsidRDefault="00BA7C13">
      <w:pPr>
        <w:spacing w:after="5" w:line="249" w:lineRule="auto"/>
        <w:ind w:left="347" w:hanging="10"/>
      </w:pPr>
      <w:r>
        <w:rPr>
          <w:rFonts w:ascii="Arial" w:eastAsia="Arial" w:hAnsi="Arial" w:cs="Arial"/>
          <w:i/>
          <w:u w:val="single" w:color="000000"/>
        </w:rPr>
        <w:t>Presidente:</w:t>
      </w:r>
    </w:p>
    <w:p w:rsidR="00E23B86" w:rsidRDefault="00BA7C13">
      <w:pPr>
        <w:spacing w:after="240" w:line="251" w:lineRule="auto"/>
        <w:ind w:left="355" w:right="573" w:hanging="10"/>
        <w:jc w:val="both"/>
      </w:pPr>
      <w:r>
        <w:rPr>
          <w:rFonts w:ascii="Arial" w:eastAsia="Arial" w:hAnsi="Arial" w:cs="Arial"/>
          <w:i/>
        </w:rPr>
        <w:t xml:space="preserve">D. Jorge Baute Delgado </w:t>
      </w:r>
    </w:p>
    <w:p w:rsidR="00E23B86" w:rsidRDefault="00BA7C13">
      <w:pPr>
        <w:spacing w:after="5" w:line="249" w:lineRule="auto"/>
        <w:ind w:left="347" w:hanging="10"/>
      </w:pPr>
      <w:r>
        <w:rPr>
          <w:rFonts w:ascii="Arial" w:eastAsia="Arial" w:hAnsi="Arial" w:cs="Arial"/>
          <w:i/>
          <w:u w:val="single" w:color="000000"/>
        </w:rPr>
        <w:t>Vocales</w:t>
      </w:r>
      <w:r>
        <w:rPr>
          <w:rFonts w:ascii="Arial" w:eastAsia="Arial" w:hAnsi="Arial" w:cs="Arial"/>
          <w:i/>
        </w:rPr>
        <w:t>:</w:t>
      </w:r>
    </w:p>
    <w:p w:rsidR="00E23B86" w:rsidRDefault="00BA7C13">
      <w:pPr>
        <w:spacing w:after="8" w:line="251" w:lineRule="auto"/>
        <w:ind w:left="355" w:right="573" w:hanging="10"/>
        <w:jc w:val="both"/>
      </w:pPr>
      <w:r>
        <w:rPr>
          <w:rFonts w:ascii="Arial" w:eastAsia="Arial" w:hAnsi="Arial" w:cs="Arial"/>
          <w:i/>
        </w:rPr>
        <w:t xml:space="preserve">D. José Francisco Pinto Ramos </w:t>
      </w:r>
    </w:p>
    <w:p w:rsidR="00E23B86" w:rsidRDefault="00BA7C13">
      <w:pPr>
        <w:spacing w:after="8" w:line="251" w:lineRule="auto"/>
        <w:ind w:left="355" w:right="573" w:hanging="10"/>
        <w:jc w:val="both"/>
      </w:pPr>
      <w:r>
        <w:rPr>
          <w:rFonts w:ascii="Arial" w:eastAsia="Arial" w:hAnsi="Arial" w:cs="Arial"/>
          <w:i/>
        </w:rPr>
        <w:t xml:space="preserve">D. Octavio Manuel Fernández Hernández </w:t>
      </w:r>
    </w:p>
    <w:p w:rsidR="00E23B86" w:rsidRDefault="00BA7C13">
      <w:pPr>
        <w:spacing w:after="8" w:line="251" w:lineRule="auto"/>
        <w:ind w:left="355" w:right="573" w:hanging="10"/>
        <w:jc w:val="both"/>
      </w:pPr>
      <w:r>
        <w:rPr>
          <w:rFonts w:ascii="Arial" w:eastAsia="Arial" w:hAnsi="Arial" w:cs="Arial"/>
          <w:i/>
        </w:rPr>
        <w:t>D. Nicolás Rojo Garnica</w:t>
      </w:r>
    </w:p>
    <w:p w:rsidR="00E23B86" w:rsidRDefault="00BA7C13">
      <w:pPr>
        <w:spacing w:after="0" w:line="251" w:lineRule="auto"/>
        <w:ind w:left="355" w:right="5195" w:hanging="10"/>
        <w:jc w:val="both"/>
      </w:pPr>
      <w:r>
        <w:rPr>
          <w:rFonts w:ascii="Arial" w:eastAsia="Arial" w:hAnsi="Arial" w:cs="Arial"/>
          <w:i/>
        </w:rPr>
        <w:t xml:space="preserve">D. Zebenzui Mesa Marcelino </w:t>
      </w:r>
      <w:r>
        <w:rPr>
          <w:rFonts w:ascii="Arial" w:eastAsia="Arial" w:hAnsi="Arial" w:cs="Arial"/>
          <w:i/>
          <w:u w:val="single" w:color="000000"/>
        </w:rPr>
        <w:t>Secretaria</w:t>
      </w:r>
    </w:p>
    <w:p w:rsidR="00E23B86" w:rsidRDefault="00BA7C13">
      <w:pPr>
        <w:spacing w:after="243" w:line="251" w:lineRule="auto"/>
        <w:ind w:left="355" w:right="5628" w:hanging="10"/>
        <w:jc w:val="both"/>
      </w:pPr>
      <w:r>
        <w:rPr>
          <w:rFonts w:ascii="Arial" w:eastAsia="Arial" w:hAnsi="Arial" w:cs="Arial"/>
          <w:i/>
        </w:rPr>
        <w:t xml:space="preserve">Dña. Mª del Pilar Chico Delgado </w:t>
      </w:r>
      <w:r>
        <w:rPr>
          <w:rFonts w:ascii="Arial" w:eastAsia="Arial" w:hAnsi="Arial" w:cs="Arial"/>
          <w:i/>
          <w:u w:val="single" w:color="000000"/>
        </w:rPr>
        <w:t>No asistentes:</w:t>
      </w:r>
    </w:p>
    <w:p w:rsidR="00E23B86" w:rsidRDefault="00BA7C13">
      <w:pPr>
        <w:spacing w:after="0"/>
        <w:ind w:left="352"/>
      </w:pPr>
      <w:r>
        <w:rPr>
          <w:noProof/>
        </w:rPr>
        <mc:AlternateContent>
          <mc:Choice Requires="wpg">
            <w:drawing>
              <wp:anchor distT="0" distB="0" distL="114300" distR="114300" simplePos="0" relativeHeight="2517667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5602" name="Group 49560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555" name="Rectangle 2455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556" name="Rectangle 2455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106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5602" style="width:12.7031pt;height:280.35pt;position:absolute;mso-position-horizontal-relative:page;mso-position-horizontal:absolute;margin-left:681.958pt;mso-position-vertical-relative:page;margin-top:531.65pt;" coordsize="1613,35604">
                <v:rect id="Rectangle 2455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55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106 de 391 </w:t>
                        </w:r>
                      </w:p>
                    </w:txbxContent>
                  </v:textbox>
                </v:rect>
                <w10:wrap type="square"/>
              </v:group>
            </w:pict>
          </mc:Fallback>
        </mc:AlternateContent>
      </w:r>
      <w:r>
        <w:rPr>
          <w:rFonts w:ascii="Arial" w:eastAsia="Arial" w:hAnsi="Arial" w:cs="Arial"/>
          <w:i/>
        </w:rPr>
        <w:t xml:space="preserve">  </w:t>
      </w:r>
    </w:p>
    <w:p w:rsidR="00E23B86" w:rsidRDefault="00BA7C13">
      <w:pPr>
        <w:spacing w:after="495" w:line="251" w:lineRule="auto"/>
        <w:ind w:left="345" w:right="573" w:firstLine="708"/>
        <w:jc w:val="both"/>
      </w:pPr>
      <w:r>
        <w:rPr>
          <w:rFonts w:ascii="Arial" w:eastAsia="Arial" w:hAnsi="Arial" w:cs="Arial"/>
          <w:i/>
        </w:rPr>
        <w:t>En Cande</w:t>
      </w:r>
      <w:r>
        <w:rPr>
          <w:rFonts w:ascii="Arial" w:eastAsia="Arial" w:hAnsi="Arial" w:cs="Arial"/>
          <w:i/>
        </w:rPr>
        <w:t>laria, a diecinueve de febrero de dos mil veinte, siendo las nueve horas y treinta y cinco minutos, se constituye en la Sala de reuniones de la Casa Consistorial, la Mesa de Contratación designada en el procedimiento abierto para la contratación consistent</w:t>
      </w:r>
      <w:r>
        <w:rPr>
          <w:rFonts w:ascii="Arial" w:eastAsia="Arial" w:hAnsi="Arial" w:cs="Arial"/>
          <w:i/>
        </w:rPr>
        <w:t>e en la adquisición de una parcela de la UA-CO1-Acceso a Candelaria,  al objeto de proceder a dar lectura del informe técnico de valoración del criterio de juicio de valor y apertura del sobre B de la proposición económica, de acuerdo con lo establecido en</w:t>
      </w:r>
      <w:r>
        <w:rPr>
          <w:rFonts w:ascii="Arial" w:eastAsia="Arial" w:hAnsi="Arial" w:cs="Arial"/>
          <w:i/>
        </w:rPr>
        <w:t xml:space="preserve"> la cláusula décima del Pliego de cláusulas administrativas particulares que rige el mencionado procedimiento.</w:t>
      </w:r>
    </w:p>
    <w:p w:rsidR="00E23B86" w:rsidRDefault="00BA7C13">
      <w:pPr>
        <w:spacing w:after="243" w:line="251" w:lineRule="auto"/>
        <w:ind w:left="345" w:right="573" w:firstLine="708"/>
        <w:jc w:val="both"/>
      </w:pPr>
      <w:r>
        <w:rPr>
          <w:rFonts w:ascii="Arial" w:eastAsia="Arial" w:hAnsi="Arial" w:cs="Arial"/>
          <w:i/>
        </w:rPr>
        <w:t>Declarado abierto el acto por la Presidencia, la secretaria de la mesa  pasa a leer el informe técnico de valoración del sobre C emitido por la A</w:t>
      </w:r>
      <w:r>
        <w:rPr>
          <w:rFonts w:ascii="Arial" w:eastAsia="Arial" w:hAnsi="Arial" w:cs="Arial"/>
          <w:i/>
        </w:rPr>
        <w:t>rquitecta municipal que dice:</w:t>
      </w:r>
    </w:p>
    <w:p w:rsidR="00E23B86" w:rsidRDefault="00BA7C13">
      <w:pPr>
        <w:spacing w:after="111" w:line="249" w:lineRule="auto"/>
        <w:ind w:left="336" w:right="547" w:hanging="10"/>
        <w:jc w:val="center"/>
      </w:pPr>
      <w:r>
        <w:rPr>
          <w:rFonts w:ascii="Arial" w:eastAsia="Arial" w:hAnsi="Arial" w:cs="Arial"/>
          <w:i/>
        </w:rPr>
        <w:t>“INFORME</w:t>
      </w:r>
    </w:p>
    <w:p w:rsidR="00E23B86" w:rsidRDefault="00BA7C13">
      <w:pPr>
        <w:spacing w:after="779" w:line="251" w:lineRule="auto"/>
        <w:ind w:left="355" w:right="573" w:hanging="10"/>
        <w:jc w:val="both"/>
      </w:pPr>
      <w:r>
        <w:rPr>
          <w:rFonts w:ascii="Arial" w:eastAsia="Arial" w:hAnsi="Arial" w:cs="Arial"/>
          <w:i/>
        </w:rPr>
        <w:t>Visto el expediente antedicho, Nayra Guzmán Hernández, arquitecta municipal, emite el siguiente informe:</w:t>
      </w:r>
    </w:p>
    <w:p w:rsidR="00E23B86" w:rsidRDefault="00BA7C13">
      <w:pPr>
        <w:spacing w:after="266" w:line="250" w:lineRule="auto"/>
        <w:ind w:left="347" w:right="700" w:hanging="10"/>
        <w:jc w:val="both"/>
      </w:pPr>
      <w:r>
        <w:rPr>
          <w:rFonts w:ascii="Arial" w:eastAsia="Arial" w:hAnsi="Arial" w:cs="Arial"/>
          <w:i/>
          <w:sz w:val="24"/>
        </w:rPr>
        <w:t>ANTECEDENTES:</w:t>
      </w:r>
    </w:p>
    <w:p w:rsidR="00E23B86" w:rsidRDefault="00BA7C13">
      <w:pPr>
        <w:spacing w:after="242" w:line="251" w:lineRule="auto"/>
        <w:ind w:left="355" w:right="573" w:hanging="10"/>
        <w:jc w:val="both"/>
      </w:pPr>
      <w:r>
        <w:rPr>
          <w:rFonts w:ascii="Arial" w:eastAsia="Arial" w:hAnsi="Arial" w:cs="Arial"/>
          <w:i/>
        </w:rPr>
        <w:t xml:space="preserve">En relación con el procedimiento de licitación para la adquisición de parcelas del ámbito de la UA-C01 Acceso a Candelaria, se emite el presente Informe Técnico referido la valoración de la Cláusula Octava. Criterios de Adjudicación; 2. Criterio de juicio </w:t>
      </w:r>
      <w:r>
        <w:rPr>
          <w:rFonts w:ascii="Arial" w:eastAsia="Arial" w:hAnsi="Arial" w:cs="Arial"/>
          <w:i/>
        </w:rPr>
        <w:t>de valor, de acuerdo a lo dispuesto en el Pliego de Cláusulas Administrativas Particulares, que dice:</w:t>
      </w:r>
      <w:r>
        <w:rPr>
          <w:rFonts w:ascii="Arial" w:eastAsia="Arial" w:hAnsi="Arial" w:cs="Arial"/>
          <w:i/>
          <w:color w:val="FF0000"/>
        </w:rPr>
        <w:t xml:space="preserve"> </w:t>
      </w:r>
    </w:p>
    <w:p w:rsidR="00E23B86" w:rsidRDefault="00BA7C13">
      <w:pPr>
        <w:spacing w:after="483" w:line="251" w:lineRule="auto"/>
        <w:ind w:left="355" w:right="573" w:hanging="10"/>
        <w:jc w:val="both"/>
      </w:pPr>
      <w:r>
        <w:rPr>
          <w:rFonts w:ascii="Arial" w:eastAsia="Arial" w:hAnsi="Arial" w:cs="Arial"/>
          <w:i/>
        </w:rPr>
        <w:t>“…2.- CRITERIO DE JUICIO DE VALOR: (Máx. 30 puntos). Presentación de un informe técnico emitido por técnico competente de al menos 10 folios DIN A4 a una</w:t>
      </w:r>
      <w:r>
        <w:rPr>
          <w:rFonts w:ascii="Arial" w:eastAsia="Arial" w:hAnsi="Arial" w:cs="Arial"/>
          <w:i/>
        </w:rPr>
        <w:t xml:space="preserve"> cara letra Arial 12 en el que se acredite que las condiciones técnicas del bien inmueble no contienen vicios técnicos ocultos que impidan el desarrollo de los fines y necesidades descritos en la memoria…”</w:t>
      </w:r>
    </w:p>
    <w:p w:rsidR="00E23B86" w:rsidRDefault="00BA7C13">
      <w:pPr>
        <w:spacing w:after="405" w:line="251" w:lineRule="auto"/>
        <w:ind w:left="355" w:right="573" w:hanging="10"/>
        <w:jc w:val="both"/>
      </w:pPr>
      <w:r>
        <w:rPr>
          <w:rFonts w:ascii="Arial" w:eastAsia="Arial" w:hAnsi="Arial" w:cs="Arial"/>
          <w:i/>
        </w:rPr>
        <w:t>Se presenta sobre “C”, por los licitadores Hermano</w:t>
      </w:r>
      <w:r>
        <w:rPr>
          <w:rFonts w:ascii="Arial" w:eastAsia="Arial" w:hAnsi="Arial" w:cs="Arial"/>
          <w:i/>
        </w:rPr>
        <w:t>s Chico Castellano, Doña Heraclia Castro Castro y Don Ramiro Urbano Oliva Rodríguez, en representación de la entidad Construcciones Oliva Baute S.L, con la documentación que se pasa a informar.</w:t>
      </w:r>
    </w:p>
    <w:p w:rsidR="00E23B86" w:rsidRDefault="00BA7C13">
      <w:pPr>
        <w:spacing w:after="266" w:line="250" w:lineRule="auto"/>
        <w:ind w:left="347" w:right="700" w:hanging="10"/>
        <w:jc w:val="both"/>
      </w:pPr>
      <w:r>
        <w:rPr>
          <w:rFonts w:ascii="Arial" w:eastAsia="Arial" w:hAnsi="Arial" w:cs="Arial"/>
          <w:i/>
          <w:sz w:val="24"/>
        </w:rPr>
        <w:t>INFORME:</w:t>
      </w:r>
    </w:p>
    <w:p w:rsidR="00E23B86" w:rsidRDefault="00BA7C13">
      <w:pPr>
        <w:spacing w:after="273" w:line="251" w:lineRule="auto"/>
        <w:ind w:left="355" w:right="573" w:hanging="10"/>
        <w:jc w:val="both"/>
      </w:pPr>
      <w:r>
        <w:rPr>
          <w:rFonts w:ascii="Arial" w:eastAsia="Arial" w:hAnsi="Arial" w:cs="Arial"/>
          <w:i/>
        </w:rPr>
        <w:t>El contenido del sobre C es el siguiente:</w:t>
      </w:r>
    </w:p>
    <w:p w:rsidR="00E23B86" w:rsidRDefault="00BA7C13">
      <w:pPr>
        <w:spacing w:after="242" w:line="251" w:lineRule="auto"/>
        <w:ind w:left="1072" w:right="573" w:hanging="360"/>
        <w:jc w:val="both"/>
      </w:pPr>
      <w:r>
        <w:rPr>
          <w:rFonts w:ascii="Times New Roman" w:eastAsia="Times New Roman" w:hAnsi="Times New Roman" w:cs="Times New Roman"/>
          <w:sz w:val="24"/>
        </w:rPr>
        <w:t xml:space="preserve">1. </w:t>
      </w:r>
      <w:r>
        <w:rPr>
          <w:rFonts w:ascii="Arial" w:eastAsia="Arial" w:hAnsi="Arial" w:cs="Arial"/>
          <w:i/>
          <w:u w:val="single" w:color="000000"/>
        </w:rPr>
        <w:t xml:space="preserve">Estudio </w:t>
      </w:r>
      <w:r>
        <w:rPr>
          <w:rFonts w:ascii="Arial" w:eastAsia="Arial" w:hAnsi="Arial" w:cs="Arial"/>
          <w:i/>
          <w:u w:val="single" w:color="000000"/>
        </w:rPr>
        <w:t>Geológico y Geotécnico</w:t>
      </w:r>
      <w:r>
        <w:rPr>
          <w:rFonts w:ascii="Arial" w:eastAsia="Arial" w:hAnsi="Arial" w:cs="Arial"/>
          <w:i/>
        </w:rPr>
        <w:t xml:space="preserve"> de las parcelas objeto de adquisición, elaborado por la Empresa Terragua Ingenieros, y suscrito por la Doctora en Geología, Doña Margarita Gutiérrez González, colegiada 4553.</w:t>
      </w:r>
    </w:p>
    <w:p w:rsidR="00E23B86" w:rsidRDefault="00BA7C13">
      <w:pPr>
        <w:spacing w:after="243" w:line="251" w:lineRule="auto"/>
        <w:ind w:left="1082" w:right="573" w:hanging="10"/>
        <w:jc w:val="both"/>
      </w:pPr>
      <w:r>
        <w:rPr>
          <w:noProof/>
        </w:rPr>
        <mc:AlternateContent>
          <mc:Choice Requires="wpg">
            <w:drawing>
              <wp:anchor distT="0" distB="0" distL="114300" distR="114300" simplePos="0" relativeHeight="2517678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5935" name="Group 49593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611" name="Rectangle 2461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w:t>
                              </w:r>
                              <w:r>
                                <w:rPr>
                                  <w:rFonts w:ascii="Arial" w:eastAsia="Arial" w:hAnsi="Arial" w:cs="Arial"/>
                                  <w:sz w:val="12"/>
                                </w:rPr>
                                <w:t xml:space="preserve">ón: https://candelaria.sedelectronica.es/ </w:t>
                              </w:r>
                            </w:p>
                          </w:txbxContent>
                        </wps:txbx>
                        <wps:bodyPr horzOverflow="overflow" vert="horz" lIns="0" tIns="0" rIns="0" bIns="0" rtlCol="0">
                          <a:noAutofit/>
                        </wps:bodyPr>
                      </wps:wsp>
                      <wps:wsp>
                        <wps:cNvPr id="24612" name="Rectangle 2461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107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5935" style="width:12.7031pt;height:280.35pt;position:absolute;mso-position-horizontal-relative:page;mso-position-horizontal:absolute;margin-left:681.958pt;mso-position-vertical-relative:page;margin-top:531.65pt;" coordsize="1613,35604">
                <v:rect id="Rectangle 2461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61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107 de 391 </w:t>
                        </w:r>
                      </w:p>
                    </w:txbxContent>
                  </v:textbox>
                </v:rect>
                <w10:wrap type="square"/>
              </v:group>
            </w:pict>
          </mc:Fallback>
        </mc:AlternateContent>
      </w:r>
      <w:r>
        <w:rPr>
          <w:rFonts w:ascii="Arial" w:eastAsia="Arial" w:hAnsi="Arial" w:cs="Arial"/>
          <w:i/>
        </w:rPr>
        <w:t xml:space="preserve">En el documento se realizada una inspección geológica y geotécnica de la parcela y se realizan ensayos de resistencia de la roca mediante esclerómetro o martillo de Schmidt, para ello se aporta por Laboratorio de Control de calidad de la edificación, área </w:t>
      </w:r>
      <w:r>
        <w:rPr>
          <w:rFonts w:ascii="Arial" w:eastAsia="Arial" w:hAnsi="Arial" w:cs="Arial"/>
          <w:i/>
        </w:rPr>
        <w:t>de sondeos, toma de muestras y ensayos in situ para reconocimientos geotécnicos (GTC) y ensayos de laboratorio (GTL), Acta de resultados de resistencia de la roca por el método de la dureza al rebote Schmidt (ASTM D 5873-00).</w:t>
      </w:r>
    </w:p>
    <w:p w:rsidR="00E23B86" w:rsidRDefault="00BA7C13">
      <w:pPr>
        <w:spacing w:after="240" w:line="251" w:lineRule="auto"/>
        <w:ind w:left="1082" w:right="573" w:hanging="10"/>
        <w:jc w:val="both"/>
      </w:pPr>
      <w:r>
        <w:rPr>
          <w:rFonts w:ascii="Arial" w:eastAsia="Arial" w:hAnsi="Arial" w:cs="Arial"/>
          <w:i/>
        </w:rPr>
        <w:t>Las conclusiones de las prueba</w:t>
      </w:r>
      <w:r>
        <w:rPr>
          <w:rFonts w:ascii="Arial" w:eastAsia="Arial" w:hAnsi="Arial" w:cs="Arial"/>
          <w:i/>
        </w:rPr>
        <w:t>s realizadas son los siguientes:</w:t>
      </w:r>
    </w:p>
    <w:p w:rsidR="00E23B86" w:rsidRDefault="00BA7C13">
      <w:pPr>
        <w:spacing w:after="0" w:line="251" w:lineRule="auto"/>
        <w:ind w:left="1082" w:right="573" w:hanging="10"/>
        <w:jc w:val="both"/>
      </w:pPr>
      <w:r>
        <w:rPr>
          <w:rFonts w:ascii="Arial" w:eastAsia="Arial" w:hAnsi="Arial" w:cs="Arial"/>
          <w:i/>
        </w:rPr>
        <w:t>“…Los resultados obtenidos indican que se trata de una roca de calidad media de alta capacidad portante. Es posible que haya intercalaciones de escorias de compacidad variable entre los niveles de roca</w:t>
      </w:r>
    </w:p>
    <w:p w:rsidR="00E23B86" w:rsidRDefault="00BA7C13">
      <w:pPr>
        <w:spacing w:after="0" w:line="251" w:lineRule="auto"/>
        <w:ind w:left="1082" w:right="573" w:hanging="10"/>
        <w:jc w:val="both"/>
      </w:pPr>
      <w:r>
        <w:rPr>
          <w:rFonts w:ascii="Arial" w:eastAsia="Arial" w:hAnsi="Arial" w:cs="Arial"/>
          <w:i/>
        </w:rPr>
        <w:t>En todo caso, se trat</w:t>
      </w:r>
      <w:r>
        <w:rPr>
          <w:rFonts w:ascii="Arial" w:eastAsia="Arial" w:hAnsi="Arial" w:cs="Arial"/>
          <w:i/>
        </w:rPr>
        <w:t>a de un terreno apto para cimentar mediante zapatas aisladas y/o corridas que pueden ir asociadas a pozos de cimentación. El nivel freático se halla en torno al nivel del mar. La cota más baja de la parcela es de 12 metros sobre nivel del mar.</w:t>
      </w:r>
    </w:p>
    <w:p w:rsidR="00E23B86" w:rsidRDefault="00BA7C13">
      <w:pPr>
        <w:spacing w:after="845" w:line="251" w:lineRule="auto"/>
        <w:ind w:left="1082" w:right="573" w:hanging="10"/>
        <w:jc w:val="both"/>
      </w:pPr>
      <w:r>
        <w:rPr>
          <w:rFonts w:ascii="Arial" w:eastAsia="Arial" w:hAnsi="Arial" w:cs="Arial"/>
          <w:i/>
        </w:rPr>
        <w:t>Los material</w:t>
      </w:r>
      <w:r>
        <w:rPr>
          <w:rFonts w:ascii="Arial" w:eastAsia="Arial" w:hAnsi="Arial" w:cs="Arial"/>
          <w:i/>
        </w:rPr>
        <w:t>es estudiados apenas contienen sulfatos y no presentan problemas de agresividad al hormigón…”</w:t>
      </w:r>
    </w:p>
    <w:p w:rsidR="00E23B86" w:rsidRDefault="00BA7C13">
      <w:pPr>
        <w:pStyle w:val="Ttulo3"/>
        <w:ind w:left="0" w:right="579" w:firstLine="0"/>
        <w:jc w:val="right"/>
      </w:pPr>
      <w:r>
        <w:rPr>
          <w:rFonts w:ascii="Times New Roman" w:eastAsia="Times New Roman" w:hAnsi="Times New Roman" w:cs="Times New Roman"/>
          <w:b w:val="0"/>
          <w:i w:val="0"/>
          <w:color w:val="000000"/>
          <w:sz w:val="24"/>
        </w:rPr>
        <w:t xml:space="preserve">2. </w:t>
      </w:r>
      <w:r>
        <w:rPr>
          <w:b w:val="0"/>
          <w:color w:val="000000"/>
          <w:sz w:val="24"/>
          <w:u w:val="single" w:color="000000"/>
        </w:rPr>
        <w:t>Informe técnico de las Edificaciones</w:t>
      </w:r>
      <w:r>
        <w:rPr>
          <w:b w:val="0"/>
          <w:color w:val="000000"/>
          <w:sz w:val="24"/>
        </w:rPr>
        <w:t xml:space="preserve">, </w:t>
      </w:r>
      <w:r>
        <w:rPr>
          <w:b w:val="0"/>
          <w:color w:val="000000"/>
        </w:rPr>
        <w:t>emitido por el Arquitecto Técnico e</w:t>
      </w:r>
    </w:p>
    <w:p w:rsidR="00E23B86" w:rsidRDefault="00BA7C13">
      <w:pPr>
        <w:spacing w:after="243" w:line="251" w:lineRule="auto"/>
        <w:ind w:left="1070" w:right="573" w:hanging="10"/>
        <w:jc w:val="both"/>
      </w:pPr>
      <w:r>
        <w:rPr>
          <w:rFonts w:ascii="Arial" w:eastAsia="Arial" w:hAnsi="Arial" w:cs="Arial"/>
          <w:i/>
        </w:rPr>
        <w:t>Ingeniero de la Edificación, Don Silvio Pérez Gutiérrez, colegiado nº 2058 del COAATIE de S/C de Tenerife.</w:t>
      </w:r>
    </w:p>
    <w:p w:rsidR="00E23B86" w:rsidRDefault="00BA7C13">
      <w:pPr>
        <w:spacing w:after="243" w:line="251" w:lineRule="auto"/>
        <w:ind w:left="1070" w:right="573" w:hanging="10"/>
        <w:jc w:val="both"/>
      </w:pPr>
      <w:r>
        <w:rPr>
          <w:rFonts w:ascii="Arial" w:eastAsia="Arial" w:hAnsi="Arial" w:cs="Arial"/>
          <w:i/>
        </w:rPr>
        <w:t>En el documento se realiza una inspección técnica y descriptiva del estado de conservación de las edificaciones, instalaciones y construcciones exist</w:t>
      </w:r>
      <w:r>
        <w:rPr>
          <w:rFonts w:ascii="Arial" w:eastAsia="Arial" w:hAnsi="Arial" w:cs="Arial"/>
          <w:i/>
        </w:rPr>
        <w:t>entes en las parcelas objeto de adquisición. Las conclusiones emitidas en el informe para las tres construcciones son las siguientes:</w:t>
      </w:r>
    </w:p>
    <w:p w:rsidR="00E23B86" w:rsidRDefault="00BA7C13">
      <w:pPr>
        <w:spacing w:after="769" w:line="251" w:lineRule="auto"/>
        <w:ind w:left="1070" w:right="573" w:hanging="10"/>
        <w:jc w:val="both"/>
      </w:pPr>
      <w:r>
        <w:rPr>
          <w:rFonts w:ascii="Arial" w:eastAsia="Arial" w:hAnsi="Arial" w:cs="Arial"/>
          <w:i/>
        </w:rPr>
        <w:t>“…En lo que ha estado de conservación se refiere, visiblemente, sus cerramientos, aunque no presentan un buen aspecto, est</w:t>
      </w:r>
      <w:r>
        <w:rPr>
          <w:rFonts w:ascii="Arial" w:eastAsia="Arial" w:hAnsi="Arial" w:cs="Arial"/>
          <w:i/>
        </w:rPr>
        <w:t>ructuralmente, no se aprecia ningún indicio que haga prever un desplome inminente de los mismos. La cubierta, si se encuentra en un estado de conservación pésimo, faltan muchas tejas y otras muchas están a punto de caerse, y la estructura de madera sobre l</w:t>
      </w:r>
      <w:r>
        <w:rPr>
          <w:rFonts w:ascii="Arial" w:eastAsia="Arial" w:hAnsi="Arial" w:cs="Arial"/>
          <w:i/>
        </w:rPr>
        <w:t>a que se apoyan, está deteriorada por el paso de los años, por lo que se recomienda máxima precaución si se circula en su interior o se está cerca de este inmueble…”</w:t>
      </w:r>
    </w:p>
    <w:p w:rsidR="00E23B86" w:rsidRDefault="00BA7C13">
      <w:pPr>
        <w:spacing w:after="266" w:line="250" w:lineRule="auto"/>
        <w:ind w:left="1070" w:right="700" w:hanging="10"/>
        <w:jc w:val="both"/>
      </w:pPr>
      <w:r>
        <w:rPr>
          <w:rFonts w:ascii="Arial" w:eastAsia="Arial" w:hAnsi="Arial" w:cs="Arial"/>
          <w:i/>
          <w:sz w:val="24"/>
        </w:rPr>
        <w:t xml:space="preserve">CONCLUSIONES </w:t>
      </w:r>
    </w:p>
    <w:p w:rsidR="00E23B86" w:rsidRDefault="00BA7C13">
      <w:pPr>
        <w:spacing w:after="1113" w:line="251" w:lineRule="auto"/>
        <w:ind w:left="1070" w:right="573" w:hanging="10"/>
        <w:jc w:val="both"/>
      </w:pPr>
      <w:r>
        <w:rPr>
          <w:noProof/>
        </w:rPr>
        <mc:AlternateContent>
          <mc:Choice Requires="wpg">
            <w:drawing>
              <wp:anchor distT="0" distB="0" distL="114300" distR="114300" simplePos="0" relativeHeight="2517688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5974" name="Group 49597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663" name="Rectangle 2466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664" name="Rectangle 2466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108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5974" style="width:12.7031pt;height:280.35pt;position:absolute;mso-position-horizontal-relative:page;mso-position-horizontal:absolute;margin-left:681.958pt;mso-position-vertical-relative:page;margin-top:531.65pt;" coordsize="1613,35604">
                <v:rect id="Rectangle 2466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66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108 de 391 </w:t>
                        </w:r>
                      </w:p>
                    </w:txbxContent>
                  </v:textbox>
                </v:rect>
                <w10:wrap type="square"/>
              </v:group>
            </w:pict>
          </mc:Fallback>
        </mc:AlternateContent>
      </w:r>
      <w:r>
        <w:rPr>
          <w:rFonts w:ascii="Arial" w:eastAsia="Arial" w:hAnsi="Arial" w:cs="Arial"/>
          <w:i/>
        </w:rPr>
        <w:t>De acuerdo con lo expuesto anteriormente, y a la vista de los</w:t>
      </w:r>
      <w:r>
        <w:rPr>
          <w:rFonts w:ascii="Arial" w:eastAsia="Arial" w:hAnsi="Arial" w:cs="Arial"/>
          <w:i/>
        </w:rPr>
        <w:t xml:space="preserve"> informes, pruebas y ensayos emitidos por los distintos técnicos, sobre las edificaciones, en los que se expone, que el mayor deterioro radica en la estructura de la cubierta, así como a la vista de las pruebas realizadas sobre el suelo objeto de adquisici</w:t>
      </w:r>
      <w:r>
        <w:rPr>
          <w:rFonts w:ascii="Arial" w:eastAsia="Arial" w:hAnsi="Arial" w:cs="Arial"/>
          <w:i/>
        </w:rPr>
        <w:t>ón, que concluyen que el mismo es apto para cimentar, se realiza la siguiente valoración:</w:t>
      </w:r>
    </w:p>
    <w:p w:rsidR="00E23B86" w:rsidRDefault="00BA7C13">
      <w:pPr>
        <w:spacing w:after="266" w:line="250" w:lineRule="auto"/>
        <w:ind w:left="1418" w:right="700" w:hanging="10"/>
        <w:jc w:val="both"/>
      </w:pPr>
      <w:r>
        <w:rPr>
          <w:rFonts w:ascii="Arial" w:eastAsia="Arial" w:hAnsi="Arial" w:cs="Arial"/>
          <w:i/>
          <w:sz w:val="24"/>
        </w:rPr>
        <w:t>VALORACIÓN JUICIO DE VALOR……………………30 PUNTOS.”</w:t>
      </w:r>
    </w:p>
    <w:p w:rsidR="00E23B86" w:rsidRDefault="00BA7C13">
      <w:pPr>
        <w:spacing w:after="0" w:line="251" w:lineRule="auto"/>
        <w:ind w:left="345" w:right="573" w:firstLine="708"/>
        <w:jc w:val="both"/>
      </w:pPr>
      <w:r>
        <w:rPr>
          <w:rFonts w:ascii="Arial" w:eastAsia="Arial" w:hAnsi="Arial" w:cs="Arial"/>
          <w:i/>
        </w:rPr>
        <w:t>Seguidamente se procedió a la apertura del sobre B de la proposición económica, que dice:</w:t>
      </w:r>
    </w:p>
    <w:p w:rsidR="00E23B86" w:rsidRDefault="00BA7C13">
      <w:pPr>
        <w:spacing w:after="0" w:line="251" w:lineRule="auto"/>
        <w:ind w:left="345" w:right="573" w:firstLine="708"/>
        <w:jc w:val="both"/>
      </w:pPr>
      <w:r>
        <w:rPr>
          <w:rFonts w:ascii="Arial" w:eastAsia="Arial" w:hAnsi="Arial" w:cs="Arial"/>
          <w:i/>
        </w:rPr>
        <w:t>“D. Andrés Jesús Chico Castell</w:t>
      </w:r>
      <w:r>
        <w:rPr>
          <w:rFonts w:ascii="Arial" w:eastAsia="Arial" w:hAnsi="Arial" w:cs="Arial"/>
          <w:i/>
        </w:rPr>
        <w:t xml:space="preserve">ano,…., D. José Aurelio Chico Castellano,…, Dña. Evangelina Máxima Chico Castellano,…, D. Juan Carmelo Chico Castellano,…, Dña. Heraclia Castro Castro,…, D. Ramiro Urbano Oliva Rodríguez,…en representación de la entidad “Construcciones Oliva Baute,S.L.”. </w:t>
      </w:r>
    </w:p>
    <w:p w:rsidR="00E23B86" w:rsidRDefault="00BA7C13">
      <w:pPr>
        <w:spacing w:after="0" w:line="251" w:lineRule="auto"/>
        <w:ind w:left="345" w:right="573" w:firstLine="708"/>
        <w:jc w:val="both"/>
      </w:pPr>
      <w:r>
        <w:rPr>
          <w:rFonts w:ascii="Arial" w:eastAsia="Arial" w:hAnsi="Arial" w:cs="Arial"/>
          <w:i/>
        </w:rPr>
        <w:t>Enterados del expediente para la adquisición del bien: parcelas del ámbito de la UA-CO-1 Acceso a Candelaria, mediante procedimiento abierto anunciado en el perfil del contratante, hacen constar que conocen el pliego que sirve de base al contrato y lo acep</w:t>
      </w:r>
      <w:r>
        <w:rPr>
          <w:rFonts w:ascii="Arial" w:eastAsia="Arial" w:hAnsi="Arial" w:cs="Arial"/>
          <w:i/>
        </w:rPr>
        <w:t>tan íntegramente, tomando parte de la licitación y ofertando por un total de 2.270.150,00 euros.</w:t>
      </w:r>
    </w:p>
    <w:p w:rsidR="00E23B86" w:rsidRDefault="00BA7C13">
      <w:pPr>
        <w:spacing w:after="243" w:line="251" w:lineRule="auto"/>
        <w:ind w:left="345" w:right="573" w:firstLine="708"/>
        <w:jc w:val="both"/>
      </w:pPr>
      <w:r>
        <w:rPr>
          <w:rFonts w:ascii="Arial" w:eastAsia="Arial" w:hAnsi="Arial" w:cs="Arial"/>
          <w:i/>
        </w:rPr>
        <w:t>Desglosados de la siguiente forma, atendiendo a sus porcentajes de propiedad:</w:t>
      </w:r>
    </w:p>
    <w:p w:rsidR="00E23B86" w:rsidRDefault="00BA7C13">
      <w:pPr>
        <w:spacing w:after="9" w:line="251" w:lineRule="auto"/>
        <w:ind w:left="1070" w:right="2151" w:hanging="10"/>
        <w:jc w:val="both"/>
      </w:pPr>
      <w:r>
        <w:rPr>
          <w:rFonts w:ascii="Arial" w:eastAsia="Arial" w:hAnsi="Arial" w:cs="Arial"/>
          <w:i/>
        </w:rPr>
        <w:t xml:space="preserve">  *D. Andrés Jesús Chico Castellano………306.470,25 euros.    D. José Aurelio Chico </w:t>
      </w:r>
      <w:r>
        <w:rPr>
          <w:rFonts w:ascii="Arial" w:eastAsia="Arial" w:hAnsi="Arial" w:cs="Arial"/>
          <w:i/>
        </w:rPr>
        <w:t>Castellano………..306.470,25 euros</w:t>
      </w:r>
      <w:r>
        <w:rPr>
          <w:rFonts w:ascii="Arial" w:eastAsia="Arial" w:hAnsi="Arial" w:cs="Arial"/>
          <w:i/>
          <w:sz w:val="24"/>
        </w:rPr>
        <w:t>.</w:t>
      </w:r>
    </w:p>
    <w:p w:rsidR="00E23B86" w:rsidRDefault="00BA7C13">
      <w:pPr>
        <w:spacing w:after="0" w:line="250" w:lineRule="auto"/>
        <w:ind w:left="1060" w:right="1772"/>
      </w:pPr>
      <w:r>
        <w:rPr>
          <w:rFonts w:ascii="Arial" w:eastAsia="Arial" w:hAnsi="Arial" w:cs="Arial"/>
          <w:i/>
          <w:sz w:val="24"/>
        </w:rPr>
        <w:t xml:space="preserve">   </w:t>
      </w:r>
      <w:r>
        <w:rPr>
          <w:rFonts w:ascii="Arial" w:eastAsia="Arial" w:hAnsi="Arial" w:cs="Arial"/>
          <w:i/>
        </w:rPr>
        <w:t>Dña. Evangelina Máxima Chico Castellano…..306.470,25 euros.    D. Juan Carmelo Chico Castellano………306.470,25 euros.     Dña. Heraclia Castro Castro………………669.694,25 euros.</w:t>
      </w:r>
    </w:p>
    <w:p w:rsidR="00E23B86" w:rsidRDefault="00BA7C13">
      <w:pPr>
        <w:spacing w:after="263" w:line="251" w:lineRule="auto"/>
        <w:ind w:left="345" w:right="573" w:firstLine="708"/>
        <w:jc w:val="both"/>
      </w:pPr>
      <w:r>
        <w:rPr>
          <w:rFonts w:ascii="Arial" w:eastAsia="Arial" w:hAnsi="Arial" w:cs="Arial"/>
          <w:i/>
        </w:rPr>
        <w:t xml:space="preserve">   D. Ramiro Urbano Oliva Rodríguez,…en representación de la entidad “Construcciones Oliva Baute,S.L.”…………………374.574,75 euros, incluido IGIC. </w:t>
      </w:r>
    </w:p>
    <w:p w:rsidR="00E23B86" w:rsidRDefault="00BA7C13">
      <w:pPr>
        <w:spacing w:after="266" w:line="250" w:lineRule="auto"/>
        <w:ind w:left="1070" w:right="700" w:hanging="10"/>
        <w:jc w:val="both"/>
      </w:pPr>
      <w:r>
        <w:rPr>
          <w:rFonts w:ascii="Arial" w:eastAsia="Arial" w:hAnsi="Arial" w:cs="Arial"/>
          <w:i/>
          <w:sz w:val="24"/>
        </w:rPr>
        <w:t>TOTAL DE LA OFERTA: 2.270.150,00 euros.”</w:t>
      </w:r>
    </w:p>
    <w:p w:rsidR="00E23B86" w:rsidRDefault="00BA7C13">
      <w:pPr>
        <w:spacing w:after="8" w:line="251" w:lineRule="auto"/>
        <w:ind w:left="1070" w:right="573" w:hanging="10"/>
        <w:jc w:val="both"/>
      </w:pPr>
      <w:r>
        <w:rPr>
          <w:rFonts w:ascii="Arial" w:eastAsia="Arial" w:hAnsi="Arial" w:cs="Arial"/>
          <w:i/>
        </w:rPr>
        <w:t>De lo que resulta la puntuación de 70 por el criterio económico.</w:t>
      </w:r>
    </w:p>
    <w:p w:rsidR="00E23B86" w:rsidRDefault="00BA7C13">
      <w:pPr>
        <w:spacing w:after="0"/>
        <w:ind w:left="1060"/>
      </w:pPr>
      <w:r>
        <w:rPr>
          <w:rFonts w:ascii="Arial" w:eastAsia="Arial" w:hAnsi="Arial" w:cs="Arial"/>
          <w:i/>
        </w:rPr>
        <w:t xml:space="preserve">  </w:t>
      </w:r>
    </w:p>
    <w:p w:rsidR="00E23B86" w:rsidRDefault="00BA7C13">
      <w:pPr>
        <w:spacing w:after="0" w:line="251" w:lineRule="auto"/>
        <w:ind w:left="345" w:right="573" w:firstLine="708"/>
        <w:jc w:val="both"/>
      </w:pPr>
      <w:r>
        <w:rPr>
          <w:rFonts w:ascii="Arial" w:eastAsia="Arial" w:hAnsi="Arial" w:cs="Arial"/>
          <w:i/>
        </w:rPr>
        <w:t>La M</w:t>
      </w:r>
      <w:r>
        <w:rPr>
          <w:rFonts w:ascii="Arial" w:eastAsia="Arial" w:hAnsi="Arial" w:cs="Arial"/>
          <w:i/>
        </w:rPr>
        <w:t xml:space="preserve">esa de Contratación de conformidad con la cláusula 10º del PCAP acuerda por la unanimidad de sus miembros, proponer la adjudicación del contrato de adquisición de una parcela de la UA-CO1-Acceso a Candelaria,  a favor de: </w:t>
      </w:r>
    </w:p>
    <w:p w:rsidR="00E23B86" w:rsidRDefault="00BA7C13">
      <w:pPr>
        <w:spacing w:after="543" w:line="251" w:lineRule="auto"/>
        <w:ind w:left="345" w:right="573" w:firstLine="708"/>
        <w:jc w:val="both"/>
      </w:pPr>
      <w:r>
        <w:rPr>
          <w:rFonts w:ascii="Arial" w:eastAsia="Arial" w:hAnsi="Arial" w:cs="Arial"/>
          <w:i/>
        </w:rPr>
        <w:t xml:space="preserve"> D. Andrés Jesús Chico Castellano</w:t>
      </w:r>
      <w:r>
        <w:rPr>
          <w:rFonts w:ascii="Arial" w:eastAsia="Arial" w:hAnsi="Arial" w:cs="Arial"/>
          <w:i/>
        </w:rPr>
        <w:t>, D. José Aurelio Chico Castellano, Dña. Evangelina Máxima Chico Castellano, D. Juan Carmelo Chico Castellano, Dña. Heraclia Castro Castro y D. Ramiro Urbano Oliva Rodríguez,en representación de la entidad “Construcciones Oliva Baute,S.L.”., al haber obten</w:t>
      </w:r>
      <w:r>
        <w:rPr>
          <w:rFonts w:ascii="Arial" w:eastAsia="Arial" w:hAnsi="Arial" w:cs="Arial"/>
          <w:i/>
        </w:rPr>
        <w:t>ido la puntuación de 100 puntos que es la máxima puntuación, y por el importe económico desglosado en su oferta económica según el porcentaje de propiedad.”.</w:t>
      </w:r>
    </w:p>
    <w:p w:rsidR="00E23B86" w:rsidRDefault="00BA7C13">
      <w:pPr>
        <w:spacing w:after="110" w:line="248" w:lineRule="auto"/>
        <w:ind w:left="363" w:right="552" w:firstLine="708"/>
        <w:jc w:val="both"/>
      </w:pPr>
      <w:r>
        <w:rPr>
          <w:rFonts w:ascii="Arial" w:eastAsia="Arial" w:hAnsi="Arial" w:cs="Arial"/>
        </w:rPr>
        <w:t>11.- Consta en el expediente informe jurídico de la Secretaría General de fecha 19 de febrero de 2</w:t>
      </w:r>
      <w:r>
        <w:rPr>
          <w:rFonts w:ascii="Arial" w:eastAsia="Arial" w:hAnsi="Arial" w:cs="Arial"/>
        </w:rPr>
        <w:t>020 en la que se propone al Pleno de la Corporación que requiera a los licitadores siguientes:</w:t>
      </w:r>
    </w:p>
    <w:p w:rsidR="00E23B86" w:rsidRDefault="00BA7C13">
      <w:pPr>
        <w:spacing w:after="10" w:line="248" w:lineRule="auto"/>
        <w:ind w:left="1070" w:right="552" w:hanging="10"/>
        <w:jc w:val="both"/>
      </w:pPr>
      <w:r>
        <w:rPr>
          <w:rFonts w:ascii="Arial" w:eastAsia="Arial" w:hAnsi="Arial" w:cs="Arial"/>
        </w:rPr>
        <w:t>D. Andrés Jesús Chico Castellano.</w:t>
      </w:r>
    </w:p>
    <w:p w:rsidR="00E23B86" w:rsidRDefault="00BA7C13">
      <w:pPr>
        <w:spacing w:after="10" w:line="248" w:lineRule="auto"/>
        <w:ind w:left="1070" w:right="552" w:hanging="10"/>
        <w:jc w:val="both"/>
      </w:pPr>
      <w:r>
        <w:rPr>
          <w:rFonts w:ascii="Arial" w:eastAsia="Arial" w:hAnsi="Arial" w:cs="Arial"/>
        </w:rPr>
        <w:t>D. José Aurelio Chico Castellano.</w:t>
      </w:r>
    </w:p>
    <w:p w:rsidR="00E23B86" w:rsidRDefault="00BA7C13">
      <w:pPr>
        <w:spacing w:after="0" w:line="248" w:lineRule="auto"/>
        <w:ind w:left="1070" w:right="3901" w:hanging="10"/>
        <w:jc w:val="both"/>
      </w:pPr>
      <w:r>
        <w:rPr>
          <w:rFonts w:ascii="Arial" w:eastAsia="Arial" w:hAnsi="Arial" w:cs="Arial"/>
        </w:rPr>
        <w:t>Dña. Evangelina Máxima Chico Castellano. D. Juan Carmelo Chico Castellano.</w:t>
      </w:r>
    </w:p>
    <w:p w:rsidR="00E23B86" w:rsidRDefault="00BA7C13">
      <w:pPr>
        <w:spacing w:after="10" w:line="248" w:lineRule="auto"/>
        <w:ind w:left="1070" w:right="552" w:hanging="10"/>
        <w:jc w:val="both"/>
      </w:pPr>
      <w:r>
        <w:rPr>
          <w:rFonts w:ascii="Arial" w:eastAsia="Arial" w:hAnsi="Arial" w:cs="Arial"/>
        </w:rPr>
        <w:t>Dña. Heraclia Castro Castro.</w:t>
      </w:r>
    </w:p>
    <w:p w:rsidR="00E23B86" w:rsidRDefault="00BA7C13">
      <w:pPr>
        <w:spacing w:after="365" w:line="248" w:lineRule="auto"/>
        <w:ind w:left="363" w:right="552" w:firstLine="708"/>
        <w:jc w:val="both"/>
      </w:pPr>
      <w:r>
        <w:rPr>
          <w:rFonts w:ascii="Arial" w:eastAsia="Arial" w:hAnsi="Arial" w:cs="Arial"/>
        </w:rPr>
        <w:t>D. Ramiro Urbano Oliva Rodríguez en representación de la entidad “Construcciones Oliva Baute,S.L.”.</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698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6850" name="Group 49685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717" name="Rectangle 2471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718" name="Rectangle 2471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w:t>
                              </w:r>
                              <w:r>
                                <w:rPr>
                                  <w:rFonts w:ascii="Arial" w:eastAsia="Arial" w:hAnsi="Arial" w:cs="Arial"/>
                                  <w:sz w:val="12"/>
                                </w:rPr>
                                <w:t xml:space="preserve">ónicamente desde la plataforma esPublico Gestiona | Página 109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6850" style="width:12.7031pt;height:280.35pt;position:absolute;mso-position-horizontal-relative:page;mso-position-horizontal:absolute;margin-left:681.958pt;mso-position-vertical-relative:page;margin-top:531.65pt;" coordsize="1613,35604">
                <v:rect id="Rectangle 2471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71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109 de 391 </w:t>
                        </w:r>
                      </w:p>
                    </w:txbxContent>
                  </v:textbox>
                </v:rect>
                <w10:wrap type="square"/>
              </v:group>
            </w:pict>
          </mc:Fallback>
        </mc:AlternateContent>
      </w:r>
      <w:r>
        <w:rPr>
          <w:rFonts w:ascii="Arial" w:eastAsia="Arial" w:hAnsi="Arial" w:cs="Arial"/>
        </w:rPr>
        <w:t>Que han presentado la mejor y única oferta para que, dentro del plazo de diez días hábiles, a contar desde el siguiente a aquel en que hubiera recibido el requerimiento presente la docu</w:t>
      </w:r>
      <w:r>
        <w:rPr>
          <w:rFonts w:ascii="Arial" w:eastAsia="Arial" w:hAnsi="Arial" w:cs="Arial"/>
        </w:rPr>
        <w:t>mentación siguiente por cada persona física y jurídica:</w:t>
      </w:r>
    </w:p>
    <w:p w:rsidR="00E23B86" w:rsidRDefault="00BA7C13">
      <w:pPr>
        <w:spacing w:after="110" w:line="248" w:lineRule="auto"/>
        <w:ind w:left="363" w:right="552" w:firstLine="708"/>
        <w:jc w:val="both"/>
      </w:pPr>
      <w:r>
        <w:rPr>
          <w:rFonts w:ascii="Arial" w:eastAsia="Arial" w:hAnsi="Arial" w:cs="Arial"/>
        </w:rPr>
        <w:t>-Certificado de estar al corriente en el cumplimiento de las obligaciones tributarias.</w:t>
      </w:r>
    </w:p>
    <w:p w:rsidR="00E23B86" w:rsidRDefault="00BA7C13">
      <w:pPr>
        <w:spacing w:after="385" w:line="248" w:lineRule="auto"/>
        <w:ind w:left="1070" w:right="552" w:hanging="10"/>
        <w:jc w:val="both"/>
      </w:pPr>
      <w:r>
        <w:rPr>
          <w:rFonts w:ascii="Arial" w:eastAsia="Arial" w:hAnsi="Arial" w:cs="Arial"/>
        </w:rPr>
        <w:t>-Certificado de estar al corriente con la Seguridad Social.</w:t>
      </w:r>
    </w:p>
    <w:p w:rsidR="00E23B86" w:rsidRDefault="00BA7C13">
      <w:pPr>
        <w:spacing w:after="485" w:line="248" w:lineRule="auto"/>
        <w:ind w:left="363" w:right="552" w:firstLine="708"/>
        <w:jc w:val="both"/>
      </w:pPr>
      <w:r>
        <w:rPr>
          <w:rFonts w:ascii="Arial" w:eastAsia="Arial" w:hAnsi="Arial" w:cs="Arial"/>
        </w:rPr>
        <w:t>12.- Consta en el expediente requerimiento de la Secr</w:t>
      </w:r>
      <w:r>
        <w:rPr>
          <w:rFonts w:ascii="Arial" w:eastAsia="Arial" w:hAnsi="Arial" w:cs="Arial"/>
        </w:rPr>
        <w:t>etaría General al Interventor a los efectos de que certifique la existencia de crédito en el año 2020.</w:t>
      </w:r>
    </w:p>
    <w:p w:rsidR="00E23B86" w:rsidRDefault="00BA7C13">
      <w:pPr>
        <w:spacing w:after="110" w:line="248" w:lineRule="auto"/>
        <w:ind w:left="363" w:right="552" w:firstLine="708"/>
        <w:jc w:val="both"/>
      </w:pPr>
      <w:r>
        <w:rPr>
          <w:rFonts w:ascii="Arial" w:eastAsia="Arial" w:hAnsi="Arial" w:cs="Arial"/>
        </w:rPr>
        <w:t xml:space="preserve">13.- Consta en el expediente que en los días 20 y 21 de febrero de 2020 los licitadores han presentado por registro de entrada los certificados de estar </w:t>
      </w:r>
      <w:r>
        <w:rPr>
          <w:rFonts w:ascii="Arial" w:eastAsia="Arial" w:hAnsi="Arial" w:cs="Arial"/>
        </w:rPr>
        <w:t xml:space="preserve">al corriente con la Agencia Tributaria, con la Agencia Tributaria Canaria, con la Seguridad Social y con el Consorcio de Tributos de Tenerife. </w:t>
      </w:r>
    </w:p>
    <w:p w:rsidR="00E23B86" w:rsidRDefault="00BA7C13">
      <w:pPr>
        <w:spacing w:after="112" w:line="249" w:lineRule="auto"/>
        <w:ind w:left="337" w:right="555" w:firstLine="708"/>
      </w:pPr>
      <w:r>
        <w:rPr>
          <w:rFonts w:ascii="Arial" w:eastAsia="Arial" w:hAnsi="Arial" w:cs="Arial"/>
        </w:rPr>
        <w:t>Además el Tesorero del Ayuntamiento de Candelaria ha comprobado que todos los licitadores están al corriente con el Consorcio de Tributos de la Isla de Tenerife y ha remitido el 20 de febrero de 2020 al Secretario General la documentación relativa a los ce</w:t>
      </w:r>
      <w:r>
        <w:rPr>
          <w:rFonts w:ascii="Arial" w:eastAsia="Arial" w:hAnsi="Arial" w:cs="Arial"/>
        </w:rPr>
        <w:t>rtificado de estar al corriente con el Consorcio de Tributos de Tenerife.</w:t>
      </w:r>
    </w:p>
    <w:p w:rsidR="00E23B86" w:rsidRDefault="00BA7C13">
      <w:pPr>
        <w:spacing w:after="110" w:line="248" w:lineRule="auto"/>
        <w:ind w:left="363" w:right="552" w:firstLine="708"/>
        <w:jc w:val="both"/>
      </w:pPr>
      <w:r>
        <w:rPr>
          <w:rFonts w:ascii="Arial" w:eastAsia="Arial" w:hAnsi="Arial" w:cs="Arial"/>
        </w:rPr>
        <w:t>14.- Consta en el expediente certificado de existencia de crédito expedido por el Interventor de fecha 21 de febrero de 2020 para el año 2020 una vez que se ha aprobado por Decreto d</w:t>
      </w:r>
      <w:r>
        <w:rPr>
          <w:rFonts w:ascii="Arial" w:eastAsia="Arial" w:hAnsi="Arial" w:cs="Arial"/>
        </w:rPr>
        <w:t xml:space="preserve">e la Alcaldía-Presidencia 441/2020, de 20 de febrero, la modificación presupuestaria 1750/2020 la incorporación de remanentes de créditos en la que se ha incluido: </w:t>
      </w:r>
    </w:p>
    <w:p w:rsidR="00E23B86" w:rsidRDefault="00BA7C13">
      <w:pPr>
        <w:spacing w:after="110" w:line="248" w:lineRule="auto"/>
        <w:ind w:left="373" w:right="552" w:hanging="10"/>
        <w:jc w:val="both"/>
      </w:pPr>
      <w:r>
        <w:rPr>
          <w:rFonts w:ascii="Arial" w:eastAsia="Arial" w:hAnsi="Arial" w:cs="Arial"/>
        </w:rPr>
        <w:t xml:space="preserve">Proyecto: 19.2.57. </w:t>
      </w:r>
    </w:p>
    <w:p w:rsidR="00E23B86" w:rsidRDefault="00BA7C13">
      <w:pPr>
        <w:spacing w:after="110" w:line="248" w:lineRule="auto"/>
        <w:ind w:left="373" w:right="552" w:hanging="10"/>
        <w:jc w:val="both"/>
      </w:pPr>
      <w:r>
        <w:rPr>
          <w:rFonts w:ascii="Arial" w:eastAsia="Arial" w:hAnsi="Arial" w:cs="Arial"/>
        </w:rPr>
        <w:t xml:space="preserve">Partida: 2020. 13300.61000. </w:t>
      </w:r>
    </w:p>
    <w:p w:rsidR="00E23B86" w:rsidRDefault="00BA7C13">
      <w:pPr>
        <w:spacing w:after="10" w:line="248" w:lineRule="auto"/>
        <w:ind w:left="373" w:right="552" w:hanging="10"/>
        <w:jc w:val="both"/>
      </w:pPr>
      <w:r>
        <w:rPr>
          <w:rFonts w:ascii="Arial" w:eastAsia="Arial" w:hAnsi="Arial" w:cs="Arial"/>
        </w:rPr>
        <w:t xml:space="preserve"> Adquisición: Parcela UA-CO Empaquetadora </w:t>
      </w:r>
      <w:r>
        <w:rPr>
          <w:rFonts w:ascii="Arial" w:eastAsia="Arial" w:hAnsi="Arial" w:cs="Arial"/>
        </w:rPr>
        <w:t>de D. Sixto: por importe de:</w:t>
      </w:r>
    </w:p>
    <w:p w:rsidR="00E23B86" w:rsidRDefault="00BA7C13">
      <w:pPr>
        <w:spacing w:after="855" w:line="248" w:lineRule="auto"/>
        <w:ind w:left="373" w:right="552" w:hanging="10"/>
        <w:jc w:val="both"/>
      </w:pPr>
      <w:r>
        <w:rPr>
          <w:rFonts w:ascii="Arial" w:eastAsia="Arial" w:hAnsi="Arial" w:cs="Arial"/>
        </w:rPr>
        <w:t xml:space="preserve">2.270.150,00 euros. </w:t>
      </w:r>
    </w:p>
    <w:p w:rsidR="00E23B86" w:rsidRDefault="00BA7C13">
      <w:pPr>
        <w:spacing w:after="483" w:line="248" w:lineRule="auto"/>
        <w:ind w:left="2488" w:right="552" w:hanging="10"/>
        <w:jc w:val="both"/>
      </w:pPr>
      <w:r>
        <w:rPr>
          <w:rFonts w:ascii="Arial" w:eastAsia="Arial" w:hAnsi="Arial" w:cs="Arial"/>
        </w:rPr>
        <w:t xml:space="preserve">FUNDAMENTOS DE DERECHO </w:t>
      </w:r>
    </w:p>
    <w:p w:rsidR="00E23B86" w:rsidRDefault="00BA7C13">
      <w:pPr>
        <w:spacing w:after="351" w:line="248" w:lineRule="auto"/>
        <w:ind w:left="363" w:right="552" w:firstLine="708"/>
        <w:jc w:val="both"/>
      </w:pPr>
      <w:r>
        <w:rPr>
          <w:rFonts w:ascii="Arial" w:eastAsia="Arial" w:hAnsi="Arial" w:cs="Arial"/>
        </w:rPr>
        <w:t>Primero.- Es de aplicación el artículo 150 de la Ley 9/2017, de 8 de noviembre, de Contratos del Sector Público, por la que se transponen al ordenamiento jurídico español las Directi</w:t>
      </w:r>
      <w:r>
        <w:rPr>
          <w:rFonts w:ascii="Arial" w:eastAsia="Arial" w:hAnsi="Arial" w:cs="Arial"/>
        </w:rPr>
        <w:t>vas del Parlamento Europeo y del Consejo 2014/23/UE y 2014/24/UE, de 26 de febrero de 2014 (LCSP)</w:t>
      </w:r>
    </w:p>
    <w:p w:rsidR="00E23B86" w:rsidRDefault="00BA7C13">
      <w:pPr>
        <w:spacing w:after="168" w:line="251" w:lineRule="auto"/>
        <w:ind w:left="355" w:right="573" w:hanging="10"/>
        <w:jc w:val="both"/>
      </w:pPr>
      <w:r>
        <w:rPr>
          <w:rFonts w:ascii="Arial" w:eastAsia="Arial" w:hAnsi="Arial" w:cs="Arial"/>
          <w:i/>
        </w:rPr>
        <w:t>Artículo 150.-  Clasificación de las ofertas y adjudicación del contrato.</w:t>
      </w:r>
    </w:p>
    <w:p w:rsidR="00E23B86" w:rsidRDefault="00BA7C13">
      <w:pPr>
        <w:numPr>
          <w:ilvl w:val="0"/>
          <w:numId w:val="37"/>
        </w:numPr>
        <w:spacing w:after="171" w:line="251" w:lineRule="auto"/>
        <w:ind w:right="573" w:firstLine="360"/>
        <w:jc w:val="both"/>
      </w:pPr>
      <w:r>
        <w:rPr>
          <w:rFonts w:ascii="Arial" w:eastAsia="Arial" w:hAnsi="Arial" w:cs="Arial"/>
          <w:i/>
        </w:rPr>
        <w:t>La mesa de contratación o, en su defecto, el órgano de contratación clasificará,por orden decreciente, las proposiciones presentadas para posteriormente elevar la correspondiente propuesta al órgano de contratación, en el caso de que la clasificación se re</w:t>
      </w:r>
      <w:r>
        <w:rPr>
          <w:rFonts w:ascii="Arial" w:eastAsia="Arial" w:hAnsi="Arial" w:cs="Arial"/>
          <w:i/>
        </w:rPr>
        <w:t>alice por la mesa de contratación.</w:t>
      </w:r>
    </w:p>
    <w:p w:rsidR="00E23B86" w:rsidRDefault="00BA7C13">
      <w:pPr>
        <w:spacing w:after="171" w:line="251" w:lineRule="auto"/>
        <w:ind w:left="345" w:right="573" w:firstLine="360"/>
        <w:jc w:val="both"/>
      </w:pPr>
      <w:r>
        <w:rPr>
          <w:noProof/>
        </w:rPr>
        <mc:AlternateContent>
          <mc:Choice Requires="wpg">
            <w:drawing>
              <wp:anchor distT="0" distB="0" distL="114300" distR="114300" simplePos="0" relativeHeight="2517708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7455" name="Group 49745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784" name="Rectangle 2478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785" name="Rectangle 24785"/>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110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7455" style="width:12.7031pt;height:280.35pt;position:absolute;mso-position-horizontal-relative:page;mso-position-horizontal:absolute;margin-left:681.958pt;mso-position-vertical-relative:page;margin-top:531.65pt;" coordsize="1613,35604">
                <v:rect id="Rectangle 2478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785"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110 de 391 </w:t>
                        </w:r>
                      </w:p>
                    </w:txbxContent>
                  </v:textbox>
                </v:rect>
                <w10:wrap type="square"/>
              </v:group>
            </w:pict>
          </mc:Fallback>
        </mc:AlternateContent>
      </w:r>
      <w:r>
        <w:rPr>
          <w:rFonts w:ascii="Arial" w:eastAsia="Arial" w:hAnsi="Arial" w:cs="Arial"/>
          <w:i/>
        </w:rPr>
        <w:t>Para realizar la citada</w:t>
      </w:r>
      <w:r>
        <w:rPr>
          <w:rFonts w:ascii="Arial" w:eastAsia="Arial" w:hAnsi="Arial" w:cs="Arial"/>
          <w:i/>
        </w:rPr>
        <w:t xml:space="preserve"> clasificación, se atenderá a los criterios de adjudicación señalados en el pliego, pudiéndose solicitar para ello cuantos informes técnicos se estime pertinentes. Cuando el único criterio a considerar sea el precio, se entenderá que la mejor oferta es la </w:t>
      </w:r>
      <w:r>
        <w:rPr>
          <w:rFonts w:ascii="Arial" w:eastAsia="Arial" w:hAnsi="Arial" w:cs="Arial"/>
          <w:i/>
        </w:rPr>
        <w:t>que incorpora el precio más bajo.</w:t>
      </w:r>
    </w:p>
    <w:p w:rsidR="00E23B86" w:rsidRDefault="00BA7C13">
      <w:pPr>
        <w:spacing w:after="169" w:line="251" w:lineRule="auto"/>
        <w:ind w:left="345" w:right="573" w:firstLine="360"/>
        <w:jc w:val="both"/>
      </w:pPr>
      <w:r>
        <w:rPr>
          <w:rFonts w:ascii="Arial" w:eastAsia="Arial" w:hAnsi="Arial" w:cs="Arial"/>
          <w:i/>
        </w:rPr>
        <w:t>Si en el ejercicio de sus funciones la mesa de contratación, o en su defecto, el órgano de contratación, tuviera indicios fundados de conductas colusorias en el procedimiento de contratación, en el sentido definido en el a</w:t>
      </w:r>
      <w:r>
        <w:rPr>
          <w:rFonts w:ascii="Arial" w:eastAsia="Arial" w:hAnsi="Arial" w:cs="Arial"/>
          <w:i/>
        </w:rPr>
        <w:t>rtículo 1 de la Ley 15/2007, de 3 de julio, de Defensa de la Competencia, los trasladará con carácter previo a la adjudicación del contrato a la Comisión Nacional de los Mercados y la Competencia o, en su caso, a la autoridad de competencia autonómica corr</w:t>
      </w:r>
      <w:r>
        <w:rPr>
          <w:rFonts w:ascii="Arial" w:eastAsia="Arial" w:hAnsi="Arial" w:cs="Arial"/>
          <w:i/>
        </w:rPr>
        <w:t xml:space="preserve">espondiente, a efectos de que a través de un procedimiento sumarísimo se pronuncie sobre aquellos. La remisión de dichos indicios tendrá efectos suspensivos en el procedimiento de contratación. Si la remisión la realiza la mesa de contratación dará cuenta </w:t>
      </w:r>
      <w:r>
        <w:rPr>
          <w:rFonts w:ascii="Arial" w:eastAsia="Arial" w:hAnsi="Arial" w:cs="Arial"/>
          <w:i/>
        </w:rPr>
        <w:t>de ello al órgano de contratación. Reglamentariamente se regulará el procedimiento al que se refiere el presente párrafo.</w:t>
      </w:r>
    </w:p>
    <w:p w:rsidR="00E23B86" w:rsidRDefault="00BA7C13">
      <w:pPr>
        <w:numPr>
          <w:ilvl w:val="0"/>
          <w:numId w:val="37"/>
        </w:numPr>
        <w:spacing w:after="111" w:line="251" w:lineRule="auto"/>
        <w:ind w:right="573" w:firstLine="360"/>
        <w:jc w:val="both"/>
      </w:pPr>
      <w:r>
        <w:rPr>
          <w:rFonts w:ascii="Arial" w:eastAsia="Arial" w:hAnsi="Arial" w:cs="Arial"/>
          <w:i/>
        </w:rPr>
        <w:t>Una vez aceptada la propuesta de la mesa por el órgano de contratación, losservicios correspondientes requerirán al licitador que haya</w:t>
      </w:r>
      <w:r>
        <w:rPr>
          <w:rFonts w:ascii="Arial" w:eastAsia="Arial" w:hAnsi="Arial" w:cs="Arial"/>
          <w:i/>
        </w:rPr>
        <w:t xml:space="preserve"> presentado la mejor oferta, de conformidad con lo dispuesto en el artículo 145 para que, dentro del plazo de diez días hábiles, a contar desde el siguiente a aquel en que hubiera recibido el requerimiento, presente la documentación justificativa de las ci</w:t>
      </w:r>
      <w:r>
        <w:rPr>
          <w:rFonts w:ascii="Arial" w:eastAsia="Arial" w:hAnsi="Arial" w:cs="Arial"/>
          <w:i/>
        </w:rPr>
        <w:t>rcunstancias a las que se refieren las letras a) a c) del apartado 1 del artículo 140 si no se hubiera aportado con anterioridad, tanto del licitador como de aquellas otras empresas a cuyas capacidades se recurra, sin perjuicio de lo establecido en el segu</w:t>
      </w:r>
      <w:r>
        <w:rPr>
          <w:rFonts w:ascii="Arial" w:eastAsia="Arial" w:hAnsi="Arial" w:cs="Arial"/>
          <w:i/>
        </w:rPr>
        <w:t>ndo párrafo del apartado 3 del citado artículo; de disponer efectivamente de los medios que se hubiese comprometido a dedicar o adscribir a la ejecución del contrato conforme al artículo 76.2; y de haber constituido la garantía definitiva que sea procedent</w:t>
      </w:r>
      <w:r>
        <w:rPr>
          <w:rFonts w:ascii="Arial" w:eastAsia="Arial" w:hAnsi="Arial" w:cs="Arial"/>
          <w:i/>
        </w:rPr>
        <w:t>e. Los correspondientes certificados podrán ser expedidos por medios electrónicos, informáticos o telemáticos, salvo que se establezca otra cosa en los pliegos.</w:t>
      </w:r>
    </w:p>
    <w:p w:rsidR="00E23B86" w:rsidRDefault="00BA7C13">
      <w:pPr>
        <w:spacing w:after="169" w:line="251" w:lineRule="auto"/>
        <w:ind w:left="345" w:right="573" w:firstLine="360"/>
        <w:jc w:val="both"/>
      </w:pPr>
      <w:r>
        <w:rPr>
          <w:rFonts w:ascii="Arial" w:eastAsia="Arial" w:hAnsi="Arial" w:cs="Arial"/>
          <w:i/>
        </w:rPr>
        <w:t>De no cumplimentarse adecuadamente el requerimiento en el plazo señalado, se entenderá que el l</w:t>
      </w:r>
      <w:r>
        <w:rPr>
          <w:rFonts w:ascii="Arial" w:eastAsia="Arial" w:hAnsi="Arial" w:cs="Arial"/>
          <w:i/>
        </w:rPr>
        <w:t>icitador ha retirado su oferta, procediéndose a exigirle el importe del 3 por ciento del presupuesto base de licitación, IVA excluido, en concepto de penalidad, que se hará efectivo en primer lugar contra la garantía provisional, si se hubiera constituido,</w:t>
      </w:r>
      <w:r>
        <w:rPr>
          <w:rFonts w:ascii="Arial" w:eastAsia="Arial" w:hAnsi="Arial" w:cs="Arial"/>
          <w:i/>
        </w:rPr>
        <w:t xml:space="preserve"> sin perjuicio de lo establecido en la letra a) del apartado 2 del artículo 71.</w:t>
      </w:r>
    </w:p>
    <w:p w:rsidR="00E23B86" w:rsidRDefault="00BA7C13">
      <w:pPr>
        <w:numPr>
          <w:ilvl w:val="0"/>
          <w:numId w:val="37"/>
        </w:numPr>
        <w:spacing w:after="169" w:line="251" w:lineRule="auto"/>
        <w:ind w:right="573" w:firstLine="360"/>
        <w:jc w:val="both"/>
      </w:pPr>
      <w:r>
        <w:rPr>
          <w:rFonts w:ascii="Arial" w:eastAsia="Arial" w:hAnsi="Arial" w:cs="Arial"/>
          <w:i/>
        </w:rPr>
        <w:t>El órgano de contratación adjudicará el contrato dentro de los cinco días hábilessiguientes a la recepción de la documentación. En los procedimientos negociados, de diálogo com</w:t>
      </w:r>
      <w:r>
        <w:rPr>
          <w:rFonts w:ascii="Arial" w:eastAsia="Arial" w:hAnsi="Arial" w:cs="Arial"/>
          <w:i/>
        </w:rPr>
        <w:t>petitivo y de asociación para la innovación, la adjudicación concretará y fijará los términos definitivos del contrato.</w:t>
      </w:r>
    </w:p>
    <w:p w:rsidR="00E23B86" w:rsidRDefault="00BA7C13">
      <w:pPr>
        <w:spacing w:after="169" w:line="251" w:lineRule="auto"/>
        <w:ind w:left="345" w:right="573" w:firstLine="360"/>
        <w:jc w:val="both"/>
      </w:pPr>
      <w:r>
        <w:rPr>
          <w:rFonts w:ascii="Arial" w:eastAsia="Arial" w:hAnsi="Arial" w:cs="Arial"/>
          <w:i/>
        </w:rPr>
        <w:t>No podrá declararse desierta una licitación cuando exista alguna oferta o proposición que sea admisible de acuerdo con los criterios que</w:t>
      </w:r>
      <w:r>
        <w:rPr>
          <w:rFonts w:ascii="Arial" w:eastAsia="Arial" w:hAnsi="Arial" w:cs="Arial"/>
          <w:i/>
        </w:rPr>
        <w:t xml:space="preserve"> figuren en el pliego.</w:t>
      </w:r>
    </w:p>
    <w:p w:rsidR="00E23B86" w:rsidRDefault="00BA7C13">
      <w:pPr>
        <w:spacing w:after="110" w:line="248" w:lineRule="auto"/>
        <w:ind w:left="363" w:right="552" w:firstLine="360"/>
        <w:jc w:val="both"/>
      </w:pPr>
      <w:r>
        <w:rPr>
          <w:rFonts w:ascii="Arial" w:eastAsia="Arial" w:hAnsi="Arial" w:cs="Arial"/>
        </w:rPr>
        <w:t>Segundo.- Es de aplicación lo establecido en la cláusula 12ª del PCAP que lleva por título: “Adjudicación del contrato”.</w:t>
      </w:r>
    </w:p>
    <w:p w:rsidR="00E23B86" w:rsidRDefault="00BA7C13">
      <w:pPr>
        <w:spacing w:after="111" w:line="251" w:lineRule="auto"/>
        <w:ind w:left="355" w:right="573" w:hanging="10"/>
        <w:jc w:val="both"/>
      </w:pPr>
      <w:r>
        <w:rPr>
          <w:rFonts w:ascii="Arial" w:eastAsia="Arial" w:hAnsi="Arial" w:cs="Arial"/>
          <w:i/>
        </w:rPr>
        <w:t xml:space="preserve">“Recibida la documentación solicitada, el órgano de contratación deberá adjudicar el contrato dentro de los cinco días hábiles siguientes a la recepción de la documentación. </w:t>
      </w:r>
    </w:p>
    <w:p w:rsidR="00E23B86" w:rsidRDefault="00BA7C13">
      <w:pPr>
        <w:spacing w:after="111" w:line="251" w:lineRule="auto"/>
        <w:ind w:left="355" w:right="573" w:hanging="10"/>
        <w:jc w:val="both"/>
      </w:pPr>
      <w:r>
        <w:rPr>
          <w:rFonts w:ascii="Arial" w:eastAsia="Arial" w:hAnsi="Arial" w:cs="Arial"/>
          <w:i/>
        </w:rPr>
        <w:t>En ningún caso podrá declararse desierta una licitación cuando exista alguna ofer</w:t>
      </w:r>
      <w:r>
        <w:rPr>
          <w:rFonts w:ascii="Arial" w:eastAsia="Arial" w:hAnsi="Arial" w:cs="Arial"/>
          <w:i/>
        </w:rPr>
        <w:t xml:space="preserve">ta o proposición que sea admisible de acuerdo con los criterios que figuren en el pliego. </w:t>
      </w:r>
    </w:p>
    <w:p w:rsidR="00E23B86" w:rsidRDefault="00BA7C13">
      <w:pPr>
        <w:spacing w:after="111" w:line="251" w:lineRule="auto"/>
        <w:ind w:left="355" w:right="573" w:hanging="10"/>
        <w:jc w:val="both"/>
      </w:pPr>
      <w:r>
        <w:rPr>
          <w:rFonts w:ascii="Arial" w:eastAsia="Arial" w:hAnsi="Arial" w:cs="Arial"/>
          <w:i/>
        </w:rPr>
        <w:t xml:space="preserve">La adjudicación deberá ser motivada y se notificará a los candidatos o licitadores, debiendo ser publicada en el perfil de contratante en el plazo de 15 días.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7719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7425" name="Group 49742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850" name="Rectangle 2485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w:t>
                              </w:r>
                              <w:r>
                                <w:rPr>
                                  <w:rFonts w:ascii="Arial" w:eastAsia="Arial" w:hAnsi="Arial" w:cs="Arial"/>
                                  <w:sz w:val="12"/>
                                </w:rPr>
                                <w:t xml:space="preserve">d. Validación: 5AJ7C4GAAK3P9GMGZC2N3FZWC | Verificación: https://candelaria.sedelectronica.es/ </w:t>
                              </w:r>
                            </w:p>
                          </w:txbxContent>
                        </wps:txbx>
                        <wps:bodyPr horzOverflow="overflow" vert="horz" lIns="0" tIns="0" rIns="0" bIns="0" rtlCol="0">
                          <a:noAutofit/>
                        </wps:bodyPr>
                      </wps:wsp>
                      <wps:wsp>
                        <wps:cNvPr id="24851" name="Rectangle 24851"/>
                        <wps:cNvSpPr/>
                        <wps:spPr>
                          <a:xfrm rot="-5399999">
                            <a:off x="-2091074" y="1279947"/>
                            <a:ext cx="4447773"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111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7425" style="width:12.7031pt;height:280.35pt;position:absolute;mso-position-horizontal-relative:page;mso-position-horizontal:absolute;margin-left:681.958pt;mso-position-vertical-relative:page;margin-top:531.65pt;" coordsize="1613,35604">
                <v:rect id="Rectangle 2485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851" style="position:absolute;width:44477;height:1132;left:-20910;top:1279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111 de 391 </w:t>
                        </w:r>
                      </w:p>
                    </w:txbxContent>
                  </v:textbox>
                </v:rect>
                <w10:wrap type="square"/>
              </v:group>
            </w:pict>
          </mc:Fallback>
        </mc:AlternateContent>
      </w:r>
      <w:r>
        <w:rPr>
          <w:rFonts w:ascii="Arial" w:eastAsia="Arial" w:hAnsi="Arial" w:cs="Arial"/>
          <w:i/>
        </w:rPr>
        <w:t>La adjudicación deberá recaer en el plazo máximo de quince días</w:t>
      </w:r>
      <w:r>
        <w:rPr>
          <w:rFonts w:ascii="Arial" w:eastAsia="Arial" w:hAnsi="Arial" w:cs="Arial"/>
          <w:i/>
        </w:rPr>
        <w:t xml:space="preserve"> a contar desde el siguiente al de apertura de las proposiciones”.</w:t>
      </w:r>
    </w:p>
    <w:p w:rsidR="00E23B86" w:rsidRDefault="00BA7C13">
      <w:pPr>
        <w:spacing w:after="485" w:line="248" w:lineRule="auto"/>
        <w:ind w:left="363" w:right="552" w:firstLine="708"/>
        <w:jc w:val="both"/>
      </w:pPr>
      <w:r>
        <w:rPr>
          <w:rFonts w:ascii="Arial" w:eastAsia="Arial" w:hAnsi="Arial" w:cs="Arial"/>
        </w:rPr>
        <w:t>La motivación de la presente adjudicación consta en el tenor literal de las actas de las Mesas de contratación transcritas en los antecedentes de hecho.</w:t>
      </w:r>
    </w:p>
    <w:p w:rsidR="00E23B86" w:rsidRDefault="00BA7C13">
      <w:pPr>
        <w:spacing w:after="110" w:line="248" w:lineRule="auto"/>
        <w:ind w:left="363" w:right="552" w:firstLine="708"/>
        <w:jc w:val="both"/>
      </w:pPr>
      <w:r>
        <w:rPr>
          <w:rFonts w:ascii="Arial" w:eastAsia="Arial" w:hAnsi="Arial" w:cs="Arial"/>
        </w:rPr>
        <w:t>Tercero.- El órgano de contratación es el Pleno al superar el presupuesto de licitación el 10 por ciento de los recursos ordinarios del presupuesto vigente de 2018:</w:t>
      </w:r>
    </w:p>
    <w:p w:rsidR="00E23B86" w:rsidRDefault="00BA7C13">
      <w:pPr>
        <w:spacing w:after="110" w:line="248" w:lineRule="auto"/>
        <w:ind w:left="1070" w:right="552" w:hanging="10"/>
        <w:jc w:val="both"/>
      </w:pPr>
      <w:r>
        <w:rPr>
          <w:rFonts w:ascii="Arial" w:eastAsia="Arial" w:hAnsi="Arial" w:cs="Arial"/>
        </w:rPr>
        <w:t>LCSP 9/2017, de 8 de noviembre:</w:t>
      </w:r>
    </w:p>
    <w:p w:rsidR="00E23B86" w:rsidRDefault="00BA7C13">
      <w:pPr>
        <w:spacing w:after="483" w:line="251" w:lineRule="auto"/>
        <w:ind w:left="345" w:right="573" w:firstLine="708"/>
        <w:jc w:val="both"/>
      </w:pPr>
      <w:r>
        <w:rPr>
          <w:rFonts w:ascii="Arial" w:eastAsia="Arial" w:hAnsi="Arial" w:cs="Arial"/>
          <w:i/>
        </w:rPr>
        <w:t xml:space="preserve"> DA2ª.9 LCSP:. En las entidades locales corresponde a los A</w:t>
      </w:r>
      <w:r>
        <w:rPr>
          <w:rFonts w:ascii="Arial" w:eastAsia="Arial" w:hAnsi="Arial" w:cs="Arial"/>
          <w:i/>
        </w:rPr>
        <w:t>lcaldes y a los Presidentes de las Entidades Locales la competencia para la celebración de los contratos privados, así como la adjudicación de concesiones sobre los bienes de las mismas y la adquisición de bienes inmuebles y derechos sujetos a la legislaci</w:t>
      </w:r>
      <w:r>
        <w:rPr>
          <w:rFonts w:ascii="Arial" w:eastAsia="Arial" w:hAnsi="Arial" w:cs="Arial"/>
          <w:i/>
        </w:rPr>
        <w:t xml:space="preserve">ón patrimonial cuando el presupuesto base de licitación, en los términos definidos en el artículo 100.1, no supere el 10 por ciento de los recursos ordinarios del presupuesto ni el importe de tres millones de euros, así como la enajenación del patrimonio, </w:t>
      </w:r>
      <w:r>
        <w:rPr>
          <w:rFonts w:ascii="Arial" w:eastAsia="Arial" w:hAnsi="Arial" w:cs="Arial"/>
          <w:i/>
        </w:rPr>
        <w:t>cuando su valor no supere el porcentaje ni la cuantía indicados.</w:t>
      </w:r>
    </w:p>
    <w:p w:rsidR="00E23B86" w:rsidRDefault="00BA7C13">
      <w:pPr>
        <w:spacing w:after="95" w:line="265" w:lineRule="auto"/>
        <w:ind w:left="359" w:right="843" w:hanging="10"/>
        <w:jc w:val="center"/>
      </w:pPr>
      <w:r>
        <w:rPr>
          <w:rFonts w:ascii="Arial" w:eastAsia="Arial" w:hAnsi="Arial" w:cs="Arial"/>
        </w:rPr>
        <w:t>PROPUESTA DE ACUERDO AL PLENO</w:t>
      </w:r>
    </w:p>
    <w:p w:rsidR="00E23B86" w:rsidRDefault="00BA7C13">
      <w:pPr>
        <w:spacing w:after="110" w:line="248" w:lineRule="auto"/>
        <w:ind w:left="363" w:right="552" w:firstLine="708"/>
        <w:jc w:val="both"/>
      </w:pPr>
      <w:r>
        <w:rPr>
          <w:rFonts w:ascii="Arial" w:eastAsia="Arial" w:hAnsi="Arial" w:cs="Arial"/>
        </w:rPr>
        <w:t>Primero.- Admitir a la presente licitación aprobada en el Pleno de 26 de diciembre de 2019 y publicada en la plataforma de contratación del sector público el día 10 de enero de 2020: “</w:t>
      </w:r>
      <w:r>
        <w:rPr>
          <w:rFonts w:ascii="Arial" w:eastAsia="Arial" w:hAnsi="Arial" w:cs="Arial"/>
          <w:i/>
        </w:rPr>
        <w:t xml:space="preserve">adquisición del bien inmueble: “parcelas del ámbito de la UA-C01 Acceso </w:t>
      </w:r>
      <w:r>
        <w:rPr>
          <w:rFonts w:ascii="Arial" w:eastAsia="Arial" w:hAnsi="Arial" w:cs="Arial"/>
          <w:i/>
        </w:rPr>
        <w:t xml:space="preserve">a Candelaria” </w:t>
      </w:r>
      <w:r>
        <w:rPr>
          <w:rFonts w:ascii="Arial" w:eastAsia="Arial" w:hAnsi="Arial" w:cs="Arial"/>
        </w:rPr>
        <w:t xml:space="preserve"> a la única y mejor oferta presentada que es la siguiente y por registro de entrada de 5 de febrero de 2020:</w:t>
      </w:r>
    </w:p>
    <w:p w:rsidR="00E23B86" w:rsidRDefault="00BA7C13">
      <w:pPr>
        <w:spacing w:after="0" w:line="250" w:lineRule="auto"/>
        <w:ind w:left="1055" w:right="4325" w:hanging="10"/>
        <w:jc w:val="both"/>
      </w:pPr>
      <w:r>
        <w:rPr>
          <w:rFonts w:ascii="Arial" w:eastAsia="Arial" w:hAnsi="Arial" w:cs="Arial"/>
          <w:sz w:val="24"/>
        </w:rPr>
        <w:t>“D. Andrés Jesús Chico Castellano. D. José Aurelio Chico Castellano.</w:t>
      </w:r>
    </w:p>
    <w:p w:rsidR="00E23B86" w:rsidRDefault="00BA7C13">
      <w:pPr>
        <w:spacing w:after="0" w:line="250" w:lineRule="auto"/>
        <w:ind w:left="1055" w:right="3499" w:hanging="10"/>
        <w:jc w:val="both"/>
      </w:pPr>
      <w:r>
        <w:rPr>
          <w:rFonts w:ascii="Arial" w:eastAsia="Arial" w:hAnsi="Arial" w:cs="Arial"/>
          <w:sz w:val="24"/>
        </w:rPr>
        <w:t>Dña. Evangelina Máxima Chico Castellano. D. Juan Carmelo Chico C</w:t>
      </w:r>
      <w:r>
        <w:rPr>
          <w:rFonts w:ascii="Arial" w:eastAsia="Arial" w:hAnsi="Arial" w:cs="Arial"/>
          <w:sz w:val="24"/>
        </w:rPr>
        <w:t>astellano.</w:t>
      </w:r>
    </w:p>
    <w:p w:rsidR="00E23B86" w:rsidRDefault="00BA7C13">
      <w:pPr>
        <w:spacing w:after="10" w:line="250" w:lineRule="auto"/>
        <w:ind w:left="1055" w:right="549" w:hanging="10"/>
        <w:jc w:val="both"/>
      </w:pPr>
      <w:r>
        <w:rPr>
          <w:rFonts w:ascii="Arial" w:eastAsia="Arial" w:hAnsi="Arial" w:cs="Arial"/>
          <w:sz w:val="24"/>
        </w:rPr>
        <w:t>Dña. Heraclia Castro Castro.</w:t>
      </w:r>
    </w:p>
    <w:p w:rsidR="00E23B86" w:rsidRDefault="00BA7C13">
      <w:pPr>
        <w:spacing w:after="716" w:line="250" w:lineRule="auto"/>
        <w:ind w:left="352" w:right="549" w:firstLine="708"/>
        <w:jc w:val="both"/>
      </w:pPr>
      <w:r>
        <w:rPr>
          <w:rFonts w:ascii="Arial" w:eastAsia="Arial" w:hAnsi="Arial" w:cs="Arial"/>
          <w:sz w:val="24"/>
        </w:rPr>
        <w:t xml:space="preserve">D. Ramiro Urbano Oliva Rodríguez en representación de la entidad “Construcciones Oliva Baute,S.L.”. </w:t>
      </w:r>
    </w:p>
    <w:p w:rsidR="00E23B86" w:rsidRDefault="00BA7C13">
      <w:pPr>
        <w:spacing w:after="485" w:line="248" w:lineRule="auto"/>
        <w:ind w:left="363" w:right="552" w:firstLine="708"/>
        <w:jc w:val="both"/>
      </w:pPr>
      <w:r>
        <w:rPr>
          <w:rFonts w:ascii="Arial" w:eastAsia="Arial" w:hAnsi="Arial" w:cs="Arial"/>
        </w:rPr>
        <w:t>Segundo.- Clasificar la proposición presentada según la propuesta unánime de la Mesa de contratación de fecha 19 de</w:t>
      </w:r>
      <w:r>
        <w:rPr>
          <w:rFonts w:ascii="Arial" w:eastAsia="Arial" w:hAnsi="Arial" w:cs="Arial"/>
        </w:rPr>
        <w:t xml:space="preserve"> febrero de 2020 que ha obtenido la siguiente puntuación de 100 puntos según los criterios de adjudicación del PCAP:</w:t>
      </w:r>
    </w:p>
    <w:p w:rsidR="00E23B86" w:rsidRDefault="00BA7C13">
      <w:pPr>
        <w:spacing w:after="10" w:line="248" w:lineRule="auto"/>
        <w:ind w:left="1070" w:right="552" w:hanging="10"/>
        <w:jc w:val="both"/>
      </w:pPr>
      <w:r>
        <w:rPr>
          <w:rFonts w:ascii="Arial" w:eastAsia="Arial" w:hAnsi="Arial" w:cs="Arial"/>
        </w:rPr>
        <w:t>D. Andrés Jesús Chico Castellano.</w:t>
      </w:r>
    </w:p>
    <w:p w:rsidR="00E23B86" w:rsidRDefault="00BA7C13">
      <w:pPr>
        <w:spacing w:after="10" w:line="248" w:lineRule="auto"/>
        <w:ind w:left="1070" w:right="552" w:hanging="10"/>
        <w:jc w:val="both"/>
      </w:pPr>
      <w:r>
        <w:rPr>
          <w:rFonts w:ascii="Arial" w:eastAsia="Arial" w:hAnsi="Arial" w:cs="Arial"/>
        </w:rPr>
        <w:t>D. José Aurelio Chico Castellano.</w:t>
      </w:r>
    </w:p>
    <w:p w:rsidR="00E23B86" w:rsidRDefault="00BA7C13">
      <w:pPr>
        <w:spacing w:after="0" w:line="248" w:lineRule="auto"/>
        <w:ind w:left="1070" w:right="3901" w:hanging="10"/>
        <w:jc w:val="both"/>
      </w:pPr>
      <w:r>
        <w:rPr>
          <w:rFonts w:ascii="Arial" w:eastAsia="Arial" w:hAnsi="Arial" w:cs="Arial"/>
        </w:rPr>
        <w:t>Dña. Evangelina Máxima Chico Castellano. D. Juan Carmelo Chico Castellano.</w:t>
      </w:r>
    </w:p>
    <w:p w:rsidR="00E23B86" w:rsidRDefault="00BA7C13">
      <w:pPr>
        <w:spacing w:after="10" w:line="248" w:lineRule="auto"/>
        <w:ind w:left="1070" w:right="552" w:hanging="10"/>
        <w:jc w:val="both"/>
      </w:pPr>
      <w:r>
        <w:rPr>
          <w:rFonts w:ascii="Arial" w:eastAsia="Arial" w:hAnsi="Arial" w:cs="Arial"/>
        </w:rPr>
        <w:t>Dña. Heraclia Castro Castro.</w:t>
      </w:r>
    </w:p>
    <w:p w:rsidR="00E23B86" w:rsidRDefault="00BA7C13">
      <w:pPr>
        <w:spacing w:after="269" w:line="248" w:lineRule="auto"/>
        <w:ind w:left="363" w:right="552" w:firstLine="708"/>
        <w:jc w:val="both"/>
      </w:pPr>
      <w:r>
        <w:rPr>
          <w:rFonts w:ascii="Arial" w:eastAsia="Arial" w:hAnsi="Arial" w:cs="Arial"/>
        </w:rPr>
        <w:t>D. Ramiro Urbano Oliva Rodríguez en representación de la entidad “Construcciones Oliva Baute,S.L.”.</w:t>
      </w:r>
    </w:p>
    <w:p w:rsidR="00E23B86" w:rsidRDefault="00BA7C13">
      <w:pPr>
        <w:spacing w:after="243" w:line="248" w:lineRule="auto"/>
        <w:ind w:left="1070" w:right="552" w:hanging="10"/>
        <w:jc w:val="both"/>
      </w:pPr>
      <w:r>
        <w:rPr>
          <w:rFonts w:ascii="Arial" w:eastAsia="Arial" w:hAnsi="Arial" w:cs="Arial"/>
        </w:rPr>
        <w:t xml:space="preserve">-Valoración del criterio del juicio de valor: </w:t>
      </w:r>
    </w:p>
    <w:p w:rsidR="00E23B86" w:rsidRDefault="00BA7C13">
      <w:pPr>
        <w:spacing w:after="281" w:line="248" w:lineRule="auto"/>
        <w:ind w:left="363" w:right="552" w:firstLine="708"/>
        <w:jc w:val="both"/>
      </w:pPr>
      <w:r>
        <w:rPr>
          <w:noProof/>
        </w:rPr>
        <mc:AlternateContent>
          <mc:Choice Requires="wpg">
            <w:drawing>
              <wp:anchor distT="0" distB="0" distL="114300" distR="114300" simplePos="0" relativeHeight="2517729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7791" name="Group 49779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902" name="Rectangle 2490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w:t>
                              </w:r>
                              <w:r>
                                <w:rPr>
                                  <w:rFonts w:ascii="Arial" w:eastAsia="Arial" w:hAnsi="Arial" w:cs="Arial"/>
                                  <w:sz w:val="12"/>
                                </w:rPr>
                                <w:t xml:space="preserve">d. Validación: 5AJ7C4GAAK3P9GMGZC2N3FZWC | Verificación: https://candelaria.sedelectronica.es/ </w:t>
                              </w:r>
                            </w:p>
                          </w:txbxContent>
                        </wps:txbx>
                        <wps:bodyPr horzOverflow="overflow" vert="horz" lIns="0" tIns="0" rIns="0" bIns="0" rtlCol="0">
                          <a:noAutofit/>
                        </wps:bodyPr>
                      </wps:wsp>
                      <wps:wsp>
                        <wps:cNvPr id="24903" name="Rectangle 24903"/>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112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7791" style="width:12.7031pt;height:280.35pt;position:absolute;mso-position-horizontal-relative:page;mso-position-horizontal:absolute;margin-left:681.958pt;mso-position-vertical-relative:page;margin-top:531.65pt;" coordsize="1613,35604">
                <v:rect id="Rectangle 2490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903"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112 de 391 </w:t>
                        </w:r>
                      </w:p>
                    </w:txbxContent>
                  </v:textbox>
                </v:rect>
                <w10:wrap type="square"/>
              </v:group>
            </w:pict>
          </mc:Fallback>
        </mc:AlternateContent>
      </w:r>
      <w:r>
        <w:rPr>
          <w:rFonts w:ascii="Arial" w:eastAsia="Arial" w:hAnsi="Arial" w:cs="Arial"/>
        </w:rPr>
        <w:t>Informe técnico presentado por los licitadores que ha sido info</w:t>
      </w:r>
      <w:r>
        <w:rPr>
          <w:rFonts w:ascii="Arial" w:eastAsia="Arial" w:hAnsi="Arial" w:cs="Arial"/>
        </w:rPr>
        <w:t>rmado por la Arquitecta municipal con fecha 14 de febrero de 2020 con la máxima puntuación de 30 puntos.</w:t>
      </w:r>
    </w:p>
    <w:p w:rsidR="00E23B86" w:rsidRDefault="00BA7C13">
      <w:pPr>
        <w:spacing w:after="502" w:line="248" w:lineRule="auto"/>
        <w:ind w:left="1070" w:right="552" w:hanging="10"/>
        <w:jc w:val="both"/>
      </w:pPr>
      <w:r>
        <w:rPr>
          <w:rFonts w:ascii="Arial" w:eastAsia="Arial" w:hAnsi="Arial" w:cs="Arial"/>
        </w:rPr>
        <w:t>-Valoración del criterio automático: Mejor y única oferta económica</w:t>
      </w:r>
      <w:r>
        <w:rPr>
          <w:rFonts w:ascii="Arial" w:eastAsia="Arial" w:hAnsi="Arial" w:cs="Arial"/>
          <w:sz w:val="24"/>
        </w:rPr>
        <w:t xml:space="preserve">: </w:t>
      </w:r>
    </w:p>
    <w:p w:rsidR="00E23B86" w:rsidRDefault="00BA7C13">
      <w:pPr>
        <w:spacing w:after="10" w:line="248" w:lineRule="auto"/>
        <w:ind w:left="1070" w:right="552" w:hanging="10"/>
        <w:jc w:val="both"/>
      </w:pPr>
      <w:r>
        <w:rPr>
          <w:rFonts w:ascii="Arial" w:eastAsia="Arial" w:hAnsi="Arial" w:cs="Arial"/>
        </w:rPr>
        <w:t>Desglose por propietarios en función del porcentaje de la propiedad:</w:t>
      </w:r>
    </w:p>
    <w:p w:rsidR="00E23B86" w:rsidRDefault="00BA7C13">
      <w:pPr>
        <w:spacing w:after="0"/>
        <w:ind w:left="1060"/>
      </w:pPr>
      <w:r>
        <w:rPr>
          <w:rFonts w:ascii="Arial" w:eastAsia="Arial" w:hAnsi="Arial" w:cs="Arial"/>
        </w:rPr>
        <w:t xml:space="preserve"> </w:t>
      </w:r>
    </w:p>
    <w:p w:rsidR="00E23B86" w:rsidRDefault="00BA7C13">
      <w:pPr>
        <w:spacing w:after="0" w:line="248" w:lineRule="auto"/>
        <w:ind w:left="1070" w:right="2151" w:hanging="10"/>
        <w:jc w:val="both"/>
      </w:pPr>
      <w:r>
        <w:rPr>
          <w:rFonts w:ascii="Arial" w:eastAsia="Arial" w:hAnsi="Arial" w:cs="Arial"/>
        </w:rPr>
        <w:t xml:space="preserve">  *D. Andrés Jesús Chico Castellano………306.470,25 euros.    D. José Aurelio Chico Castellano………..306.470,25 euros.</w:t>
      </w:r>
    </w:p>
    <w:p w:rsidR="00E23B86" w:rsidRDefault="00BA7C13">
      <w:pPr>
        <w:spacing w:after="3" w:line="249" w:lineRule="auto"/>
        <w:ind w:left="1070" w:right="1772" w:hanging="10"/>
      </w:pPr>
      <w:r>
        <w:rPr>
          <w:rFonts w:ascii="Arial" w:eastAsia="Arial" w:hAnsi="Arial" w:cs="Arial"/>
        </w:rPr>
        <w:t xml:space="preserve">   Dña. Evangelina Máxima Chico Castellano…..306.470,25 euros.    D. Juan Carmelo Chico Castellano………306.470,25 euros.     Dña. Heraclia Castr</w:t>
      </w:r>
      <w:r>
        <w:rPr>
          <w:rFonts w:ascii="Arial" w:eastAsia="Arial" w:hAnsi="Arial" w:cs="Arial"/>
        </w:rPr>
        <w:t>o Castro………………669.694,25 euros.</w:t>
      </w:r>
    </w:p>
    <w:p w:rsidR="00E23B86" w:rsidRDefault="00BA7C13">
      <w:pPr>
        <w:spacing w:after="110" w:line="360" w:lineRule="auto"/>
        <w:ind w:left="363" w:right="552" w:firstLine="708"/>
        <w:jc w:val="both"/>
      </w:pPr>
      <w:r>
        <w:rPr>
          <w:rFonts w:ascii="Arial" w:eastAsia="Arial" w:hAnsi="Arial" w:cs="Arial"/>
        </w:rPr>
        <w:t xml:space="preserve">   D. Ramiro Urbano Oliva Rodríguez,…en representación de la entidad “Construcciones Oliva Baute,S.L.”…………………374.574,75 euros, incluido IGIC. TOTAL DE LA OFERTA: 2.270.150,00 euros.”</w:t>
      </w:r>
    </w:p>
    <w:p w:rsidR="00E23B86" w:rsidRDefault="00BA7C13">
      <w:pPr>
        <w:spacing w:after="243" w:line="248" w:lineRule="auto"/>
        <w:ind w:left="1070" w:right="552" w:hanging="10"/>
        <w:jc w:val="both"/>
      </w:pPr>
      <w:r>
        <w:rPr>
          <w:rFonts w:ascii="Arial" w:eastAsia="Arial" w:hAnsi="Arial" w:cs="Arial"/>
        </w:rPr>
        <w:t>De lo que resulta la puntuación de 70 pun</w:t>
      </w:r>
      <w:r>
        <w:rPr>
          <w:rFonts w:ascii="Arial" w:eastAsia="Arial" w:hAnsi="Arial" w:cs="Arial"/>
        </w:rPr>
        <w:t>tos.</w:t>
      </w:r>
    </w:p>
    <w:p w:rsidR="00E23B86" w:rsidRDefault="00BA7C13">
      <w:pPr>
        <w:spacing w:after="639" w:line="248" w:lineRule="auto"/>
        <w:ind w:left="1070" w:right="552" w:hanging="10"/>
        <w:jc w:val="both"/>
      </w:pPr>
      <w:r>
        <w:rPr>
          <w:rFonts w:ascii="Arial" w:eastAsia="Arial" w:hAnsi="Arial" w:cs="Arial"/>
        </w:rPr>
        <w:t>De lo que resulta 30+70: 100 puntos.</w:t>
      </w:r>
    </w:p>
    <w:p w:rsidR="00E23B86" w:rsidRDefault="00BA7C13">
      <w:pPr>
        <w:spacing w:after="110" w:line="248" w:lineRule="auto"/>
        <w:ind w:left="363" w:right="552" w:firstLine="708"/>
        <w:jc w:val="both"/>
      </w:pPr>
      <w:r>
        <w:rPr>
          <w:rFonts w:ascii="Arial" w:eastAsia="Arial" w:hAnsi="Arial" w:cs="Arial"/>
        </w:rPr>
        <w:t>Tercero.- Adjudicar la presente licitación aprobada en el Pleno de 26 de diciembre de 2019 y publicada en la plataforma de contratación del sector público el día 10 de enero de 2020: “</w:t>
      </w:r>
      <w:r>
        <w:rPr>
          <w:rFonts w:ascii="Arial" w:eastAsia="Arial" w:hAnsi="Arial" w:cs="Arial"/>
          <w:i/>
        </w:rPr>
        <w:t>adquisición del bien inmueble:</w:t>
      </w:r>
      <w:r>
        <w:rPr>
          <w:rFonts w:ascii="Arial" w:eastAsia="Arial" w:hAnsi="Arial" w:cs="Arial"/>
          <w:i/>
        </w:rPr>
        <w:t xml:space="preserve"> “parcelas del ámbito de la UA-C01 Acceso a Candelaria” </w:t>
      </w:r>
      <w:r>
        <w:rPr>
          <w:rFonts w:ascii="Arial" w:eastAsia="Arial" w:hAnsi="Arial" w:cs="Arial"/>
        </w:rPr>
        <w:t xml:space="preserve"> a la única y mejor oferta presentada que es la siguiente y por registro de entrada de 5 de febrero de 2020:</w:t>
      </w:r>
    </w:p>
    <w:p w:rsidR="00E23B86" w:rsidRDefault="00BA7C13">
      <w:pPr>
        <w:spacing w:after="10" w:line="248" w:lineRule="auto"/>
        <w:ind w:left="1070" w:right="552" w:hanging="10"/>
        <w:jc w:val="both"/>
      </w:pPr>
      <w:r>
        <w:rPr>
          <w:rFonts w:ascii="Arial" w:eastAsia="Arial" w:hAnsi="Arial" w:cs="Arial"/>
        </w:rPr>
        <w:t>D. Andrés Jesús Chico Castellano.</w:t>
      </w:r>
    </w:p>
    <w:p w:rsidR="00E23B86" w:rsidRDefault="00BA7C13">
      <w:pPr>
        <w:spacing w:after="10" w:line="248" w:lineRule="auto"/>
        <w:ind w:left="1070" w:right="552" w:hanging="10"/>
        <w:jc w:val="both"/>
      </w:pPr>
      <w:r>
        <w:rPr>
          <w:rFonts w:ascii="Arial" w:eastAsia="Arial" w:hAnsi="Arial" w:cs="Arial"/>
        </w:rPr>
        <w:t>D. José Aurelio Chico Castellano.</w:t>
      </w:r>
    </w:p>
    <w:p w:rsidR="00E23B86" w:rsidRDefault="00BA7C13">
      <w:pPr>
        <w:spacing w:after="0" w:line="248" w:lineRule="auto"/>
        <w:ind w:left="1070" w:right="3901" w:hanging="10"/>
        <w:jc w:val="both"/>
      </w:pPr>
      <w:r>
        <w:rPr>
          <w:rFonts w:ascii="Arial" w:eastAsia="Arial" w:hAnsi="Arial" w:cs="Arial"/>
        </w:rPr>
        <w:t>Dña. Evangelina Máxima Chico Castellano. D. Juan Carmelo Chico Castellano.</w:t>
      </w:r>
    </w:p>
    <w:p w:rsidR="00E23B86" w:rsidRDefault="00BA7C13">
      <w:pPr>
        <w:spacing w:after="10" w:line="248" w:lineRule="auto"/>
        <w:ind w:left="1070" w:right="552" w:hanging="10"/>
        <w:jc w:val="both"/>
      </w:pPr>
      <w:r>
        <w:rPr>
          <w:rFonts w:ascii="Arial" w:eastAsia="Arial" w:hAnsi="Arial" w:cs="Arial"/>
        </w:rPr>
        <w:t>Dña. Heraclia Castro Castro.</w:t>
      </w:r>
    </w:p>
    <w:p w:rsidR="00E23B86" w:rsidRDefault="00BA7C13">
      <w:pPr>
        <w:spacing w:after="245" w:line="248" w:lineRule="auto"/>
        <w:ind w:left="363" w:right="552" w:firstLine="708"/>
        <w:jc w:val="both"/>
      </w:pPr>
      <w:r>
        <w:rPr>
          <w:rFonts w:ascii="Arial" w:eastAsia="Arial" w:hAnsi="Arial" w:cs="Arial"/>
        </w:rPr>
        <w:t xml:space="preserve">D. Ramiro Urbano Oliva Rodríguez en representación de la entidad “Construcciones Oliva Baute,S.L.”. </w:t>
      </w:r>
    </w:p>
    <w:p w:rsidR="00E23B86" w:rsidRDefault="00BA7C13">
      <w:pPr>
        <w:spacing w:after="3" w:line="249" w:lineRule="auto"/>
        <w:ind w:left="1070" w:right="1455" w:hanging="10"/>
      </w:pPr>
      <w:r>
        <w:rPr>
          <w:rFonts w:ascii="Arial" w:eastAsia="Arial" w:hAnsi="Arial" w:cs="Arial"/>
        </w:rPr>
        <w:t>Y por el importe desglosado en función del porcenta</w:t>
      </w:r>
      <w:r>
        <w:rPr>
          <w:rFonts w:ascii="Arial" w:eastAsia="Arial" w:hAnsi="Arial" w:cs="Arial"/>
        </w:rPr>
        <w:t>je de la propiedad: D. Andrés Jesús Chico Castellano………306.470,25 euros. D. José Aurelio Chico Castellano………..306.470,25 euros.</w:t>
      </w:r>
    </w:p>
    <w:p w:rsidR="00E23B86" w:rsidRDefault="00BA7C13">
      <w:pPr>
        <w:spacing w:after="3" w:line="249" w:lineRule="auto"/>
        <w:ind w:left="1070" w:right="1956" w:hanging="10"/>
      </w:pPr>
      <w:r>
        <w:rPr>
          <w:rFonts w:ascii="Arial" w:eastAsia="Arial" w:hAnsi="Arial" w:cs="Arial"/>
        </w:rPr>
        <w:t>Dña. Evangelina Máxima Chico Castellano…..306.470,25 euros. D. Juan Carmelo Chico Castellano………306.470,25 euros.  Dña. Heraclia Castro Castro………………669.694,25 euros.</w:t>
      </w:r>
    </w:p>
    <w:p w:rsidR="00E23B86" w:rsidRDefault="00BA7C13">
      <w:pPr>
        <w:spacing w:after="305" w:line="248" w:lineRule="auto"/>
        <w:ind w:left="363" w:right="552" w:firstLine="708"/>
        <w:jc w:val="both"/>
      </w:pPr>
      <w:r>
        <w:rPr>
          <w:rFonts w:ascii="Arial" w:eastAsia="Arial" w:hAnsi="Arial" w:cs="Arial"/>
        </w:rPr>
        <w:t>D. Ramiro Urbano Oliva Rodríguez,…en representación de la entidad “Construcciones Oliva Bau</w:t>
      </w:r>
      <w:r>
        <w:rPr>
          <w:rFonts w:ascii="Arial" w:eastAsia="Arial" w:hAnsi="Arial" w:cs="Arial"/>
        </w:rPr>
        <w:t xml:space="preserve">te,S.L.”…………………374.574,75 euros, incluido IGIC. </w:t>
      </w:r>
    </w:p>
    <w:p w:rsidR="00E23B86" w:rsidRDefault="00BA7C13">
      <w:pPr>
        <w:spacing w:after="226" w:line="248" w:lineRule="auto"/>
        <w:ind w:left="373" w:right="552" w:hanging="10"/>
        <w:jc w:val="both"/>
      </w:pPr>
      <w:r>
        <w:rPr>
          <w:rFonts w:ascii="Arial" w:eastAsia="Arial" w:hAnsi="Arial" w:cs="Arial"/>
          <w:sz w:val="24"/>
        </w:rPr>
        <w:t xml:space="preserve"> </w:t>
      </w:r>
      <w:r>
        <w:rPr>
          <w:rFonts w:ascii="Arial" w:eastAsia="Arial" w:hAnsi="Arial" w:cs="Arial"/>
        </w:rPr>
        <w:t>Lo que hace un importe total de 2.270.150,00 euros.</w:t>
      </w:r>
    </w:p>
    <w:p w:rsidR="00E23B86" w:rsidRDefault="00BA7C13">
      <w:pPr>
        <w:spacing w:after="110" w:line="248" w:lineRule="auto"/>
        <w:ind w:left="363" w:right="552" w:firstLine="708"/>
        <w:jc w:val="both"/>
      </w:pPr>
      <w:r>
        <w:rPr>
          <w:rFonts w:ascii="Arial" w:eastAsia="Arial" w:hAnsi="Arial" w:cs="Arial"/>
        </w:rPr>
        <w:t>Cuarto.- Notificar el acuerdo plenario que se adopte a los licitadores antedichos y publicar el mismo en la Plataforma de Contratación del Sector Público.</w:t>
      </w:r>
    </w:p>
    <w:p w:rsidR="00E23B86" w:rsidRDefault="00BA7C13">
      <w:pPr>
        <w:spacing w:after="1581" w:line="248" w:lineRule="auto"/>
        <w:ind w:left="363" w:right="552" w:firstLine="708"/>
        <w:jc w:val="both"/>
      </w:pPr>
      <w:r>
        <w:rPr>
          <w:noProof/>
        </w:rPr>
        <mc:AlternateContent>
          <mc:Choice Requires="wpg">
            <w:drawing>
              <wp:anchor distT="0" distB="0" distL="114300" distR="114300" simplePos="0" relativeHeight="2517739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8057" name="Group 49805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4987" name="Rectangle 2498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4988" name="Rectangle 24988"/>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113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8057" style="width:12.7031pt;height:280.35pt;position:absolute;mso-position-horizontal-relative:page;mso-position-horizontal:absolute;margin-left:681.958pt;mso-position-vertical-relative:page;margin-top:531.65pt;" coordsize="1613,35604">
                <v:rect id="Rectangle 2498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4988"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113 de 391 </w:t>
                        </w:r>
                      </w:p>
                    </w:txbxContent>
                  </v:textbox>
                </v:rect>
                <w10:wrap type="square"/>
              </v:group>
            </w:pict>
          </mc:Fallback>
        </mc:AlternateContent>
      </w:r>
      <w:r>
        <w:rPr>
          <w:rFonts w:ascii="Arial" w:eastAsia="Arial" w:hAnsi="Arial" w:cs="Arial"/>
        </w:rPr>
        <w:t>Quinto.- Notificar el presente acuerdo a la Notaría de Güimar a los efectos de realizar los trámites notariales para la firma de la escritura pública de compraventa y la posterior inscripción de los bienes objeto de adquisición en el Registro de la Propied</w:t>
      </w:r>
      <w:r>
        <w:rPr>
          <w:rFonts w:ascii="Arial" w:eastAsia="Arial" w:hAnsi="Arial" w:cs="Arial"/>
        </w:rPr>
        <w:t>ad conforme los procedimientos correspondientes regulados por el Derecho civil.</w:t>
      </w:r>
    </w:p>
    <w:p w:rsidR="00E23B86" w:rsidRDefault="00BA7C13">
      <w:pPr>
        <w:spacing w:after="111" w:line="249" w:lineRule="auto"/>
        <w:ind w:left="355" w:right="554" w:hanging="10"/>
        <w:jc w:val="both"/>
      </w:pPr>
      <w:r>
        <w:rPr>
          <w:rFonts w:ascii="Arial" w:eastAsia="Arial" w:hAnsi="Arial" w:cs="Arial"/>
          <w:b/>
        </w:rPr>
        <w:t xml:space="preserve">    Consta en el expediente propuesta de la Alcaldía-Presidencia de fecha 24 de febrero de 2020 del siguiente tenor literal:</w:t>
      </w:r>
    </w:p>
    <w:p w:rsidR="00E23B86" w:rsidRDefault="00BA7C13">
      <w:pPr>
        <w:spacing w:after="485" w:line="248" w:lineRule="auto"/>
        <w:ind w:left="363" w:right="552" w:firstLine="708"/>
        <w:jc w:val="both"/>
      </w:pPr>
      <w:r>
        <w:rPr>
          <w:rFonts w:ascii="Arial" w:eastAsia="Arial" w:hAnsi="Arial" w:cs="Arial"/>
        </w:rPr>
        <w:t>“Visto el informe jurídico del Secretario General d</w:t>
      </w:r>
      <w:r>
        <w:rPr>
          <w:rFonts w:ascii="Arial" w:eastAsia="Arial" w:hAnsi="Arial" w:cs="Arial"/>
        </w:rPr>
        <w:t>e fecha 24 de febrero de 2020 fiscalizado favorablemente por el Interventor con fecha 24 de febrero de 2020 que transcrito literalmente dice:</w:t>
      </w:r>
    </w:p>
    <w:p w:rsidR="00E23B86" w:rsidRDefault="00BA7C13">
      <w:pPr>
        <w:spacing w:after="374" w:line="353" w:lineRule="auto"/>
        <w:ind w:left="363" w:right="791" w:firstLine="2126"/>
        <w:jc w:val="both"/>
      </w:pPr>
      <w:r>
        <w:rPr>
          <w:rFonts w:ascii="Arial" w:eastAsia="Arial" w:hAnsi="Arial" w:cs="Arial"/>
        </w:rPr>
        <w:t>“INFORME DE SECRETARÍA GENERAL                           Visto el expediente antedicho el Secretario General emite</w:t>
      </w:r>
      <w:r>
        <w:rPr>
          <w:rFonts w:ascii="Arial" w:eastAsia="Arial" w:hAnsi="Arial" w:cs="Arial"/>
        </w:rPr>
        <w:t xml:space="preserve"> el siguiente informe:</w:t>
      </w:r>
    </w:p>
    <w:p w:rsidR="00E23B86" w:rsidRDefault="00BA7C13">
      <w:pPr>
        <w:spacing w:after="95" w:line="265" w:lineRule="auto"/>
        <w:ind w:left="359" w:right="377" w:hanging="10"/>
        <w:jc w:val="center"/>
      </w:pPr>
      <w:r>
        <w:rPr>
          <w:rFonts w:ascii="Arial" w:eastAsia="Arial" w:hAnsi="Arial" w:cs="Arial"/>
        </w:rPr>
        <w:t xml:space="preserve">ANTECEDENTES DE HECHO </w:t>
      </w:r>
    </w:p>
    <w:p w:rsidR="00E23B86" w:rsidRDefault="00BA7C13">
      <w:pPr>
        <w:spacing w:after="110" w:line="248" w:lineRule="auto"/>
        <w:ind w:left="1070" w:right="552" w:hanging="10"/>
        <w:jc w:val="both"/>
      </w:pPr>
      <w:r>
        <w:rPr>
          <w:rFonts w:ascii="Arial" w:eastAsia="Arial" w:hAnsi="Arial" w:cs="Arial"/>
        </w:rPr>
        <w:t>Único.- Consta en el expediente los siguientes trámites:</w:t>
      </w:r>
    </w:p>
    <w:p w:rsidR="00E23B86" w:rsidRDefault="00BA7C13">
      <w:pPr>
        <w:spacing w:after="110" w:line="248" w:lineRule="auto"/>
        <w:ind w:left="363" w:right="552" w:firstLine="708"/>
        <w:jc w:val="both"/>
      </w:pPr>
      <w:r>
        <w:rPr>
          <w:rFonts w:ascii="Arial" w:eastAsia="Arial" w:hAnsi="Arial" w:cs="Arial"/>
        </w:rPr>
        <w:t>1.- Memoria de la Alcaldía-Presidencia de fecha 13 de diciembre de 2019 en el que se justifica la necesidad o conveniencia de la adquisición, el fin o fines a los que pretende destinarse el bien inmueble y el procedimiento de adjudicación.</w:t>
      </w:r>
    </w:p>
    <w:p w:rsidR="00E23B86" w:rsidRDefault="00BA7C13">
      <w:pPr>
        <w:spacing w:after="110" w:line="248" w:lineRule="auto"/>
        <w:ind w:left="363" w:right="552" w:firstLine="708"/>
        <w:jc w:val="both"/>
      </w:pPr>
      <w:r>
        <w:rPr>
          <w:rFonts w:ascii="Arial" w:eastAsia="Arial" w:hAnsi="Arial" w:cs="Arial"/>
        </w:rPr>
        <w:t>2.- Informe de l</w:t>
      </w:r>
      <w:r>
        <w:rPr>
          <w:rFonts w:ascii="Arial" w:eastAsia="Arial" w:hAnsi="Arial" w:cs="Arial"/>
        </w:rPr>
        <w:t>a Arquitecta Municipal de 13 de diciembre de 2019 sobre la descripción, planos, ficha y la valoración técnica del bien inmueble objeto de la presente licitación y que la Técnico cifra en 2.270.150 euros.</w:t>
      </w:r>
    </w:p>
    <w:p w:rsidR="00E23B86" w:rsidRDefault="00BA7C13">
      <w:pPr>
        <w:spacing w:after="110" w:line="248" w:lineRule="auto"/>
        <w:ind w:left="363" w:right="552" w:firstLine="708"/>
        <w:jc w:val="both"/>
      </w:pPr>
      <w:r>
        <w:rPr>
          <w:rFonts w:ascii="Arial" w:eastAsia="Arial" w:hAnsi="Arial" w:cs="Arial"/>
        </w:rPr>
        <w:t>3.- Informe del Interventor de fecha 16 de diciembre</w:t>
      </w:r>
      <w:r>
        <w:rPr>
          <w:rFonts w:ascii="Arial" w:eastAsia="Arial" w:hAnsi="Arial" w:cs="Arial"/>
        </w:rPr>
        <w:t xml:space="preserve"> de 2019, a petición del Secretario, en el que concluye que es competencia del Pleno porque los recursos ordinarios del presupuesto son de 21.752.971 euros.</w:t>
      </w:r>
    </w:p>
    <w:p w:rsidR="00E23B86" w:rsidRDefault="00BA7C13">
      <w:pPr>
        <w:spacing w:after="110" w:line="248" w:lineRule="auto"/>
        <w:ind w:left="363" w:right="552" w:firstLine="708"/>
        <w:jc w:val="both"/>
      </w:pPr>
      <w:r>
        <w:rPr>
          <w:rFonts w:ascii="Arial" w:eastAsia="Arial" w:hAnsi="Arial" w:cs="Arial"/>
        </w:rPr>
        <w:t xml:space="preserve"> Por tanto el 10 por ciento de los recursos ordinarios es de 2.175.297,10 euros y el presupuesto de</w:t>
      </w:r>
      <w:r>
        <w:rPr>
          <w:rFonts w:ascii="Arial" w:eastAsia="Arial" w:hAnsi="Arial" w:cs="Arial"/>
        </w:rPr>
        <w:t xml:space="preserve"> licitación es superior porque es de 2.270.150 euros por tanto es del Pleno.</w:t>
      </w:r>
    </w:p>
    <w:p w:rsidR="00E23B86" w:rsidRDefault="00BA7C13">
      <w:pPr>
        <w:spacing w:after="110" w:line="248" w:lineRule="auto"/>
        <w:ind w:left="363" w:right="552" w:firstLine="708"/>
        <w:jc w:val="both"/>
      </w:pPr>
      <w:r>
        <w:rPr>
          <w:rFonts w:ascii="Arial" w:eastAsia="Arial" w:hAnsi="Arial" w:cs="Arial"/>
        </w:rPr>
        <w:t>4.- Consta en el expediente documento contable A de autorización del gasto por importe de 2.270.150 euros de la aplicación presupuestaria 2019.13300.61000 una vez que se ha public</w:t>
      </w:r>
      <w:r>
        <w:rPr>
          <w:rFonts w:ascii="Arial" w:eastAsia="Arial" w:hAnsi="Arial" w:cs="Arial"/>
        </w:rPr>
        <w:t>ado la aprobación definitiva de la modificación presupuestaria por crédito extraordinario en el BOP de fecha 16 de diciembre de 2019.</w:t>
      </w:r>
    </w:p>
    <w:p w:rsidR="00E23B86" w:rsidRDefault="00BA7C13">
      <w:pPr>
        <w:spacing w:after="110" w:line="248" w:lineRule="auto"/>
        <w:ind w:left="363" w:right="552" w:firstLine="708"/>
        <w:jc w:val="both"/>
      </w:pPr>
      <w:r>
        <w:rPr>
          <w:rFonts w:ascii="Arial" w:eastAsia="Arial" w:hAnsi="Arial" w:cs="Arial"/>
        </w:rPr>
        <w:t>5.- Consta en el expediente el PCAP firmado por el Agente de Empleo y Desarrollo Local y el Secretario General de fecha 20</w:t>
      </w:r>
      <w:r>
        <w:rPr>
          <w:rFonts w:ascii="Arial" w:eastAsia="Arial" w:hAnsi="Arial" w:cs="Arial"/>
        </w:rPr>
        <w:t xml:space="preserve"> de diciembre de 2020.</w:t>
      </w:r>
    </w:p>
    <w:p w:rsidR="00E23B86" w:rsidRDefault="00BA7C13">
      <w:pPr>
        <w:spacing w:after="110" w:line="248" w:lineRule="auto"/>
        <w:ind w:left="363" w:right="552" w:firstLine="708"/>
        <w:jc w:val="both"/>
      </w:pPr>
      <w:r>
        <w:rPr>
          <w:rFonts w:ascii="Arial" w:eastAsia="Arial" w:hAnsi="Arial" w:cs="Arial"/>
        </w:rPr>
        <w:t>6.- Consta en el expediente dictamen favorable de la Comisión Informativa de Planificación y Gestión Urbanística y Ambiental de fecha 20 de diciembre de 2020.</w:t>
      </w:r>
    </w:p>
    <w:p w:rsidR="00E23B86" w:rsidRDefault="00BA7C13">
      <w:pPr>
        <w:spacing w:after="110" w:line="248" w:lineRule="auto"/>
        <w:ind w:left="363" w:right="552" w:firstLine="708"/>
        <w:jc w:val="both"/>
      </w:pPr>
      <w:r>
        <w:rPr>
          <w:rFonts w:ascii="Arial" w:eastAsia="Arial" w:hAnsi="Arial" w:cs="Arial"/>
        </w:rPr>
        <w:t>7.- Consta en el expediente Acuerdo del Pleno ordinario de fecha 26 de dic</w:t>
      </w:r>
      <w:r>
        <w:rPr>
          <w:rFonts w:ascii="Arial" w:eastAsia="Arial" w:hAnsi="Arial" w:cs="Arial"/>
        </w:rPr>
        <w:t>iembre de 2019 por el que se adopta el siguiente acuerdo:</w:t>
      </w:r>
    </w:p>
    <w:p w:rsidR="00E23B86" w:rsidRDefault="00BA7C13">
      <w:pPr>
        <w:spacing w:after="245" w:line="248" w:lineRule="auto"/>
        <w:ind w:left="363" w:right="680" w:firstLine="708"/>
        <w:jc w:val="both"/>
      </w:pPr>
      <w:r>
        <w:rPr>
          <w:noProof/>
        </w:rPr>
        <mc:AlternateContent>
          <mc:Choice Requires="wpg">
            <w:drawing>
              <wp:anchor distT="0" distB="0" distL="114300" distR="114300" simplePos="0" relativeHeight="2517749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5002" name="Group 50500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068" name="Rectangle 2506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069" name="Rectangle 25069"/>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5002" style="width:12.7031pt;height:280.35pt;position:absolute;mso-position-horizontal-relative:page;mso-position-horizontal:absolute;margin-left:681.958pt;mso-position-vertical-relative:page;margin-top:531.65pt;" coordsize="1613,35604">
                <v:rect id="Rectangle 2506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069"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114 de 391 </w:t>
                        </w:r>
                      </w:p>
                    </w:txbxContent>
                  </v:textbox>
                </v:rect>
                <w10:wrap type="square"/>
              </v:group>
            </w:pict>
          </mc:Fallback>
        </mc:AlternateContent>
      </w:r>
      <w:r>
        <w:rPr>
          <w:rFonts w:ascii="Arial" w:eastAsia="Arial" w:hAnsi="Arial" w:cs="Arial"/>
        </w:rPr>
        <w:t xml:space="preserve">Primero.- Aprobar el expediente de adquisición del bien inmueble: “parcelas del ámbito de la UA-C01 Acceso a Candelaria”, convocar su licitación y disponer la apertura del procedimiento de adjudicación. </w:t>
      </w:r>
    </w:p>
    <w:p w:rsidR="00E23B86" w:rsidRDefault="00BA7C13">
      <w:pPr>
        <w:spacing w:after="10" w:line="248" w:lineRule="auto"/>
        <w:ind w:left="1070" w:right="552" w:hanging="10"/>
        <w:jc w:val="both"/>
      </w:pPr>
      <w:r>
        <w:rPr>
          <w:rFonts w:ascii="Arial" w:eastAsia="Arial" w:hAnsi="Arial" w:cs="Arial"/>
        </w:rPr>
        <w:t>Segundo. Aprobar el gasto correspondiente:</w:t>
      </w:r>
    </w:p>
    <w:tbl>
      <w:tblPr>
        <w:tblStyle w:val="TableGrid"/>
        <w:tblW w:w="8631" w:type="dxa"/>
        <w:tblInd w:w="346" w:type="dxa"/>
        <w:tblCellMar>
          <w:top w:w="11" w:type="dxa"/>
          <w:left w:w="109" w:type="dxa"/>
          <w:bottom w:w="0" w:type="dxa"/>
          <w:right w:w="115" w:type="dxa"/>
        </w:tblCellMar>
        <w:tblLook w:val="04A0" w:firstRow="1" w:lastRow="0" w:firstColumn="1" w:lastColumn="0" w:noHBand="0" w:noVBand="1"/>
      </w:tblPr>
      <w:tblGrid>
        <w:gridCol w:w="2862"/>
        <w:gridCol w:w="2871"/>
        <w:gridCol w:w="2898"/>
      </w:tblGrid>
      <w:tr w:rsidR="00E23B86">
        <w:trPr>
          <w:trHeight w:val="465"/>
        </w:trPr>
        <w:tc>
          <w:tcPr>
            <w:tcW w:w="2862" w:type="dxa"/>
            <w:tcBorders>
              <w:top w:val="single" w:sz="4" w:space="0" w:color="000001"/>
              <w:left w:val="single" w:sz="4" w:space="0" w:color="000001"/>
              <w:bottom w:val="single" w:sz="4" w:space="0" w:color="000001"/>
              <w:right w:val="single" w:sz="4" w:space="0" w:color="000001"/>
            </w:tcBorders>
          </w:tcPr>
          <w:p w:rsidR="00E23B86" w:rsidRDefault="00BA7C13">
            <w:pPr>
              <w:spacing w:after="0"/>
              <w:ind w:right="114"/>
              <w:jc w:val="center"/>
            </w:pPr>
            <w:r>
              <w:rPr>
                <w:rFonts w:ascii="Arial" w:eastAsia="Arial" w:hAnsi="Arial" w:cs="Arial"/>
              </w:rPr>
              <w:t>Anualidad</w:t>
            </w:r>
          </w:p>
        </w:tc>
        <w:tc>
          <w:tcPr>
            <w:tcW w:w="2871"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Aplicación presupuestaria</w:t>
            </w:r>
          </w:p>
        </w:tc>
        <w:tc>
          <w:tcPr>
            <w:tcW w:w="2898" w:type="dxa"/>
            <w:tcBorders>
              <w:top w:val="single" w:sz="4" w:space="0" w:color="000001"/>
              <w:left w:val="single" w:sz="5" w:space="0" w:color="000001"/>
              <w:bottom w:val="single" w:sz="4" w:space="0" w:color="000001"/>
              <w:right w:val="single" w:sz="5" w:space="0" w:color="000001"/>
            </w:tcBorders>
          </w:tcPr>
          <w:p w:rsidR="00E23B86" w:rsidRDefault="00BA7C13">
            <w:pPr>
              <w:spacing w:after="0"/>
              <w:ind w:right="112"/>
              <w:jc w:val="center"/>
            </w:pPr>
            <w:r>
              <w:rPr>
                <w:rFonts w:ascii="Arial" w:eastAsia="Arial" w:hAnsi="Arial" w:cs="Arial"/>
              </w:rPr>
              <w:t>Importe</w:t>
            </w:r>
          </w:p>
        </w:tc>
      </w:tr>
      <w:tr w:rsidR="00E23B86">
        <w:trPr>
          <w:trHeight w:val="265"/>
        </w:trPr>
        <w:tc>
          <w:tcPr>
            <w:tcW w:w="2862" w:type="dxa"/>
            <w:tcBorders>
              <w:top w:val="single" w:sz="4" w:space="0" w:color="000001"/>
              <w:left w:val="single" w:sz="4" w:space="0" w:color="000001"/>
              <w:bottom w:val="single" w:sz="4" w:space="0" w:color="000001"/>
              <w:right w:val="single" w:sz="4" w:space="0" w:color="000001"/>
            </w:tcBorders>
          </w:tcPr>
          <w:p w:rsidR="00E23B86" w:rsidRDefault="00BA7C13">
            <w:pPr>
              <w:spacing w:after="0"/>
            </w:pPr>
            <w:r>
              <w:rPr>
                <w:rFonts w:ascii="Arial" w:eastAsia="Arial" w:hAnsi="Arial" w:cs="Arial"/>
              </w:rPr>
              <w:t>2019</w:t>
            </w:r>
          </w:p>
        </w:tc>
        <w:tc>
          <w:tcPr>
            <w:tcW w:w="2871" w:type="dxa"/>
            <w:tcBorders>
              <w:top w:val="single" w:sz="4" w:space="0" w:color="000001"/>
              <w:left w:val="single" w:sz="4" w:space="0" w:color="000001"/>
              <w:bottom w:val="single" w:sz="4" w:space="0" w:color="000001"/>
              <w:right w:val="single" w:sz="5" w:space="0" w:color="000001"/>
            </w:tcBorders>
          </w:tcPr>
          <w:p w:rsidR="00E23B86" w:rsidRDefault="00BA7C13">
            <w:pPr>
              <w:spacing w:after="0"/>
            </w:pPr>
            <w:r>
              <w:rPr>
                <w:rFonts w:ascii="Arial" w:eastAsia="Arial" w:hAnsi="Arial" w:cs="Arial"/>
              </w:rPr>
              <w:t>13300.61000</w:t>
            </w:r>
          </w:p>
        </w:tc>
        <w:tc>
          <w:tcPr>
            <w:tcW w:w="2898" w:type="dxa"/>
            <w:tcBorders>
              <w:top w:val="single" w:sz="4" w:space="0" w:color="000001"/>
              <w:left w:val="single" w:sz="5" w:space="0" w:color="000001"/>
              <w:bottom w:val="single" w:sz="4" w:space="0" w:color="000001"/>
              <w:right w:val="single" w:sz="5" w:space="0" w:color="000001"/>
            </w:tcBorders>
          </w:tcPr>
          <w:p w:rsidR="00E23B86" w:rsidRDefault="00BA7C13">
            <w:pPr>
              <w:spacing w:after="0"/>
            </w:pPr>
            <w:r>
              <w:rPr>
                <w:rFonts w:ascii="Arial" w:eastAsia="Arial" w:hAnsi="Arial" w:cs="Arial"/>
              </w:rPr>
              <w:t>2.270.150,00</w:t>
            </w:r>
          </w:p>
        </w:tc>
      </w:tr>
    </w:tbl>
    <w:p w:rsidR="00E23B86" w:rsidRDefault="00BA7C13">
      <w:pPr>
        <w:spacing w:after="245" w:line="248" w:lineRule="auto"/>
        <w:ind w:left="363" w:right="680" w:firstLine="708"/>
        <w:jc w:val="both"/>
      </w:pPr>
      <w:r>
        <w:rPr>
          <w:rFonts w:ascii="Arial" w:eastAsia="Arial" w:hAnsi="Arial" w:cs="Arial"/>
        </w:rPr>
        <w:t xml:space="preserve">Tercero.- Aprobar el Pliego de Cláusulas Administrativas Particulares (PCAP) de fecha 20 de diciembre de 2019 y el informe técnico de valoración de 13 de diciembre de 2019 como tasación del bien que regirá la licitación. </w:t>
      </w:r>
    </w:p>
    <w:p w:rsidR="00E23B86" w:rsidRDefault="00BA7C13">
      <w:pPr>
        <w:spacing w:after="245" w:line="248" w:lineRule="auto"/>
        <w:ind w:left="363" w:right="677" w:firstLine="708"/>
        <w:jc w:val="both"/>
      </w:pPr>
      <w:r>
        <w:rPr>
          <w:rFonts w:ascii="Arial" w:eastAsia="Arial" w:hAnsi="Arial" w:cs="Arial"/>
        </w:rPr>
        <w:t>Cuarto.- Publicar el anuncio de li</w:t>
      </w:r>
      <w:r>
        <w:rPr>
          <w:rFonts w:ascii="Arial" w:eastAsia="Arial" w:hAnsi="Arial" w:cs="Arial"/>
        </w:rPr>
        <w:t xml:space="preserve">citación en el perfil de contratante con el contenido contemplado en el anexo III de la Ley 9/2017 de 8 de noviembre, de Contratos del Sector Público. </w:t>
      </w:r>
    </w:p>
    <w:p w:rsidR="00E23B86" w:rsidRDefault="00BA7C13">
      <w:pPr>
        <w:spacing w:after="245" w:line="248" w:lineRule="auto"/>
        <w:ind w:left="363" w:right="678" w:firstLine="708"/>
        <w:jc w:val="both"/>
      </w:pPr>
      <w:r>
        <w:rPr>
          <w:rFonts w:ascii="Arial" w:eastAsia="Arial" w:hAnsi="Arial" w:cs="Arial"/>
        </w:rPr>
        <w:t>Quinto.- Publicar en el perfil de contratante la siguiente documentación integrante del expediente de co</w:t>
      </w:r>
      <w:r>
        <w:rPr>
          <w:rFonts w:ascii="Arial" w:eastAsia="Arial" w:hAnsi="Arial" w:cs="Arial"/>
        </w:rPr>
        <w:t>ntratación: Memoria de la Alcaldía-Presidencia de 13 de diciembre de 2019 (con la modificación sobrevenidamente operada  en los criterios de adjudicación que son 2, según la redacción del PCAP de 20 de diciembre de 2019), informe técnico de valoración y ta</w:t>
      </w:r>
      <w:r>
        <w:rPr>
          <w:rFonts w:ascii="Arial" w:eastAsia="Arial" w:hAnsi="Arial" w:cs="Arial"/>
        </w:rPr>
        <w:t xml:space="preserve">sación del bien de 13 de diciembre de 2019, el PCAP de 20 de diciembre de 2019 y el certificado del acuerdo plenario adoptado. </w:t>
      </w:r>
    </w:p>
    <w:p w:rsidR="00E23B86" w:rsidRDefault="00BA7C13">
      <w:pPr>
        <w:spacing w:after="110" w:line="248" w:lineRule="auto"/>
        <w:ind w:left="363" w:right="552" w:firstLine="708"/>
        <w:jc w:val="both"/>
      </w:pPr>
      <w:r>
        <w:rPr>
          <w:rFonts w:ascii="Arial" w:eastAsia="Arial" w:hAnsi="Arial" w:cs="Arial"/>
        </w:rPr>
        <w:t>Sexto.- Designar Responsable del presente contrato a Doña Nayra Guzman Hernández como Arquitecta municipal de la Oficina Técnica</w:t>
      </w:r>
      <w:r>
        <w:rPr>
          <w:rFonts w:ascii="Arial" w:eastAsia="Arial" w:hAnsi="Arial" w:cs="Arial"/>
        </w:rPr>
        <w:t xml:space="preserve">. </w:t>
      </w:r>
    </w:p>
    <w:p w:rsidR="00E23B86" w:rsidRDefault="00BA7C13">
      <w:pPr>
        <w:spacing w:after="287" w:line="248" w:lineRule="auto"/>
        <w:ind w:left="363" w:right="552" w:firstLine="708"/>
        <w:jc w:val="both"/>
      </w:pPr>
      <w:r>
        <w:rPr>
          <w:rFonts w:ascii="Arial" w:eastAsia="Arial" w:hAnsi="Arial" w:cs="Arial"/>
        </w:rPr>
        <w:t>Séptimo. - Designar como Unidad encargada del seguimiento y ejecución del contrato: Concejalía de P. y G. Urbanística y Ambiental.</w:t>
      </w:r>
    </w:p>
    <w:p w:rsidR="00E23B86" w:rsidRDefault="00BA7C13">
      <w:pPr>
        <w:spacing w:after="365" w:line="248" w:lineRule="auto"/>
        <w:ind w:left="363" w:right="675" w:firstLine="708"/>
        <w:jc w:val="both"/>
      </w:pPr>
      <w:r>
        <w:rPr>
          <w:rFonts w:ascii="Arial" w:eastAsia="Arial" w:hAnsi="Arial" w:cs="Arial"/>
        </w:rPr>
        <w:t>Octavo.- Queda condiciona la adjudicación, a la condición suspensiva de la efectiva dotación de crédito en el ejercicio siguiente, mediante la oportuna modificación presupuestaria, por incorporación de remanentes de créditos, financiado con remanente de te</w:t>
      </w:r>
      <w:r>
        <w:rPr>
          <w:rFonts w:ascii="Arial" w:eastAsia="Arial" w:hAnsi="Arial" w:cs="Arial"/>
        </w:rPr>
        <w:t xml:space="preserve">sorería, una vez aprobada la liquidación del presupuesto general según el informe del Interventor de fecha 20 de diciembre de 2019. </w:t>
      </w:r>
    </w:p>
    <w:p w:rsidR="00E23B86" w:rsidRDefault="00BA7C13">
      <w:pPr>
        <w:spacing w:after="110" w:line="248" w:lineRule="auto"/>
        <w:ind w:left="363" w:right="552" w:firstLine="708"/>
        <w:jc w:val="both"/>
      </w:pPr>
      <w:r>
        <w:rPr>
          <w:rFonts w:ascii="Arial" w:eastAsia="Arial" w:hAnsi="Arial" w:cs="Arial"/>
        </w:rPr>
        <w:t>8.- La presente licitación se publicó en el PCSP entre el día 10 de enero de 2020 y el día 5 de febrero de 2020.</w:t>
      </w:r>
    </w:p>
    <w:p w:rsidR="00E23B86" w:rsidRDefault="00BA7C13">
      <w:pPr>
        <w:spacing w:after="485" w:line="248" w:lineRule="auto"/>
        <w:ind w:left="363" w:right="552" w:firstLine="708"/>
        <w:jc w:val="both"/>
      </w:pPr>
      <w:r>
        <w:rPr>
          <w:rFonts w:ascii="Arial" w:eastAsia="Arial" w:hAnsi="Arial" w:cs="Arial"/>
        </w:rPr>
        <w:t>9.- Consta en el expediente certificación de la Secretaria de la Mesa de Contratación de fecha 7 de febrero de 2020 sobre la única oferta presentada a nombre de:</w:t>
      </w:r>
    </w:p>
    <w:p w:rsidR="00E23B86" w:rsidRDefault="00BA7C13">
      <w:pPr>
        <w:spacing w:after="110" w:line="248" w:lineRule="auto"/>
        <w:ind w:left="373" w:right="552" w:hanging="10"/>
        <w:jc w:val="both"/>
      </w:pPr>
      <w:r>
        <w:rPr>
          <w:rFonts w:ascii="Arial" w:eastAsia="Arial" w:hAnsi="Arial" w:cs="Arial"/>
        </w:rPr>
        <w:t>Andrés Jesús Chico Castellano.</w:t>
      </w:r>
    </w:p>
    <w:p w:rsidR="00E23B86" w:rsidRDefault="00BA7C13">
      <w:pPr>
        <w:spacing w:after="110" w:line="248" w:lineRule="auto"/>
        <w:ind w:left="373" w:right="552" w:hanging="10"/>
        <w:jc w:val="both"/>
      </w:pPr>
      <w:r>
        <w:rPr>
          <w:rFonts w:ascii="Arial" w:eastAsia="Arial" w:hAnsi="Arial" w:cs="Arial"/>
        </w:rPr>
        <w:t>Evangelina Chico Castellano.</w:t>
      </w:r>
    </w:p>
    <w:p w:rsidR="00E23B86" w:rsidRDefault="00BA7C13">
      <w:pPr>
        <w:spacing w:after="2" w:line="353" w:lineRule="auto"/>
        <w:ind w:left="373" w:right="5597" w:hanging="10"/>
        <w:jc w:val="both"/>
      </w:pPr>
      <w:r>
        <w:rPr>
          <w:rFonts w:ascii="Arial" w:eastAsia="Arial" w:hAnsi="Arial" w:cs="Arial"/>
        </w:rPr>
        <w:t>José  Aurelio Chico Castellano Jua</w:t>
      </w:r>
      <w:r>
        <w:rPr>
          <w:rFonts w:ascii="Arial" w:eastAsia="Arial" w:hAnsi="Arial" w:cs="Arial"/>
        </w:rPr>
        <w:t xml:space="preserve">n Carmelo Chico Castellano. </w:t>
      </w:r>
    </w:p>
    <w:p w:rsidR="00E23B86" w:rsidRDefault="00BA7C13">
      <w:pPr>
        <w:spacing w:after="110" w:line="248" w:lineRule="auto"/>
        <w:ind w:left="373" w:right="552" w:hanging="10"/>
        <w:jc w:val="both"/>
      </w:pPr>
      <w:r>
        <w:rPr>
          <w:rFonts w:ascii="Arial" w:eastAsia="Arial" w:hAnsi="Arial" w:cs="Arial"/>
        </w:rPr>
        <w:t>Heraclia Castro  Castro.</w:t>
      </w:r>
    </w:p>
    <w:p w:rsidR="00E23B86" w:rsidRDefault="00BA7C13">
      <w:pPr>
        <w:spacing w:after="1975" w:line="248" w:lineRule="auto"/>
        <w:ind w:left="373" w:right="552" w:hanging="10"/>
        <w:jc w:val="both"/>
      </w:pPr>
      <w:r>
        <w:rPr>
          <w:noProof/>
        </w:rPr>
        <mc:AlternateContent>
          <mc:Choice Requires="wpg">
            <w:drawing>
              <wp:anchor distT="0" distB="0" distL="114300" distR="114300" simplePos="0" relativeHeight="2517760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499208" name="Group 49920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128" name="Rectangle 2512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129" name="Rectangle 25129"/>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115 de 391 </w:t>
                              </w:r>
                            </w:p>
                          </w:txbxContent>
                        </wps:txbx>
                        <wps:bodyPr horzOverflow="overflow" vert="horz" lIns="0" tIns="0" rIns="0" bIns="0" rtlCol="0">
                          <a:noAutofit/>
                        </wps:bodyPr>
                      </wps:wsp>
                    </wpg:wgp>
                  </a:graphicData>
                </a:graphic>
              </wp:anchor>
            </w:drawing>
          </mc:Choice>
          <mc:Fallback xmlns:a="http://schemas.openxmlformats.org/drawingml/2006/main">
            <w:pict>
              <v:group id="Group 499208" style="width:12.7031pt;height:280.35pt;position:absolute;mso-position-horizontal-relative:page;mso-position-horizontal:absolute;margin-left:681.958pt;mso-position-vertical-relative:page;margin-top:531.65pt;" coordsize="1613,35604">
                <v:rect id="Rectangle 2512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129"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115 de 391 </w:t>
                        </w:r>
                      </w:p>
                    </w:txbxContent>
                  </v:textbox>
                </v:rect>
                <w10:wrap type="square"/>
              </v:group>
            </w:pict>
          </mc:Fallback>
        </mc:AlternateContent>
      </w:r>
      <w:r>
        <w:rPr>
          <w:rFonts w:ascii="Arial" w:eastAsia="Arial" w:hAnsi="Arial" w:cs="Arial"/>
        </w:rPr>
        <w:t xml:space="preserve">Ramiro Oliva Rodríguez. </w:t>
      </w:r>
    </w:p>
    <w:p w:rsidR="00E23B86" w:rsidRDefault="00BA7C13">
      <w:pPr>
        <w:spacing w:after="485" w:line="248" w:lineRule="auto"/>
        <w:ind w:left="363" w:right="552" w:firstLine="708"/>
        <w:jc w:val="both"/>
      </w:pPr>
      <w:r>
        <w:rPr>
          <w:rFonts w:ascii="Arial" w:eastAsia="Arial" w:hAnsi="Arial" w:cs="Arial"/>
        </w:rPr>
        <w:t>10.- Se transcriben a continuación las 3 Mesas de Contratación celebradas los días 12, 14 y 19 de febrero de 2020:</w:t>
      </w:r>
    </w:p>
    <w:p w:rsidR="00E23B86" w:rsidRDefault="00BA7C13">
      <w:pPr>
        <w:spacing w:after="467" w:line="265" w:lineRule="auto"/>
        <w:ind w:left="1780" w:hanging="10"/>
      </w:pPr>
      <w:r>
        <w:rPr>
          <w:rFonts w:ascii="Arial" w:eastAsia="Arial" w:hAnsi="Arial" w:cs="Arial"/>
          <w:u w:val="single" w:color="000000"/>
        </w:rPr>
        <w:t>Mesa de contratación de fecha 12 de febrero de 2020:</w:t>
      </w:r>
    </w:p>
    <w:p w:rsidR="00E23B86" w:rsidRDefault="00BA7C13">
      <w:pPr>
        <w:spacing w:after="485" w:line="265" w:lineRule="auto"/>
        <w:ind w:left="359" w:right="550" w:hanging="10"/>
        <w:jc w:val="center"/>
      </w:pPr>
      <w:r>
        <w:rPr>
          <w:rFonts w:ascii="Arial" w:eastAsia="Arial" w:hAnsi="Arial" w:cs="Arial"/>
        </w:rPr>
        <w:t>ACTA</w:t>
      </w:r>
    </w:p>
    <w:p w:rsidR="00E23B86" w:rsidRDefault="00BA7C13">
      <w:pPr>
        <w:spacing w:after="246" w:line="250" w:lineRule="auto"/>
        <w:ind w:left="347" w:right="545" w:hanging="10"/>
        <w:jc w:val="both"/>
      </w:pPr>
      <w:r>
        <w:rPr>
          <w:rFonts w:ascii="Arial" w:eastAsia="Arial" w:hAnsi="Arial" w:cs="Arial"/>
          <w:sz w:val="24"/>
          <w:u w:val="single" w:color="000000"/>
        </w:rPr>
        <w:t>DE CALIFICACIÓN DE LA DOCUMENTACIÓN GENERAL Y APERTURA DEL</w:t>
      </w:r>
      <w:r>
        <w:rPr>
          <w:rFonts w:ascii="Arial" w:eastAsia="Arial" w:hAnsi="Arial" w:cs="Arial"/>
          <w:sz w:val="24"/>
          <w:u w:val="single" w:color="000000"/>
        </w:rPr>
        <w:t xml:space="preserve"> SOBRE A, DEL PROCEDIMIENTO ABIERTO, PARA LA CONTRATACIÓN CONSISTENTE EN LA ADQUISICIÓN DE PARCELA DE LA UA-CO1ACCESO A CANDELARIA</w:t>
      </w:r>
    </w:p>
    <w:p w:rsidR="00E23B86" w:rsidRDefault="00BA7C13">
      <w:pPr>
        <w:spacing w:after="243" w:line="248" w:lineRule="auto"/>
        <w:ind w:left="373" w:right="552" w:hanging="10"/>
        <w:jc w:val="both"/>
      </w:pPr>
      <w:r>
        <w:rPr>
          <w:rFonts w:ascii="Arial" w:eastAsia="Arial" w:hAnsi="Arial" w:cs="Arial"/>
        </w:rPr>
        <w:t xml:space="preserve">Miembros de la Mesa de Contratación </w:t>
      </w:r>
    </w:p>
    <w:p w:rsidR="00E23B86" w:rsidRDefault="00BA7C13">
      <w:pPr>
        <w:spacing w:after="3" w:line="265" w:lineRule="auto"/>
        <w:ind w:left="347" w:hanging="10"/>
      </w:pPr>
      <w:r>
        <w:rPr>
          <w:rFonts w:ascii="Arial" w:eastAsia="Arial" w:hAnsi="Arial" w:cs="Arial"/>
          <w:u w:val="single" w:color="000000"/>
        </w:rPr>
        <w:t>Asistentes:</w:t>
      </w:r>
    </w:p>
    <w:p w:rsidR="00E23B86" w:rsidRDefault="00BA7C13">
      <w:pPr>
        <w:spacing w:after="3" w:line="265" w:lineRule="auto"/>
        <w:ind w:left="347" w:hanging="10"/>
      </w:pPr>
      <w:r>
        <w:rPr>
          <w:rFonts w:ascii="Arial" w:eastAsia="Arial" w:hAnsi="Arial" w:cs="Arial"/>
          <w:u w:val="single" w:color="000000"/>
        </w:rPr>
        <w:t>Presidente:</w:t>
      </w:r>
    </w:p>
    <w:p w:rsidR="00E23B86" w:rsidRDefault="00BA7C13">
      <w:pPr>
        <w:spacing w:after="243" w:line="248" w:lineRule="auto"/>
        <w:ind w:left="373" w:right="552" w:hanging="10"/>
        <w:jc w:val="both"/>
      </w:pPr>
      <w:r>
        <w:rPr>
          <w:rFonts w:ascii="Arial" w:eastAsia="Arial" w:hAnsi="Arial" w:cs="Arial"/>
        </w:rPr>
        <w:t>D. Jorge Baute Delgado</w:t>
      </w:r>
    </w:p>
    <w:p w:rsidR="00E23B86" w:rsidRDefault="00BA7C13">
      <w:pPr>
        <w:spacing w:after="3" w:line="265" w:lineRule="auto"/>
        <w:ind w:left="347" w:hanging="10"/>
      </w:pPr>
      <w:r>
        <w:rPr>
          <w:rFonts w:ascii="Arial" w:eastAsia="Arial" w:hAnsi="Arial" w:cs="Arial"/>
          <w:u w:val="single" w:color="000000"/>
        </w:rPr>
        <w:t>Vocales</w:t>
      </w:r>
      <w:r>
        <w:rPr>
          <w:rFonts w:ascii="Arial" w:eastAsia="Arial" w:hAnsi="Arial" w:cs="Arial"/>
        </w:rPr>
        <w:t>:</w:t>
      </w:r>
    </w:p>
    <w:p w:rsidR="00E23B86" w:rsidRDefault="00BA7C13">
      <w:pPr>
        <w:spacing w:after="10" w:line="248" w:lineRule="auto"/>
        <w:ind w:left="373" w:right="552" w:hanging="10"/>
        <w:jc w:val="both"/>
      </w:pPr>
      <w:r>
        <w:rPr>
          <w:rFonts w:ascii="Arial" w:eastAsia="Arial" w:hAnsi="Arial" w:cs="Arial"/>
        </w:rPr>
        <w:t xml:space="preserve">D. Airam Pérez Chinea </w:t>
      </w:r>
    </w:p>
    <w:p w:rsidR="00E23B86" w:rsidRDefault="00BA7C13">
      <w:pPr>
        <w:spacing w:after="10" w:line="248" w:lineRule="auto"/>
        <w:ind w:left="373" w:right="552" w:hanging="10"/>
        <w:jc w:val="both"/>
      </w:pPr>
      <w:r>
        <w:rPr>
          <w:rFonts w:ascii="Arial" w:eastAsia="Arial" w:hAnsi="Arial" w:cs="Arial"/>
        </w:rPr>
        <w:t xml:space="preserve">D. Octavio Manuel Fernández Hernández </w:t>
      </w:r>
    </w:p>
    <w:p w:rsidR="00E23B86" w:rsidRDefault="00BA7C13">
      <w:pPr>
        <w:spacing w:after="10" w:line="248" w:lineRule="auto"/>
        <w:ind w:left="373" w:right="552" w:hanging="10"/>
        <w:jc w:val="both"/>
      </w:pPr>
      <w:r>
        <w:rPr>
          <w:rFonts w:ascii="Arial" w:eastAsia="Arial" w:hAnsi="Arial" w:cs="Arial"/>
        </w:rPr>
        <w:t>D. Nicolás Rojo Garnica</w:t>
      </w:r>
    </w:p>
    <w:p w:rsidR="00E23B86" w:rsidRDefault="00BA7C13">
      <w:pPr>
        <w:spacing w:after="10" w:line="248" w:lineRule="auto"/>
        <w:ind w:left="373" w:right="552" w:hanging="10"/>
        <w:jc w:val="both"/>
      </w:pPr>
      <w:r>
        <w:rPr>
          <w:rFonts w:ascii="Arial" w:eastAsia="Arial" w:hAnsi="Arial" w:cs="Arial"/>
        </w:rPr>
        <w:t xml:space="preserve">D. Zebenzui Mesa Marcelino </w:t>
      </w:r>
    </w:p>
    <w:p w:rsidR="00E23B86" w:rsidRDefault="00BA7C13">
      <w:pPr>
        <w:spacing w:after="3" w:line="265" w:lineRule="auto"/>
        <w:ind w:left="347" w:hanging="10"/>
      </w:pPr>
      <w:r>
        <w:rPr>
          <w:rFonts w:ascii="Arial" w:eastAsia="Arial" w:hAnsi="Arial" w:cs="Arial"/>
          <w:u w:val="single" w:color="000000"/>
        </w:rPr>
        <w:t>Secretaria</w:t>
      </w:r>
    </w:p>
    <w:p w:rsidR="00E23B86" w:rsidRDefault="00BA7C13">
      <w:pPr>
        <w:spacing w:after="245" w:line="248" w:lineRule="auto"/>
        <w:ind w:left="373" w:right="5628" w:hanging="10"/>
        <w:jc w:val="both"/>
      </w:pPr>
      <w:r>
        <w:rPr>
          <w:rFonts w:ascii="Arial" w:eastAsia="Arial" w:hAnsi="Arial" w:cs="Arial"/>
        </w:rPr>
        <w:t xml:space="preserve">Dña. Mª del Pilar Chico Delgado </w:t>
      </w:r>
      <w:r>
        <w:rPr>
          <w:rFonts w:ascii="Arial" w:eastAsia="Arial" w:hAnsi="Arial" w:cs="Arial"/>
          <w:u w:val="single" w:color="000000"/>
        </w:rPr>
        <w:t>No asistentes:</w:t>
      </w:r>
    </w:p>
    <w:p w:rsidR="00E23B86" w:rsidRDefault="00BA7C13">
      <w:pPr>
        <w:spacing w:after="0"/>
        <w:ind w:left="352"/>
      </w:pPr>
      <w:r>
        <w:rPr>
          <w:rFonts w:ascii="Arial" w:eastAsia="Arial" w:hAnsi="Arial" w:cs="Arial"/>
        </w:rPr>
        <w:t xml:space="preserve">  </w:t>
      </w:r>
    </w:p>
    <w:p w:rsidR="00E23B86" w:rsidRDefault="00BA7C13">
      <w:pPr>
        <w:spacing w:after="245" w:line="248" w:lineRule="auto"/>
        <w:ind w:left="363" w:right="552" w:firstLine="708"/>
        <w:jc w:val="both"/>
      </w:pPr>
      <w:r>
        <w:rPr>
          <w:noProof/>
        </w:rPr>
        <mc:AlternateContent>
          <mc:Choice Requires="wpg">
            <w:drawing>
              <wp:anchor distT="0" distB="0" distL="114300" distR="114300" simplePos="0" relativeHeight="2517770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2247" name="Group 51224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240" name="Rectangle 2524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241" name="Rectangle 25241"/>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D</w:t>
                              </w:r>
                              <w:r>
                                <w:rPr>
                                  <w:rFonts w:ascii="Arial" w:eastAsia="Arial" w:hAnsi="Arial" w:cs="Arial"/>
                                  <w:sz w:val="12"/>
                                </w:rPr>
                                <w:t xml:space="preserve">ocumento firmado electrónicamente desde la plataforma esPublico Gestiona | Página 116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2247" style="width:12.7031pt;height:280.35pt;position:absolute;mso-position-horizontal-relative:page;mso-position-horizontal:absolute;margin-left:681.958pt;mso-position-vertical-relative:page;margin-top:531.65pt;" coordsize="1613,35604">
                <v:rect id="Rectangle 2524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241"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116 de 391 </w:t>
                        </w:r>
                      </w:p>
                    </w:txbxContent>
                  </v:textbox>
                </v:rect>
                <w10:wrap type="square"/>
              </v:group>
            </w:pict>
          </mc:Fallback>
        </mc:AlternateContent>
      </w:r>
      <w:r>
        <w:rPr>
          <w:rFonts w:ascii="Arial" w:eastAsia="Arial" w:hAnsi="Arial" w:cs="Arial"/>
        </w:rPr>
        <w:t>En Candelaria, a once de febrero de dos mil veinte, siendo las nueve horas y diez  minutos, se constituye en la Sala de reuniones de la Casa Consistorial, la Mesa</w:t>
      </w:r>
      <w:r>
        <w:rPr>
          <w:rFonts w:ascii="Arial" w:eastAsia="Arial" w:hAnsi="Arial" w:cs="Arial"/>
        </w:rPr>
        <w:t xml:space="preserve"> de Contratación designada en el procedimiento abierto para la contratación consistente en la adquisición de una parcela de la UA-CO1-Acceso a Candelaria,  al objeto de proceder a la apertura del sobre A de las proposiciones presentadas, de acuerdo con lo </w:t>
      </w:r>
      <w:r>
        <w:rPr>
          <w:rFonts w:ascii="Arial" w:eastAsia="Arial" w:hAnsi="Arial" w:cs="Arial"/>
        </w:rPr>
        <w:t>establecido en la cláusula décima del Pliego de cláusulas administrativas particulares que rige el mencionado procedimiento.</w:t>
      </w:r>
    </w:p>
    <w:p w:rsidR="00E23B86" w:rsidRDefault="00BA7C13">
      <w:pPr>
        <w:spacing w:after="267" w:line="248" w:lineRule="auto"/>
        <w:ind w:left="363" w:right="552" w:firstLine="708"/>
        <w:jc w:val="both"/>
      </w:pPr>
      <w:r>
        <w:rPr>
          <w:rFonts w:ascii="Arial" w:eastAsia="Arial" w:hAnsi="Arial" w:cs="Arial"/>
        </w:rPr>
        <w:t>El pliego de cláusulas administrativas particulares y el informe técnico de valoración del inmueble han sido aprobados mediante Acu</w:t>
      </w:r>
      <w:r>
        <w:rPr>
          <w:rFonts w:ascii="Arial" w:eastAsia="Arial" w:hAnsi="Arial" w:cs="Arial"/>
        </w:rPr>
        <w:t>erdo del Ayuntamiento Pleno en sesión ordinaria de fecha 26 de diciembre de 2019.</w:t>
      </w:r>
    </w:p>
    <w:p w:rsidR="00E23B86" w:rsidRDefault="00BA7C13">
      <w:pPr>
        <w:spacing w:after="274" w:line="241" w:lineRule="auto"/>
        <w:ind w:left="3290" w:right="3496"/>
        <w:jc w:val="center"/>
      </w:pPr>
      <w:r>
        <w:rPr>
          <w:rFonts w:ascii="Arial" w:eastAsia="Arial" w:hAnsi="Arial" w:cs="Arial"/>
        </w:rPr>
        <w:t>I</w:t>
      </w:r>
    </w:p>
    <w:p w:rsidR="00E23B86" w:rsidRDefault="00BA7C13">
      <w:pPr>
        <w:spacing w:after="274" w:line="241" w:lineRule="auto"/>
        <w:ind w:left="3290" w:right="3496"/>
        <w:jc w:val="center"/>
      </w:pPr>
      <w:r>
        <w:rPr>
          <w:rFonts w:ascii="Arial" w:eastAsia="Arial" w:hAnsi="Arial" w:cs="Arial"/>
          <w:b/>
          <w:color w:val="00000A"/>
        </w:rPr>
        <w:t>ACTO DE CALIFICACIÓN</w:t>
      </w:r>
    </w:p>
    <w:p w:rsidR="00E23B86" w:rsidRDefault="00BA7C13">
      <w:pPr>
        <w:spacing w:after="245" w:line="248" w:lineRule="auto"/>
        <w:ind w:left="363" w:right="552" w:firstLine="708"/>
        <w:jc w:val="both"/>
      </w:pPr>
      <w:r>
        <w:rPr>
          <w:rFonts w:ascii="Arial" w:eastAsia="Arial" w:hAnsi="Arial" w:cs="Arial"/>
        </w:rPr>
        <w:t>Declarado abierto el acto por la Presidencia, se da lectura del certificado de proposiciones:</w:t>
      </w:r>
    </w:p>
    <w:p w:rsidR="00E23B86" w:rsidRDefault="00BA7C13">
      <w:pPr>
        <w:spacing w:after="110" w:line="249" w:lineRule="auto"/>
        <w:ind w:left="347" w:right="555" w:hanging="10"/>
      </w:pPr>
      <w:r>
        <w:rPr>
          <w:rFonts w:ascii="Arial" w:eastAsia="Arial" w:hAnsi="Arial" w:cs="Arial"/>
        </w:rPr>
        <w:t>“MARÍA DEL PILAR CHICO DELGADO, SECRETARIA DE LA MESA DE CONTRATACIÓN DE LA LICITACIÓN: ADQUISICIÓN PARCELA DE LA UA-CO1. ACCESO A CANDELARIA.</w:t>
      </w:r>
    </w:p>
    <w:p w:rsidR="00E23B86" w:rsidRDefault="00BA7C13">
      <w:pPr>
        <w:spacing w:after="227" w:line="265" w:lineRule="auto"/>
        <w:ind w:left="359" w:right="549" w:hanging="10"/>
        <w:jc w:val="center"/>
      </w:pPr>
      <w:r>
        <w:rPr>
          <w:rFonts w:ascii="Arial" w:eastAsia="Arial" w:hAnsi="Arial" w:cs="Arial"/>
        </w:rPr>
        <w:t>CERTIFICO</w:t>
      </w:r>
    </w:p>
    <w:p w:rsidR="00E23B86" w:rsidRDefault="00BA7C13">
      <w:pPr>
        <w:spacing w:after="10" w:line="248" w:lineRule="auto"/>
        <w:ind w:left="363" w:right="552" w:firstLine="696"/>
        <w:jc w:val="both"/>
      </w:pPr>
      <w:r>
        <w:rPr>
          <w:rFonts w:ascii="Arial" w:eastAsia="Arial" w:hAnsi="Arial" w:cs="Arial"/>
        </w:rPr>
        <w:t>Que durante el plazo de los veintiséis días a contar desde el día siguiente al de publicación del anunc</w:t>
      </w:r>
      <w:r>
        <w:rPr>
          <w:rFonts w:ascii="Arial" w:eastAsia="Arial" w:hAnsi="Arial" w:cs="Arial"/>
        </w:rPr>
        <w:t>io de licitación en la plataforma de contratación del sector público, se han presentado en tiempo y forma las siguientes proposiciones:</w:t>
      </w:r>
    </w:p>
    <w:tbl>
      <w:tblPr>
        <w:tblStyle w:val="TableGrid"/>
        <w:tblW w:w="8649" w:type="dxa"/>
        <w:tblInd w:w="351" w:type="dxa"/>
        <w:tblCellMar>
          <w:top w:w="10" w:type="dxa"/>
          <w:left w:w="139" w:type="dxa"/>
          <w:bottom w:w="0" w:type="dxa"/>
          <w:right w:w="114" w:type="dxa"/>
        </w:tblCellMar>
        <w:tblLook w:val="04A0" w:firstRow="1" w:lastRow="0" w:firstColumn="1" w:lastColumn="0" w:noHBand="0" w:noVBand="1"/>
      </w:tblPr>
      <w:tblGrid>
        <w:gridCol w:w="2268"/>
        <w:gridCol w:w="2553"/>
        <w:gridCol w:w="3828"/>
      </w:tblGrid>
      <w:tr w:rsidR="00E23B86">
        <w:trPr>
          <w:trHeight w:val="382"/>
        </w:trPr>
        <w:tc>
          <w:tcPr>
            <w:tcW w:w="2268" w:type="dxa"/>
            <w:tcBorders>
              <w:top w:val="single" w:sz="4" w:space="0" w:color="A6A6A6"/>
              <w:left w:val="single" w:sz="4" w:space="0" w:color="A6A6A6"/>
              <w:bottom w:val="single" w:sz="4" w:space="0" w:color="A6A6A6"/>
              <w:right w:val="single" w:sz="4" w:space="0" w:color="A6A6A6"/>
            </w:tcBorders>
          </w:tcPr>
          <w:p w:rsidR="00E23B86" w:rsidRDefault="00BA7C13">
            <w:pPr>
              <w:spacing w:after="0"/>
              <w:ind w:right="19"/>
              <w:jc w:val="center"/>
            </w:pPr>
            <w:r>
              <w:rPr>
                <w:rFonts w:ascii="Arial" w:eastAsia="Arial" w:hAnsi="Arial" w:cs="Arial"/>
              </w:rPr>
              <w:t>Interesados</w:t>
            </w:r>
          </w:p>
        </w:tc>
        <w:tc>
          <w:tcPr>
            <w:tcW w:w="2553" w:type="dxa"/>
            <w:tcBorders>
              <w:top w:val="single" w:sz="4" w:space="0" w:color="A6A6A6"/>
              <w:left w:val="single" w:sz="4" w:space="0" w:color="A6A6A6"/>
              <w:bottom w:val="single" w:sz="4" w:space="0" w:color="A6A6A6"/>
              <w:right w:val="single" w:sz="5" w:space="0" w:color="A6A6A6"/>
            </w:tcBorders>
          </w:tcPr>
          <w:p w:rsidR="00E23B86" w:rsidRDefault="00BA7C13">
            <w:pPr>
              <w:spacing w:after="0"/>
              <w:ind w:right="23"/>
              <w:jc w:val="center"/>
            </w:pPr>
            <w:r>
              <w:rPr>
                <w:rFonts w:ascii="Arial" w:eastAsia="Arial" w:hAnsi="Arial" w:cs="Arial"/>
              </w:rPr>
              <w:t>Registro y Fecha</w:t>
            </w:r>
          </w:p>
        </w:tc>
        <w:tc>
          <w:tcPr>
            <w:tcW w:w="3828" w:type="dxa"/>
            <w:tcBorders>
              <w:top w:val="single" w:sz="4" w:space="0" w:color="A6A6A6"/>
              <w:left w:val="single" w:sz="5" w:space="0" w:color="A6A6A6"/>
              <w:bottom w:val="single" w:sz="4" w:space="0" w:color="A6A6A6"/>
              <w:right w:val="single" w:sz="5" w:space="0" w:color="A6A6A6"/>
            </w:tcBorders>
          </w:tcPr>
          <w:p w:rsidR="00E23B86" w:rsidRDefault="00BA7C13">
            <w:pPr>
              <w:spacing w:after="0"/>
              <w:ind w:right="21"/>
              <w:jc w:val="center"/>
            </w:pPr>
            <w:r>
              <w:rPr>
                <w:rFonts w:ascii="Arial" w:eastAsia="Arial" w:hAnsi="Arial" w:cs="Arial"/>
              </w:rPr>
              <w:t>Asunto</w:t>
            </w:r>
          </w:p>
        </w:tc>
      </w:tr>
      <w:tr w:rsidR="00E23B86">
        <w:trPr>
          <w:trHeight w:val="2647"/>
        </w:trPr>
        <w:tc>
          <w:tcPr>
            <w:tcW w:w="2268" w:type="dxa"/>
            <w:tcBorders>
              <w:top w:val="single" w:sz="4" w:space="0" w:color="A6A6A6"/>
              <w:left w:val="single" w:sz="4" w:space="0" w:color="A6A6A6"/>
              <w:bottom w:val="single" w:sz="4" w:space="0" w:color="A6A6A6"/>
              <w:right w:val="single" w:sz="4" w:space="0" w:color="A6A6A6"/>
            </w:tcBorders>
          </w:tcPr>
          <w:p w:rsidR="00E23B86" w:rsidRDefault="00BA7C13">
            <w:pPr>
              <w:numPr>
                <w:ilvl w:val="0"/>
                <w:numId w:val="229"/>
              </w:numPr>
              <w:spacing w:after="0"/>
              <w:ind w:hanging="360"/>
            </w:pPr>
            <w:r>
              <w:rPr>
                <w:rFonts w:ascii="Arial" w:eastAsia="Arial" w:hAnsi="Arial" w:cs="Arial"/>
                <w:sz w:val="18"/>
              </w:rPr>
              <w:t xml:space="preserve">ANDRÉS </w:t>
            </w:r>
          </w:p>
          <w:p w:rsidR="00E23B86" w:rsidRDefault="00BA7C13">
            <w:pPr>
              <w:spacing w:after="0"/>
              <w:ind w:left="690"/>
            </w:pPr>
            <w:r>
              <w:rPr>
                <w:rFonts w:ascii="Arial" w:eastAsia="Arial" w:hAnsi="Arial" w:cs="Arial"/>
                <w:sz w:val="18"/>
              </w:rPr>
              <w:t xml:space="preserve">JESÚS CHICO </w:t>
            </w:r>
          </w:p>
          <w:p w:rsidR="00E23B86" w:rsidRDefault="00BA7C13">
            <w:pPr>
              <w:spacing w:after="0" w:line="248" w:lineRule="auto"/>
              <w:ind w:left="330" w:right="42" w:firstLine="360"/>
            </w:pPr>
            <w:r>
              <w:rPr>
                <w:rFonts w:ascii="Arial" w:eastAsia="Arial" w:hAnsi="Arial" w:cs="Arial"/>
                <w:sz w:val="18"/>
              </w:rPr>
              <w:t xml:space="preserve">CASTELLANO </w:t>
            </w:r>
            <w:r>
              <w:rPr>
                <w:rFonts w:ascii="Segoe UI Symbol" w:eastAsia="Segoe UI Symbol" w:hAnsi="Segoe UI Symbol" w:cs="Segoe UI Symbol"/>
                <w:sz w:val="20"/>
              </w:rPr>
              <w:t xml:space="preserve"> </w:t>
            </w:r>
            <w:r>
              <w:rPr>
                <w:rFonts w:ascii="Arial" w:eastAsia="Arial" w:hAnsi="Arial" w:cs="Arial"/>
                <w:sz w:val="18"/>
              </w:rPr>
              <w:t xml:space="preserve">EVENGELINA CHICO CASTELLANO </w:t>
            </w:r>
            <w:r>
              <w:rPr>
                <w:rFonts w:ascii="Segoe UI Symbol" w:eastAsia="Segoe UI Symbol" w:hAnsi="Segoe UI Symbol" w:cs="Segoe UI Symbol"/>
                <w:sz w:val="20"/>
              </w:rPr>
              <w:t xml:space="preserve"> </w:t>
            </w:r>
            <w:r>
              <w:rPr>
                <w:rFonts w:ascii="Arial" w:eastAsia="Arial" w:hAnsi="Arial" w:cs="Arial"/>
                <w:sz w:val="18"/>
              </w:rPr>
              <w:t xml:space="preserve">HERACLIA </w:t>
            </w:r>
          </w:p>
          <w:p w:rsidR="00E23B86" w:rsidRDefault="00BA7C13">
            <w:pPr>
              <w:spacing w:after="0"/>
              <w:ind w:left="117"/>
              <w:jc w:val="center"/>
            </w:pPr>
            <w:r>
              <w:rPr>
                <w:rFonts w:ascii="Arial" w:eastAsia="Arial" w:hAnsi="Arial" w:cs="Arial"/>
                <w:sz w:val="18"/>
              </w:rPr>
              <w:t xml:space="preserve">CASTRO </w:t>
            </w:r>
          </w:p>
          <w:p w:rsidR="00E23B86" w:rsidRDefault="00BA7C13">
            <w:pPr>
              <w:spacing w:after="52"/>
              <w:ind w:left="117"/>
              <w:jc w:val="center"/>
            </w:pPr>
            <w:r>
              <w:rPr>
                <w:rFonts w:ascii="Arial" w:eastAsia="Arial" w:hAnsi="Arial" w:cs="Arial"/>
                <w:sz w:val="18"/>
              </w:rPr>
              <w:t>CASTRO</w:t>
            </w:r>
          </w:p>
          <w:p w:rsidR="00E23B86" w:rsidRDefault="00BA7C13">
            <w:pPr>
              <w:numPr>
                <w:ilvl w:val="0"/>
                <w:numId w:val="229"/>
              </w:numPr>
              <w:spacing w:after="0" w:line="257" w:lineRule="auto"/>
              <w:ind w:hanging="360"/>
            </w:pPr>
            <w:r>
              <w:rPr>
                <w:rFonts w:ascii="Arial" w:eastAsia="Arial" w:hAnsi="Arial" w:cs="Arial"/>
                <w:sz w:val="18"/>
              </w:rPr>
              <w:t xml:space="preserve">JOSE AURELIO CHICO </w:t>
            </w:r>
          </w:p>
          <w:p w:rsidR="00E23B86" w:rsidRDefault="00BA7C13">
            <w:pPr>
              <w:spacing w:after="0"/>
              <w:ind w:left="690"/>
            </w:pPr>
            <w:r>
              <w:rPr>
                <w:rFonts w:ascii="Arial" w:eastAsia="Arial" w:hAnsi="Arial" w:cs="Arial"/>
                <w:sz w:val="18"/>
              </w:rPr>
              <w:t>CASTELLANO</w:t>
            </w:r>
          </w:p>
        </w:tc>
        <w:tc>
          <w:tcPr>
            <w:tcW w:w="2553" w:type="dxa"/>
            <w:tcBorders>
              <w:top w:val="single" w:sz="4" w:space="0" w:color="A6A6A6"/>
              <w:left w:val="single" w:sz="4" w:space="0" w:color="A6A6A6"/>
              <w:bottom w:val="single" w:sz="4" w:space="0" w:color="A6A6A6"/>
              <w:right w:val="single" w:sz="5" w:space="0" w:color="A6A6A6"/>
            </w:tcBorders>
          </w:tcPr>
          <w:p w:rsidR="00E23B86" w:rsidRDefault="00BA7C13">
            <w:pPr>
              <w:spacing w:after="0"/>
              <w:jc w:val="center"/>
            </w:pPr>
            <w:r>
              <w:rPr>
                <w:rFonts w:ascii="Arial" w:eastAsia="Arial" w:hAnsi="Arial" w:cs="Arial"/>
                <w:sz w:val="18"/>
                <w:u w:val="single" w:color="000000"/>
              </w:rPr>
              <w:t>2020-E-RC-2118</w:t>
            </w:r>
            <w:r>
              <w:rPr>
                <w:rFonts w:ascii="Arial" w:eastAsia="Arial" w:hAnsi="Arial" w:cs="Arial"/>
                <w:sz w:val="18"/>
              </w:rPr>
              <w:t xml:space="preserve"> // 05/02/2020</w:t>
            </w:r>
          </w:p>
        </w:tc>
        <w:tc>
          <w:tcPr>
            <w:tcW w:w="3828" w:type="dxa"/>
            <w:tcBorders>
              <w:top w:val="single" w:sz="4" w:space="0" w:color="A6A6A6"/>
              <w:left w:val="single" w:sz="5" w:space="0" w:color="A6A6A6"/>
              <w:bottom w:val="single" w:sz="4" w:space="0" w:color="A6A6A6"/>
              <w:right w:val="single" w:sz="5" w:space="0" w:color="A6A6A6"/>
            </w:tcBorders>
          </w:tcPr>
          <w:p w:rsidR="00E23B86" w:rsidRDefault="00BA7C13">
            <w:pPr>
              <w:spacing w:after="0" w:line="241" w:lineRule="auto"/>
              <w:jc w:val="center"/>
            </w:pPr>
            <w:r>
              <w:rPr>
                <w:rFonts w:ascii="Arial" w:eastAsia="Arial" w:hAnsi="Arial" w:cs="Arial"/>
                <w:sz w:val="18"/>
              </w:rPr>
              <w:t>Presentación de documentación en relación a la Licitación para la Adquisición de</w:t>
            </w:r>
          </w:p>
          <w:p w:rsidR="00E23B86" w:rsidRDefault="00BA7C13">
            <w:pPr>
              <w:spacing w:after="0"/>
              <w:jc w:val="center"/>
            </w:pPr>
            <w:r>
              <w:rPr>
                <w:rFonts w:ascii="Arial" w:eastAsia="Arial" w:hAnsi="Arial" w:cs="Arial"/>
                <w:sz w:val="18"/>
              </w:rPr>
              <w:t>Parcelas del ámbito de la AU-C01 (Acceso a Candelaria) Expte. nº 11880/2019</w:t>
            </w:r>
          </w:p>
        </w:tc>
      </w:tr>
      <w:tr w:rsidR="00E23B86">
        <w:trPr>
          <w:trHeight w:val="1655"/>
        </w:trPr>
        <w:tc>
          <w:tcPr>
            <w:tcW w:w="2268" w:type="dxa"/>
            <w:tcBorders>
              <w:top w:val="single" w:sz="4" w:space="0" w:color="A6A6A6"/>
              <w:left w:val="single" w:sz="5" w:space="0" w:color="A6A6A6"/>
              <w:bottom w:val="single" w:sz="4" w:space="0" w:color="A6A6A6"/>
              <w:right w:val="single" w:sz="5" w:space="0" w:color="A6A6A6"/>
            </w:tcBorders>
          </w:tcPr>
          <w:p w:rsidR="00E23B86" w:rsidRDefault="00BA7C13">
            <w:pPr>
              <w:spacing w:after="0"/>
            </w:pPr>
            <w:r>
              <w:rPr>
                <w:rFonts w:ascii="Segoe UI Symbol" w:eastAsia="Segoe UI Symbol" w:hAnsi="Segoe UI Symbol" w:cs="Segoe UI Symbol"/>
                <w:sz w:val="20"/>
              </w:rPr>
              <w:t xml:space="preserve"> </w:t>
            </w:r>
            <w:r>
              <w:rPr>
                <w:rFonts w:ascii="Arial" w:eastAsia="Arial" w:hAnsi="Arial" w:cs="Arial"/>
                <w:sz w:val="18"/>
              </w:rPr>
              <w:t xml:space="preserve">JUAN </w:t>
            </w:r>
          </w:p>
          <w:p w:rsidR="00E23B86" w:rsidRDefault="00BA7C13">
            <w:pPr>
              <w:spacing w:after="0"/>
              <w:ind w:right="75"/>
              <w:jc w:val="center"/>
            </w:pPr>
            <w:r>
              <w:rPr>
                <w:rFonts w:ascii="Arial" w:eastAsia="Arial" w:hAnsi="Arial" w:cs="Arial"/>
                <w:sz w:val="18"/>
              </w:rPr>
              <w:t xml:space="preserve">CARMELO </w:t>
            </w:r>
          </w:p>
          <w:p w:rsidR="00E23B86" w:rsidRDefault="00BA7C13">
            <w:pPr>
              <w:spacing w:after="0"/>
              <w:ind w:right="40" w:firstLine="360"/>
            </w:pPr>
            <w:r>
              <w:rPr>
                <w:rFonts w:ascii="Arial" w:eastAsia="Arial" w:hAnsi="Arial" w:cs="Arial"/>
                <w:sz w:val="18"/>
              </w:rPr>
              <w:t xml:space="preserve">CHICO CASTELLANO </w:t>
            </w:r>
            <w:r>
              <w:rPr>
                <w:rFonts w:ascii="Segoe UI Symbol" w:eastAsia="Segoe UI Symbol" w:hAnsi="Segoe UI Symbol" w:cs="Segoe UI Symbol"/>
                <w:sz w:val="20"/>
              </w:rPr>
              <w:t xml:space="preserve"> </w:t>
            </w:r>
            <w:r>
              <w:rPr>
                <w:rFonts w:ascii="Arial" w:eastAsia="Arial" w:hAnsi="Arial" w:cs="Arial"/>
                <w:sz w:val="18"/>
              </w:rPr>
              <w:t>RAMIRO OLIVA RODRÍGUEZ</w:t>
            </w:r>
          </w:p>
        </w:tc>
        <w:tc>
          <w:tcPr>
            <w:tcW w:w="2553" w:type="dxa"/>
            <w:tcBorders>
              <w:top w:val="single" w:sz="4" w:space="0" w:color="A6A6A6"/>
              <w:left w:val="single" w:sz="5" w:space="0" w:color="A6A6A6"/>
              <w:bottom w:val="single" w:sz="4" w:space="0" w:color="A6A6A6"/>
              <w:right w:val="single" w:sz="5" w:space="0" w:color="A6A6A6"/>
            </w:tcBorders>
          </w:tcPr>
          <w:p w:rsidR="00E23B86" w:rsidRDefault="00E23B86"/>
        </w:tc>
        <w:tc>
          <w:tcPr>
            <w:tcW w:w="3828" w:type="dxa"/>
            <w:tcBorders>
              <w:top w:val="single" w:sz="4" w:space="0" w:color="A6A6A6"/>
              <w:left w:val="single" w:sz="5" w:space="0" w:color="A6A6A6"/>
              <w:bottom w:val="single" w:sz="4" w:space="0" w:color="A6A6A6"/>
              <w:right w:val="single" w:sz="5" w:space="0" w:color="A6A6A6"/>
            </w:tcBorders>
          </w:tcPr>
          <w:p w:rsidR="00E23B86" w:rsidRDefault="00E23B86"/>
        </w:tc>
      </w:tr>
    </w:tbl>
    <w:p w:rsidR="00E23B86" w:rsidRDefault="00BA7C13">
      <w:pPr>
        <w:spacing w:after="0" w:line="248" w:lineRule="auto"/>
        <w:ind w:left="363" w:right="552" w:firstLine="708"/>
        <w:jc w:val="both"/>
      </w:pPr>
      <w:r>
        <w:rPr>
          <w:rFonts w:ascii="Arial" w:eastAsia="Arial" w:hAnsi="Arial" w:cs="Arial"/>
        </w:rPr>
        <w:t>Y para que conste, a los efectos del expediente de su razón, emito el presente certificado con el V.º B.º del Sr. Alcalde Accidental, D. Jorge Baute Delgado (delegación por decreto nº 278/2020 de 05 de febrero).”</w:t>
      </w:r>
    </w:p>
    <w:p w:rsidR="00E23B86" w:rsidRDefault="00BA7C13">
      <w:pPr>
        <w:spacing w:after="0" w:line="248" w:lineRule="auto"/>
        <w:ind w:left="363" w:right="552" w:firstLine="708"/>
        <w:jc w:val="both"/>
      </w:pPr>
      <w:r>
        <w:rPr>
          <w:rFonts w:ascii="Arial" w:eastAsia="Arial" w:hAnsi="Arial" w:cs="Arial"/>
        </w:rPr>
        <w:t>Acto seguido se procede a la apertura del s</w:t>
      </w:r>
      <w:r>
        <w:rPr>
          <w:rFonts w:ascii="Arial" w:eastAsia="Arial" w:hAnsi="Arial" w:cs="Arial"/>
        </w:rPr>
        <w:t>obre “A” y al examen de la documentación presentada por los licitadores, observando que la misma corresponde con la exigida 7.4 del PCAP.</w:t>
      </w:r>
    </w:p>
    <w:p w:rsidR="00E23B86" w:rsidRDefault="00BA7C13">
      <w:pPr>
        <w:spacing w:after="245" w:line="248" w:lineRule="auto"/>
        <w:ind w:left="363" w:right="552" w:firstLine="708"/>
        <w:jc w:val="both"/>
      </w:pPr>
      <w:r>
        <w:rPr>
          <w:rFonts w:ascii="Arial" w:eastAsia="Arial" w:hAnsi="Arial" w:cs="Arial"/>
        </w:rPr>
        <w:t>Posteriormente se comprueba que los bienes ofertados corresponden con la descripción técnica de la parcela realizada p</w:t>
      </w:r>
      <w:r>
        <w:rPr>
          <w:rFonts w:ascii="Arial" w:eastAsia="Arial" w:hAnsi="Arial" w:cs="Arial"/>
        </w:rPr>
        <w:t xml:space="preserve">or la Oficina Técnica Municipal, y que efectivamente  coinciden, adjuntándose al expediente las fichas catastrales facilitadas por dicha área y que corresponden con las certificaciones registrales aportadas por los licitadores.    </w:t>
      </w:r>
    </w:p>
    <w:p w:rsidR="00E23B86" w:rsidRDefault="00BA7C13">
      <w:pPr>
        <w:spacing w:after="2603" w:line="248" w:lineRule="auto"/>
        <w:ind w:left="363" w:right="552" w:firstLine="708"/>
        <w:jc w:val="both"/>
      </w:pPr>
      <w:r>
        <w:rPr>
          <w:noProof/>
        </w:rPr>
        <mc:AlternateContent>
          <mc:Choice Requires="wpg">
            <w:drawing>
              <wp:anchor distT="0" distB="0" distL="114300" distR="114300" simplePos="0" relativeHeight="2517780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1676" name="Group 50167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313" name="Rectangle 2531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w:t>
                              </w:r>
                              <w:r>
                                <w:rPr>
                                  <w:rFonts w:ascii="Arial" w:eastAsia="Arial" w:hAnsi="Arial" w:cs="Arial"/>
                                  <w:sz w:val="12"/>
                                </w:rPr>
                                <w:t xml:space="preserve">C4GAAK3P9GMGZC2N3FZWC | Verificación: https://candelaria.sedelectronica.es/ </w:t>
                              </w:r>
                            </w:p>
                          </w:txbxContent>
                        </wps:txbx>
                        <wps:bodyPr horzOverflow="overflow" vert="horz" lIns="0" tIns="0" rIns="0" bIns="0" rtlCol="0">
                          <a:noAutofit/>
                        </wps:bodyPr>
                      </wps:wsp>
                      <wps:wsp>
                        <wps:cNvPr id="25314" name="Rectangle 25314"/>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1676" style="width:12.7031pt;height:280.35pt;position:absolute;mso-position-horizontal-relative:page;mso-position-horizontal:absolute;margin-left:681.958pt;mso-position-vertical-relative:page;margin-top:531.65pt;" coordsize="1613,35604">
                <v:rect id="Rectangle 2531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314"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117 de 391 </w:t>
                        </w:r>
                      </w:p>
                    </w:txbxContent>
                  </v:textbox>
                </v:rect>
                <w10:wrap type="square"/>
              </v:group>
            </w:pict>
          </mc:Fallback>
        </mc:AlternateContent>
      </w:r>
      <w:r>
        <w:rPr>
          <w:rFonts w:ascii="Arial" w:eastAsia="Arial" w:hAnsi="Arial" w:cs="Arial"/>
        </w:rPr>
        <w:t>La Mesa de Contratación, acuerda que se convoque la Mesa para la apertura del sobr</w:t>
      </w:r>
      <w:r>
        <w:rPr>
          <w:rFonts w:ascii="Arial" w:eastAsia="Arial" w:hAnsi="Arial" w:cs="Arial"/>
        </w:rPr>
        <w:t>e C.</w:t>
      </w:r>
    </w:p>
    <w:p w:rsidR="00E23B86" w:rsidRDefault="00BA7C13">
      <w:pPr>
        <w:spacing w:after="467" w:line="265" w:lineRule="auto"/>
        <w:ind w:left="1780" w:hanging="10"/>
      </w:pPr>
      <w:r>
        <w:rPr>
          <w:rFonts w:ascii="Arial" w:eastAsia="Arial" w:hAnsi="Arial" w:cs="Arial"/>
          <w:u w:val="single" w:color="000000"/>
        </w:rPr>
        <w:t>Mesa de contratación de fecha 14 de febrero de 2020:</w:t>
      </w:r>
    </w:p>
    <w:p w:rsidR="00E23B86" w:rsidRDefault="00BA7C13">
      <w:pPr>
        <w:spacing w:after="95" w:line="265" w:lineRule="auto"/>
        <w:ind w:left="359" w:right="549" w:hanging="10"/>
        <w:jc w:val="center"/>
      </w:pPr>
      <w:r>
        <w:rPr>
          <w:rFonts w:ascii="Arial" w:eastAsia="Arial" w:hAnsi="Arial" w:cs="Arial"/>
        </w:rPr>
        <w:t>“ACTA</w:t>
      </w:r>
    </w:p>
    <w:p w:rsidR="00E23B86" w:rsidRDefault="00BA7C13">
      <w:pPr>
        <w:spacing w:after="0" w:line="250" w:lineRule="auto"/>
        <w:ind w:left="347" w:right="545" w:hanging="10"/>
        <w:jc w:val="both"/>
      </w:pPr>
      <w:r>
        <w:rPr>
          <w:rFonts w:ascii="Arial" w:eastAsia="Arial" w:hAnsi="Arial" w:cs="Arial"/>
          <w:sz w:val="24"/>
          <w:u w:val="single" w:color="000000"/>
        </w:rPr>
        <w:t>APERTURA DEL SOBRE C, DEL PROCEDIMIENTO ABIERTO, PARA LA CONTRATACIÓN CONSISTENTE EN LA ADQUISICIÓN DE PARCELA DE LA</w:t>
      </w:r>
    </w:p>
    <w:p w:rsidR="00E23B86" w:rsidRDefault="00BA7C13">
      <w:pPr>
        <w:spacing w:after="246" w:line="250" w:lineRule="auto"/>
        <w:ind w:left="347" w:right="545" w:hanging="10"/>
        <w:jc w:val="both"/>
      </w:pPr>
      <w:r>
        <w:rPr>
          <w:rFonts w:ascii="Arial" w:eastAsia="Arial" w:hAnsi="Arial" w:cs="Arial"/>
          <w:sz w:val="24"/>
          <w:u w:val="single" w:color="000000"/>
        </w:rPr>
        <w:t>UA-CO1-ACCESO A CANDELARIA</w:t>
      </w:r>
    </w:p>
    <w:p w:rsidR="00E23B86" w:rsidRDefault="00BA7C13">
      <w:pPr>
        <w:spacing w:after="243" w:line="248" w:lineRule="auto"/>
        <w:ind w:left="373" w:right="552" w:hanging="10"/>
        <w:jc w:val="both"/>
      </w:pPr>
      <w:r>
        <w:rPr>
          <w:rFonts w:ascii="Arial" w:eastAsia="Arial" w:hAnsi="Arial" w:cs="Arial"/>
        </w:rPr>
        <w:t xml:space="preserve">Miembros de la Mesa de Contratación </w:t>
      </w:r>
    </w:p>
    <w:p w:rsidR="00E23B86" w:rsidRDefault="00BA7C13">
      <w:pPr>
        <w:spacing w:after="227" w:line="265" w:lineRule="auto"/>
        <w:ind w:left="347" w:hanging="10"/>
      </w:pPr>
      <w:r>
        <w:rPr>
          <w:rFonts w:ascii="Arial" w:eastAsia="Arial" w:hAnsi="Arial" w:cs="Arial"/>
          <w:u w:val="single" w:color="000000"/>
        </w:rPr>
        <w:t>Asistentes:</w:t>
      </w:r>
    </w:p>
    <w:p w:rsidR="00E23B86" w:rsidRDefault="00BA7C13">
      <w:pPr>
        <w:spacing w:after="3" w:line="265" w:lineRule="auto"/>
        <w:ind w:left="347" w:hanging="10"/>
      </w:pPr>
      <w:r>
        <w:rPr>
          <w:rFonts w:ascii="Arial" w:eastAsia="Arial" w:hAnsi="Arial" w:cs="Arial"/>
          <w:u w:val="single" w:color="000000"/>
        </w:rPr>
        <w:t>Presidenta:</w:t>
      </w:r>
    </w:p>
    <w:p w:rsidR="00E23B86" w:rsidRDefault="00BA7C13">
      <w:pPr>
        <w:spacing w:after="243" w:line="248" w:lineRule="auto"/>
        <w:ind w:left="373" w:right="552" w:hanging="10"/>
        <w:jc w:val="both"/>
      </w:pPr>
      <w:r>
        <w:rPr>
          <w:rFonts w:ascii="Arial" w:eastAsia="Arial" w:hAnsi="Arial" w:cs="Arial"/>
        </w:rPr>
        <w:t xml:space="preserve">Dña. Mª Concepción Brito Núñez </w:t>
      </w:r>
    </w:p>
    <w:p w:rsidR="00E23B86" w:rsidRDefault="00BA7C13">
      <w:pPr>
        <w:spacing w:after="3" w:line="265" w:lineRule="auto"/>
        <w:ind w:left="347" w:hanging="10"/>
      </w:pPr>
      <w:r>
        <w:rPr>
          <w:rFonts w:ascii="Arial" w:eastAsia="Arial" w:hAnsi="Arial" w:cs="Arial"/>
          <w:u w:val="single" w:color="000000"/>
        </w:rPr>
        <w:t>Vocales</w:t>
      </w:r>
      <w:r>
        <w:rPr>
          <w:rFonts w:ascii="Arial" w:eastAsia="Arial" w:hAnsi="Arial" w:cs="Arial"/>
        </w:rPr>
        <w:t>:</w:t>
      </w:r>
    </w:p>
    <w:p w:rsidR="00E23B86" w:rsidRDefault="00BA7C13">
      <w:pPr>
        <w:spacing w:after="10" w:line="248" w:lineRule="auto"/>
        <w:ind w:left="373" w:right="552" w:hanging="10"/>
        <w:jc w:val="both"/>
      </w:pPr>
      <w:r>
        <w:rPr>
          <w:rFonts w:ascii="Arial" w:eastAsia="Arial" w:hAnsi="Arial" w:cs="Arial"/>
        </w:rPr>
        <w:t xml:space="preserve">D. Airam Pérez Chinea </w:t>
      </w:r>
    </w:p>
    <w:p w:rsidR="00E23B86" w:rsidRDefault="00BA7C13">
      <w:pPr>
        <w:spacing w:after="10" w:line="248" w:lineRule="auto"/>
        <w:ind w:left="373" w:right="552" w:hanging="10"/>
        <w:jc w:val="both"/>
      </w:pPr>
      <w:r>
        <w:rPr>
          <w:rFonts w:ascii="Arial" w:eastAsia="Arial" w:hAnsi="Arial" w:cs="Arial"/>
        </w:rPr>
        <w:t xml:space="preserve">D. Octavio Manuel Fernández Hernández </w:t>
      </w:r>
    </w:p>
    <w:p w:rsidR="00E23B86" w:rsidRDefault="00BA7C13">
      <w:pPr>
        <w:spacing w:after="110" w:line="248" w:lineRule="auto"/>
        <w:ind w:left="373" w:right="552" w:hanging="10"/>
        <w:jc w:val="both"/>
      </w:pPr>
      <w:r>
        <w:rPr>
          <w:rFonts w:ascii="Arial" w:eastAsia="Arial" w:hAnsi="Arial" w:cs="Arial"/>
        </w:rPr>
        <w:t>D. Nicolás Rojo Garnica</w:t>
      </w:r>
    </w:p>
    <w:p w:rsidR="00E23B86" w:rsidRDefault="00BA7C13">
      <w:pPr>
        <w:spacing w:after="0" w:line="248" w:lineRule="auto"/>
        <w:ind w:left="373" w:right="5195" w:hanging="10"/>
        <w:jc w:val="both"/>
      </w:pPr>
      <w:r>
        <w:rPr>
          <w:rFonts w:ascii="Arial" w:eastAsia="Arial" w:hAnsi="Arial" w:cs="Arial"/>
        </w:rPr>
        <w:t xml:space="preserve">D. Zebenzui Mesa Marcelino </w:t>
      </w:r>
      <w:r>
        <w:rPr>
          <w:rFonts w:ascii="Arial" w:eastAsia="Arial" w:hAnsi="Arial" w:cs="Arial"/>
          <w:u w:val="single" w:color="000000"/>
        </w:rPr>
        <w:t>Secretaria</w:t>
      </w:r>
    </w:p>
    <w:p w:rsidR="00E23B86" w:rsidRDefault="00BA7C13">
      <w:pPr>
        <w:spacing w:after="263" w:line="248" w:lineRule="auto"/>
        <w:ind w:left="373" w:right="5628" w:hanging="10"/>
        <w:jc w:val="both"/>
      </w:pPr>
      <w:r>
        <w:rPr>
          <w:rFonts w:ascii="Arial" w:eastAsia="Arial" w:hAnsi="Arial" w:cs="Arial"/>
        </w:rPr>
        <w:t xml:space="preserve">Dña. Mª del Pilar Chico Delgado </w:t>
      </w:r>
      <w:r>
        <w:rPr>
          <w:rFonts w:ascii="Arial" w:eastAsia="Arial" w:hAnsi="Arial" w:cs="Arial"/>
          <w:u w:val="single" w:color="000000"/>
        </w:rPr>
        <w:t>No asistentes:</w:t>
      </w:r>
    </w:p>
    <w:p w:rsidR="00E23B86" w:rsidRDefault="00BA7C13">
      <w:pPr>
        <w:spacing w:after="0"/>
        <w:ind w:left="352"/>
      </w:pPr>
      <w:r>
        <w:rPr>
          <w:rFonts w:ascii="Arial" w:eastAsia="Arial" w:hAnsi="Arial" w:cs="Arial"/>
          <w:sz w:val="24"/>
        </w:rPr>
        <w:t xml:space="preserve">  </w:t>
      </w:r>
    </w:p>
    <w:p w:rsidR="00E23B86" w:rsidRDefault="00BA7C13">
      <w:pPr>
        <w:spacing w:after="499" w:line="248" w:lineRule="auto"/>
        <w:ind w:left="363" w:right="552" w:firstLine="708"/>
        <w:jc w:val="both"/>
      </w:pPr>
      <w:r>
        <w:rPr>
          <w:rFonts w:ascii="Arial" w:eastAsia="Arial" w:hAnsi="Arial" w:cs="Arial"/>
        </w:rPr>
        <w:t>En Candelaria, a catorce de febrero de dos mil veinte, siendo las ocho horas y cincuenta  minutos, se constituye en la Sala de reuniones de la Casa Consistorial, la Mesa de Contratación designada en el procedimiento abierto para la contratación consistente</w:t>
      </w:r>
      <w:r>
        <w:rPr>
          <w:rFonts w:ascii="Arial" w:eastAsia="Arial" w:hAnsi="Arial" w:cs="Arial"/>
        </w:rPr>
        <w:t xml:space="preserve"> en la adquisición de una parcela de la UA-CO1-Acceso a Candelaria,  al objeto de proceder a la apertura del sobre C de las proposiciones presentadas, de acuerdo con lo establecido en la cláusula décima del Pliego de cláusulas administrativas particulares </w:t>
      </w:r>
      <w:r>
        <w:rPr>
          <w:rFonts w:ascii="Arial" w:eastAsia="Arial" w:hAnsi="Arial" w:cs="Arial"/>
        </w:rPr>
        <w:t>que rige el mencionado procedimiento.</w:t>
      </w:r>
    </w:p>
    <w:p w:rsidR="00E23B86" w:rsidRDefault="00BA7C13">
      <w:pPr>
        <w:spacing w:after="0" w:line="248" w:lineRule="auto"/>
        <w:ind w:left="363" w:right="552" w:firstLine="708"/>
        <w:jc w:val="both"/>
      </w:pPr>
      <w:r>
        <w:rPr>
          <w:rFonts w:ascii="Arial" w:eastAsia="Arial" w:hAnsi="Arial" w:cs="Arial"/>
        </w:rPr>
        <w:t>Declarado abierto el acto por la Presidencia, la secretaria de la mesa abre el sobre C aportado por los licitadores, entregándose la documentación a la  Arquitecta municipal para la valoración del criterio de juicio de</w:t>
      </w:r>
      <w:r>
        <w:rPr>
          <w:rFonts w:ascii="Arial" w:eastAsia="Arial" w:hAnsi="Arial" w:cs="Arial"/>
        </w:rPr>
        <w:t xml:space="preserve"> valor. </w:t>
      </w:r>
    </w:p>
    <w:p w:rsidR="00E23B86" w:rsidRDefault="00BA7C13">
      <w:pPr>
        <w:spacing w:after="2603" w:line="248" w:lineRule="auto"/>
        <w:ind w:left="363" w:right="552" w:firstLine="708"/>
        <w:jc w:val="both"/>
      </w:pPr>
      <w:r>
        <w:rPr>
          <w:noProof/>
        </w:rPr>
        <mc:AlternateContent>
          <mc:Choice Requires="wpg">
            <w:drawing>
              <wp:anchor distT="0" distB="0" distL="114300" distR="114300" simplePos="0" relativeHeight="2517790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1918" name="Group 50191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365" name="Rectangle 2536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366" name="Rectangle 25366"/>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1918" style="width:12.7031pt;height:280.35pt;position:absolute;mso-position-horizontal-relative:page;mso-position-horizontal:absolute;margin-left:681.958pt;mso-position-vertical-relative:page;margin-top:531.65pt;" coordsize="1613,35604">
                <v:rect id="Rectangle 2536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366"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118 de 391 </w:t>
                        </w:r>
                      </w:p>
                    </w:txbxContent>
                  </v:textbox>
                </v:rect>
                <w10:wrap type="square"/>
              </v:group>
            </w:pict>
          </mc:Fallback>
        </mc:AlternateContent>
      </w:r>
      <w:r>
        <w:rPr>
          <w:rFonts w:ascii="Arial" w:eastAsia="Arial" w:hAnsi="Arial" w:cs="Arial"/>
        </w:rPr>
        <w:t>La Mesa acuerda que una vez emitido  el informe t</w:t>
      </w:r>
      <w:r>
        <w:rPr>
          <w:rFonts w:ascii="Arial" w:eastAsia="Arial" w:hAnsi="Arial" w:cs="Arial"/>
        </w:rPr>
        <w:t>écnico, la Mesa se reunirá en acto público para dar lectura del informe técnico de valoración del criterio de juicio de valor y en el mismo acto se procederá a la apertura del sobre B de la proposición económica”.</w:t>
      </w:r>
    </w:p>
    <w:p w:rsidR="00E23B86" w:rsidRDefault="00BA7C13">
      <w:pPr>
        <w:spacing w:after="467" w:line="265" w:lineRule="auto"/>
        <w:ind w:left="1780" w:hanging="10"/>
      </w:pPr>
      <w:r>
        <w:rPr>
          <w:rFonts w:ascii="Arial" w:eastAsia="Arial" w:hAnsi="Arial" w:cs="Arial"/>
          <w:u w:val="single" w:color="000000"/>
        </w:rPr>
        <w:t>Mesa de contratación de fecha 19 de febrero de 2020:</w:t>
      </w:r>
    </w:p>
    <w:p w:rsidR="00E23B86" w:rsidRDefault="00BA7C13">
      <w:pPr>
        <w:spacing w:after="485" w:line="265" w:lineRule="auto"/>
        <w:ind w:left="359" w:right="1321" w:hanging="10"/>
        <w:jc w:val="center"/>
      </w:pPr>
      <w:r>
        <w:rPr>
          <w:rFonts w:ascii="Arial" w:eastAsia="Arial" w:hAnsi="Arial" w:cs="Arial"/>
        </w:rPr>
        <w:t>“ACTA</w:t>
      </w:r>
    </w:p>
    <w:p w:rsidR="00E23B86" w:rsidRDefault="00BA7C13">
      <w:pPr>
        <w:spacing w:after="0" w:line="250" w:lineRule="auto"/>
        <w:ind w:left="347" w:right="545" w:hanging="10"/>
        <w:jc w:val="both"/>
      </w:pPr>
      <w:r>
        <w:rPr>
          <w:rFonts w:ascii="Arial" w:eastAsia="Arial" w:hAnsi="Arial" w:cs="Arial"/>
          <w:sz w:val="24"/>
          <w:u w:val="single" w:color="000000"/>
        </w:rPr>
        <w:t>APERTURA DEL SOBRE B, DEL PROCEDIMIENTO ABIERTO, PARA LA CONTRATACIÓN CONSISTENTE EN LA ADQUISICIÓN DE PARCELA DE LA</w:t>
      </w:r>
    </w:p>
    <w:p w:rsidR="00E23B86" w:rsidRDefault="00BA7C13">
      <w:pPr>
        <w:spacing w:after="246" w:line="250" w:lineRule="auto"/>
        <w:ind w:left="347" w:right="545" w:hanging="10"/>
        <w:jc w:val="both"/>
      </w:pPr>
      <w:r>
        <w:rPr>
          <w:rFonts w:ascii="Arial" w:eastAsia="Arial" w:hAnsi="Arial" w:cs="Arial"/>
          <w:sz w:val="24"/>
          <w:u w:val="single" w:color="000000"/>
        </w:rPr>
        <w:t>UA-CO1-ACCESO A CANDELARIA</w:t>
      </w:r>
    </w:p>
    <w:p w:rsidR="00E23B86" w:rsidRDefault="00BA7C13">
      <w:pPr>
        <w:spacing w:after="243" w:line="248" w:lineRule="auto"/>
        <w:ind w:left="373" w:right="552" w:hanging="10"/>
        <w:jc w:val="both"/>
      </w:pPr>
      <w:r>
        <w:rPr>
          <w:rFonts w:ascii="Arial" w:eastAsia="Arial" w:hAnsi="Arial" w:cs="Arial"/>
        </w:rPr>
        <w:t xml:space="preserve">Miembros de la Mesa de Contratación </w:t>
      </w:r>
    </w:p>
    <w:p w:rsidR="00E23B86" w:rsidRDefault="00BA7C13">
      <w:pPr>
        <w:spacing w:after="227" w:line="265" w:lineRule="auto"/>
        <w:ind w:left="347" w:hanging="10"/>
      </w:pPr>
      <w:r>
        <w:rPr>
          <w:rFonts w:ascii="Arial" w:eastAsia="Arial" w:hAnsi="Arial" w:cs="Arial"/>
          <w:u w:val="single" w:color="000000"/>
        </w:rPr>
        <w:t>Asistentes:</w:t>
      </w:r>
    </w:p>
    <w:p w:rsidR="00E23B86" w:rsidRDefault="00BA7C13">
      <w:pPr>
        <w:spacing w:after="3" w:line="265" w:lineRule="auto"/>
        <w:ind w:left="347" w:hanging="10"/>
      </w:pPr>
      <w:r>
        <w:rPr>
          <w:rFonts w:ascii="Arial" w:eastAsia="Arial" w:hAnsi="Arial" w:cs="Arial"/>
          <w:u w:val="single" w:color="000000"/>
        </w:rPr>
        <w:t>Pres</w:t>
      </w:r>
      <w:r>
        <w:rPr>
          <w:rFonts w:ascii="Arial" w:eastAsia="Arial" w:hAnsi="Arial" w:cs="Arial"/>
          <w:u w:val="single" w:color="000000"/>
        </w:rPr>
        <w:t>idente:</w:t>
      </w:r>
    </w:p>
    <w:p w:rsidR="00E23B86" w:rsidRDefault="00BA7C13">
      <w:pPr>
        <w:spacing w:after="243" w:line="248" w:lineRule="auto"/>
        <w:ind w:left="373" w:right="552" w:hanging="10"/>
        <w:jc w:val="both"/>
      </w:pPr>
      <w:r>
        <w:rPr>
          <w:rFonts w:ascii="Arial" w:eastAsia="Arial" w:hAnsi="Arial" w:cs="Arial"/>
        </w:rPr>
        <w:t xml:space="preserve">D. Jorge Baute Delgado </w:t>
      </w:r>
    </w:p>
    <w:p w:rsidR="00E23B86" w:rsidRDefault="00BA7C13">
      <w:pPr>
        <w:spacing w:after="3" w:line="265" w:lineRule="auto"/>
        <w:ind w:left="347" w:hanging="10"/>
      </w:pPr>
      <w:r>
        <w:rPr>
          <w:rFonts w:ascii="Arial" w:eastAsia="Arial" w:hAnsi="Arial" w:cs="Arial"/>
          <w:u w:val="single" w:color="000000"/>
        </w:rPr>
        <w:t>Vocales</w:t>
      </w:r>
      <w:r>
        <w:rPr>
          <w:rFonts w:ascii="Arial" w:eastAsia="Arial" w:hAnsi="Arial" w:cs="Arial"/>
        </w:rPr>
        <w:t>:</w:t>
      </w:r>
    </w:p>
    <w:p w:rsidR="00E23B86" w:rsidRDefault="00BA7C13">
      <w:pPr>
        <w:spacing w:after="10" w:line="248" w:lineRule="auto"/>
        <w:ind w:left="373" w:right="552" w:hanging="10"/>
        <w:jc w:val="both"/>
      </w:pPr>
      <w:r>
        <w:rPr>
          <w:rFonts w:ascii="Arial" w:eastAsia="Arial" w:hAnsi="Arial" w:cs="Arial"/>
        </w:rPr>
        <w:t xml:space="preserve">D. José Francisco Pinto Ramos </w:t>
      </w:r>
    </w:p>
    <w:p w:rsidR="00E23B86" w:rsidRDefault="00BA7C13">
      <w:pPr>
        <w:spacing w:after="110" w:line="248" w:lineRule="auto"/>
        <w:ind w:left="373" w:right="552" w:hanging="10"/>
        <w:jc w:val="both"/>
      </w:pPr>
      <w:r>
        <w:rPr>
          <w:rFonts w:ascii="Arial" w:eastAsia="Arial" w:hAnsi="Arial" w:cs="Arial"/>
        </w:rPr>
        <w:t xml:space="preserve">D. Octavio Manuel Fernández Hernández </w:t>
      </w:r>
    </w:p>
    <w:p w:rsidR="00E23B86" w:rsidRDefault="00BA7C13">
      <w:pPr>
        <w:spacing w:after="10" w:line="248" w:lineRule="auto"/>
        <w:ind w:left="373" w:right="552" w:hanging="10"/>
        <w:jc w:val="both"/>
      </w:pPr>
      <w:r>
        <w:rPr>
          <w:rFonts w:ascii="Arial" w:eastAsia="Arial" w:hAnsi="Arial" w:cs="Arial"/>
        </w:rPr>
        <w:t>D. Nicolás Rojo Garnica</w:t>
      </w:r>
    </w:p>
    <w:p w:rsidR="00E23B86" w:rsidRDefault="00BA7C13">
      <w:pPr>
        <w:spacing w:after="10" w:line="248" w:lineRule="auto"/>
        <w:ind w:left="373" w:right="552" w:hanging="10"/>
        <w:jc w:val="both"/>
      </w:pPr>
      <w:r>
        <w:rPr>
          <w:rFonts w:ascii="Arial" w:eastAsia="Arial" w:hAnsi="Arial" w:cs="Arial"/>
        </w:rPr>
        <w:t xml:space="preserve">D. Zebenzui Mesa Marcelino </w:t>
      </w:r>
    </w:p>
    <w:p w:rsidR="00E23B86" w:rsidRDefault="00BA7C13">
      <w:pPr>
        <w:spacing w:after="3" w:line="265" w:lineRule="auto"/>
        <w:ind w:left="347" w:hanging="10"/>
      </w:pPr>
      <w:r>
        <w:rPr>
          <w:rFonts w:ascii="Arial" w:eastAsia="Arial" w:hAnsi="Arial" w:cs="Arial"/>
          <w:u w:val="single" w:color="000000"/>
        </w:rPr>
        <w:t>Secretaria</w:t>
      </w:r>
    </w:p>
    <w:p w:rsidR="00E23B86" w:rsidRDefault="00BA7C13">
      <w:pPr>
        <w:spacing w:after="287" w:line="248" w:lineRule="auto"/>
        <w:ind w:left="373" w:right="5628" w:hanging="10"/>
        <w:jc w:val="both"/>
      </w:pPr>
      <w:r>
        <w:rPr>
          <w:rFonts w:ascii="Arial" w:eastAsia="Arial" w:hAnsi="Arial" w:cs="Arial"/>
        </w:rPr>
        <w:t xml:space="preserve">Dña. Mª del Pilar Chico Delgado </w:t>
      </w:r>
      <w:r>
        <w:rPr>
          <w:rFonts w:ascii="Arial" w:eastAsia="Arial" w:hAnsi="Arial" w:cs="Arial"/>
          <w:u w:val="single" w:color="000000"/>
        </w:rPr>
        <w:t>No asistentes:</w:t>
      </w:r>
    </w:p>
    <w:p w:rsidR="00E23B86" w:rsidRDefault="00BA7C13">
      <w:pPr>
        <w:spacing w:after="0"/>
        <w:ind w:left="352"/>
      </w:pPr>
      <w:r>
        <w:rPr>
          <w:rFonts w:ascii="Arial" w:eastAsia="Arial" w:hAnsi="Arial" w:cs="Arial"/>
          <w:sz w:val="24"/>
        </w:rPr>
        <w:t xml:space="preserve">  </w:t>
      </w:r>
    </w:p>
    <w:p w:rsidR="00E23B86" w:rsidRDefault="00BA7C13">
      <w:pPr>
        <w:spacing w:after="524" w:line="250" w:lineRule="auto"/>
        <w:ind w:left="352" w:right="549" w:firstLine="708"/>
        <w:jc w:val="both"/>
      </w:pPr>
      <w:r>
        <w:rPr>
          <w:rFonts w:ascii="Arial" w:eastAsia="Arial" w:hAnsi="Arial" w:cs="Arial"/>
          <w:sz w:val="24"/>
        </w:rPr>
        <w:t>En Candelaria, a diecinueve de febrero de dos mil veinte, siendo las nueve horas y treinta y cinco minutos, se constituye en la Sala de reuniones de la Casa Consistorial, la Mesa de Contratación designada en el procedimiento abierto para la contratación co</w:t>
      </w:r>
      <w:r>
        <w:rPr>
          <w:rFonts w:ascii="Arial" w:eastAsia="Arial" w:hAnsi="Arial" w:cs="Arial"/>
          <w:sz w:val="24"/>
        </w:rPr>
        <w:t>nsistente en la adquisición de una parcela de la UA-CO1-Acceso a Candelaria,  al objeto de proceder a dar lectura del informe técnico de valoración del criterio de juicio de valor y apertura del sobre B de la proposición económica, de acuerdo con lo establ</w:t>
      </w:r>
      <w:r>
        <w:rPr>
          <w:rFonts w:ascii="Arial" w:eastAsia="Arial" w:hAnsi="Arial" w:cs="Arial"/>
          <w:sz w:val="24"/>
        </w:rPr>
        <w:t>ecido en la cláusula décima del Pliego de cláusulas administrativas particulares que rige el mencionado procedimiento.</w:t>
      </w:r>
    </w:p>
    <w:p w:rsidR="00E23B86" w:rsidRDefault="00BA7C13">
      <w:pPr>
        <w:spacing w:after="245" w:line="248" w:lineRule="auto"/>
        <w:ind w:left="363" w:right="552" w:firstLine="708"/>
        <w:jc w:val="both"/>
      </w:pPr>
      <w:r>
        <w:rPr>
          <w:rFonts w:ascii="Arial" w:eastAsia="Arial" w:hAnsi="Arial" w:cs="Arial"/>
        </w:rPr>
        <w:t xml:space="preserve">Declarado abierto el acto por la Presidencia, la secretaria de la mesa  pasa a leer el informe técnico de valoración del sobre C emitido </w:t>
      </w:r>
      <w:r>
        <w:rPr>
          <w:rFonts w:ascii="Arial" w:eastAsia="Arial" w:hAnsi="Arial" w:cs="Arial"/>
        </w:rPr>
        <w:t>por la Arquitecta municipal que dice:</w:t>
      </w:r>
    </w:p>
    <w:p w:rsidR="00E23B86" w:rsidRDefault="00BA7C13">
      <w:pPr>
        <w:spacing w:after="95" w:line="265" w:lineRule="auto"/>
        <w:ind w:left="359" w:right="550" w:hanging="10"/>
        <w:jc w:val="center"/>
      </w:pPr>
      <w:r>
        <w:rPr>
          <w:rFonts w:ascii="Arial" w:eastAsia="Arial" w:hAnsi="Arial" w:cs="Arial"/>
        </w:rPr>
        <w:t>“INFORME</w:t>
      </w:r>
    </w:p>
    <w:p w:rsidR="00E23B86" w:rsidRDefault="00BA7C13">
      <w:pPr>
        <w:spacing w:after="407" w:line="248" w:lineRule="auto"/>
        <w:ind w:left="373" w:right="552" w:hanging="10"/>
        <w:jc w:val="both"/>
      </w:pPr>
      <w:r>
        <w:rPr>
          <w:noProof/>
        </w:rPr>
        <mc:AlternateContent>
          <mc:Choice Requires="wpg">
            <w:drawing>
              <wp:anchor distT="0" distB="0" distL="114300" distR="114300" simplePos="0" relativeHeight="2517800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1755" name="Group 50175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416" name="Rectangle 2541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417" name="Rectangle 25417"/>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119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1755" style="width:12.7031pt;height:280.35pt;position:absolute;mso-position-horizontal-relative:page;mso-position-horizontal:absolute;margin-left:681.958pt;mso-position-vertical-relative:page;margin-top:531.65pt;" coordsize="1613,35604">
                <v:rect id="Rectangle 2541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417"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119 de 391 </w:t>
                        </w:r>
                      </w:p>
                    </w:txbxContent>
                  </v:textbox>
                </v:rect>
                <w10:wrap type="square"/>
              </v:group>
            </w:pict>
          </mc:Fallback>
        </mc:AlternateContent>
      </w:r>
      <w:r>
        <w:rPr>
          <w:rFonts w:ascii="Arial" w:eastAsia="Arial" w:hAnsi="Arial" w:cs="Arial"/>
        </w:rPr>
        <w:t>Visto el expediente antedicho, Nayra Guzmán Hernández, arquitecta municipal, emite el siguiente informe:</w:t>
      </w:r>
    </w:p>
    <w:p w:rsidR="00E23B86" w:rsidRDefault="00BA7C13">
      <w:pPr>
        <w:spacing w:after="245" w:line="250" w:lineRule="auto"/>
        <w:ind w:left="362" w:right="549" w:hanging="10"/>
        <w:jc w:val="both"/>
      </w:pPr>
      <w:r>
        <w:rPr>
          <w:rFonts w:ascii="Arial" w:eastAsia="Arial" w:hAnsi="Arial" w:cs="Arial"/>
          <w:sz w:val="24"/>
        </w:rPr>
        <w:t>ANTECEDENTES:</w:t>
      </w:r>
    </w:p>
    <w:p w:rsidR="00E23B86" w:rsidRDefault="00BA7C13">
      <w:pPr>
        <w:spacing w:after="245" w:line="248" w:lineRule="auto"/>
        <w:ind w:left="373" w:right="552" w:hanging="10"/>
        <w:jc w:val="both"/>
      </w:pPr>
      <w:r>
        <w:rPr>
          <w:rFonts w:ascii="Arial" w:eastAsia="Arial" w:hAnsi="Arial" w:cs="Arial"/>
        </w:rPr>
        <w:t>En relación con el procedimiento de licitación para la adquisición de parcelas del ámbito de la UA-C01 Acceso a Candelaria, se emite el p</w:t>
      </w:r>
      <w:r>
        <w:rPr>
          <w:rFonts w:ascii="Arial" w:eastAsia="Arial" w:hAnsi="Arial" w:cs="Arial"/>
        </w:rPr>
        <w:t>resente Informe Técnico referido la valoración de la Cláusula Octava. Criterios de Adjudicación; 2. Criterio de juicio de valor, de acuerdo a lo dispuesto en el Pliego de Cláusulas Administrativas Particulares, que dice:</w:t>
      </w:r>
      <w:r>
        <w:rPr>
          <w:rFonts w:ascii="Arial" w:eastAsia="Arial" w:hAnsi="Arial" w:cs="Arial"/>
          <w:color w:val="FF0000"/>
        </w:rPr>
        <w:t xml:space="preserve"> </w:t>
      </w:r>
    </w:p>
    <w:p w:rsidR="00E23B86" w:rsidRDefault="00BA7C13">
      <w:pPr>
        <w:spacing w:after="485" w:line="248" w:lineRule="auto"/>
        <w:ind w:left="373" w:right="552" w:hanging="10"/>
        <w:jc w:val="both"/>
      </w:pPr>
      <w:r>
        <w:rPr>
          <w:rFonts w:ascii="Arial" w:eastAsia="Arial" w:hAnsi="Arial" w:cs="Arial"/>
        </w:rPr>
        <w:t>“…2.- CRITERIO DE JUICIO DE VALOR:</w:t>
      </w:r>
      <w:r>
        <w:rPr>
          <w:rFonts w:ascii="Arial" w:eastAsia="Arial" w:hAnsi="Arial" w:cs="Arial"/>
        </w:rPr>
        <w:t xml:space="preserve"> (Máx. 30 puntos). Presentación de un informe técnico emitido por técnico competente de al menos 10 folios DIN A4 a una cara letra Arial 12 en el que se acredite que las condiciones técnicas del bien inmueble no contienen vicios técnicos ocultos que impida</w:t>
      </w:r>
      <w:r>
        <w:rPr>
          <w:rFonts w:ascii="Arial" w:eastAsia="Arial" w:hAnsi="Arial" w:cs="Arial"/>
        </w:rPr>
        <w:t>n el desarrollo de los fines y necesidades descritos en la memoria…”</w:t>
      </w:r>
    </w:p>
    <w:p w:rsidR="00E23B86" w:rsidRDefault="00BA7C13">
      <w:pPr>
        <w:spacing w:after="385" w:line="248" w:lineRule="auto"/>
        <w:ind w:left="373" w:right="552" w:hanging="10"/>
        <w:jc w:val="both"/>
      </w:pPr>
      <w:r>
        <w:rPr>
          <w:rFonts w:ascii="Arial" w:eastAsia="Arial" w:hAnsi="Arial" w:cs="Arial"/>
        </w:rPr>
        <w:t>Se presenta sobre “C”, por los licitadores Hermanos Chico Castellano, Doña Heraclia Castro Castro y Don Ramiro Urbano Oliva Rodríguez, en representación de la entidad Construcciones Oliva</w:t>
      </w:r>
      <w:r>
        <w:rPr>
          <w:rFonts w:ascii="Arial" w:eastAsia="Arial" w:hAnsi="Arial" w:cs="Arial"/>
        </w:rPr>
        <w:t xml:space="preserve"> Baute S.L, con la documentación que se pasa a informar.</w:t>
      </w:r>
    </w:p>
    <w:p w:rsidR="00E23B86" w:rsidRDefault="00BA7C13">
      <w:pPr>
        <w:spacing w:after="245" w:line="250" w:lineRule="auto"/>
        <w:ind w:left="362" w:right="549" w:hanging="10"/>
        <w:jc w:val="both"/>
      </w:pPr>
      <w:r>
        <w:rPr>
          <w:rFonts w:ascii="Arial" w:eastAsia="Arial" w:hAnsi="Arial" w:cs="Arial"/>
          <w:sz w:val="24"/>
        </w:rPr>
        <w:t>INFORME:</w:t>
      </w:r>
    </w:p>
    <w:p w:rsidR="00E23B86" w:rsidRDefault="00BA7C13">
      <w:pPr>
        <w:spacing w:after="110" w:line="248" w:lineRule="auto"/>
        <w:ind w:left="373" w:right="552" w:hanging="10"/>
        <w:jc w:val="both"/>
      </w:pPr>
      <w:r>
        <w:rPr>
          <w:rFonts w:ascii="Arial" w:eastAsia="Arial" w:hAnsi="Arial" w:cs="Arial"/>
        </w:rPr>
        <w:t>El contenido del sobre C es el siguiente:</w:t>
      </w:r>
    </w:p>
    <w:p w:rsidR="00E23B86" w:rsidRDefault="00BA7C13">
      <w:pPr>
        <w:spacing w:after="244" w:line="248" w:lineRule="auto"/>
        <w:ind w:left="1072" w:right="552" w:hanging="360"/>
        <w:jc w:val="both"/>
      </w:pPr>
      <w:r>
        <w:rPr>
          <w:rFonts w:ascii="Times New Roman" w:eastAsia="Times New Roman" w:hAnsi="Times New Roman" w:cs="Times New Roman"/>
          <w:sz w:val="24"/>
        </w:rPr>
        <w:t xml:space="preserve">3. </w:t>
      </w:r>
      <w:r>
        <w:rPr>
          <w:rFonts w:ascii="Arial" w:eastAsia="Arial" w:hAnsi="Arial" w:cs="Arial"/>
          <w:u w:val="single" w:color="000000"/>
        </w:rPr>
        <w:t>Estudio Geológico y Geotécnico</w:t>
      </w:r>
      <w:r>
        <w:rPr>
          <w:rFonts w:ascii="Arial" w:eastAsia="Arial" w:hAnsi="Arial" w:cs="Arial"/>
        </w:rPr>
        <w:t xml:space="preserve"> de las parcelas objeto de adquisición, elaborado por la Empresa Terragua Ingenieros, y suscrito por la Doctora en Geología, Doña Margarita Gutiérrez González, colegiada 4553.</w:t>
      </w:r>
    </w:p>
    <w:p w:rsidR="00E23B86" w:rsidRDefault="00BA7C13">
      <w:pPr>
        <w:spacing w:after="245" w:line="248" w:lineRule="auto"/>
        <w:ind w:left="1082" w:right="552" w:hanging="10"/>
        <w:jc w:val="both"/>
      </w:pPr>
      <w:r>
        <w:rPr>
          <w:rFonts w:ascii="Arial" w:eastAsia="Arial" w:hAnsi="Arial" w:cs="Arial"/>
        </w:rPr>
        <w:t>En el documento se realizada una inspección geológica y geotécnica de la parcela</w:t>
      </w:r>
      <w:r>
        <w:rPr>
          <w:rFonts w:ascii="Arial" w:eastAsia="Arial" w:hAnsi="Arial" w:cs="Arial"/>
        </w:rPr>
        <w:t xml:space="preserve"> y se realizan ensayos de resistencia de la roca mediante esclerómetro o martillo de Schmidt, para ello se aporta por Laboratorio de Control de calidad de la edificación, área de sondeos, toma de muestras y ensayos in situ para reconocimientos geotécnicos </w:t>
      </w:r>
      <w:r>
        <w:rPr>
          <w:rFonts w:ascii="Arial" w:eastAsia="Arial" w:hAnsi="Arial" w:cs="Arial"/>
        </w:rPr>
        <w:t>(GTC) y ensayos de laboratorio (GTL), Acta de resultados de resistencia de la roca por el método de la dureza al rebote Schmidt (ASTM D 5873-00).</w:t>
      </w:r>
    </w:p>
    <w:p w:rsidR="00E23B86" w:rsidRDefault="00BA7C13">
      <w:pPr>
        <w:spacing w:after="243" w:line="248" w:lineRule="auto"/>
        <w:ind w:left="1082" w:right="552" w:hanging="10"/>
        <w:jc w:val="both"/>
      </w:pPr>
      <w:r>
        <w:rPr>
          <w:rFonts w:ascii="Arial" w:eastAsia="Arial" w:hAnsi="Arial" w:cs="Arial"/>
        </w:rPr>
        <w:t>Las conclusiones de las pruebas realizadas son los siguientes:</w:t>
      </w:r>
    </w:p>
    <w:p w:rsidR="00E23B86" w:rsidRDefault="00BA7C13">
      <w:pPr>
        <w:spacing w:after="0" w:line="248" w:lineRule="auto"/>
        <w:ind w:left="1082" w:right="552" w:hanging="10"/>
        <w:jc w:val="both"/>
      </w:pPr>
      <w:r>
        <w:rPr>
          <w:rFonts w:ascii="Arial" w:eastAsia="Arial" w:hAnsi="Arial" w:cs="Arial"/>
        </w:rPr>
        <w:t>“…Los resultados obtenidos indican que se trata</w:t>
      </w:r>
      <w:r>
        <w:rPr>
          <w:rFonts w:ascii="Arial" w:eastAsia="Arial" w:hAnsi="Arial" w:cs="Arial"/>
        </w:rPr>
        <w:t xml:space="preserve"> de una roca de calidad media de alta capacidad portante. Es posible que haya intercalaciones de escorias de compacidad variable entre los niveles de roca</w:t>
      </w:r>
    </w:p>
    <w:p w:rsidR="00E23B86" w:rsidRDefault="00BA7C13">
      <w:pPr>
        <w:spacing w:after="0" w:line="248" w:lineRule="auto"/>
        <w:ind w:left="1082" w:right="552" w:hanging="10"/>
        <w:jc w:val="both"/>
      </w:pPr>
      <w:r>
        <w:rPr>
          <w:rFonts w:ascii="Arial" w:eastAsia="Arial" w:hAnsi="Arial" w:cs="Arial"/>
        </w:rPr>
        <w:t>En todo caso, se trata de un terreno apto para cimentar mediante zapatas aisladas y/o corridas que pu</w:t>
      </w:r>
      <w:r>
        <w:rPr>
          <w:rFonts w:ascii="Arial" w:eastAsia="Arial" w:hAnsi="Arial" w:cs="Arial"/>
        </w:rPr>
        <w:t>eden ir asociadas a pozos de cimentación. El nivel freático se halla en torno al nivel del mar. La cota más baja de la parcela es de 12 metros sobre nivel del mar.</w:t>
      </w:r>
    </w:p>
    <w:p w:rsidR="00E23B86" w:rsidRDefault="00BA7C13">
      <w:pPr>
        <w:spacing w:after="824" w:line="248" w:lineRule="auto"/>
        <w:ind w:left="1082" w:right="552" w:hanging="10"/>
        <w:jc w:val="both"/>
      </w:pPr>
      <w:r>
        <w:rPr>
          <w:rFonts w:ascii="Arial" w:eastAsia="Arial" w:hAnsi="Arial" w:cs="Arial"/>
        </w:rPr>
        <w:t xml:space="preserve">Los materiales estudiados apenas contienen sulfatos y no presentan problemas de agresividad </w:t>
      </w:r>
      <w:r>
        <w:rPr>
          <w:rFonts w:ascii="Arial" w:eastAsia="Arial" w:hAnsi="Arial" w:cs="Arial"/>
        </w:rPr>
        <w:t>al hormigón…”</w:t>
      </w:r>
    </w:p>
    <w:p w:rsidR="00E23B86" w:rsidRDefault="00BA7C13">
      <w:pPr>
        <w:spacing w:after="10" w:line="248" w:lineRule="auto"/>
        <w:ind w:left="788" w:right="552" w:hanging="10"/>
        <w:jc w:val="both"/>
      </w:pPr>
      <w:r>
        <w:rPr>
          <w:noProof/>
        </w:rPr>
        <mc:AlternateContent>
          <mc:Choice Requires="wpg">
            <w:drawing>
              <wp:anchor distT="0" distB="0" distL="114300" distR="114300" simplePos="0" relativeHeight="2517811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2137" name="Group 50213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473" name="Rectangle 2547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474" name="Rectangle 2547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2137" style="width:12.7031pt;height:280.35pt;position:absolute;mso-position-horizontal-relative:page;mso-position-horizontal:absolute;margin-left:681.958pt;mso-position-vertical-relative:page;margin-top:531.65pt;" coordsize="1613,35604">
                <v:rect id="Rectangle 2547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47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120 de 391 </w:t>
                        </w:r>
                      </w:p>
                    </w:txbxContent>
                  </v:textbox>
                </v:rect>
                <w10:wrap type="square"/>
              </v:group>
            </w:pict>
          </mc:Fallback>
        </mc:AlternateContent>
      </w:r>
      <w:r>
        <w:rPr>
          <w:rFonts w:ascii="Times New Roman" w:eastAsia="Times New Roman" w:hAnsi="Times New Roman" w:cs="Times New Roman"/>
          <w:sz w:val="24"/>
        </w:rPr>
        <w:t xml:space="preserve">4. </w:t>
      </w:r>
      <w:r>
        <w:rPr>
          <w:rFonts w:ascii="Arial" w:eastAsia="Arial" w:hAnsi="Arial" w:cs="Arial"/>
          <w:sz w:val="24"/>
          <w:u w:val="single" w:color="000000"/>
        </w:rPr>
        <w:t>Informe técnico de las Edificaciones</w:t>
      </w:r>
      <w:r>
        <w:rPr>
          <w:rFonts w:ascii="Arial" w:eastAsia="Arial" w:hAnsi="Arial" w:cs="Arial"/>
        </w:rPr>
        <w:t>, emi</w:t>
      </w:r>
      <w:r>
        <w:rPr>
          <w:rFonts w:ascii="Arial" w:eastAsia="Arial" w:hAnsi="Arial" w:cs="Arial"/>
        </w:rPr>
        <w:t>tido por el Arquitecto Técnico e</w:t>
      </w:r>
    </w:p>
    <w:p w:rsidR="00E23B86" w:rsidRDefault="00BA7C13">
      <w:pPr>
        <w:spacing w:after="245" w:line="248" w:lineRule="auto"/>
        <w:ind w:left="1070" w:right="552" w:hanging="10"/>
        <w:jc w:val="both"/>
      </w:pPr>
      <w:r>
        <w:rPr>
          <w:rFonts w:ascii="Arial" w:eastAsia="Arial" w:hAnsi="Arial" w:cs="Arial"/>
        </w:rPr>
        <w:t>Ingeniero de la Edificación, Don Silvio Pérez Gutiérrez, colegiado nº 2058 del COAATIE de S/C de Tenerife.</w:t>
      </w:r>
    </w:p>
    <w:p w:rsidR="00E23B86" w:rsidRDefault="00BA7C13">
      <w:pPr>
        <w:spacing w:after="245" w:line="248" w:lineRule="auto"/>
        <w:ind w:left="1070" w:right="552" w:hanging="10"/>
        <w:jc w:val="both"/>
      </w:pPr>
      <w:r>
        <w:rPr>
          <w:rFonts w:ascii="Arial" w:eastAsia="Arial" w:hAnsi="Arial" w:cs="Arial"/>
        </w:rPr>
        <w:t>En el documento se realiza una inspección técnica y descriptiva del estado de conservación de las edificaciones, instalaciones y construcciones existentes en las parcelas objeto de adquisición. Las conclusiones emitidas en el informe para las tres construc</w:t>
      </w:r>
      <w:r>
        <w:rPr>
          <w:rFonts w:ascii="Arial" w:eastAsia="Arial" w:hAnsi="Arial" w:cs="Arial"/>
        </w:rPr>
        <w:t>ciones son las siguientes:</w:t>
      </w:r>
    </w:p>
    <w:p w:rsidR="00E23B86" w:rsidRDefault="00BA7C13">
      <w:pPr>
        <w:spacing w:after="815" w:line="248" w:lineRule="auto"/>
        <w:ind w:left="1070" w:right="552" w:hanging="10"/>
        <w:jc w:val="both"/>
      </w:pPr>
      <w:r>
        <w:rPr>
          <w:rFonts w:ascii="Arial" w:eastAsia="Arial" w:hAnsi="Arial" w:cs="Arial"/>
        </w:rPr>
        <w:t>“…En lo que ha estado de conservación se refiere, visiblemente, sus cerramientos, aunque no presentan un buen aspecto, estructuralmente, no se aprecia ningún indicio que haga prever un desplome inminente de los mismos. La cubiert</w:t>
      </w:r>
      <w:r>
        <w:rPr>
          <w:rFonts w:ascii="Arial" w:eastAsia="Arial" w:hAnsi="Arial" w:cs="Arial"/>
        </w:rPr>
        <w:t>a, si se encuentra en un estado de conservación pésimo, faltan muchas tejas y otras muchas están a punto de caerse, y la estructura de madera sobre la que se apoyan, está deteriorada por el paso de los años, por lo que se recomienda máxima precaución si se</w:t>
      </w:r>
      <w:r>
        <w:rPr>
          <w:rFonts w:ascii="Arial" w:eastAsia="Arial" w:hAnsi="Arial" w:cs="Arial"/>
        </w:rPr>
        <w:t xml:space="preserve"> circula en su interior o se está cerca de este inmueble…”</w:t>
      </w:r>
    </w:p>
    <w:p w:rsidR="00E23B86" w:rsidRDefault="00BA7C13">
      <w:pPr>
        <w:spacing w:after="245" w:line="250" w:lineRule="auto"/>
        <w:ind w:left="1055" w:right="549" w:hanging="10"/>
        <w:jc w:val="both"/>
      </w:pPr>
      <w:r>
        <w:rPr>
          <w:rFonts w:ascii="Arial" w:eastAsia="Arial" w:hAnsi="Arial" w:cs="Arial"/>
          <w:sz w:val="24"/>
        </w:rPr>
        <w:t xml:space="preserve">CONCLUSIONES </w:t>
      </w:r>
    </w:p>
    <w:p w:rsidR="00E23B86" w:rsidRDefault="00BA7C13">
      <w:pPr>
        <w:spacing w:after="1068" w:line="248" w:lineRule="auto"/>
        <w:ind w:left="1070" w:right="552" w:hanging="10"/>
        <w:jc w:val="both"/>
      </w:pPr>
      <w:r>
        <w:rPr>
          <w:rFonts w:ascii="Arial" w:eastAsia="Arial" w:hAnsi="Arial" w:cs="Arial"/>
        </w:rPr>
        <w:t>De acuerdo con lo expuesto anteriormente, y a la vista de los informes, pruebas y ensayos emitidos por los distintos técnicos, sobre las edificaciones, en los que se expone, que el ma</w:t>
      </w:r>
      <w:r>
        <w:rPr>
          <w:rFonts w:ascii="Arial" w:eastAsia="Arial" w:hAnsi="Arial" w:cs="Arial"/>
        </w:rPr>
        <w:t>yor deterioro radica en la estructura de la cubierta, así como a la vista de las pruebas realizadas sobre el suelo objeto de adquisición, que concluyen que el mismo es apto para cimentar, se realiza la siguiente valoración:</w:t>
      </w:r>
    </w:p>
    <w:p w:rsidR="00E23B86" w:rsidRDefault="00BA7C13">
      <w:pPr>
        <w:spacing w:after="245" w:line="250" w:lineRule="auto"/>
        <w:ind w:left="1434" w:right="549" w:hanging="10"/>
        <w:jc w:val="both"/>
      </w:pPr>
      <w:r>
        <w:rPr>
          <w:rFonts w:ascii="Arial" w:eastAsia="Arial" w:hAnsi="Arial" w:cs="Arial"/>
          <w:sz w:val="24"/>
        </w:rPr>
        <w:t>VALORACIÓN JUICIO DE VALOR………………</w:t>
      </w:r>
      <w:r>
        <w:rPr>
          <w:rFonts w:ascii="Arial" w:eastAsia="Arial" w:hAnsi="Arial" w:cs="Arial"/>
          <w:sz w:val="24"/>
        </w:rPr>
        <w:t>……30 PUNTOS.”</w:t>
      </w:r>
    </w:p>
    <w:p w:rsidR="00E23B86" w:rsidRDefault="00BA7C13">
      <w:pPr>
        <w:spacing w:after="0" w:line="248" w:lineRule="auto"/>
        <w:ind w:left="363" w:right="552" w:firstLine="708"/>
        <w:jc w:val="both"/>
      </w:pPr>
      <w:r>
        <w:rPr>
          <w:rFonts w:ascii="Arial" w:eastAsia="Arial" w:hAnsi="Arial" w:cs="Arial"/>
        </w:rPr>
        <w:t>Seguidamente se procedió a la apertura del sobre B de la proposición económica, que dice:</w:t>
      </w:r>
    </w:p>
    <w:p w:rsidR="00E23B86" w:rsidRDefault="00BA7C13">
      <w:pPr>
        <w:spacing w:after="0" w:line="248" w:lineRule="auto"/>
        <w:ind w:left="363" w:right="552" w:firstLine="708"/>
        <w:jc w:val="both"/>
      </w:pPr>
      <w:r>
        <w:rPr>
          <w:rFonts w:ascii="Arial" w:eastAsia="Arial" w:hAnsi="Arial" w:cs="Arial"/>
        </w:rPr>
        <w:t>“D. Andrés Jesús Chico Castellano,…., D. José Aurelio Chico Castellano,…, Dña. Evangelina Máxima Chico Castellano,…, D. Juan Carmelo Chico Castellano,…,</w:t>
      </w:r>
      <w:r>
        <w:rPr>
          <w:rFonts w:ascii="Arial" w:eastAsia="Arial" w:hAnsi="Arial" w:cs="Arial"/>
        </w:rPr>
        <w:t xml:space="preserve"> Dña. Heraclia Castro Castro,…, D. Ramiro Urbano Oliva Rodríguez,…en representación de la entidad “Construcciones Oliva Baute,S.L.”. </w:t>
      </w:r>
    </w:p>
    <w:p w:rsidR="00E23B86" w:rsidRDefault="00BA7C13">
      <w:pPr>
        <w:spacing w:after="0" w:line="248" w:lineRule="auto"/>
        <w:ind w:left="363" w:right="552" w:firstLine="708"/>
        <w:jc w:val="both"/>
      </w:pPr>
      <w:r>
        <w:rPr>
          <w:rFonts w:ascii="Arial" w:eastAsia="Arial" w:hAnsi="Arial" w:cs="Arial"/>
        </w:rPr>
        <w:t>Enterados del expediente para la adquisición del bien: parcelas del ámbito de la UA-CO-1 Acceso a Candelaria, mediante pro</w:t>
      </w:r>
      <w:r>
        <w:rPr>
          <w:rFonts w:ascii="Arial" w:eastAsia="Arial" w:hAnsi="Arial" w:cs="Arial"/>
        </w:rPr>
        <w:t>cedimiento abierto anunciado en el perfil del contratante, hacen constar que conocen el pliego que sirve de base al contrato y lo aceptan íntegramente, tomando parte de la licitación y ofertando por un total de 2.270.150,00 euros.</w:t>
      </w:r>
    </w:p>
    <w:p w:rsidR="00E23B86" w:rsidRDefault="00BA7C13">
      <w:pPr>
        <w:spacing w:after="243" w:line="248" w:lineRule="auto"/>
        <w:ind w:left="1070" w:right="552" w:hanging="10"/>
        <w:jc w:val="both"/>
      </w:pPr>
      <w:r>
        <w:rPr>
          <w:rFonts w:ascii="Arial" w:eastAsia="Arial" w:hAnsi="Arial" w:cs="Arial"/>
        </w:rPr>
        <w:t>Desglosados de la siguien</w:t>
      </w:r>
      <w:r>
        <w:rPr>
          <w:rFonts w:ascii="Arial" w:eastAsia="Arial" w:hAnsi="Arial" w:cs="Arial"/>
        </w:rPr>
        <w:t>te forma, atendiendo a sus porcentajes de propiedad:</w:t>
      </w:r>
    </w:p>
    <w:p w:rsidR="00E23B86" w:rsidRDefault="00BA7C13">
      <w:pPr>
        <w:spacing w:after="29" w:line="248" w:lineRule="auto"/>
        <w:ind w:left="1070" w:right="2151" w:hanging="10"/>
        <w:jc w:val="both"/>
      </w:pPr>
      <w:r>
        <w:rPr>
          <w:rFonts w:ascii="Arial" w:eastAsia="Arial" w:hAnsi="Arial" w:cs="Arial"/>
        </w:rPr>
        <w:t xml:space="preserve">  *D. Andrés Jesús Chico Castellano………306.470,25 euros.    D. José Aurelio Chico Castellano………..306.470,25 euros.</w:t>
      </w:r>
    </w:p>
    <w:p w:rsidR="00E23B86" w:rsidRDefault="00BA7C13">
      <w:pPr>
        <w:spacing w:after="3" w:line="249" w:lineRule="auto"/>
        <w:ind w:left="1070" w:right="1772" w:hanging="10"/>
      </w:pPr>
      <w:r>
        <w:rPr>
          <w:noProof/>
        </w:rPr>
        <mc:AlternateContent>
          <mc:Choice Requires="wpg">
            <w:drawing>
              <wp:anchor distT="0" distB="0" distL="114300" distR="114300" simplePos="0" relativeHeight="2517821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2766" name="Group 50276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527" name="Rectangle 2552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528" name="Rectangle 2552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2766" style="width:12.7031pt;height:280.35pt;position:absolute;mso-position-horizontal-relative:page;mso-position-horizontal:absolute;margin-left:681.958pt;mso-position-vertical-relative:page;margin-top:531.65pt;" coordsize="1613,35604">
                <v:rect id="Rectangle 2552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52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121 de 391 </w:t>
                        </w:r>
                      </w:p>
                    </w:txbxContent>
                  </v:textbox>
                </v:rect>
                <w10:wrap type="square"/>
              </v:group>
            </w:pict>
          </mc:Fallback>
        </mc:AlternateContent>
      </w:r>
      <w:r>
        <w:rPr>
          <w:rFonts w:ascii="Arial" w:eastAsia="Arial" w:hAnsi="Arial" w:cs="Arial"/>
          <w:sz w:val="24"/>
        </w:rPr>
        <w:t xml:space="preserve">   </w:t>
      </w:r>
      <w:r>
        <w:rPr>
          <w:rFonts w:ascii="Arial" w:eastAsia="Arial" w:hAnsi="Arial" w:cs="Arial"/>
        </w:rPr>
        <w:t>Dña. Evangelina Máxima Chico Castellano…..306.470,25 euros</w:t>
      </w:r>
      <w:r>
        <w:rPr>
          <w:rFonts w:ascii="Arial" w:eastAsia="Arial" w:hAnsi="Arial" w:cs="Arial"/>
        </w:rPr>
        <w:t>.    D. Juan Carmelo Chico Castellano………306.470,25 euros.     Dña. Heraclia Castro Castro………………669.694,25 euros.</w:t>
      </w:r>
    </w:p>
    <w:p w:rsidR="00E23B86" w:rsidRDefault="00BA7C13">
      <w:pPr>
        <w:spacing w:after="110" w:line="358" w:lineRule="auto"/>
        <w:ind w:left="363" w:right="552" w:firstLine="708"/>
        <w:jc w:val="both"/>
      </w:pPr>
      <w:r>
        <w:rPr>
          <w:rFonts w:ascii="Arial" w:eastAsia="Arial" w:hAnsi="Arial" w:cs="Arial"/>
        </w:rPr>
        <w:t xml:space="preserve">   D. Ramiro Urbano Oliva Rodríguez,…en representación de la entidad “Construcciones Oliva Baute,S.L.”…………………374.574,75 euros, incluido IGIC. </w:t>
      </w:r>
      <w:r>
        <w:rPr>
          <w:rFonts w:ascii="Arial" w:eastAsia="Arial" w:hAnsi="Arial" w:cs="Arial"/>
          <w:sz w:val="24"/>
        </w:rPr>
        <w:t>T</w:t>
      </w:r>
      <w:r>
        <w:rPr>
          <w:rFonts w:ascii="Arial" w:eastAsia="Arial" w:hAnsi="Arial" w:cs="Arial"/>
          <w:sz w:val="24"/>
        </w:rPr>
        <w:t>OTAL DE LA OFERTA: 2.270.150,00 euros.”</w:t>
      </w:r>
    </w:p>
    <w:p w:rsidR="00E23B86" w:rsidRDefault="00BA7C13">
      <w:pPr>
        <w:spacing w:after="10" w:line="248" w:lineRule="auto"/>
        <w:ind w:left="1070" w:right="552" w:hanging="10"/>
        <w:jc w:val="both"/>
      </w:pPr>
      <w:r>
        <w:rPr>
          <w:rFonts w:ascii="Arial" w:eastAsia="Arial" w:hAnsi="Arial" w:cs="Arial"/>
        </w:rPr>
        <w:t>De lo que resulta la puntuación de 70 por el criterio económico.</w:t>
      </w:r>
    </w:p>
    <w:p w:rsidR="00E23B86" w:rsidRDefault="00BA7C13">
      <w:pPr>
        <w:spacing w:after="0"/>
        <w:ind w:left="1060"/>
      </w:pPr>
      <w:r>
        <w:rPr>
          <w:rFonts w:ascii="Arial" w:eastAsia="Arial" w:hAnsi="Arial" w:cs="Arial"/>
        </w:rPr>
        <w:t xml:space="preserve">  </w:t>
      </w:r>
    </w:p>
    <w:p w:rsidR="00E23B86" w:rsidRDefault="00BA7C13">
      <w:pPr>
        <w:spacing w:after="0" w:line="248" w:lineRule="auto"/>
        <w:ind w:left="363" w:right="552" w:firstLine="708"/>
        <w:jc w:val="both"/>
      </w:pPr>
      <w:r>
        <w:rPr>
          <w:rFonts w:ascii="Arial" w:eastAsia="Arial" w:hAnsi="Arial" w:cs="Arial"/>
        </w:rPr>
        <w:t>La Mesa de Contratación de conformidad con la cláusula 10º del PCAP acuerda por la unanimidad de sus miembros, proponer la adjudicación del contrato</w:t>
      </w:r>
      <w:r>
        <w:rPr>
          <w:rFonts w:ascii="Arial" w:eastAsia="Arial" w:hAnsi="Arial" w:cs="Arial"/>
        </w:rPr>
        <w:t xml:space="preserve"> de adquisición de una parcela de la UA-CO1-Acceso a Candelaria,  a favor de: </w:t>
      </w:r>
    </w:p>
    <w:p w:rsidR="00E23B86" w:rsidRDefault="00BA7C13">
      <w:pPr>
        <w:spacing w:after="543" w:line="248" w:lineRule="auto"/>
        <w:ind w:left="363" w:right="552" w:firstLine="708"/>
        <w:jc w:val="both"/>
      </w:pPr>
      <w:r>
        <w:rPr>
          <w:rFonts w:ascii="Arial" w:eastAsia="Arial" w:hAnsi="Arial" w:cs="Arial"/>
        </w:rPr>
        <w:t xml:space="preserve"> D. Andrés Jesús Chico Castellano, D. José Aurelio Chico Castellano, Dña. Evangelina Máxima Chico Castellano, D. Juan Carmelo Chico Castellano, Dña. Heraclia Castro Castro y D. </w:t>
      </w:r>
      <w:r>
        <w:rPr>
          <w:rFonts w:ascii="Arial" w:eastAsia="Arial" w:hAnsi="Arial" w:cs="Arial"/>
        </w:rPr>
        <w:t>Ramiro Urbano Oliva Rodríguez,en representación de la entidad “Construcciones Oliva Baute,S.L.”., al haber obtenido la puntuación de 100 puntos que es la máxima puntuación, y por el importe económico desglosado en su oferta económica según el porcentaje de</w:t>
      </w:r>
      <w:r>
        <w:rPr>
          <w:rFonts w:ascii="Arial" w:eastAsia="Arial" w:hAnsi="Arial" w:cs="Arial"/>
        </w:rPr>
        <w:t xml:space="preserve"> propiedad.”.</w:t>
      </w:r>
    </w:p>
    <w:p w:rsidR="00E23B86" w:rsidRDefault="00BA7C13">
      <w:pPr>
        <w:spacing w:after="110" w:line="248" w:lineRule="auto"/>
        <w:ind w:left="363" w:right="552" w:firstLine="708"/>
        <w:jc w:val="both"/>
      </w:pPr>
      <w:r>
        <w:rPr>
          <w:rFonts w:ascii="Arial" w:eastAsia="Arial" w:hAnsi="Arial" w:cs="Arial"/>
        </w:rPr>
        <w:t>11.- Consta en el expediente informe jurídico de la Secretaría General de fecha 19 de febrero de 2020 en la que se propone al Pleno de la Corporación que requiera a los licitadores siguientes:</w:t>
      </w:r>
    </w:p>
    <w:p w:rsidR="00E23B86" w:rsidRDefault="00BA7C13">
      <w:pPr>
        <w:spacing w:after="10" w:line="248" w:lineRule="auto"/>
        <w:ind w:left="1070" w:right="552" w:hanging="10"/>
        <w:jc w:val="both"/>
      </w:pPr>
      <w:r>
        <w:rPr>
          <w:rFonts w:ascii="Arial" w:eastAsia="Arial" w:hAnsi="Arial" w:cs="Arial"/>
        </w:rPr>
        <w:t>D. Andrés Jesús Chico Castellano.</w:t>
      </w:r>
    </w:p>
    <w:p w:rsidR="00E23B86" w:rsidRDefault="00BA7C13">
      <w:pPr>
        <w:spacing w:after="10" w:line="248" w:lineRule="auto"/>
        <w:ind w:left="1070" w:right="552" w:hanging="10"/>
        <w:jc w:val="both"/>
      </w:pPr>
      <w:r>
        <w:rPr>
          <w:rFonts w:ascii="Arial" w:eastAsia="Arial" w:hAnsi="Arial" w:cs="Arial"/>
        </w:rPr>
        <w:t>D. José Aurelio Chico Castellano.</w:t>
      </w:r>
    </w:p>
    <w:p w:rsidR="00E23B86" w:rsidRDefault="00BA7C13">
      <w:pPr>
        <w:spacing w:after="110" w:line="248" w:lineRule="auto"/>
        <w:ind w:left="1070" w:right="3901" w:hanging="10"/>
        <w:jc w:val="both"/>
      </w:pPr>
      <w:r>
        <w:rPr>
          <w:rFonts w:ascii="Arial" w:eastAsia="Arial" w:hAnsi="Arial" w:cs="Arial"/>
        </w:rPr>
        <w:t>Dña. Evangelina Máxima Chico Castellano. D. Juan Carmelo Chico Castellano.</w:t>
      </w:r>
    </w:p>
    <w:p w:rsidR="00E23B86" w:rsidRDefault="00BA7C13">
      <w:pPr>
        <w:spacing w:after="10" w:line="248" w:lineRule="auto"/>
        <w:ind w:left="1070" w:right="552" w:hanging="10"/>
        <w:jc w:val="both"/>
      </w:pPr>
      <w:r>
        <w:rPr>
          <w:rFonts w:ascii="Arial" w:eastAsia="Arial" w:hAnsi="Arial" w:cs="Arial"/>
        </w:rPr>
        <w:t>Dña. Heraclia Castro Castro.</w:t>
      </w:r>
    </w:p>
    <w:p w:rsidR="00E23B86" w:rsidRDefault="00BA7C13">
      <w:pPr>
        <w:spacing w:after="365" w:line="248" w:lineRule="auto"/>
        <w:ind w:left="363" w:right="552" w:firstLine="708"/>
        <w:jc w:val="both"/>
      </w:pPr>
      <w:r>
        <w:rPr>
          <w:rFonts w:ascii="Arial" w:eastAsia="Arial" w:hAnsi="Arial" w:cs="Arial"/>
        </w:rPr>
        <w:t>D. Ramiro Urbano Oliva Rodríguez en representación de la entidad “Construcciones Oliva Baute,S.L.”.</w:t>
      </w:r>
    </w:p>
    <w:p w:rsidR="00E23B86" w:rsidRDefault="00BA7C13">
      <w:pPr>
        <w:spacing w:after="110" w:line="248" w:lineRule="auto"/>
        <w:ind w:left="363" w:right="552" w:firstLine="708"/>
        <w:jc w:val="both"/>
      </w:pPr>
      <w:r>
        <w:rPr>
          <w:rFonts w:ascii="Arial" w:eastAsia="Arial" w:hAnsi="Arial" w:cs="Arial"/>
        </w:rPr>
        <w:t>Que han presentado</w:t>
      </w:r>
      <w:r>
        <w:rPr>
          <w:rFonts w:ascii="Arial" w:eastAsia="Arial" w:hAnsi="Arial" w:cs="Arial"/>
        </w:rPr>
        <w:t xml:space="preserve"> la mejor y única oferta para que, dentro del plazo de diez días hábiles, a contar desde el siguiente a aquel en que hubiera recibido el requerimiento presente la documentación siguiente por cada persona física y jurídica:</w:t>
      </w:r>
    </w:p>
    <w:p w:rsidR="00E23B86" w:rsidRDefault="00BA7C13">
      <w:pPr>
        <w:spacing w:after="110" w:line="248" w:lineRule="auto"/>
        <w:ind w:left="363" w:right="552" w:firstLine="708"/>
        <w:jc w:val="both"/>
      </w:pPr>
      <w:r>
        <w:rPr>
          <w:rFonts w:ascii="Arial" w:eastAsia="Arial" w:hAnsi="Arial" w:cs="Arial"/>
        </w:rPr>
        <w:t>-Certificado de estar al corrient</w:t>
      </w:r>
      <w:r>
        <w:rPr>
          <w:rFonts w:ascii="Arial" w:eastAsia="Arial" w:hAnsi="Arial" w:cs="Arial"/>
        </w:rPr>
        <w:t>e en el cumplimiento de las obligaciones tributarias.</w:t>
      </w:r>
    </w:p>
    <w:p w:rsidR="00E23B86" w:rsidRDefault="00BA7C13">
      <w:pPr>
        <w:spacing w:after="385" w:line="248" w:lineRule="auto"/>
        <w:ind w:left="1070" w:right="552" w:hanging="10"/>
        <w:jc w:val="both"/>
      </w:pPr>
      <w:r>
        <w:rPr>
          <w:rFonts w:ascii="Arial" w:eastAsia="Arial" w:hAnsi="Arial" w:cs="Arial"/>
        </w:rPr>
        <w:t>-Certificado de estar al corriente con la Seguridad Social.</w:t>
      </w:r>
    </w:p>
    <w:p w:rsidR="00E23B86" w:rsidRDefault="00BA7C13">
      <w:pPr>
        <w:spacing w:after="485" w:line="248" w:lineRule="auto"/>
        <w:ind w:left="363" w:right="552" w:firstLine="708"/>
        <w:jc w:val="both"/>
      </w:pPr>
      <w:r>
        <w:rPr>
          <w:rFonts w:ascii="Arial" w:eastAsia="Arial" w:hAnsi="Arial" w:cs="Arial"/>
        </w:rPr>
        <w:t>12.- Consta en el expediente requerimiento de la Secretaría General al Interventor a los efectos de que certifique la existencia de crédito en</w:t>
      </w:r>
      <w:r>
        <w:rPr>
          <w:rFonts w:ascii="Arial" w:eastAsia="Arial" w:hAnsi="Arial" w:cs="Arial"/>
        </w:rPr>
        <w:t xml:space="preserve"> el año 2020.</w:t>
      </w:r>
    </w:p>
    <w:p w:rsidR="00E23B86" w:rsidRDefault="00BA7C13">
      <w:pPr>
        <w:spacing w:after="110" w:line="248" w:lineRule="auto"/>
        <w:ind w:left="363" w:right="552" w:firstLine="708"/>
        <w:jc w:val="both"/>
      </w:pPr>
      <w:r>
        <w:rPr>
          <w:rFonts w:ascii="Arial" w:eastAsia="Arial" w:hAnsi="Arial" w:cs="Arial"/>
        </w:rPr>
        <w:t>13.- Consta en el expediente que en los días 20 y 21 de febrero de 2020 los licitadores han presentado por registro de entrada los certificados de estar al corriente con la Agencia Tributaria, con la Agencia Tributaria Canaria, con la Segurid</w:t>
      </w:r>
      <w:r>
        <w:rPr>
          <w:rFonts w:ascii="Arial" w:eastAsia="Arial" w:hAnsi="Arial" w:cs="Arial"/>
        </w:rPr>
        <w:t xml:space="preserve">ad Social y con el Consorcio de Tributos de Tenerife. </w:t>
      </w:r>
    </w:p>
    <w:p w:rsidR="00E23B86" w:rsidRDefault="00BA7C13">
      <w:pPr>
        <w:spacing w:after="112" w:line="249" w:lineRule="auto"/>
        <w:ind w:left="337" w:right="555" w:firstLine="708"/>
      </w:pPr>
      <w:r>
        <w:rPr>
          <w:rFonts w:ascii="Arial" w:eastAsia="Arial" w:hAnsi="Arial" w:cs="Arial"/>
        </w:rPr>
        <w:t>Además el Tesorero del Ayuntamiento de Candelaria ha comprobado que todos los licitadores están al corriente con el Consorcio de Tributos de la Isla de Tenerife y ha remitido el 20 de febrero de 2020 a</w:t>
      </w:r>
      <w:r>
        <w:rPr>
          <w:rFonts w:ascii="Arial" w:eastAsia="Arial" w:hAnsi="Arial" w:cs="Arial"/>
        </w:rPr>
        <w:t>l Secretario General la documentación relativa a los certificado de estar al corriente con el Consorcio de Tributos de Tenerife.</w:t>
      </w:r>
    </w:p>
    <w:p w:rsidR="00E23B86" w:rsidRDefault="00BA7C13">
      <w:pPr>
        <w:spacing w:after="110" w:line="248" w:lineRule="auto"/>
        <w:ind w:left="363" w:right="552" w:firstLine="708"/>
        <w:jc w:val="both"/>
      </w:pPr>
      <w:r>
        <w:rPr>
          <w:noProof/>
        </w:rPr>
        <mc:AlternateContent>
          <mc:Choice Requires="wpg">
            <w:drawing>
              <wp:anchor distT="0" distB="0" distL="114300" distR="114300" simplePos="0" relativeHeight="2517831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3216" name="Group 50321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578" name="Rectangle 2557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579" name="Rectangle 2557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3216" style="width:12.7031pt;height:280.35pt;position:absolute;mso-position-horizontal-relative:page;mso-position-horizontal:absolute;margin-left:681.958pt;mso-position-vertical-relative:page;margin-top:531.65pt;" coordsize="1613,35604">
                <v:rect id="Rectangle 2557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57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122 de 391 </w:t>
                        </w:r>
                      </w:p>
                    </w:txbxContent>
                  </v:textbox>
                </v:rect>
                <w10:wrap type="square"/>
              </v:group>
            </w:pict>
          </mc:Fallback>
        </mc:AlternateContent>
      </w:r>
      <w:r>
        <w:rPr>
          <w:rFonts w:ascii="Arial" w:eastAsia="Arial" w:hAnsi="Arial" w:cs="Arial"/>
        </w:rPr>
        <w:t>14.- Consta en el expediente certificado de existencia de crédito expedido por el Interventor de fecha 21 de febrero de 2020 para el año 2020 una vez que se ha a</w:t>
      </w:r>
      <w:r>
        <w:rPr>
          <w:rFonts w:ascii="Arial" w:eastAsia="Arial" w:hAnsi="Arial" w:cs="Arial"/>
        </w:rPr>
        <w:t xml:space="preserve">probado por Decreto de la Alcaldía-Presidencia 441/2020, de 20 de febrero, la modificación presupuestaria 1750/2020 la incorporación de remanentes de créditos en la que se ha incluido: </w:t>
      </w:r>
    </w:p>
    <w:p w:rsidR="00E23B86" w:rsidRDefault="00BA7C13">
      <w:pPr>
        <w:spacing w:after="110" w:line="248" w:lineRule="auto"/>
        <w:ind w:left="373" w:right="552" w:hanging="10"/>
        <w:jc w:val="both"/>
      </w:pPr>
      <w:r>
        <w:rPr>
          <w:rFonts w:ascii="Arial" w:eastAsia="Arial" w:hAnsi="Arial" w:cs="Arial"/>
        </w:rPr>
        <w:t xml:space="preserve">Proyecto: 19.2.57. </w:t>
      </w:r>
    </w:p>
    <w:p w:rsidR="00E23B86" w:rsidRDefault="00BA7C13">
      <w:pPr>
        <w:spacing w:after="110" w:line="248" w:lineRule="auto"/>
        <w:ind w:left="373" w:right="552" w:hanging="10"/>
        <w:jc w:val="both"/>
      </w:pPr>
      <w:r>
        <w:rPr>
          <w:rFonts w:ascii="Arial" w:eastAsia="Arial" w:hAnsi="Arial" w:cs="Arial"/>
        </w:rPr>
        <w:t xml:space="preserve">Partida: 2020. 13300.61000. </w:t>
      </w:r>
    </w:p>
    <w:p w:rsidR="00E23B86" w:rsidRDefault="00BA7C13">
      <w:pPr>
        <w:spacing w:after="10" w:line="248" w:lineRule="auto"/>
        <w:ind w:left="373" w:right="552" w:hanging="10"/>
        <w:jc w:val="both"/>
      </w:pPr>
      <w:r>
        <w:rPr>
          <w:rFonts w:ascii="Arial" w:eastAsia="Arial" w:hAnsi="Arial" w:cs="Arial"/>
        </w:rPr>
        <w:t xml:space="preserve"> Adquisición: Parcela</w:t>
      </w:r>
      <w:r>
        <w:rPr>
          <w:rFonts w:ascii="Arial" w:eastAsia="Arial" w:hAnsi="Arial" w:cs="Arial"/>
        </w:rPr>
        <w:t xml:space="preserve"> UA-CO Empaquetadora de D. Sixto: por importe de:</w:t>
      </w:r>
    </w:p>
    <w:p w:rsidR="00E23B86" w:rsidRDefault="00BA7C13">
      <w:pPr>
        <w:spacing w:after="855" w:line="248" w:lineRule="auto"/>
        <w:ind w:left="373" w:right="552" w:hanging="10"/>
        <w:jc w:val="both"/>
      </w:pPr>
      <w:r>
        <w:rPr>
          <w:rFonts w:ascii="Arial" w:eastAsia="Arial" w:hAnsi="Arial" w:cs="Arial"/>
        </w:rPr>
        <w:t xml:space="preserve">2.270.150,00 euros. </w:t>
      </w:r>
    </w:p>
    <w:p w:rsidR="00E23B86" w:rsidRDefault="00BA7C13">
      <w:pPr>
        <w:spacing w:after="483" w:line="248" w:lineRule="auto"/>
        <w:ind w:left="2488" w:right="552" w:hanging="10"/>
        <w:jc w:val="both"/>
      </w:pPr>
      <w:r>
        <w:rPr>
          <w:rFonts w:ascii="Arial" w:eastAsia="Arial" w:hAnsi="Arial" w:cs="Arial"/>
        </w:rPr>
        <w:t xml:space="preserve">FUNDAMENTOS DE DERECHO </w:t>
      </w:r>
    </w:p>
    <w:p w:rsidR="00E23B86" w:rsidRDefault="00BA7C13">
      <w:pPr>
        <w:spacing w:after="351" w:line="248" w:lineRule="auto"/>
        <w:ind w:left="363" w:right="552" w:firstLine="708"/>
        <w:jc w:val="both"/>
      </w:pPr>
      <w:r>
        <w:rPr>
          <w:rFonts w:ascii="Arial" w:eastAsia="Arial" w:hAnsi="Arial" w:cs="Arial"/>
        </w:rPr>
        <w:t>Primero.- Es de aplicación el artículo 150 de la Ley 9/2017, de 8 de noviembre, de Contratos del Sector Público, por la que se transponen al ordenamiento jurídico español las Directivas del Parlamento Europeo y del Consejo 2014/23/UE y 2014/24/UE, de 26 de</w:t>
      </w:r>
      <w:r>
        <w:rPr>
          <w:rFonts w:ascii="Arial" w:eastAsia="Arial" w:hAnsi="Arial" w:cs="Arial"/>
        </w:rPr>
        <w:t xml:space="preserve"> febrero de 2014 (LCSP)</w:t>
      </w:r>
    </w:p>
    <w:p w:rsidR="00E23B86" w:rsidRDefault="00BA7C13">
      <w:pPr>
        <w:spacing w:after="171" w:line="248" w:lineRule="auto"/>
        <w:ind w:left="373" w:right="552" w:hanging="10"/>
        <w:jc w:val="both"/>
      </w:pPr>
      <w:r>
        <w:rPr>
          <w:rFonts w:ascii="Arial" w:eastAsia="Arial" w:hAnsi="Arial" w:cs="Arial"/>
        </w:rPr>
        <w:t>Artículo 150.-  Clasificación de las ofertas y adjudicación del contrato.</w:t>
      </w:r>
    </w:p>
    <w:p w:rsidR="00E23B86" w:rsidRDefault="00BA7C13">
      <w:pPr>
        <w:numPr>
          <w:ilvl w:val="0"/>
          <w:numId w:val="38"/>
        </w:numPr>
        <w:spacing w:after="169" w:line="248" w:lineRule="auto"/>
        <w:ind w:right="552" w:firstLine="360"/>
        <w:jc w:val="both"/>
      </w:pPr>
      <w:r>
        <w:rPr>
          <w:rFonts w:ascii="Arial" w:eastAsia="Arial" w:hAnsi="Arial" w:cs="Arial"/>
        </w:rPr>
        <w:t>La mesa de contratación o, en su defecto, el órgano de contratación clasificará,por orden decreciente, las proposiciones presentadas para posteriormente elevar la correspondiente propuesta al órgano de contratación, en el caso de que la clasificación se re</w:t>
      </w:r>
      <w:r>
        <w:rPr>
          <w:rFonts w:ascii="Arial" w:eastAsia="Arial" w:hAnsi="Arial" w:cs="Arial"/>
        </w:rPr>
        <w:t>alice por la mesa de contratación.</w:t>
      </w:r>
    </w:p>
    <w:p w:rsidR="00E23B86" w:rsidRDefault="00BA7C13">
      <w:pPr>
        <w:spacing w:after="171" w:line="248" w:lineRule="auto"/>
        <w:ind w:left="363" w:right="552" w:firstLine="360"/>
        <w:jc w:val="both"/>
      </w:pPr>
      <w:r>
        <w:rPr>
          <w:rFonts w:ascii="Arial" w:eastAsia="Arial" w:hAnsi="Arial" w:cs="Arial"/>
        </w:rPr>
        <w:t>Para realizar la citada clasificación, se atenderá a los criterios de adjudicación señalados en el pliego, pudiéndose solicitar para ello cuantos informes técnicos se estime pertinentes. Cuando el único criterio a conside</w:t>
      </w:r>
      <w:r>
        <w:rPr>
          <w:rFonts w:ascii="Arial" w:eastAsia="Arial" w:hAnsi="Arial" w:cs="Arial"/>
        </w:rPr>
        <w:t>rar sea el precio, se entenderá que la mejor oferta es la que incorpora el precio más bajo.</w:t>
      </w:r>
    </w:p>
    <w:p w:rsidR="00E23B86" w:rsidRDefault="00BA7C13">
      <w:pPr>
        <w:spacing w:after="173" w:line="248" w:lineRule="auto"/>
        <w:ind w:left="363" w:right="552" w:firstLine="360"/>
        <w:jc w:val="both"/>
      </w:pPr>
      <w:r>
        <w:rPr>
          <w:rFonts w:ascii="Arial" w:eastAsia="Arial" w:hAnsi="Arial" w:cs="Arial"/>
        </w:rPr>
        <w:t>Si en el ejercicio de sus funciones la mesa de contratación, o en su defecto, el órgano de contratación, tuviera indicios fundados de conductas colusorias en el pro</w:t>
      </w:r>
      <w:r>
        <w:rPr>
          <w:rFonts w:ascii="Arial" w:eastAsia="Arial" w:hAnsi="Arial" w:cs="Arial"/>
        </w:rPr>
        <w:t>cedimiento de contratación, en el sentido definido en el artículo 1 de la Ley 15/2007, de 3 de julio, de Defensa de la Competencia, los trasladará con carácter previo a la adjudicación del contrato a la Comisión Nacional de los Mercados y la Competencia o,</w:t>
      </w:r>
      <w:r>
        <w:rPr>
          <w:rFonts w:ascii="Arial" w:eastAsia="Arial" w:hAnsi="Arial" w:cs="Arial"/>
        </w:rPr>
        <w:t xml:space="preserve"> en su caso, a la autoridad de competencia autonómica correspondiente, a efectos de que a través de un procedimiento sumarísimo se pronuncie sobre aquellos. La remisión de dichos indicios tendrá efectos suspensivos en el procedimiento de contratación. Si l</w:t>
      </w:r>
      <w:r>
        <w:rPr>
          <w:rFonts w:ascii="Arial" w:eastAsia="Arial" w:hAnsi="Arial" w:cs="Arial"/>
        </w:rPr>
        <w:t>a remisión la realiza la mesa de contratación dará cuenta de ello al órgano de contratación. Reglamentariamente se regulará el procedimiento al que se refiere el presente párrafo.</w:t>
      </w:r>
    </w:p>
    <w:p w:rsidR="00E23B86" w:rsidRDefault="00BA7C13">
      <w:pPr>
        <w:numPr>
          <w:ilvl w:val="0"/>
          <w:numId w:val="38"/>
        </w:numPr>
        <w:spacing w:after="171" w:line="248" w:lineRule="auto"/>
        <w:ind w:right="552" w:firstLine="360"/>
        <w:jc w:val="both"/>
      </w:pPr>
      <w:r>
        <w:rPr>
          <w:noProof/>
        </w:rPr>
        <mc:AlternateContent>
          <mc:Choice Requires="wpg">
            <w:drawing>
              <wp:anchor distT="0" distB="0" distL="114300" distR="114300" simplePos="0" relativeHeight="2517841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3647" name="Group 50364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653" name="Rectangle 2565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w:t>
                              </w:r>
                              <w:r>
                                <w:rPr>
                                  <w:rFonts w:ascii="Arial" w:eastAsia="Arial" w:hAnsi="Arial" w:cs="Arial"/>
                                  <w:sz w:val="12"/>
                                </w:rPr>
                                <w:t xml:space="preserve">aria.sedelectronica.es/ </w:t>
                              </w:r>
                            </w:p>
                          </w:txbxContent>
                        </wps:txbx>
                        <wps:bodyPr horzOverflow="overflow" vert="horz" lIns="0" tIns="0" rIns="0" bIns="0" rtlCol="0">
                          <a:noAutofit/>
                        </wps:bodyPr>
                      </wps:wsp>
                      <wps:wsp>
                        <wps:cNvPr id="25654" name="Rectangle 2565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3647" style="width:12.7031pt;height:280.35pt;position:absolute;mso-position-horizontal-relative:page;mso-position-horizontal:absolute;margin-left:681.958pt;mso-position-vertical-relative:page;margin-top:531.65pt;" coordsize="1613,35604">
                <v:rect id="Rectangle 2565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65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123 de 391 </w:t>
                        </w:r>
                      </w:p>
                    </w:txbxContent>
                  </v:textbox>
                </v:rect>
                <w10:wrap type="square"/>
              </v:group>
            </w:pict>
          </mc:Fallback>
        </mc:AlternateContent>
      </w:r>
      <w:r>
        <w:rPr>
          <w:rFonts w:ascii="Arial" w:eastAsia="Arial" w:hAnsi="Arial" w:cs="Arial"/>
        </w:rPr>
        <w:t>Una vez aceptada la propuesta de la mesa por el órgano de contratación, losservicios correspondientes requerirán al licitador que haya</w:t>
      </w:r>
      <w:r>
        <w:rPr>
          <w:rFonts w:ascii="Arial" w:eastAsia="Arial" w:hAnsi="Arial" w:cs="Arial"/>
        </w:rPr>
        <w:t xml:space="preserve"> presentado la mejor oferta, de conformidad con lo dispuesto en el artículo 145 para que, dentro del plazo de diez días hábiles, a contar desde el siguiente a aquel en que hubiera recibido el requerimiento, presente la documentación justificativa de las ci</w:t>
      </w:r>
      <w:r>
        <w:rPr>
          <w:rFonts w:ascii="Arial" w:eastAsia="Arial" w:hAnsi="Arial" w:cs="Arial"/>
        </w:rPr>
        <w:t>rcunstancias a las que se refieren las letras a) a c) del apartado 1 del artículo 140 si no se hubiera aportado con anterioridad, tanto del licitador como de aquellas otras empresas a cuyas capacidades se recurra, sin perjuicio de lo establecido en el segu</w:t>
      </w:r>
      <w:r>
        <w:rPr>
          <w:rFonts w:ascii="Arial" w:eastAsia="Arial" w:hAnsi="Arial" w:cs="Arial"/>
        </w:rPr>
        <w:t>ndo párrafo del apartado 3 del citado artículo; de disponer efectivamente de los medios que se hubiese comprometido a dedicar o adscribir a la ejecución del contrato conforme al artículo 76.2; y de haber constituido la garantía definitiva que sea procedent</w:t>
      </w:r>
      <w:r>
        <w:rPr>
          <w:rFonts w:ascii="Arial" w:eastAsia="Arial" w:hAnsi="Arial" w:cs="Arial"/>
        </w:rPr>
        <w:t>e. Los correspondientes certificados podrán ser expedidos por medios electrónicos, informáticos o telemáticos, salvo que se establezca otra cosa en los pliegos.</w:t>
      </w:r>
    </w:p>
    <w:p w:rsidR="00E23B86" w:rsidRDefault="00BA7C13">
      <w:pPr>
        <w:spacing w:after="171" w:line="248" w:lineRule="auto"/>
        <w:ind w:left="363" w:right="552" w:firstLine="360"/>
        <w:jc w:val="both"/>
      </w:pPr>
      <w:r>
        <w:rPr>
          <w:rFonts w:ascii="Arial" w:eastAsia="Arial" w:hAnsi="Arial" w:cs="Arial"/>
        </w:rPr>
        <w:t>De no cumplimentarse adecuadamente el requerimiento en el plazo señalado, se entenderá que el l</w:t>
      </w:r>
      <w:r>
        <w:rPr>
          <w:rFonts w:ascii="Arial" w:eastAsia="Arial" w:hAnsi="Arial" w:cs="Arial"/>
        </w:rPr>
        <w:t>icitador ha retirado su oferta, procediéndose a exigirle el importe del 3 por ciento del presupuesto base de licitación, IVA excluido, en concepto de penalidad, que se hará efectivo en primer lugar contra la garantía provisional, si se hubiera constituido,</w:t>
      </w:r>
      <w:r>
        <w:rPr>
          <w:rFonts w:ascii="Arial" w:eastAsia="Arial" w:hAnsi="Arial" w:cs="Arial"/>
        </w:rPr>
        <w:t xml:space="preserve"> sin perjuicio de lo establecido en la letra a) del apartado 2 del artículo 71.</w:t>
      </w:r>
    </w:p>
    <w:p w:rsidR="00E23B86" w:rsidRDefault="00BA7C13">
      <w:pPr>
        <w:numPr>
          <w:ilvl w:val="0"/>
          <w:numId w:val="38"/>
        </w:numPr>
        <w:spacing w:after="171" w:line="248" w:lineRule="auto"/>
        <w:ind w:right="552" w:firstLine="360"/>
        <w:jc w:val="both"/>
      </w:pPr>
      <w:r>
        <w:rPr>
          <w:rFonts w:ascii="Arial" w:eastAsia="Arial" w:hAnsi="Arial" w:cs="Arial"/>
        </w:rPr>
        <w:t>El órgano de contratación adjudicará el contrato dentro de los cinco días hábilessiguientes a la recepción de la documentación. En los procedimientos negociados, de diálogo com</w:t>
      </w:r>
      <w:r>
        <w:rPr>
          <w:rFonts w:ascii="Arial" w:eastAsia="Arial" w:hAnsi="Arial" w:cs="Arial"/>
        </w:rPr>
        <w:t>petitivo y de asociación para la innovación, la adjudicación concretará y fijará los términos definitivos del contrato.</w:t>
      </w:r>
    </w:p>
    <w:p w:rsidR="00E23B86" w:rsidRDefault="00BA7C13">
      <w:pPr>
        <w:spacing w:after="171" w:line="248" w:lineRule="auto"/>
        <w:ind w:left="363" w:right="552" w:firstLine="360"/>
        <w:jc w:val="both"/>
      </w:pPr>
      <w:r>
        <w:rPr>
          <w:rFonts w:ascii="Arial" w:eastAsia="Arial" w:hAnsi="Arial" w:cs="Arial"/>
        </w:rPr>
        <w:t>No podrá declararse desierta una licitación cuando exista alguna oferta o proposición que sea admisible de acuerdo con los criterios que</w:t>
      </w:r>
      <w:r>
        <w:rPr>
          <w:rFonts w:ascii="Arial" w:eastAsia="Arial" w:hAnsi="Arial" w:cs="Arial"/>
        </w:rPr>
        <w:t xml:space="preserve"> figuren en el pliego.</w:t>
      </w:r>
    </w:p>
    <w:p w:rsidR="00E23B86" w:rsidRDefault="00BA7C13">
      <w:pPr>
        <w:spacing w:after="110" w:line="248" w:lineRule="auto"/>
        <w:ind w:left="363" w:right="552" w:firstLine="360"/>
        <w:jc w:val="both"/>
      </w:pPr>
      <w:r>
        <w:rPr>
          <w:rFonts w:ascii="Arial" w:eastAsia="Arial" w:hAnsi="Arial" w:cs="Arial"/>
        </w:rPr>
        <w:t>Segundo.- Es de aplicación lo establecido en la cláusula 12ª del PCAP que lleva por título: “Adjudicación del contrato”.</w:t>
      </w:r>
    </w:p>
    <w:p w:rsidR="00E23B86" w:rsidRDefault="00BA7C13">
      <w:pPr>
        <w:spacing w:after="110" w:line="248" w:lineRule="auto"/>
        <w:ind w:left="373" w:right="552" w:hanging="10"/>
        <w:jc w:val="both"/>
      </w:pPr>
      <w:r>
        <w:rPr>
          <w:rFonts w:ascii="Arial" w:eastAsia="Arial" w:hAnsi="Arial" w:cs="Arial"/>
        </w:rPr>
        <w:t xml:space="preserve">“Recibida la documentación solicitada, el órgano de contratación deberá adjudicar el contrato dentro de los cinco días hábiles siguientes a la recepción de la documentación. </w:t>
      </w:r>
    </w:p>
    <w:p w:rsidR="00E23B86" w:rsidRDefault="00BA7C13">
      <w:pPr>
        <w:spacing w:after="110" w:line="248" w:lineRule="auto"/>
        <w:ind w:left="373" w:right="552" w:hanging="10"/>
        <w:jc w:val="both"/>
      </w:pPr>
      <w:r>
        <w:rPr>
          <w:rFonts w:ascii="Arial" w:eastAsia="Arial" w:hAnsi="Arial" w:cs="Arial"/>
        </w:rPr>
        <w:t>En ningún caso podrá declararse desierta una licitación cuando exista alguna ofer</w:t>
      </w:r>
      <w:r>
        <w:rPr>
          <w:rFonts w:ascii="Arial" w:eastAsia="Arial" w:hAnsi="Arial" w:cs="Arial"/>
        </w:rPr>
        <w:t xml:space="preserve">ta o proposición que sea admisible de acuerdo con los criterios que figuren en el pliego. </w:t>
      </w:r>
    </w:p>
    <w:p w:rsidR="00E23B86" w:rsidRDefault="00BA7C13">
      <w:pPr>
        <w:spacing w:after="110" w:line="248" w:lineRule="auto"/>
        <w:ind w:left="373" w:right="552" w:hanging="10"/>
        <w:jc w:val="both"/>
      </w:pPr>
      <w:r>
        <w:rPr>
          <w:rFonts w:ascii="Arial" w:eastAsia="Arial" w:hAnsi="Arial" w:cs="Arial"/>
        </w:rPr>
        <w:t xml:space="preserve">La adjudicación deberá ser motivada y se notificará a los candidatos o licitadores, debiendo ser publicada en el perfil de contratante en el plazo de 15 días. </w:t>
      </w:r>
    </w:p>
    <w:p w:rsidR="00E23B86" w:rsidRDefault="00BA7C13">
      <w:pPr>
        <w:spacing w:after="110" w:line="248" w:lineRule="auto"/>
        <w:ind w:left="373" w:right="552" w:hanging="10"/>
        <w:jc w:val="both"/>
      </w:pPr>
      <w:r>
        <w:rPr>
          <w:rFonts w:ascii="Arial" w:eastAsia="Arial" w:hAnsi="Arial" w:cs="Arial"/>
        </w:rPr>
        <w:t>La ad</w:t>
      </w:r>
      <w:r>
        <w:rPr>
          <w:rFonts w:ascii="Arial" w:eastAsia="Arial" w:hAnsi="Arial" w:cs="Arial"/>
        </w:rPr>
        <w:t>judicación deberá recaer en el plazo máximo de quince días a contar desde el siguiente al de apertura de las proposiciones”.</w:t>
      </w:r>
    </w:p>
    <w:p w:rsidR="00E23B86" w:rsidRDefault="00BA7C13">
      <w:pPr>
        <w:spacing w:after="485" w:line="248" w:lineRule="auto"/>
        <w:ind w:left="363" w:right="552" w:firstLine="708"/>
        <w:jc w:val="both"/>
      </w:pPr>
      <w:r>
        <w:rPr>
          <w:rFonts w:ascii="Arial" w:eastAsia="Arial" w:hAnsi="Arial" w:cs="Arial"/>
        </w:rPr>
        <w:t>La motivación de la presente adjudicación consta en el tenor literal de las actas de las Mesas de contratación transcritas en los a</w:t>
      </w:r>
      <w:r>
        <w:rPr>
          <w:rFonts w:ascii="Arial" w:eastAsia="Arial" w:hAnsi="Arial" w:cs="Arial"/>
        </w:rPr>
        <w:t>ntecedentes de hecho.</w:t>
      </w:r>
    </w:p>
    <w:p w:rsidR="00E23B86" w:rsidRDefault="00BA7C13">
      <w:pPr>
        <w:spacing w:after="110" w:line="248" w:lineRule="auto"/>
        <w:ind w:left="363" w:right="552" w:firstLine="708"/>
        <w:jc w:val="both"/>
      </w:pPr>
      <w:r>
        <w:rPr>
          <w:rFonts w:ascii="Arial" w:eastAsia="Arial" w:hAnsi="Arial" w:cs="Arial"/>
        </w:rPr>
        <w:t>Tercero.- El órgano de contratación es el Pleno al superar el presupuesto de licitación el 10 por ciento de los recursos ordinarios del presupuesto vigente de 2018:</w:t>
      </w:r>
    </w:p>
    <w:p w:rsidR="00E23B86" w:rsidRDefault="00BA7C13">
      <w:pPr>
        <w:spacing w:after="110" w:line="248" w:lineRule="auto"/>
        <w:ind w:left="1070" w:right="552" w:hanging="10"/>
        <w:jc w:val="both"/>
      </w:pPr>
      <w:r>
        <w:rPr>
          <w:rFonts w:ascii="Arial" w:eastAsia="Arial" w:hAnsi="Arial" w:cs="Arial"/>
        </w:rPr>
        <w:t>LCSP 9/2017, de 8 de noviembre:</w:t>
      </w:r>
    </w:p>
    <w:p w:rsidR="00E23B86" w:rsidRDefault="00BA7C13">
      <w:pPr>
        <w:spacing w:after="485" w:line="248" w:lineRule="auto"/>
        <w:ind w:left="363" w:right="552" w:firstLine="708"/>
        <w:jc w:val="both"/>
      </w:pPr>
      <w:r>
        <w:rPr>
          <w:rFonts w:ascii="Arial" w:eastAsia="Arial" w:hAnsi="Arial" w:cs="Arial"/>
        </w:rPr>
        <w:t xml:space="preserve"> DA2ª.9 LCSP:. En las entidades local</w:t>
      </w:r>
      <w:r>
        <w:rPr>
          <w:rFonts w:ascii="Arial" w:eastAsia="Arial" w:hAnsi="Arial" w:cs="Arial"/>
        </w:rPr>
        <w:t xml:space="preserve">es corresponde a los Alcaldes y a los Presidentes de las Entidades Locales la competencia para la celebración de los contratos privados, así como la adjudicación de concesiones sobre los bienes de las mismas y la adquisición de bienes inmuebles y derechos </w:t>
      </w:r>
      <w:r>
        <w:rPr>
          <w:rFonts w:ascii="Arial" w:eastAsia="Arial" w:hAnsi="Arial" w:cs="Arial"/>
        </w:rPr>
        <w:t>sujetos a la legislación patrimonial cuando el presupuesto base de licitación, en los términos definidos en el artículo 100.1, no supere el 10 por ciento de los recursos ordinarios del presupuesto ni el importe de tres millones de euros, así como la enajen</w:t>
      </w:r>
      <w:r>
        <w:rPr>
          <w:rFonts w:ascii="Arial" w:eastAsia="Arial" w:hAnsi="Arial" w:cs="Arial"/>
        </w:rPr>
        <w:t>ación del patrimonio, cuando su valor no supere el porcentaje ni la cuantía indicados.</w:t>
      </w:r>
    </w:p>
    <w:p w:rsidR="00E23B86" w:rsidRDefault="00BA7C13">
      <w:pPr>
        <w:spacing w:after="95" w:line="265" w:lineRule="auto"/>
        <w:ind w:left="359" w:right="843" w:hanging="10"/>
        <w:jc w:val="center"/>
      </w:pPr>
      <w:r>
        <w:rPr>
          <w:noProof/>
        </w:rPr>
        <mc:AlternateContent>
          <mc:Choice Requires="wpg">
            <w:drawing>
              <wp:anchor distT="0" distB="0" distL="114300" distR="114300" simplePos="0" relativeHeight="2517852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3977" name="Group 50397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714" name="Rectangle 2571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715" name="Rectangle 2571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3977" style="width:12.7031pt;height:280.35pt;position:absolute;mso-position-horizontal-relative:page;mso-position-horizontal:absolute;margin-left:681.958pt;mso-position-vertical-relative:page;margin-top:531.65pt;" coordsize="1613,35604">
                <v:rect id="Rectangle 2571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71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124 de 391 </w:t>
                        </w:r>
                      </w:p>
                    </w:txbxContent>
                  </v:textbox>
                </v:rect>
                <w10:wrap type="square"/>
              </v:group>
            </w:pict>
          </mc:Fallback>
        </mc:AlternateContent>
      </w:r>
      <w:r>
        <w:rPr>
          <w:rFonts w:ascii="Arial" w:eastAsia="Arial" w:hAnsi="Arial" w:cs="Arial"/>
        </w:rPr>
        <w:t>PROPUESTA DE ACUERDO AL PLENO</w:t>
      </w:r>
    </w:p>
    <w:p w:rsidR="00E23B86" w:rsidRDefault="00BA7C13">
      <w:pPr>
        <w:spacing w:after="110" w:line="248" w:lineRule="auto"/>
        <w:ind w:left="363" w:right="552" w:firstLine="708"/>
        <w:jc w:val="both"/>
      </w:pPr>
      <w:r>
        <w:rPr>
          <w:rFonts w:ascii="Arial" w:eastAsia="Arial" w:hAnsi="Arial" w:cs="Arial"/>
        </w:rPr>
        <w:t>Primero.- Admitir a la presente licitación aprobada en el Pleno de 26 de diciembre de 2019 y publicada en la plataforma de contrata</w:t>
      </w:r>
      <w:r>
        <w:rPr>
          <w:rFonts w:ascii="Arial" w:eastAsia="Arial" w:hAnsi="Arial" w:cs="Arial"/>
        </w:rPr>
        <w:t>ción del sector público el día 10 de enero de 2020: “adquisición del bien inmueble: “parcelas del ámbito de la UA-C01 Acceso a Candelaria”  a la única y mejor oferta presentada que es la siguiente y por registro de entrada de 5 de febrero de 2020:</w:t>
      </w:r>
    </w:p>
    <w:p w:rsidR="00E23B86" w:rsidRDefault="00BA7C13">
      <w:pPr>
        <w:spacing w:after="0" w:line="248" w:lineRule="auto"/>
        <w:ind w:left="1070" w:right="4661" w:hanging="10"/>
        <w:jc w:val="both"/>
      </w:pPr>
      <w:r>
        <w:rPr>
          <w:rFonts w:ascii="Arial" w:eastAsia="Arial" w:hAnsi="Arial" w:cs="Arial"/>
        </w:rPr>
        <w:t>“D. Andr</w:t>
      </w:r>
      <w:r>
        <w:rPr>
          <w:rFonts w:ascii="Arial" w:eastAsia="Arial" w:hAnsi="Arial" w:cs="Arial"/>
        </w:rPr>
        <w:t>és Jesús Chico Castellano. D. José Aurelio Chico Castellano.</w:t>
      </w:r>
    </w:p>
    <w:p w:rsidR="00E23B86" w:rsidRDefault="00BA7C13">
      <w:pPr>
        <w:spacing w:after="0" w:line="248" w:lineRule="auto"/>
        <w:ind w:left="1070" w:right="3901" w:hanging="10"/>
        <w:jc w:val="both"/>
      </w:pPr>
      <w:r>
        <w:rPr>
          <w:rFonts w:ascii="Arial" w:eastAsia="Arial" w:hAnsi="Arial" w:cs="Arial"/>
        </w:rPr>
        <w:t>Dña. Evangelina Máxima Chico Castellano. D. Juan Carmelo Chico Castellano.</w:t>
      </w:r>
    </w:p>
    <w:p w:rsidR="00E23B86" w:rsidRDefault="00BA7C13">
      <w:pPr>
        <w:spacing w:after="10" w:line="248" w:lineRule="auto"/>
        <w:ind w:left="1070" w:right="552" w:hanging="10"/>
        <w:jc w:val="both"/>
      </w:pPr>
      <w:r>
        <w:rPr>
          <w:rFonts w:ascii="Arial" w:eastAsia="Arial" w:hAnsi="Arial" w:cs="Arial"/>
        </w:rPr>
        <w:t>Dña. Heraclia Castro Castro.</w:t>
      </w:r>
    </w:p>
    <w:p w:rsidR="00E23B86" w:rsidRDefault="00BA7C13">
      <w:pPr>
        <w:spacing w:after="737" w:line="248" w:lineRule="auto"/>
        <w:ind w:left="363" w:right="552" w:firstLine="708"/>
        <w:jc w:val="both"/>
      </w:pPr>
      <w:r>
        <w:rPr>
          <w:rFonts w:ascii="Arial" w:eastAsia="Arial" w:hAnsi="Arial" w:cs="Arial"/>
        </w:rPr>
        <w:t>D. Ramiro Urbano Oliva Rodríguez en representación de la entidad “Construcciones Oliva Baut</w:t>
      </w:r>
      <w:r>
        <w:rPr>
          <w:rFonts w:ascii="Arial" w:eastAsia="Arial" w:hAnsi="Arial" w:cs="Arial"/>
        </w:rPr>
        <w:t xml:space="preserve">e,S.L.”. </w:t>
      </w:r>
    </w:p>
    <w:p w:rsidR="00E23B86" w:rsidRDefault="00BA7C13">
      <w:pPr>
        <w:spacing w:after="485" w:line="248" w:lineRule="auto"/>
        <w:ind w:left="363" w:right="552" w:firstLine="708"/>
        <w:jc w:val="both"/>
      </w:pPr>
      <w:r>
        <w:rPr>
          <w:rFonts w:ascii="Arial" w:eastAsia="Arial" w:hAnsi="Arial" w:cs="Arial"/>
        </w:rPr>
        <w:t>Segundo.- Clasificar la proposición presentada según la propuesta unánime de la Mesa de contratación de fecha 19 de febrero de 2020 que ha obtenido la siguiente puntuación de 100 puntos según los criterios de adjudicación del PCAP:</w:t>
      </w:r>
    </w:p>
    <w:p w:rsidR="00E23B86" w:rsidRDefault="00BA7C13">
      <w:pPr>
        <w:spacing w:after="10" w:line="248" w:lineRule="auto"/>
        <w:ind w:left="1070" w:right="552" w:hanging="10"/>
        <w:jc w:val="both"/>
      </w:pPr>
      <w:r>
        <w:rPr>
          <w:rFonts w:ascii="Arial" w:eastAsia="Arial" w:hAnsi="Arial" w:cs="Arial"/>
        </w:rPr>
        <w:t>D. Andrés Jesú</w:t>
      </w:r>
      <w:r>
        <w:rPr>
          <w:rFonts w:ascii="Arial" w:eastAsia="Arial" w:hAnsi="Arial" w:cs="Arial"/>
        </w:rPr>
        <w:t>s Chico Castellano.</w:t>
      </w:r>
    </w:p>
    <w:p w:rsidR="00E23B86" w:rsidRDefault="00BA7C13">
      <w:pPr>
        <w:spacing w:after="10" w:line="248" w:lineRule="auto"/>
        <w:ind w:left="1070" w:right="552" w:hanging="10"/>
        <w:jc w:val="both"/>
      </w:pPr>
      <w:r>
        <w:rPr>
          <w:rFonts w:ascii="Arial" w:eastAsia="Arial" w:hAnsi="Arial" w:cs="Arial"/>
        </w:rPr>
        <w:t>D. José Aurelio Chico Castellano.</w:t>
      </w:r>
    </w:p>
    <w:p w:rsidR="00E23B86" w:rsidRDefault="00BA7C13">
      <w:pPr>
        <w:spacing w:after="3" w:line="249" w:lineRule="auto"/>
        <w:ind w:left="1070" w:right="4120" w:hanging="10"/>
      </w:pPr>
      <w:r>
        <w:rPr>
          <w:rFonts w:ascii="Arial" w:eastAsia="Arial" w:hAnsi="Arial" w:cs="Arial"/>
        </w:rPr>
        <w:t>Dña. Evangelina Máxima Chico Castellano. D. Juan Carmelo Chico Castellano. Dña. Heraclia Castro Castro.</w:t>
      </w:r>
    </w:p>
    <w:p w:rsidR="00E23B86" w:rsidRDefault="00BA7C13">
      <w:pPr>
        <w:spacing w:after="245" w:line="248" w:lineRule="auto"/>
        <w:ind w:left="363" w:right="552" w:firstLine="708"/>
        <w:jc w:val="both"/>
      </w:pPr>
      <w:r>
        <w:rPr>
          <w:rFonts w:ascii="Arial" w:eastAsia="Arial" w:hAnsi="Arial" w:cs="Arial"/>
        </w:rPr>
        <w:t>D. Ramiro Urbano Oliva Rodríguez en representación de la entidad “Construcciones Oliva Baute,S.L.”.</w:t>
      </w:r>
    </w:p>
    <w:p w:rsidR="00E23B86" w:rsidRDefault="00BA7C13">
      <w:pPr>
        <w:spacing w:after="243" w:line="248" w:lineRule="auto"/>
        <w:ind w:left="1070" w:right="552" w:hanging="10"/>
        <w:jc w:val="both"/>
      </w:pPr>
      <w:r>
        <w:rPr>
          <w:rFonts w:ascii="Arial" w:eastAsia="Arial" w:hAnsi="Arial" w:cs="Arial"/>
        </w:rPr>
        <w:t xml:space="preserve">-Valoración del criterio del juicio de valor: </w:t>
      </w:r>
    </w:p>
    <w:p w:rsidR="00E23B86" w:rsidRDefault="00BA7C13">
      <w:pPr>
        <w:spacing w:after="245" w:line="248" w:lineRule="auto"/>
        <w:ind w:left="363" w:right="552" w:firstLine="708"/>
        <w:jc w:val="both"/>
      </w:pPr>
      <w:r>
        <w:rPr>
          <w:rFonts w:ascii="Arial" w:eastAsia="Arial" w:hAnsi="Arial" w:cs="Arial"/>
        </w:rPr>
        <w:t>Informe técnico presentado por los licitadores que ha sido informado por la Arquitecta municipal con fecha 14</w:t>
      </w:r>
      <w:r>
        <w:rPr>
          <w:rFonts w:ascii="Arial" w:eastAsia="Arial" w:hAnsi="Arial" w:cs="Arial"/>
        </w:rPr>
        <w:t xml:space="preserve"> de febrero de 2020 con la máxima puntuación de 30 puntos.</w:t>
      </w:r>
    </w:p>
    <w:p w:rsidR="00E23B86" w:rsidRDefault="00BA7C13">
      <w:pPr>
        <w:spacing w:after="495" w:line="248" w:lineRule="auto"/>
        <w:ind w:left="1070" w:right="552" w:hanging="10"/>
        <w:jc w:val="both"/>
      </w:pPr>
      <w:r>
        <w:rPr>
          <w:rFonts w:ascii="Arial" w:eastAsia="Arial" w:hAnsi="Arial" w:cs="Arial"/>
        </w:rPr>
        <w:t xml:space="preserve">-Valoración del criterio automático: Mejor y única oferta económica: </w:t>
      </w:r>
    </w:p>
    <w:p w:rsidR="00E23B86" w:rsidRDefault="00BA7C13">
      <w:pPr>
        <w:spacing w:after="10" w:line="248" w:lineRule="auto"/>
        <w:ind w:left="1070" w:right="552" w:hanging="10"/>
        <w:jc w:val="both"/>
      </w:pPr>
      <w:r>
        <w:rPr>
          <w:rFonts w:ascii="Arial" w:eastAsia="Arial" w:hAnsi="Arial" w:cs="Arial"/>
        </w:rPr>
        <w:t>Desglose por propietarios en función del porcentaje de la propiedad:</w:t>
      </w:r>
    </w:p>
    <w:p w:rsidR="00E23B86" w:rsidRDefault="00BA7C13">
      <w:pPr>
        <w:spacing w:after="0"/>
        <w:ind w:left="1060"/>
      </w:pPr>
      <w:r>
        <w:rPr>
          <w:rFonts w:ascii="Arial" w:eastAsia="Arial" w:hAnsi="Arial" w:cs="Arial"/>
        </w:rPr>
        <w:t xml:space="preserve"> </w:t>
      </w:r>
    </w:p>
    <w:p w:rsidR="00E23B86" w:rsidRDefault="00BA7C13">
      <w:pPr>
        <w:spacing w:after="0" w:line="248" w:lineRule="auto"/>
        <w:ind w:left="1070" w:right="2151" w:hanging="10"/>
        <w:jc w:val="both"/>
      </w:pPr>
      <w:r>
        <w:rPr>
          <w:rFonts w:ascii="Arial" w:eastAsia="Arial" w:hAnsi="Arial" w:cs="Arial"/>
        </w:rPr>
        <w:t xml:space="preserve">  *D. Andrés Jesús Chico Castellano………306.470,25 euros. </w:t>
      </w:r>
      <w:r>
        <w:rPr>
          <w:rFonts w:ascii="Arial" w:eastAsia="Arial" w:hAnsi="Arial" w:cs="Arial"/>
        </w:rPr>
        <w:t xml:space="preserve">   D. José Aurelio Chico Castellano………..306.470,25 euros.</w:t>
      </w:r>
    </w:p>
    <w:p w:rsidR="00E23B86" w:rsidRDefault="00BA7C13">
      <w:pPr>
        <w:spacing w:after="3" w:line="249" w:lineRule="auto"/>
        <w:ind w:left="1070" w:right="1772" w:hanging="10"/>
      </w:pPr>
      <w:r>
        <w:rPr>
          <w:rFonts w:ascii="Arial" w:eastAsia="Arial" w:hAnsi="Arial" w:cs="Arial"/>
        </w:rPr>
        <w:t xml:space="preserve">   Dña. Evangelina Máxima Chico Castellano…..306.470,25 euros.    D. Juan Carmelo Chico Castellano………306.470,25 euros.     Dña. Heraclia Castro Castro………………669.694,25 euros.</w:t>
      </w:r>
    </w:p>
    <w:p w:rsidR="00E23B86" w:rsidRDefault="00BA7C13">
      <w:pPr>
        <w:spacing w:after="110" w:line="360" w:lineRule="auto"/>
        <w:ind w:left="363" w:right="552" w:firstLine="708"/>
        <w:jc w:val="both"/>
      </w:pPr>
      <w:r>
        <w:rPr>
          <w:rFonts w:ascii="Arial" w:eastAsia="Arial" w:hAnsi="Arial" w:cs="Arial"/>
        </w:rPr>
        <w:t xml:space="preserve">   D. Ramiro Urbano Oliva Rodríguez,…en representación de la entidad “Construcciones Oliva Baute,S.L.”…………………374.574,75 euros, incluido IGIC. TOTAL DE LA OFERTA: 2.270.150,00 euros.”</w:t>
      </w:r>
    </w:p>
    <w:p w:rsidR="00E23B86" w:rsidRDefault="00BA7C13">
      <w:pPr>
        <w:spacing w:after="243" w:line="248" w:lineRule="auto"/>
        <w:ind w:left="1070" w:right="552" w:hanging="10"/>
        <w:jc w:val="both"/>
      </w:pPr>
      <w:r>
        <w:rPr>
          <w:noProof/>
        </w:rPr>
        <mc:AlternateContent>
          <mc:Choice Requires="wpg">
            <w:drawing>
              <wp:anchor distT="0" distB="0" distL="114300" distR="114300" simplePos="0" relativeHeight="2517862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4267" name="Group 50426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766" name="Rectangle 2576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767" name="Rectangle 2576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4267" style="width:12.7031pt;height:280.35pt;position:absolute;mso-position-horizontal-relative:page;mso-position-horizontal:absolute;margin-left:681.958pt;mso-position-vertical-relative:page;margin-top:531.65pt;" coordsize="1613,35604">
                <v:rect id="Rectangle 2576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76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125 de 391 </w:t>
                        </w:r>
                      </w:p>
                    </w:txbxContent>
                  </v:textbox>
                </v:rect>
                <w10:wrap type="square"/>
              </v:group>
            </w:pict>
          </mc:Fallback>
        </mc:AlternateContent>
      </w:r>
      <w:r>
        <w:rPr>
          <w:rFonts w:ascii="Arial" w:eastAsia="Arial" w:hAnsi="Arial" w:cs="Arial"/>
        </w:rPr>
        <w:t>De lo que resulta la puntuación de 70 puntos.</w:t>
      </w:r>
    </w:p>
    <w:p w:rsidR="00E23B86" w:rsidRDefault="00BA7C13">
      <w:pPr>
        <w:spacing w:after="639" w:line="248" w:lineRule="auto"/>
        <w:ind w:left="1070" w:right="552" w:hanging="10"/>
        <w:jc w:val="both"/>
      </w:pPr>
      <w:r>
        <w:rPr>
          <w:rFonts w:ascii="Arial" w:eastAsia="Arial" w:hAnsi="Arial" w:cs="Arial"/>
        </w:rPr>
        <w:t>De lo que resul</w:t>
      </w:r>
      <w:r>
        <w:rPr>
          <w:rFonts w:ascii="Arial" w:eastAsia="Arial" w:hAnsi="Arial" w:cs="Arial"/>
        </w:rPr>
        <w:t>ta 30+70: 100 puntos.</w:t>
      </w:r>
    </w:p>
    <w:p w:rsidR="00E23B86" w:rsidRDefault="00BA7C13">
      <w:pPr>
        <w:spacing w:after="110" w:line="248" w:lineRule="auto"/>
        <w:ind w:left="363" w:right="552" w:firstLine="708"/>
        <w:jc w:val="both"/>
      </w:pPr>
      <w:r>
        <w:rPr>
          <w:rFonts w:ascii="Arial" w:eastAsia="Arial" w:hAnsi="Arial" w:cs="Arial"/>
        </w:rPr>
        <w:t>Tercero.- Adjudicar la presente licitación aprobada en el Pleno de 26 de diciembre de 2019 y publicada en la plataforma de contratación del sector público el día 10 de enero de 2020: “adquisición del bien inmueble: “parcelas del ámbit</w:t>
      </w:r>
      <w:r>
        <w:rPr>
          <w:rFonts w:ascii="Arial" w:eastAsia="Arial" w:hAnsi="Arial" w:cs="Arial"/>
        </w:rPr>
        <w:t>o de la UA-C01 Acceso a Candelaria”  a la única y mejor oferta presentada que es la siguiente y por registro de entrada de 5 de febrero de 2020:</w:t>
      </w:r>
    </w:p>
    <w:p w:rsidR="00E23B86" w:rsidRDefault="00BA7C13">
      <w:pPr>
        <w:spacing w:after="10" w:line="248" w:lineRule="auto"/>
        <w:ind w:left="1070" w:right="552" w:hanging="10"/>
        <w:jc w:val="both"/>
      </w:pPr>
      <w:r>
        <w:rPr>
          <w:rFonts w:ascii="Arial" w:eastAsia="Arial" w:hAnsi="Arial" w:cs="Arial"/>
        </w:rPr>
        <w:t>D. Andrés Jesús Chico Castellano.</w:t>
      </w:r>
    </w:p>
    <w:p w:rsidR="00E23B86" w:rsidRDefault="00BA7C13">
      <w:pPr>
        <w:spacing w:after="10" w:line="248" w:lineRule="auto"/>
        <w:ind w:left="1070" w:right="552" w:hanging="10"/>
        <w:jc w:val="both"/>
      </w:pPr>
      <w:r>
        <w:rPr>
          <w:rFonts w:ascii="Arial" w:eastAsia="Arial" w:hAnsi="Arial" w:cs="Arial"/>
        </w:rPr>
        <w:t>D. José Aurelio Chico Castellano.</w:t>
      </w:r>
    </w:p>
    <w:p w:rsidR="00E23B86" w:rsidRDefault="00BA7C13">
      <w:pPr>
        <w:spacing w:after="0" w:line="248" w:lineRule="auto"/>
        <w:ind w:left="1070" w:right="3901" w:hanging="10"/>
        <w:jc w:val="both"/>
      </w:pPr>
      <w:r>
        <w:rPr>
          <w:rFonts w:ascii="Arial" w:eastAsia="Arial" w:hAnsi="Arial" w:cs="Arial"/>
        </w:rPr>
        <w:t>Dña. Evangelina Máxima Chico Castellano. D.</w:t>
      </w:r>
      <w:r>
        <w:rPr>
          <w:rFonts w:ascii="Arial" w:eastAsia="Arial" w:hAnsi="Arial" w:cs="Arial"/>
        </w:rPr>
        <w:t xml:space="preserve"> Juan Carmelo Chico Castellano.</w:t>
      </w:r>
    </w:p>
    <w:p w:rsidR="00E23B86" w:rsidRDefault="00BA7C13">
      <w:pPr>
        <w:spacing w:after="10" w:line="248" w:lineRule="auto"/>
        <w:ind w:left="1070" w:right="552" w:hanging="10"/>
        <w:jc w:val="both"/>
      </w:pPr>
      <w:r>
        <w:rPr>
          <w:rFonts w:ascii="Arial" w:eastAsia="Arial" w:hAnsi="Arial" w:cs="Arial"/>
        </w:rPr>
        <w:t>Dña. Heraclia Castro Castro.</w:t>
      </w:r>
    </w:p>
    <w:p w:rsidR="00E23B86" w:rsidRDefault="00BA7C13">
      <w:pPr>
        <w:spacing w:after="267" w:line="248" w:lineRule="auto"/>
        <w:ind w:left="363" w:right="552" w:firstLine="708"/>
        <w:jc w:val="both"/>
      </w:pPr>
      <w:r>
        <w:rPr>
          <w:rFonts w:ascii="Arial" w:eastAsia="Arial" w:hAnsi="Arial" w:cs="Arial"/>
        </w:rPr>
        <w:t xml:space="preserve">D. Ramiro Urbano Oliva Rodríguez en representación de la entidad “Construcciones Oliva Baute,S.L.”. </w:t>
      </w:r>
    </w:p>
    <w:p w:rsidR="00E23B86" w:rsidRDefault="00BA7C13">
      <w:pPr>
        <w:spacing w:after="3" w:line="249" w:lineRule="auto"/>
        <w:ind w:left="1070" w:right="1455" w:hanging="10"/>
      </w:pPr>
      <w:r>
        <w:rPr>
          <w:rFonts w:ascii="Arial" w:eastAsia="Arial" w:hAnsi="Arial" w:cs="Arial"/>
        </w:rPr>
        <w:t>Y por el importe desglosado en función del porcentaje de la propiedad: D. Andrés Jesús Chico C</w:t>
      </w:r>
      <w:r>
        <w:rPr>
          <w:rFonts w:ascii="Arial" w:eastAsia="Arial" w:hAnsi="Arial" w:cs="Arial"/>
        </w:rPr>
        <w:t>astellano………306.470,25 euros. D. José Aurelio Chico Castellano………..306.470,25 euros.</w:t>
      </w:r>
    </w:p>
    <w:p w:rsidR="00E23B86" w:rsidRDefault="00BA7C13">
      <w:pPr>
        <w:spacing w:after="3" w:line="249" w:lineRule="auto"/>
        <w:ind w:left="1070" w:right="1956" w:hanging="10"/>
      </w:pPr>
      <w:r>
        <w:rPr>
          <w:rFonts w:ascii="Arial" w:eastAsia="Arial" w:hAnsi="Arial" w:cs="Arial"/>
        </w:rPr>
        <w:t>Dña. Evangelina Máxima Chico Castellano…..306.470,25 euros. D. Juan Carmelo Chico Castellano………306.470,25 euros.  Dña. Heraclia Castro Castro………………669.694,25 euros.</w:t>
      </w:r>
    </w:p>
    <w:p w:rsidR="00E23B86" w:rsidRDefault="00BA7C13">
      <w:pPr>
        <w:spacing w:after="110" w:line="248" w:lineRule="auto"/>
        <w:ind w:left="363" w:right="552" w:firstLine="708"/>
        <w:jc w:val="both"/>
      </w:pPr>
      <w:r>
        <w:rPr>
          <w:rFonts w:ascii="Arial" w:eastAsia="Arial" w:hAnsi="Arial" w:cs="Arial"/>
        </w:rPr>
        <w:t xml:space="preserve">D. Ramiro Urbano Oliva Rodríguez,…en representación de la entidad “Construcciones Oliva Baute,S.L.”…………………374.574,75 euros, incluido IGIC. </w:t>
      </w:r>
    </w:p>
    <w:p w:rsidR="00E23B86" w:rsidRDefault="00BA7C13">
      <w:pPr>
        <w:spacing w:after="226" w:line="248" w:lineRule="auto"/>
        <w:ind w:left="373" w:right="552" w:hanging="10"/>
        <w:jc w:val="both"/>
      </w:pPr>
      <w:r>
        <w:rPr>
          <w:rFonts w:ascii="Arial" w:eastAsia="Arial" w:hAnsi="Arial" w:cs="Arial"/>
          <w:sz w:val="24"/>
        </w:rPr>
        <w:t xml:space="preserve"> </w:t>
      </w:r>
      <w:r>
        <w:rPr>
          <w:rFonts w:ascii="Arial" w:eastAsia="Arial" w:hAnsi="Arial" w:cs="Arial"/>
        </w:rPr>
        <w:t>Lo que hace un importe total de 2.270.150,00 euros.</w:t>
      </w:r>
    </w:p>
    <w:p w:rsidR="00E23B86" w:rsidRDefault="00BA7C13">
      <w:pPr>
        <w:spacing w:after="110" w:line="248" w:lineRule="auto"/>
        <w:ind w:left="363" w:right="552" w:firstLine="708"/>
        <w:jc w:val="both"/>
      </w:pPr>
      <w:r>
        <w:rPr>
          <w:rFonts w:ascii="Arial" w:eastAsia="Arial" w:hAnsi="Arial" w:cs="Arial"/>
        </w:rPr>
        <w:t>Cuarto.- Notificar el acuerdo plenario que se adopte a los lici</w:t>
      </w:r>
      <w:r>
        <w:rPr>
          <w:rFonts w:ascii="Arial" w:eastAsia="Arial" w:hAnsi="Arial" w:cs="Arial"/>
        </w:rPr>
        <w:t>tadores antedichos y publicar el mismo en la Plataforma de Contratación del Sector Público.</w:t>
      </w:r>
    </w:p>
    <w:p w:rsidR="00E23B86" w:rsidRDefault="00BA7C13">
      <w:pPr>
        <w:spacing w:after="463" w:line="248" w:lineRule="auto"/>
        <w:ind w:left="363" w:right="552" w:firstLine="708"/>
        <w:jc w:val="both"/>
      </w:pPr>
      <w:r>
        <w:rPr>
          <w:rFonts w:ascii="Arial" w:eastAsia="Arial" w:hAnsi="Arial" w:cs="Arial"/>
        </w:rPr>
        <w:t>Quinto.- Notificar el presente acuerdo a la Notaría de Güimar a los efectos de realizar los trámites notariales para la firma de la escritura pública de compraventa</w:t>
      </w:r>
      <w:r>
        <w:rPr>
          <w:rFonts w:ascii="Arial" w:eastAsia="Arial" w:hAnsi="Arial" w:cs="Arial"/>
        </w:rPr>
        <w:t xml:space="preserve"> y la posterior inscripción de los bienes objeto de adquisición en el Registro de la Propiedad conforme los procedimientos correspondientes regulados por el Derecho civil”</w:t>
      </w:r>
    </w:p>
    <w:p w:rsidR="00E23B86" w:rsidRDefault="00BA7C13">
      <w:pPr>
        <w:spacing w:after="485" w:line="248" w:lineRule="auto"/>
        <w:ind w:left="363" w:right="552" w:firstLine="708"/>
        <w:jc w:val="both"/>
      </w:pPr>
      <w:r>
        <w:rPr>
          <w:rFonts w:ascii="Arial" w:eastAsia="Arial" w:hAnsi="Arial" w:cs="Arial"/>
        </w:rPr>
        <w:t>Visto el informe jurídico del Secretario fiscalizado por el Interventor transcrito p</w:t>
      </w:r>
      <w:r>
        <w:rPr>
          <w:rFonts w:ascii="Arial" w:eastAsia="Arial" w:hAnsi="Arial" w:cs="Arial"/>
        </w:rPr>
        <w:t>recedentemente, la Alcaldía-Presidencia eleva al Pleno la siguiente PROPUESTA:</w:t>
      </w:r>
    </w:p>
    <w:p w:rsidR="00E23B86" w:rsidRDefault="00BA7C13">
      <w:pPr>
        <w:spacing w:after="110" w:line="248" w:lineRule="auto"/>
        <w:ind w:left="363" w:right="552" w:firstLine="708"/>
        <w:jc w:val="both"/>
      </w:pPr>
      <w:r>
        <w:rPr>
          <w:rFonts w:ascii="Arial" w:eastAsia="Arial" w:hAnsi="Arial" w:cs="Arial"/>
        </w:rPr>
        <w:t xml:space="preserve">Primero.- Admitir a la presente licitación aprobada en el Pleno de 26 de diciembre de 2019 y publicada en la plataforma de contratación del sector público el día 10 de enero de </w:t>
      </w:r>
      <w:r>
        <w:rPr>
          <w:rFonts w:ascii="Arial" w:eastAsia="Arial" w:hAnsi="Arial" w:cs="Arial"/>
        </w:rPr>
        <w:t>2020: “adquisición del bien inmueble: “parcelas del ámbito de la UA-C01 Acceso a Candelaria”  a la única y mejor oferta presentada que es la siguiente y por registro de entrada de 5 de febrero de 2020:</w:t>
      </w:r>
    </w:p>
    <w:p w:rsidR="00E23B86" w:rsidRDefault="00BA7C13">
      <w:pPr>
        <w:spacing w:after="0" w:line="248" w:lineRule="auto"/>
        <w:ind w:left="1070" w:right="4661" w:hanging="10"/>
        <w:jc w:val="both"/>
      </w:pPr>
      <w:r>
        <w:rPr>
          <w:rFonts w:ascii="Arial" w:eastAsia="Arial" w:hAnsi="Arial" w:cs="Arial"/>
        </w:rPr>
        <w:t>“D. Andrés Jesús Chico Castellano. D. José Aurelio Chi</w:t>
      </w:r>
      <w:r>
        <w:rPr>
          <w:rFonts w:ascii="Arial" w:eastAsia="Arial" w:hAnsi="Arial" w:cs="Arial"/>
        </w:rPr>
        <w:t>co Castellano.</w:t>
      </w:r>
    </w:p>
    <w:p w:rsidR="00E23B86" w:rsidRDefault="00BA7C13">
      <w:pPr>
        <w:spacing w:after="0" w:line="248" w:lineRule="auto"/>
        <w:ind w:left="1070" w:right="3901" w:hanging="10"/>
        <w:jc w:val="both"/>
      </w:pPr>
      <w:r>
        <w:rPr>
          <w:rFonts w:ascii="Arial" w:eastAsia="Arial" w:hAnsi="Arial" w:cs="Arial"/>
        </w:rPr>
        <w:t>Dña. Evangelina Máxima Chico Castellano. D. Juan Carmelo Chico Castellano.</w:t>
      </w:r>
    </w:p>
    <w:p w:rsidR="00E23B86" w:rsidRDefault="00BA7C13">
      <w:pPr>
        <w:spacing w:after="10" w:line="248" w:lineRule="auto"/>
        <w:ind w:left="1070" w:right="552" w:hanging="10"/>
        <w:jc w:val="both"/>
      </w:pPr>
      <w:r>
        <w:rPr>
          <w:rFonts w:ascii="Arial" w:eastAsia="Arial" w:hAnsi="Arial" w:cs="Arial"/>
        </w:rPr>
        <w:t>Dña. Heraclia Castro Castro.</w:t>
      </w:r>
    </w:p>
    <w:p w:rsidR="00E23B86" w:rsidRDefault="00BA7C13">
      <w:pPr>
        <w:spacing w:after="737" w:line="248" w:lineRule="auto"/>
        <w:ind w:left="363" w:right="552" w:firstLine="708"/>
        <w:jc w:val="both"/>
      </w:pPr>
      <w:r>
        <w:rPr>
          <w:noProof/>
        </w:rPr>
        <mc:AlternateContent>
          <mc:Choice Requires="wpg">
            <w:drawing>
              <wp:anchor distT="0" distB="0" distL="114300" distR="114300" simplePos="0" relativeHeight="2517872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5238" name="Group 50523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822" name="Rectangle 2582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823" name="Rectangle 2582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5238" style="width:12.7031pt;height:280.35pt;position:absolute;mso-position-horizontal-relative:page;mso-position-horizontal:absolute;margin-left:681.958pt;mso-position-vertical-relative:page;margin-top:531.65pt;" coordsize="1613,35604">
                <v:rect id="Rectangle 2582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82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126 de 391 </w:t>
                        </w:r>
                      </w:p>
                    </w:txbxContent>
                  </v:textbox>
                </v:rect>
                <w10:wrap type="square"/>
              </v:group>
            </w:pict>
          </mc:Fallback>
        </mc:AlternateContent>
      </w:r>
      <w:r>
        <w:rPr>
          <w:rFonts w:ascii="Arial" w:eastAsia="Arial" w:hAnsi="Arial" w:cs="Arial"/>
        </w:rPr>
        <w:t xml:space="preserve">D. Ramiro Urbano Oliva Rodríguez en representación de la entidad “Construcciones Oliva Baute,S.L.”. </w:t>
      </w:r>
    </w:p>
    <w:p w:rsidR="00E23B86" w:rsidRDefault="00BA7C13">
      <w:pPr>
        <w:spacing w:after="522" w:line="248" w:lineRule="auto"/>
        <w:ind w:left="363" w:right="552" w:firstLine="708"/>
        <w:jc w:val="both"/>
      </w:pPr>
      <w:r>
        <w:rPr>
          <w:rFonts w:ascii="Arial" w:eastAsia="Arial" w:hAnsi="Arial" w:cs="Arial"/>
        </w:rPr>
        <w:t>Segundo.- Clasificar la proposición presentada según la prop</w:t>
      </w:r>
      <w:r>
        <w:rPr>
          <w:rFonts w:ascii="Arial" w:eastAsia="Arial" w:hAnsi="Arial" w:cs="Arial"/>
        </w:rPr>
        <w:t>uesta unánime de la Mesa de contratación de fecha 19 de febrero de 2020 que ha obtenido la siguiente puntuación de 100 puntos según los criterios de adjudicación del PCAP:</w:t>
      </w:r>
    </w:p>
    <w:p w:rsidR="00E23B86" w:rsidRDefault="00BA7C13">
      <w:pPr>
        <w:spacing w:after="10" w:line="248" w:lineRule="auto"/>
        <w:ind w:left="1070" w:right="552" w:hanging="10"/>
        <w:jc w:val="both"/>
      </w:pPr>
      <w:r>
        <w:rPr>
          <w:rFonts w:ascii="Arial" w:eastAsia="Arial" w:hAnsi="Arial" w:cs="Arial"/>
          <w:sz w:val="24"/>
        </w:rPr>
        <w:t>D</w:t>
      </w:r>
      <w:r>
        <w:rPr>
          <w:rFonts w:ascii="Arial" w:eastAsia="Arial" w:hAnsi="Arial" w:cs="Arial"/>
        </w:rPr>
        <w:t>. Andrés Jesús Chico Castellano.</w:t>
      </w:r>
    </w:p>
    <w:p w:rsidR="00E23B86" w:rsidRDefault="00BA7C13">
      <w:pPr>
        <w:spacing w:after="10" w:line="248" w:lineRule="auto"/>
        <w:ind w:left="1070" w:right="552" w:hanging="10"/>
        <w:jc w:val="both"/>
      </w:pPr>
      <w:r>
        <w:rPr>
          <w:rFonts w:ascii="Arial" w:eastAsia="Arial" w:hAnsi="Arial" w:cs="Arial"/>
        </w:rPr>
        <w:t>D. José Aurelio Chico Castellano.</w:t>
      </w:r>
    </w:p>
    <w:p w:rsidR="00E23B86" w:rsidRDefault="00BA7C13">
      <w:pPr>
        <w:spacing w:after="0" w:line="248" w:lineRule="auto"/>
        <w:ind w:left="1070" w:right="3901" w:hanging="10"/>
        <w:jc w:val="both"/>
      </w:pPr>
      <w:r>
        <w:rPr>
          <w:rFonts w:ascii="Arial" w:eastAsia="Arial" w:hAnsi="Arial" w:cs="Arial"/>
        </w:rPr>
        <w:t xml:space="preserve">Dña. Evangelina </w:t>
      </w:r>
      <w:r>
        <w:rPr>
          <w:rFonts w:ascii="Arial" w:eastAsia="Arial" w:hAnsi="Arial" w:cs="Arial"/>
        </w:rPr>
        <w:t>Máxima Chico Castellano. D. Juan Carmelo Chico Castellano.</w:t>
      </w:r>
    </w:p>
    <w:p w:rsidR="00E23B86" w:rsidRDefault="00BA7C13">
      <w:pPr>
        <w:spacing w:after="10" w:line="248" w:lineRule="auto"/>
        <w:ind w:left="1070" w:right="552" w:hanging="10"/>
        <w:jc w:val="both"/>
      </w:pPr>
      <w:r>
        <w:rPr>
          <w:rFonts w:ascii="Arial" w:eastAsia="Arial" w:hAnsi="Arial" w:cs="Arial"/>
        </w:rPr>
        <w:t>Dña. Heraclia Castro Castro.</w:t>
      </w:r>
    </w:p>
    <w:p w:rsidR="00E23B86" w:rsidRDefault="00BA7C13">
      <w:pPr>
        <w:spacing w:after="245" w:line="248" w:lineRule="auto"/>
        <w:ind w:left="363" w:right="552" w:firstLine="708"/>
        <w:jc w:val="both"/>
      </w:pPr>
      <w:r>
        <w:rPr>
          <w:rFonts w:ascii="Arial" w:eastAsia="Arial" w:hAnsi="Arial" w:cs="Arial"/>
        </w:rPr>
        <w:t>D. Ramiro Urbano Oliva Rodríguez en representación de la entidad “Construcciones Oliva Baute,S.L.”.</w:t>
      </w:r>
    </w:p>
    <w:p w:rsidR="00E23B86" w:rsidRDefault="00BA7C13">
      <w:pPr>
        <w:spacing w:after="243" w:line="248" w:lineRule="auto"/>
        <w:ind w:left="1070" w:right="552" w:hanging="10"/>
        <w:jc w:val="both"/>
      </w:pPr>
      <w:r>
        <w:rPr>
          <w:rFonts w:ascii="Arial" w:eastAsia="Arial" w:hAnsi="Arial" w:cs="Arial"/>
        </w:rPr>
        <w:t xml:space="preserve">-Valoración del criterio del juicio de valor: </w:t>
      </w:r>
    </w:p>
    <w:p w:rsidR="00E23B86" w:rsidRDefault="00BA7C13">
      <w:pPr>
        <w:spacing w:after="245" w:line="248" w:lineRule="auto"/>
        <w:ind w:left="363" w:right="552" w:firstLine="708"/>
        <w:jc w:val="both"/>
      </w:pPr>
      <w:r>
        <w:rPr>
          <w:rFonts w:ascii="Arial" w:eastAsia="Arial" w:hAnsi="Arial" w:cs="Arial"/>
        </w:rPr>
        <w:t>Informe técnico presentado por los licitadores que ha sido informado por la Arquitecta municipal con fecha 14 de febrero de 2020 con la máxima puntuación de 30 puntos.</w:t>
      </w:r>
    </w:p>
    <w:p w:rsidR="00E23B86" w:rsidRDefault="00BA7C13">
      <w:pPr>
        <w:spacing w:after="495" w:line="248" w:lineRule="auto"/>
        <w:ind w:left="1070" w:right="552" w:hanging="10"/>
        <w:jc w:val="both"/>
      </w:pPr>
      <w:r>
        <w:rPr>
          <w:rFonts w:ascii="Arial" w:eastAsia="Arial" w:hAnsi="Arial" w:cs="Arial"/>
        </w:rPr>
        <w:t xml:space="preserve">-Valoración del criterio automático: Mejor y única oferta económica: </w:t>
      </w:r>
    </w:p>
    <w:p w:rsidR="00E23B86" w:rsidRDefault="00BA7C13">
      <w:pPr>
        <w:spacing w:after="110" w:line="248" w:lineRule="auto"/>
        <w:ind w:left="1070" w:right="552" w:hanging="10"/>
        <w:jc w:val="both"/>
      </w:pPr>
      <w:r>
        <w:rPr>
          <w:rFonts w:ascii="Arial" w:eastAsia="Arial" w:hAnsi="Arial" w:cs="Arial"/>
        </w:rPr>
        <w:t>Desglose por propi</w:t>
      </w:r>
      <w:r>
        <w:rPr>
          <w:rFonts w:ascii="Arial" w:eastAsia="Arial" w:hAnsi="Arial" w:cs="Arial"/>
        </w:rPr>
        <w:t>etarios en función del porcentaje de la propiedad:</w:t>
      </w:r>
    </w:p>
    <w:p w:rsidR="00E23B86" w:rsidRDefault="00BA7C13">
      <w:pPr>
        <w:spacing w:after="0"/>
        <w:ind w:left="1060"/>
      </w:pPr>
      <w:r>
        <w:rPr>
          <w:rFonts w:ascii="Arial" w:eastAsia="Arial" w:hAnsi="Arial" w:cs="Arial"/>
        </w:rPr>
        <w:t xml:space="preserve"> </w:t>
      </w:r>
    </w:p>
    <w:p w:rsidR="00E23B86" w:rsidRDefault="00BA7C13">
      <w:pPr>
        <w:spacing w:after="0" w:line="248" w:lineRule="auto"/>
        <w:ind w:left="1070" w:right="2151" w:hanging="10"/>
        <w:jc w:val="both"/>
      </w:pPr>
      <w:r>
        <w:rPr>
          <w:rFonts w:ascii="Arial" w:eastAsia="Arial" w:hAnsi="Arial" w:cs="Arial"/>
        </w:rPr>
        <w:t xml:space="preserve">  *D. Andrés Jesús Chico Castellano………306.470,25 euros.    D. José Aurelio Chico Castellano………..306.470,25 euros.</w:t>
      </w:r>
    </w:p>
    <w:p w:rsidR="00E23B86" w:rsidRDefault="00BA7C13">
      <w:pPr>
        <w:spacing w:after="3" w:line="249" w:lineRule="auto"/>
        <w:ind w:left="1070" w:right="1772" w:hanging="10"/>
      </w:pPr>
      <w:r>
        <w:rPr>
          <w:rFonts w:ascii="Arial" w:eastAsia="Arial" w:hAnsi="Arial" w:cs="Arial"/>
        </w:rPr>
        <w:t xml:space="preserve">   Dña. Evangelina Máxima Chico Castellano…..306.470,25 euros.    D. Juan Carmelo Chico Castellano………306.470,25 euros.     Dña. Heraclia Castro Castro………………669.694,25 euros.</w:t>
      </w:r>
    </w:p>
    <w:p w:rsidR="00E23B86" w:rsidRDefault="00BA7C13">
      <w:pPr>
        <w:spacing w:after="149" w:line="350" w:lineRule="auto"/>
        <w:ind w:left="363" w:right="552" w:firstLine="708"/>
        <w:jc w:val="both"/>
      </w:pPr>
      <w:r>
        <w:rPr>
          <w:rFonts w:ascii="Arial" w:eastAsia="Arial" w:hAnsi="Arial" w:cs="Arial"/>
        </w:rPr>
        <w:t xml:space="preserve">   D. Ramiro Urbano Oliva Rodríguez,…en representación de la entidad “Construccion</w:t>
      </w:r>
      <w:r>
        <w:rPr>
          <w:rFonts w:ascii="Arial" w:eastAsia="Arial" w:hAnsi="Arial" w:cs="Arial"/>
        </w:rPr>
        <w:t xml:space="preserve">es Oliva Baute,S.L.”…………………374.574,75 euros, incluido IGIC. </w:t>
      </w:r>
      <w:r>
        <w:rPr>
          <w:rFonts w:ascii="Arial" w:eastAsia="Arial" w:hAnsi="Arial" w:cs="Arial"/>
          <w:sz w:val="24"/>
        </w:rPr>
        <w:t>TOTAL DE LA OFERTA: 2.270.150,00 euros.”</w:t>
      </w:r>
    </w:p>
    <w:p w:rsidR="00E23B86" w:rsidRDefault="00BA7C13">
      <w:pPr>
        <w:spacing w:after="245" w:line="250" w:lineRule="auto"/>
        <w:ind w:left="1055" w:right="549" w:hanging="10"/>
        <w:jc w:val="both"/>
      </w:pPr>
      <w:r>
        <w:rPr>
          <w:rFonts w:ascii="Arial" w:eastAsia="Arial" w:hAnsi="Arial" w:cs="Arial"/>
          <w:sz w:val="24"/>
        </w:rPr>
        <w:t>De lo que resulta la puntuación de 70 puntos.</w:t>
      </w:r>
    </w:p>
    <w:p w:rsidR="00E23B86" w:rsidRDefault="00BA7C13">
      <w:pPr>
        <w:spacing w:after="342" w:line="250" w:lineRule="auto"/>
        <w:ind w:left="1055" w:right="549" w:hanging="10"/>
        <w:jc w:val="both"/>
      </w:pPr>
      <w:r>
        <w:rPr>
          <w:rFonts w:ascii="Arial" w:eastAsia="Arial" w:hAnsi="Arial" w:cs="Arial"/>
          <w:sz w:val="24"/>
        </w:rPr>
        <w:t>De lo que resulta 30+70: 100 puntos.</w:t>
      </w:r>
    </w:p>
    <w:p w:rsidR="00E23B86" w:rsidRDefault="00BA7C13">
      <w:pPr>
        <w:spacing w:after="110" w:line="248" w:lineRule="auto"/>
        <w:ind w:left="363" w:right="552" w:firstLine="708"/>
        <w:jc w:val="both"/>
      </w:pPr>
      <w:r>
        <w:rPr>
          <w:rFonts w:ascii="Arial" w:eastAsia="Arial" w:hAnsi="Arial" w:cs="Arial"/>
        </w:rPr>
        <w:t xml:space="preserve">Tercero.- Adjudicar la presente licitación aprobada en el Pleno de 26 de diciembre de 2019 y publicada en la plataforma de contratación del sector público el día 10 de enero de 2020: “adquisición del bien inmueble: “parcelas del ámbito de la UA-C01 Acceso </w:t>
      </w:r>
      <w:r>
        <w:rPr>
          <w:rFonts w:ascii="Arial" w:eastAsia="Arial" w:hAnsi="Arial" w:cs="Arial"/>
        </w:rPr>
        <w:t>a Candelaria”  a la única y mejor oferta presentada que es la siguiente y por registro de entrada de 5 de febrero de 2020:</w:t>
      </w:r>
    </w:p>
    <w:p w:rsidR="00E23B86" w:rsidRDefault="00BA7C13">
      <w:pPr>
        <w:spacing w:after="10" w:line="248" w:lineRule="auto"/>
        <w:ind w:left="1070" w:right="552" w:hanging="10"/>
        <w:jc w:val="both"/>
      </w:pPr>
      <w:r>
        <w:rPr>
          <w:rFonts w:ascii="Arial" w:eastAsia="Arial" w:hAnsi="Arial" w:cs="Arial"/>
        </w:rPr>
        <w:t>D. Andrés Jesús Chico Castellano.</w:t>
      </w:r>
    </w:p>
    <w:p w:rsidR="00E23B86" w:rsidRDefault="00BA7C13">
      <w:pPr>
        <w:spacing w:after="10" w:line="248" w:lineRule="auto"/>
        <w:ind w:left="1070" w:right="552" w:hanging="10"/>
        <w:jc w:val="both"/>
      </w:pPr>
      <w:r>
        <w:rPr>
          <w:rFonts w:ascii="Arial" w:eastAsia="Arial" w:hAnsi="Arial" w:cs="Arial"/>
        </w:rPr>
        <w:t>D. José Aurelio Chico Castellano.</w:t>
      </w:r>
    </w:p>
    <w:p w:rsidR="00E23B86" w:rsidRDefault="00BA7C13">
      <w:pPr>
        <w:spacing w:after="0" w:line="248" w:lineRule="auto"/>
        <w:ind w:left="1070" w:right="3901" w:hanging="10"/>
        <w:jc w:val="both"/>
      </w:pPr>
      <w:r>
        <w:rPr>
          <w:rFonts w:ascii="Arial" w:eastAsia="Arial" w:hAnsi="Arial" w:cs="Arial"/>
        </w:rPr>
        <w:t>Dña. Evangelina Máxima Chico Castellano. D. Juan Carmelo Chico Ca</w:t>
      </w:r>
      <w:r>
        <w:rPr>
          <w:rFonts w:ascii="Arial" w:eastAsia="Arial" w:hAnsi="Arial" w:cs="Arial"/>
        </w:rPr>
        <w:t>stellano.</w:t>
      </w:r>
    </w:p>
    <w:p w:rsidR="00E23B86" w:rsidRDefault="00BA7C13">
      <w:pPr>
        <w:spacing w:after="10" w:line="248" w:lineRule="auto"/>
        <w:ind w:left="1070" w:right="552" w:hanging="10"/>
        <w:jc w:val="both"/>
      </w:pPr>
      <w:r>
        <w:rPr>
          <w:noProof/>
        </w:rPr>
        <mc:AlternateContent>
          <mc:Choice Requires="wpg">
            <w:drawing>
              <wp:anchor distT="0" distB="0" distL="114300" distR="114300" simplePos="0" relativeHeight="2517882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5593" name="Group 50559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881" name="Rectangle 2588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882" name="Rectangle 2588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5593" style="width:12.7031pt;height:280.35pt;position:absolute;mso-position-horizontal-relative:page;mso-position-horizontal:absolute;margin-left:681.958pt;mso-position-vertical-relative:page;margin-top:531.65pt;" coordsize="1613,35604">
                <v:rect id="Rectangle 2588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88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127 de 391 </w:t>
                        </w:r>
                      </w:p>
                    </w:txbxContent>
                  </v:textbox>
                </v:rect>
                <w10:wrap type="square"/>
              </v:group>
            </w:pict>
          </mc:Fallback>
        </mc:AlternateContent>
      </w:r>
      <w:r>
        <w:rPr>
          <w:rFonts w:ascii="Arial" w:eastAsia="Arial" w:hAnsi="Arial" w:cs="Arial"/>
        </w:rPr>
        <w:t>Dña. Heraclia Castro Castro.</w:t>
      </w:r>
    </w:p>
    <w:p w:rsidR="00E23B86" w:rsidRDefault="00BA7C13">
      <w:pPr>
        <w:spacing w:after="245" w:line="248" w:lineRule="auto"/>
        <w:ind w:left="363" w:right="552" w:firstLine="708"/>
        <w:jc w:val="both"/>
      </w:pPr>
      <w:r>
        <w:rPr>
          <w:rFonts w:ascii="Arial" w:eastAsia="Arial" w:hAnsi="Arial" w:cs="Arial"/>
        </w:rPr>
        <w:t>D. Ramiro Urbano Ol</w:t>
      </w:r>
      <w:r>
        <w:rPr>
          <w:rFonts w:ascii="Arial" w:eastAsia="Arial" w:hAnsi="Arial" w:cs="Arial"/>
        </w:rPr>
        <w:t xml:space="preserve">iva Rodríguez en representación de la entidad “Construcciones Oliva Baute,S.L.”. </w:t>
      </w:r>
    </w:p>
    <w:p w:rsidR="00E23B86" w:rsidRDefault="00BA7C13">
      <w:pPr>
        <w:spacing w:after="3" w:line="249" w:lineRule="auto"/>
        <w:ind w:left="1070" w:right="1455" w:hanging="10"/>
      </w:pPr>
      <w:r>
        <w:rPr>
          <w:rFonts w:ascii="Arial" w:eastAsia="Arial" w:hAnsi="Arial" w:cs="Arial"/>
        </w:rPr>
        <w:t>Y por el importe desglosado en función del porcentaje de la propiedad: D. Andrés Jesús Chico Castellano………306.470,25 euros. D. José Aurelio Chico Castellano………..306.470,25 euros.</w:t>
      </w:r>
    </w:p>
    <w:p w:rsidR="00E23B86" w:rsidRDefault="00BA7C13">
      <w:pPr>
        <w:spacing w:after="3" w:line="249" w:lineRule="auto"/>
        <w:ind w:left="1070" w:right="1956" w:hanging="10"/>
      </w:pPr>
      <w:r>
        <w:rPr>
          <w:rFonts w:ascii="Arial" w:eastAsia="Arial" w:hAnsi="Arial" w:cs="Arial"/>
        </w:rPr>
        <w:t>Dña. Evangelina Máxima Chico Castellano…..306.470,25 euros. D. Juan Carmelo C</w:t>
      </w:r>
      <w:r>
        <w:rPr>
          <w:rFonts w:ascii="Arial" w:eastAsia="Arial" w:hAnsi="Arial" w:cs="Arial"/>
        </w:rPr>
        <w:t>hico Castellano………306.470,25 euros.  Dña. Heraclia Castro Castro………………669.694,25 euros.</w:t>
      </w:r>
    </w:p>
    <w:p w:rsidR="00E23B86" w:rsidRDefault="00BA7C13">
      <w:pPr>
        <w:spacing w:after="281" w:line="248" w:lineRule="auto"/>
        <w:ind w:left="363" w:right="552" w:firstLine="708"/>
        <w:jc w:val="both"/>
      </w:pPr>
      <w:r>
        <w:rPr>
          <w:rFonts w:ascii="Arial" w:eastAsia="Arial" w:hAnsi="Arial" w:cs="Arial"/>
        </w:rPr>
        <w:t xml:space="preserve">D. Ramiro Urbano Oliva Rodríguez,…en representación de la entidad “Construcciones Oliva Baute,S.L.”…………………374.574,75 euros, incluido IGIC. </w:t>
      </w:r>
    </w:p>
    <w:p w:rsidR="00E23B86" w:rsidRDefault="00BA7C13">
      <w:pPr>
        <w:spacing w:after="250" w:line="248" w:lineRule="auto"/>
        <w:ind w:left="373" w:right="552" w:hanging="10"/>
        <w:jc w:val="both"/>
      </w:pPr>
      <w:r>
        <w:rPr>
          <w:rFonts w:ascii="Arial" w:eastAsia="Arial" w:hAnsi="Arial" w:cs="Arial"/>
        </w:rPr>
        <w:t xml:space="preserve"> Lo que hace un importe tota</w:t>
      </w:r>
      <w:r>
        <w:rPr>
          <w:rFonts w:ascii="Arial" w:eastAsia="Arial" w:hAnsi="Arial" w:cs="Arial"/>
        </w:rPr>
        <w:t>l de 2.270.150,00 euros</w:t>
      </w:r>
      <w:r>
        <w:rPr>
          <w:rFonts w:ascii="Arial" w:eastAsia="Arial" w:hAnsi="Arial" w:cs="Arial"/>
          <w:sz w:val="24"/>
        </w:rPr>
        <w:t>.</w:t>
      </w:r>
    </w:p>
    <w:p w:rsidR="00E23B86" w:rsidRDefault="00BA7C13">
      <w:pPr>
        <w:spacing w:after="110" w:line="248" w:lineRule="auto"/>
        <w:ind w:left="363" w:right="552" w:firstLine="708"/>
        <w:jc w:val="both"/>
      </w:pPr>
      <w:r>
        <w:rPr>
          <w:rFonts w:ascii="Arial" w:eastAsia="Arial" w:hAnsi="Arial" w:cs="Arial"/>
        </w:rPr>
        <w:t>Cuarto.- Notificar el acuerdo plenario que se adopte a los licitadores antedichos y publicar el mismo en la Plataforma de Contratación del Sector Público.</w:t>
      </w:r>
    </w:p>
    <w:p w:rsidR="00E23B86" w:rsidRDefault="00BA7C13">
      <w:pPr>
        <w:spacing w:after="485" w:line="248" w:lineRule="auto"/>
        <w:ind w:left="363" w:right="552" w:firstLine="708"/>
        <w:jc w:val="both"/>
      </w:pPr>
      <w:r>
        <w:rPr>
          <w:rFonts w:ascii="Arial" w:eastAsia="Arial" w:hAnsi="Arial" w:cs="Arial"/>
        </w:rPr>
        <w:t xml:space="preserve">Quinto.- Notificar el presente acuerdo a la Notaría de Güimar a los efectos </w:t>
      </w:r>
      <w:r>
        <w:rPr>
          <w:rFonts w:ascii="Arial" w:eastAsia="Arial" w:hAnsi="Arial" w:cs="Arial"/>
        </w:rPr>
        <w:t>de realizar los trámites notariales para la firma de la escritura pública de compraventa y la posterior inscripción de los bienes objeto de adquisición en el Registro de la Propiedad conforme los procedimientos correspondientes regulados por el Derecho civ</w:t>
      </w:r>
      <w:r>
        <w:rPr>
          <w:rFonts w:ascii="Arial" w:eastAsia="Arial" w:hAnsi="Arial" w:cs="Arial"/>
        </w:rPr>
        <w:t>il”.</w:t>
      </w:r>
    </w:p>
    <w:p w:rsidR="00E23B86" w:rsidRDefault="00BA7C13">
      <w:pPr>
        <w:spacing w:after="111" w:line="249" w:lineRule="auto"/>
        <w:ind w:left="355" w:right="554" w:hanging="10"/>
        <w:jc w:val="both"/>
      </w:pPr>
      <w:r>
        <w:rPr>
          <w:rFonts w:ascii="Arial" w:eastAsia="Arial" w:hAnsi="Arial" w:cs="Arial"/>
          <w:b/>
        </w:rPr>
        <w:t>DICTAMEN DE LA COMISIÓN INFORMATIVA DE PLANIFICACIÓN Y GESTIÓN URBANÍSTICA Y AMBIENTAL, OBRAS Y SERVICIOS PÚBLICOS.</w:t>
      </w:r>
    </w:p>
    <w:p w:rsidR="00E23B86" w:rsidRDefault="00BA7C13">
      <w:pPr>
        <w:spacing w:after="110" w:line="248" w:lineRule="auto"/>
        <w:ind w:left="373" w:right="552" w:hanging="10"/>
        <w:jc w:val="both"/>
      </w:pPr>
      <w:r>
        <w:rPr>
          <w:rFonts w:ascii="Arial" w:eastAsia="Arial" w:hAnsi="Arial" w:cs="Arial"/>
        </w:rPr>
        <w:t>Votos a favor: 4.</w:t>
      </w:r>
    </w:p>
    <w:p w:rsidR="00E23B86" w:rsidRDefault="00BA7C13">
      <w:pPr>
        <w:spacing w:after="110" w:line="248" w:lineRule="auto"/>
        <w:ind w:left="373" w:right="552" w:hanging="10"/>
        <w:jc w:val="both"/>
      </w:pPr>
      <w:r>
        <w:rPr>
          <w:rFonts w:ascii="Arial" w:eastAsia="Arial" w:hAnsi="Arial" w:cs="Arial"/>
        </w:rPr>
        <w:t>Los 4 concejales del Grupo Socialista: Don José Francisco Pinto Ramos, Doña Hilaria Cecilia Otazo González, Doña Marg</w:t>
      </w:r>
      <w:r>
        <w:rPr>
          <w:rFonts w:ascii="Arial" w:eastAsia="Arial" w:hAnsi="Arial" w:cs="Arial"/>
        </w:rPr>
        <w:t>arita Eva Tendero Barroso y Don Olegario Francisco Alonso Bello.</w:t>
      </w:r>
    </w:p>
    <w:p w:rsidR="00E23B86" w:rsidRDefault="00BA7C13">
      <w:pPr>
        <w:spacing w:after="110" w:line="248" w:lineRule="auto"/>
        <w:ind w:left="373" w:right="552" w:hanging="10"/>
        <w:jc w:val="both"/>
      </w:pPr>
      <w:r>
        <w:rPr>
          <w:rFonts w:ascii="Arial" w:eastAsia="Arial" w:hAnsi="Arial" w:cs="Arial"/>
        </w:rPr>
        <w:t>Abstenciones: 3.</w:t>
      </w:r>
    </w:p>
    <w:p w:rsidR="00E23B86" w:rsidRDefault="00BA7C13">
      <w:pPr>
        <w:spacing w:after="110" w:line="248" w:lineRule="auto"/>
        <w:ind w:left="373" w:right="552" w:hanging="10"/>
        <w:jc w:val="both"/>
      </w:pPr>
      <w:r>
        <w:rPr>
          <w:rFonts w:ascii="Arial" w:eastAsia="Arial" w:hAnsi="Arial" w:cs="Arial"/>
        </w:rPr>
        <w:t>1 del concejal del Grupo Popular, Don Juan Miguel Olivera González.</w:t>
      </w:r>
    </w:p>
    <w:p w:rsidR="00E23B86" w:rsidRDefault="00BA7C13">
      <w:pPr>
        <w:spacing w:after="485" w:line="248" w:lineRule="auto"/>
        <w:ind w:left="373" w:right="552" w:hanging="10"/>
        <w:jc w:val="both"/>
      </w:pPr>
      <w:r>
        <w:rPr>
          <w:rFonts w:ascii="Arial" w:eastAsia="Arial" w:hAnsi="Arial" w:cs="Arial"/>
        </w:rPr>
        <w:t>Las 2 concejalas del Grupo Mixto: Doña María del Carmen Coello González (SSP) y Doña Ángela Cruz Perera (CC-PNC).</w:t>
      </w:r>
    </w:p>
    <w:p w:rsidR="00E23B86" w:rsidRDefault="00BA7C13">
      <w:pPr>
        <w:spacing w:after="111" w:line="249" w:lineRule="auto"/>
        <w:ind w:left="355" w:right="554" w:hanging="10"/>
        <w:jc w:val="both"/>
      </w:pPr>
      <w:r>
        <w:rPr>
          <w:rFonts w:ascii="Arial" w:eastAsia="Arial" w:hAnsi="Arial" w:cs="Arial"/>
          <w:b/>
        </w:rPr>
        <w:t>JUNTA DE PORTAVOCES</w:t>
      </w:r>
    </w:p>
    <w:p w:rsidR="00E23B86" w:rsidRDefault="00BA7C13">
      <w:pPr>
        <w:spacing w:after="110" w:line="248" w:lineRule="auto"/>
        <w:ind w:left="373" w:right="552" w:hanging="10"/>
        <w:jc w:val="both"/>
      </w:pPr>
      <w:r>
        <w:rPr>
          <w:rFonts w:ascii="Arial" w:eastAsia="Arial" w:hAnsi="Arial" w:cs="Arial"/>
        </w:rPr>
        <w:t>Quedó oída.</w:t>
      </w:r>
    </w:p>
    <w:p w:rsidR="00E23B86" w:rsidRDefault="00BA7C13">
      <w:pPr>
        <w:spacing w:after="111" w:line="249" w:lineRule="auto"/>
        <w:ind w:left="355" w:right="554" w:hanging="10"/>
        <w:jc w:val="both"/>
      </w:pPr>
      <w:r>
        <w:rPr>
          <w:rFonts w:ascii="Arial" w:eastAsia="Arial" w:hAnsi="Arial" w:cs="Arial"/>
          <w:b/>
        </w:rPr>
        <w:t>VOTACIÓN EN EL PLENO</w:t>
      </w:r>
    </w:p>
    <w:p w:rsidR="00E23B86" w:rsidRDefault="00BA7C13">
      <w:pPr>
        <w:spacing w:after="110" w:line="248" w:lineRule="auto"/>
        <w:ind w:left="373" w:right="552" w:hanging="10"/>
        <w:jc w:val="both"/>
      </w:pPr>
      <w:r>
        <w:rPr>
          <w:rFonts w:ascii="Arial" w:eastAsia="Arial" w:hAnsi="Arial" w:cs="Arial"/>
        </w:rPr>
        <w:t>Votos a favor: 16</w:t>
      </w:r>
    </w:p>
    <w:p w:rsidR="00E23B86" w:rsidRDefault="00BA7C13">
      <w:pPr>
        <w:spacing w:after="110" w:line="248" w:lineRule="auto"/>
        <w:ind w:left="373" w:right="552" w:hanging="10"/>
        <w:jc w:val="both"/>
      </w:pPr>
      <w:r>
        <w:rPr>
          <w:rFonts w:ascii="Arial" w:eastAsia="Arial" w:hAnsi="Arial" w:cs="Arial"/>
        </w:rPr>
        <w:t xml:space="preserve">11 concejales del Grupo Socialista: Doña María Concepción Brito Núñez, </w:t>
      </w:r>
      <w:r>
        <w:rPr>
          <w:rFonts w:ascii="Arial" w:eastAsia="Arial" w:hAnsi="Arial" w:cs="Arial"/>
        </w:rPr>
        <w:t>Don Jorge Baute Delgado, Doña Olivia Concepción Pérez Díaz, Don José Francisco Pinto Ramos, Doña Hilaria Cecilia Otazo González, Don Airam Pérez Chinea, Doña Margarita Eva Tendero Barroso, Don Manuel Alberto González Pestano, Doña María del Carmen Clemente</w:t>
      </w:r>
      <w:r>
        <w:rPr>
          <w:rFonts w:ascii="Arial" w:eastAsia="Arial" w:hAnsi="Arial" w:cs="Arial"/>
        </w:rPr>
        <w:t xml:space="preserve"> Díaz, Don Olegario Francisco Alonso Bello y Don Reinaldo José Triviño Blanco. </w:t>
      </w:r>
    </w:p>
    <w:p w:rsidR="00E23B86" w:rsidRDefault="00BA7C13">
      <w:pPr>
        <w:spacing w:after="110" w:line="248" w:lineRule="auto"/>
        <w:ind w:left="373" w:right="552" w:hanging="10"/>
        <w:jc w:val="both"/>
      </w:pPr>
      <w:r>
        <w:rPr>
          <w:rFonts w:ascii="Arial" w:eastAsia="Arial" w:hAnsi="Arial" w:cs="Arial"/>
        </w:rPr>
        <w:t xml:space="preserve">3 concejales del Grupo Popular: Don Juan Miguel Olivera González, Don Jacobo López Fariña y Doña Raquel Martín Castro. </w:t>
      </w:r>
    </w:p>
    <w:p w:rsidR="00E23B86" w:rsidRDefault="00BA7C13">
      <w:pPr>
        <w:spacing w:after="365" w:line="248" w:lineRule="auto"/>
        <w:ind w:left="373" w:right="552" w:hanging="10"/>
        <w:jc w:val="both"/>
      </w:pPr>
      <w:r>
        <w:rPr>
          <w:noProof/>
        </w:rPr>
        <mc:AlternateContent>
          <mc:Choice Requires="wpg">
            <w:drawing>
              <wp:anchor distT="0" distB="0" distL="114300" distR="114300" simplePos="0" relativeHeight="2517893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5957" name="Group 50595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929" name="Rectangle 2592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25930" name="Rectangle 2593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5957" style="width:12.7031pt;height:280.35pt;position:absolute;mso-position-horizontal-relative:page;mso-position-horizontal:absolute;margin-left:681.958pt;mso-position-vertical-relative:page;margin-top:531.65pt;" coordsize="1613,35604">
                <v:rect id="Rectangle 2592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93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128 de 391 </w:t>
                        </w:r>
                      </w:p>
                    </w:txbxContent>
                  </v:textbox>
                </v:rect>
                <w10:wrap type="square"/>
              </v:group>
            </w:pict>
          </mc:Fallback>
        </mc:AlternateContent>
      </w:r>
      <w:r>
        <w:rPr>
          <w:rFonts w:ascii="Arial" w:eastAsia="Arial" w:hAnsi="Arial" w:cs="Arial"/>
        </w:rPr>
        <w:t>2 concejales del Grupo Mixto: Doña Ángela Cruz Perera (CC-PNC) y Don José Fernando Gómez Martín (PvxC).</w:t>
      </w:r>
    </w:p>
    <w:p w:rsidR="00E23B86" w:rsidRDefault="00BA7C13">
      <w:pPr>
        <w:spacing w:after="243" w:line="248" w:lineRule="auto"/>
        <w:ind w:left="373" w:right="552" w:hanging="10"/>
        <w:jc w:val="both"/>
      </w:pPr>
      <w:r>
        <w:rPr>
          <w:rFonts w:ascii="Arial" w:eastAsia="Arial" w:hAnsi="Arial" w:cs="Arial"/>
        </w:rPr>
        <w:t>Votos en contra: 0.</w:t>
      </w:r>
    </w:p>
    <w:p w:rsidR="00E23B86" w:rsidRDefault="00BA7C13">
      <w:pPr>
        <w:spacing w:after="243" w:line="248" w:lineRule="auto"/>
        <w:ind w:left="373" w:right="552" w:hanging="10"/>
        <w:jc w:val="both"/>
      </w:pPr>
      <w:r>
        <w:rPr>
          <w:rFonts w:ascii="Arial" w:eastAsia="Arial" w:hAnsi="Arial" w:cs="Arial"/>
        </w:rPr>
        <w:t>Abstenciones: 2.</w:t>
      </w:r>
    </w:p>
    <w:p w:rsidR="00E23B86" w:rsidRDefault="00BA7C13">
      <w:pPr>
        <w:spacing w:after="1257" w:line="248" w:lineRule="auto"/>
        <w:ind w:left="373" w:right="552" w:hanging="10"/>
        <w:jc w:val="both"/>
      </w:pPr>
      <w:r>
        <w:rPr>
          <w:rFonts w:ascii="Arial" w:eastAsia="Arial" w:hAnsi="Arial" w:cs="Arial"/>
        </w:rPr>
        <w:t>2 concejalas del Grupo Mixto: Doña María del Carmen Coello González y Doña María del Pilar Maceín Núñez (SSP).</w:t>
      </w:r>
    </w:p>
    <w:p w:rsidR="00E23B86" w:rsidRDefault="00BA7C13">
      <w:pPr>
        <w:pStyle w:val="Ttulo4"/>
        <w:spacing w:after="481" w:line="265" w:lineRule="auto"/>
        <w:ind w:left="682" w:right="1153"/>
        <w:jc w:val="center"/>
      </w:pPr>
      <w:r>
        <w:rPr>
          <w:color w:val="000000"/>
        </w:rPr>
        <w:t xml:space="preserve">  ACUERDO DEL PLENO </w:t>
      </w:r>
    </w:p>
    <w:p w:rsidR="00E23B86" w:rsidRDefault="00BA7C13">
      <w:pPr>
        <w:spacing w:after="111" w:line="249" w:lineRule="auto"/>
        <w:ind w:left="345" w:right="554" w:firstLine="708"/>
        <w:jc w:val="both"/>
      </w:pPr>
      <w:r>
        <w:rPr>
          <w:rFonts w:ascii="Arial" w:eastAsia="Arial" w:hAnsi="Arial" w:cs="Arial"/>
          <w:b/>
        </w:rPr>
        <w:t xml:space="preserve">Primero.- Admitir a la presente licitación aprobada en el Pleno de 26 de diciembre de 2019 y publicada en la plataforma de contratación del sector público el día 10 de enero de 2020: “adquisición del bien inmueble: “parcelas del ámbito de la UA-C01 Acceso </w:t>
      </w:r>
      <w:r>
        <w:rPr>
          <w:rFonts w:ascii="Arial" w:eastAsia="Arial" w:hAnsi="Arial" w:cs="Arial"/>
          <w:b/>
        </w:rPr>
        <w:t>a Candelaria”  a la única y mejor oferta presentada que es la siguiente y por registro de entrada de 5 de febrero de 2020:</w:t>
      </w:r>
    </w:p>
    <w:p w:rsidR="00E23B86" w:rsidRDefault="00BA7C13">
      <w:pPr>
        <w:spacing w:after="0" w:line="249" w:lineRule="auto"/>
        <w:ind w:left="1070" w:right="4390" w:hanging="10"/>
        <w:jc w:val="both"/>
      </w:pPr>
      <w:r>
        <w:rPr>
          <w:rFonts w:ascii="Arial" w:eastAsia="Arial" w:hAnsi="Arial" w:cs="Arial"/>
          <w:b/>
        </w:rPr>
        <w:t>“D. Andrés Jesús Chico Castellano. D. José Aurelio Chico Castellano.</w:t>
      </w:r>
    </w:p>
    <w:p w:rsidR="00E23B86" w:rsidRDefault="00BA7C13">
      <w:pPr>
        <w:spacing w:after="111" w:line="249" w:lineRule="auto"/>
        <w:ind w:left="1070" w:right="3658" w:hanging="10"/>
        <w:jc w:val="both"/>
      </w:pPr>
      <w:r>
        <w:rPr>
          <w:rFonts w:ascii="Arial" w:eastAsia="Arial" w:hAnsi="Arial" w:cs="Arial"/>
          <w:b/>
        </w:rPr>
        <w:t>Dña. Evangelina Máxima Chico Castellano. D. Juan Carmelo Chico C</w:t>
      </w:r>
      <w:r>
        <w:rPr>
          <w:rFonts w:ascii="Arial" w:eastAsia="Arial" w:hAnsi="Arial" w:cs="Arial"/>
          <w:b/>
        </w:rPr>
        <w:t>astellano.</w:t>
      </w:r>
    </w:p>
    <w:p w:rsidR="00E23B86" w:rsidRDefault="00BA7C13">
      <w:pPr>
        <w:spacing w:after="9" w:line="249" w:lineRule="auto"/>
        <w:ind w:left="1070" w:right="554" w:hanging="10"/>
        <w:jc w:val="both"/>
      </w:pPr>
      <w:r>
        <w:rPr>
          <w:rFonts w:ascii="Arial" w:eastAsia="Arial" w:hAnsi="Arial" w:cs="Arial"/>
          <w:b/>
        </w:rPr>
        <w:t>Dña. Heraclia Castro Castro.</w:t>
      </w:r>
    </w:p>
    <w:p w:rsidR="00E23B86" w:rsidRDefault="00BA7C13">
      <w:pPr>
        <w:spacing w:after="739" w:line="249" w:lineRule="auto"/>
        <w:ind w:left="345" w:right="554" w:firstLine="708"/>
        <w:jc w:val="both"/>
      </w:pPr>
      <w:r>
        <w:rPr>
          <w:rFonts w:ascii="Arial" w:eastAsia="Arial" w:hAnsi="Arial" w:cs="Arial"/>
          <w:b/>
        </w:rPr>
        <w:t xml:space="preserve">D. Ramiro Urbano Oliva Rodríguez en representación de la entidad “Construcciones Oliva Baute,S.L.”. </w:t>
      </w:r>
    </w:p>
    <w:p w:rsidR="00E23B86" w:rsidRDefault="00BA7C13">
      <w:pPr>
        <w:spacing w:after="485" w:line="249" w:lineRule="auto"/>
        <w:ind w:left="345" w:right="554" w:firstLine="708"/>
        <w:jc w:val="both"/>
      </w:pPr>
      <w:r>
        <w:rPr>
          <w:rFonts w:ascii="Arial" w:eastAsia="Arial" w:hAnsi="Arial" w:cs="Arial"/>
          <w:b/>
        </w:rPr>
        <w:t>Segundo.- Clasificar la proposición presentada según la propuesta unánime de la Mesa de contratación de fecha 19 de febrero de 2020 que ha obtenido la siguiente puntuación de 100 puntos según los criterios de adjudicación del PCAP:</w:t>
      </w:r>
    </w:p>
    <w:p w:rsidR="00E23B86" w:rsidRDefault="00BA7C13">
      <w:pPr>
        <w:spacing w:after="9" w:line="249" w:lineRule="auto"/>
        <w:ind w:left="1070" w:right="554" w:hanging="10"/>
        <w:jc w:val="both"/>
      </w:pPr>
      <w:r>
        <w:rPr>
          <w:rFonts w:ascii="Arial" w:eastAsia="Arial" w:hAnsi="Arial" w:cs="Arial"/>
          <w:b/>
        </w:rPr>
        <w:t>D. Andrés Jesús Chico Ca</w:t>
      </w:r>
      <w:r>
        <w:rPr>
          <w:rFonts w:ascii="Arial" w:eastAsia="Arial" w:hAnsi="Arial" w:cs="Arial"/>
          <w:b/>
        </w:rPr>
        <w:t>stellano.</w:t>
      </w:r>
    </w:p>
    <w:p w:rsidR="00E23B86" w:rsidRDefault="00BA7C13">
      <w:pPr>
        <w:spacing w:after="9" w:line="249" w:lineRule="auto"/>
        <w:ind w:left="1070" w:right="554" w:hanging="10"/>
        <w:jc w:val="both"/>
      </w:pPr>
      <w:r>
        <w:rPr>
          <w:rFonts w:ascii="Arial" w:eastAsia="Arial" w:hAnsi="Arial" w:cs="Arial"/>
          <w:b/>
        </w:rPr>
        <w:t>D. José Aurelio Chico Castellano.</w:t>
      </w:r>
    </w:p>
    <w:p w:rsidR="00E23B86" w:rsidRDefault="00BA7C13">
      <w:pPr>
        <w:spacing w:after="0" w:line="249" w:lineRule="auto"/>
        <w:ind w:left="1070" w:right="3658" w:hanging="10"/>
        <w:jc w:val="both"/>
      </w:pPr>
      <w:r>
        <w:rPr>
          <w:rFonts w:ascii="Arial" w:eastAsia="Arial" w:hAnsi="Arial" w:cs="Arial"/>
          <w:b/>
        </w:rPr>
        <w:t>Dña. Evangelina Máxima Chico Castellano. D. Juan Carmelo Chico Castellano.</w:t>
      </w:r>
    </w:p>
    <w:p w:rsidR="00E23B86" w:rsidRDefault="00BA7C13">
      <w:pPr>
        <w:spacing w:after="9" w:line="249" w:lineRule="auto"/>
        <w:ind w:left="1070" w:right="554" w:hanging="10"/>
        <w:jc w:val="both"/>
      </w:pPr>
      <w:r>
        <w:rPr>
          <w:rFonts w:ascii="Arial" w:eastAsia="Arial" w:hAnsi="Arial" w:cs="Arial"/>
          <w:b/>
        </w:rPr>
        <w:t>Dña. Heraclia Castro Castro.</w:t>
      </w:r>
    </w:p>
    <w:p w:rsidR="00E23B86" w:rsidRDefault="00BA7C13">
      <w:pPr>
        <w:spacing w:after="245" w:line="249" w:lineRule="auto"/>
        <w:ind w:left="345" w:right="554" w:firstLine="708"/>
        <w:jc w:val="both"/>
      </w:pPr>
      <w:r>
        <w:rPr>
          <w:rFonts w:ascii="Arial" w:eastAsia="Arial" w:hAnsi="Arial" w:cs="Arial"/>
          <w:b/>
        </w:rPr>
        <w:t>D. Ramiro Urbano Oliva Rodríguez en representación de la entidad “Construcciones Oliva Baute,S.L.”.</w:t>
      </w:r>
    </w:p>
    <w:p w:rsidR="00E23B86" w:rsidRDefault="00BA7C13">
      <w:pPr>
        <w:spacing w:after="242" w:line="249" w:lineRule="auto"/>
        <w:ind w:left="1070" w:right="554" w:hanging="10"/>
        <w:jc w:val="both"/>
      </w:pPr>
      <w:r>
        <w:rPr>
          <w:rFonts w:ascii="Arial" w:eastAsia="Arial" w:hAnsi="Arial" w:cs="Arial"/>
          <w:b/>
        </w:rPr>
        <w:t>-Valorac</w:t>
      </w:r>
      <w:r>
        <w:rPr>
          <w:rFonts w:ascii="Arial" w:eastAsia="Arial" w:hAnsi="Arial" w:cs="Arial"/>
          <w:b/>
        </w:rPr>
        <w:t xml:space="preserve">ión del criterio del juicio de valor: </w:t>
      </w:r>
    </w:p>
    <w:p w:rsidR="00E23B86" w:rsidRDefault="00BA7C13">
      <w:pPr>
        <w:spacing w:after="282" w:line="249" w:lineRule="auto"/>
        <w:ind w:left="345" w:right="554" w:firstLine="708"/>
        <w:jc w:val="both"/>
      </w:pPr>
      <w:r>
        <w:rPr>
          <w:noProof/>
        </w:rPr>
        <mc:AlternateContent>
          <mc:Choice Requires="wpg">
            <w:drawing>
              <wp:anchor distT="0" distB="0" distL="114300" distR="114300" simplePos="0" relativeHeight="2517903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6524" name="Group 50652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5989" name="Rectangle 2598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5990" name="Rectangle 2599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129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6524" style="width:12.7031pt;height:280.35pt;position:absolute;mso-position-horizontal-relative:page;mso-position-horizontal:absolute;margin-left:681.958pt;mso-position-vertical-relative:page;margin-top:531.65pt;" coordsize="1613,35604">
                <v:rect id="Rectangle 2598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599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129 de 391 </w:t>
                        </w:r>
                      </w:p>
                    </w:txbxContent>
                  </v:textbox>
                </v:rect>
                <w10:wrap type="square"/>
              </v:group>
            </w:pict>
          </mc:Fallback>
        </mc:AlternateContent>
      </w:r>
      <w:r>
        <w:rPr>
          <w:rFonts w:ascii="Arial" w:eastAsia="Arial" w:hAnsi="Arial" w:cs="Arial"/>
          <w:b/>
        </w:rPr>
        <w:t>Informe técnico pre</w:t>
      </w:r>
      <w:r>
        <w:rPr>
          <w:rFonts w:ascii="Arial" w:eastAsia="Arial" w:hAnsi="Arial" w:cs="Arial"/>
          <w:b/>
        </w:rPr>
        <w:t>sentado por los licitadores que ha sido informado por la Arquitecta municipal con fecha 14 de febrero de 2020 con la máxima puntuación de 30 puntos.</w:t>
      </w:r>
    </w:p>
    <w:p w:rsidR="00E23B86" w:rsidRDefault="00BA7C13">
      <w:pPr>
        <w:spacing w:after="523" w:line="249" w:lineRule="auto"/>
        <w:ind w:left="1070" w:right="554" w:hanging="10"/>
        <w:jc w:val="both"/>
      </w:pPr>
      <w:r>
        <w:rPr>
          <w:rFonts w:ascii="Arial" w:eastAsia="Arial" w:hAnsi="Arial" w:cs="Arial"/>
          <w:b/>
        </w:rPr>
        <w:t>-Valoración del criterio automático: Mejor y única oferta económica</w:t>
      </w:r>
      <w:r>
        <w:rPr>
          <w:rFonts w:ascii="Arial" w:eastAsia="Arial" w:hAnsi="Arial" w:cs="Arial"/>
          <w:b/>
          <w:sz w:val="24"/>
        </w:rPr>
        <w:t xml:space="preserve">: </w:t>
      </w:r>
    </w:p>
    <w:p w:rsidR="00E23B86" w:rsidRDefault="00BA7C13">
      <w:pPr>
        <w:spacing w:after="9" w:line="249" w:lineRule="auto"/>
        <w:ind w:left="1070" w:right="554" w:hanging="10"/>
        <w:jc w:val="both"/>
      </w:pPr>
      <w:r>
        <w:rPr>
          <w:rFonts w:ascii="Arial" w:eastAsia="Arial" w:hAnsi="Arial" w:cs="Arial"/>
          <w:b/>
        </w:rPr>
        <w:t>Desglose por propietarios en función del porcentaje de la propiedad:</w:t>
      </w:r>
    </w:p>
    <w:p w:rsidR="00E23B86" w:rsidRDefault="00BA7C13">
      <w:pPr>
        <w:spacing w:after="0"/>
        <w:ind w:left="1060"/>
      </w:pPr>
      <w:r>
        <w:rPr>
          <w:rFonts w:ascii="Arial" w:eastAsia="Arial" w:hAnsi="Arial" w:cs="Arial"/>
          <w:b/>
        </w:rPr>
        <w:t xml:space="preserve"> </w:t>
      </w:r>
    </w:p>
    <w:p w:rsidR="00E23B86" w:rsidRDefault="00BA7C13">
      <w:pPr>
        <w:spacing w:after="0" w:line="249" w:lineRule="auto"/>
        <w:ind w:left="1070" w:right="1872" w:hanging="10"/>
        <w:jc w:val="both"/>
      </w:pPr>
      <w:r>
        <w:rPr>
          <w:rFonts w:ascii="Arial" w:eastAsia="Arial" w:hAnsi="Arial" w:cs="Arial"/>
          <w:b/>
        </w:rPr>
        <w:t xml:space="preserve">  *D. Andrés Jesús Chico Castellano………306.470,25 euros.    D. José Aurelio Chico Castellano………..306.470,25 euros.</w:t>
      </w:r>
    </w:p>
    <w:p w:rsidR="00E23B86" w:rsidRDefault="00BA7C13">
      <w:pPr>
        <w:spacing w:after="0" w:line="240" w:lineRule="auto"/>
        <w:ind w:left="1070" w:right="1505" w:hanging="10"/>
      </w:pPr>
      <w:r>
        <w:rPr>
          <w:rFonts w:ascii="Arial" w:eastAsia="Arial" w:hAnsi="Arial" w:cs="Arial"/>
          <w:b/>
        </w:rPr>
        <w:t xml:space="preserve">   Dña. Evangelina Máxima Chico Castellano…..306.470,25 euros.    D. Ju</w:t>
      </w:r>
      <w:r>
        <w:rPr>
          <w:rFonts w:ascii="Arial" w:eastAsia="Arial" w:hAnsi="Arial" w:cs="Arial"/>
          <w:b/>
        </w:rPr>
        <w:t>an Carmelo Chico Castellano………306.470,25 euros.     Dña. Heraclia Castro Castro………………669.694,25 euros.</w:t>
      </w:r>
    </w:p>
    <w:p w:rsidR="00E23B86" w:rsidRDefault="00BA7C13">
      <w:pPr>
        <w:spacing w:after="245" w:line="249" w:lineRule="auto"/>
        <w:ind w:left="345" w:right="554" w:firstLine="708"/>
        <w:jc w:val="both"/>
      </w:pPr>
      <w:r>
        <w:rPr>
          <w:rFonts w:ascii="Arial" w:eastAsia="Arial" w:hAnsi="Arial" w:cs="Arial"/>
          <w:b/>
        </w:rPr>
        <w:t xml:space="preserve">   D. Ramiro Urbano Oliva Rodríguez,…en representación de la entidad “Construcciones Oliva Baute,S.L.”…………………374.574,75 euros, incluido IGIC.</w:t>
      </w:r>
    </w:p>
    <w:p w:rsidR="00E23B86" w:rsidRDefault="00BA7C13">
      <w:pPr>
        <w:spacing w:after="0" w:line="480" w:lineRule="auto"/>
        <w:ind w:left="1070" w:right="3400" w:hanging="10"/>
        <w:jc w:val="both"/>
      </w:pPr>
      <w:r>
        <w:rPr>
          <w:rFonts w:ascii="Arial" w:eastAsia="Arial" w:hAnsi="Arial" w:cs="Arial"/>
          <w:b/>
        </w:rPr>
        <w:t>TOTAL DE LA</w:t>
      </w:r>
      <w:r>
        <w:rPr>
          <w:rFonts w:ascii="Arial" w:eastAsia="Arial" w:hAnsi="Arial" w:cs="Arial"/>
          <w:b/>
        </w:rPr>
        <w:t xml:space="preserve"> OFERTA: 2.270.150,00 euros.” De lo que resulta la puntuación de 70 puntos.</w:t>
      </w:r>
    </w:p>
    <w:p w:rsidR="00E23B86" w:rsidRDefault="00BA7C13">
      <w:pPr>
        <w:spacing w:after="362" w:line="249" w:lineRule="auto"/>
        <w:ind w:left="1070" w:right="554" w:hanging="10"/>
        <w:jc w:val="both"/>
      </w:pPr>
      <w:r>
        <w:rPr>
          <w:rFonts w:ascii="Arial" w:eastAsia="Arial" w:hAnsi="Arial" w:cs="Arial"/>
          <w:b/>
        </w:rPr>
        <w:t>De lo que resulta 30+70: 100 puntos.</w:t>
      </w:r>
    </w:p>
    <w:p w:rsidR="00E23B86" w:rsidRDefault="00BA7C13">
      <w:pPr>
        <w:spacing w:after="111" w:line="249" w:lineRule="auto"/>
        <w:ind w:left="345" w:right="554" w:firstLine="708"/>
        <w:jc w:val="both"/>
      </w:pPr>
      <w:r>
        <w:rPr>
          <w:rFonts w:ascii="Arial" w:eastAsia="Arial" w:hAnsi="Arial" w:cs="Arial"/>
          <w:b/>
        </w:rPr>
        <w:t xml:space="preserve">Tercero.- Adjudicar la presente licitación aprobada en el Pleno de 26 de diciembre de 2019 y publicada en la plataforma de contratación del sector público el día 10 de enero de 2020: “adquisición del bien inmueble: “parcelas del ámbito de la UA-C01 Acceso </w:t>
      </w:r>
      <w:r>
        <w:rPr>
          <w:rFonts w:ascii="Arial" w:eastAsia="Arial" w:hAnsi="Arial" w:cs="Arial"/>
          <w:b/>
        </w:rPr>
        <w:t>a Candelaria”  a la única y mejor oferta presentada que es la siguiente y por registro de entrada de 5 de febrero de 2020:</w:t>
      </w:r>
    </w:p>
    <w:p w:rsidR="00E23B86" w:rsidRDefault="00BA7C13">
      <w:pPr>
        <w:spacing w:after="9" w:line="249" w:lineRule="auto"/>
        <w:ind w:left="1070" w:right="554" w:hanging="10"/>
        <w:jc w:val="both"/>
      </w:pPr>
      <w:r>
        <w:rPr>
          <w:rFonts w:ascii="Arial" w:eastAsia="Arial" w:hAnsi="Arial" w:cs="Arial"/>
          <w:b/>
        </w:rPr>
        <w:t>D. Andrés Jesús Chico Castellano.</w:t>
      </w:r>
    </w:p>
    <w:p w:rsidR="00E23B86" w:rsidRDefault="00BA7C13">
      <w:pPr>
        <w:spacing w:after="9" w:line="249" w:lineRule="auto"/>
        <w:ind w:left="1070" w:right="554" w:hanging="10"/>
        <w:jc w:val="both"/>
      </w:pPr>
      <w:r>
        <w:rPr>
          <w:rFonts w:ascii="Arial" w:eastAsia="Arial" w:hAnsi="Arial" w:cs="Arial"/>
          <w:b/>
        </w:rPr>
        <w:t>D. José Aurelio Chico Castellano.</w:t>
      </w:r>
    </w:p>
    <w:p w:rsidR="00E23B86" w:rsidRDefault="00BA7C13">
      <w:pPr>
        <w:spacing w:after="0" w:line="249" w:lineRule="auto"/>
        <w:ind w:left="1070" w:right="3658" w:hanging="10"/>
        <w:jc w:val="both"/>
      </w:pPr>
      <w:r>
        <w:rPr>
          <w:rFonts w:ascii="Arial" w:eastAsia="Arial" w:hAnsi="Arial" w:cs="Arial"/>
          <w:b/>
        </w:rPr>
        <w:t>Dña. Evangelina Máxima Chico Castellano. D. Juan Carmelo Chico Ca</w:t>
      </w:r>
      <w:r>
        <w:rPr>
          <w:rFonts w:ascii="Arial" w:eastAsia="Arial" w:hAnsi="Arial" w:cs="Arial"/>
          <w:b/>
        </w:rPr>
        <w:t>stellano.</w:t>
      </w:r>
    </w:p>
    <w:p w:rsidR="00E23B86" w:rsidRDefault="00BA7C13">
      <w:pPr>
        <w:spacing w:after="9" w:line="249" w:lineRule="auto"/>
        <w:ind w:left="1070" w:right="554" w:hanging="10"/>
        <w:jc w:val="both"/>
      </w:pPr>
      <w:r>
        <w:rPr>
          <w:rFonts w:ascii="Arial" w:eastAsia="Arial" w:hAnsi="Arial" w:cs="Arial"/>
          <w:b/>
        </w:rPr>
        <w:t>Dña. Heraclia Castro Castro.</w:t>
      </w:r>
    </w:p>
    <w:p w:rsidR="00E23B86" w:rsidRDefault="00BA7C13">
      <w:pPr>
        <w:spacing w:after="245" w:line="249" w:lineRule="auto"/>
        <w:ind w:left="345" w:right="554" w:firstLine="708"/>
        <w:jc w:val="both"/>
      </w:pPr>
      <w:r>
        <w:rPr>
          <w:rFonts w:ascii="Arial" w:eastAsia="Arial" w:hAnsi="Arial" w:cs="Arial"/>
          <w:b/>
        </w:rPr>
        <w:t xml:space="preserve">D. Ramiro Urbano Oliva Rodríguez en representación de la entidad “Construcciones Oliva Baute,S.L.”. </w:t>
      </w:r>
    </w:p>
    <w:p w:rsidR="00E23B86" w:rsidRDefault="00BA7C13">
      <w:pPr>
        <w:spacing w:after="0" w:line="240" w:lineRule="auto"/>
        <w:ind w:left="1070" w:right="909" w:hanging="10"/>
      </w:pPr>
      <w:r>
        <w:rPr>
          <w:rFonts w:ascii="Arial" w:eastAsia="Arial" w:hAnsi="Arial" w:cs="Arial"/>
          <w:b/>
        </w:rPr>
        <w:t>Y por el importe desglosado en función del porcentaje de la propiedad: D. Andrés Jesús Chico Castellano………306.470,25</w:t>
      </w:r>
      <w:r>
        <w:rPr>
          <w:rFonts w:ascii="Arial" w:eastAsia="Arial" w:hAnsi="Arial" w:cs="Arial"/>
          <w:b/>
        </w:rPr>
        <w:t xml:space="preserve"> euros. D. José Aurelio Chico Castellano………..306.470,25 euros.</w:t>
      </w:r>
    </w:p>
    <w:p w:rsidR="00E23B86" w:rsidRDefault="00BA7C13">
      <w:pPr>
        <w:spacing w:after="0" w:line="240" w:lineRule="auto"/>
        <w:ind w:left="1070" w:right="1688" w:hanging="10"/>
      </w:pPr>
      <w:r>
        <w:rPr>
          <w:noProof/>
        </w:rPr>
        <mc:AlternateContent>
          <mc:Choice Requires="wpg">
            <w:drawing>
              <wp:anchor distT="0" distB="0" distL="114300" distR="114300" simplePos="0" relativeHeight="251791360"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6837" name="Group 50683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030" name="Rectangle 2603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031" name="Rectangle 2603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130 de </w:t>
                              </w:r>
                              <w:r>
                                <w:rPr>
                                  <w:rFonts w:ascii="Arial" w:eastAsia="Arial" w:hAnsi="Arial" w:cs="Arial"/>
                                  <w:sz w:val="12"/>
                                </w:rPr>
                                <w:t xml:space="preserve">391 </w:t>
                              </w:r>
                            </w:p>
                          </w:txbxContent>
                        </wps:txbx>
                        <wps:bodyPr horzOverflow="overflow" vert="horz" lIns="0" tIns="0" rIns="0" bIns="0" rtlCol="0">
                          <a:noAutofit/>
                        </wps:bodyPr>
                      </wps:wsp>
                    </wpg:wgp>
                  </a:graphicData>
                </a:graphic>
              </wp:anchor>
            </w:drawing>
          </mc:Choice>
          <mc:Fallback xmlns:a="http://schemas.openxmlformats.org/drawingml/2006/main">
            <w:pict>
              <v:group id="Group 506837" style="width:12.7031pt;height:280.35pt;position:absolute;mso-position-horizontal-relative:page;mso-position-horizontal:absolute;margin-left:681.958pt;mso-position-vertical-relative:page;margin-top:531.65pt;" coordsize="1613,35604">
                <v:rect id="Rectangle 2603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03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130 de 391 </w:t>
                        </w:r>
                      </w:p>
                    </w:txbxContent>
                  </v:textbox>
                </v:rect>
                <w10:wrap type="topAndBottom"/>
              </v:group>
            </w:pict>
          </mc:Fallback>
        </mc:AlternateContent>
      </w:r>
      <w:r>
        <w:rPr>
          <w:rFonts w:ascii="Arial" w:eastAsia="Arial" w:hAnsi="Arial" w:cs="Arial"/>
          <w:b/>
        </w:rPr>
        <w:t>Dña. Evangelina Máxima Chico Castellano…..306.470,25 euros. D. Juan Carmelo Chico Castellano………306.470,25 euros.  Dña. Heraclia Castro Castro………………669.694,25 euros.</w:t>
      </w:r>
    </w:p>
    <w:p w:rsidR="00E23B86" w:rsidRDefault="00BA7C13">
      <w:pPr>
        <w:spacing w:after="111" w:line="361" w:lineRule="auto"/>
        <w:ind w:left="345" w:right="554" w:firstLine="708"/>
        <w:jc w:val="both"/>
      </w:pPr>
      <w:r>
        <w:rPr>
          <w:rFonts w:ascii="Arial" w:eastAsia="Arial" w:hAnsi="Arial" w:cs="Arial"/>
          <w:b/>
        </w:rPr>
        <w:t>D. Ramiro Urbano Oliva Rodríguez,…en representación de la entidad “Construcciones Oliva Baute,S.L.”…………………374.574,75 euros, incluido IGIC.  Lo que hace un importe total de 2.270.150,00 euros.</w:t>
      </w:r>
    </w:p>
    <w:p w:rsidR="00E23B86" w:rsidRDefault="00BA7C13">
      <w:pPr>
        <w:spacing w:after="111" w:line="249" w:lineRule="auto"/>
        <w:ind w:left="345" w:right="554" w:firstLine="708"/>
        <w:jc w:val="both"/>
      </w:pPr>
      <w:r>
        <w:rPr>
          <w:rFonts w:ascii="Arial" w:eastAsia="Arial" w:hAnsi="Arial" w:cs="Arial"/>
          <w:b/>
        </w:rPr>
        <w:t>Cuarto.- Notificar el acuerdo plenario que se adopte a los licit</w:t>
      </w:r>
      <w:r>
        <w:rPr>
          <w:rFonts w:ascii="Arial" w:eastAsia="Arial" w:hAnsi="Arial" w:cs="Arial"/>
          <w:b/>
        </w:rPr>
        <w:t>adores antedichos y publicar el mismo en la Plataforma de Contratación del Sector Público.</w:t>
      </w:r>
    </w:p>
    <w:p w:rsidR="00E23B86" w:rsidRDefault="00BA7C13">
      <w:pPr>
        <w:spacing w:after="111" w:line="249" w:lineRule="auto"/>
        <w:ind w:left="345" w:right="554" w:firstLine="708"/>
        <w:jc w:val="both"/>
      </w:pPr>
      <w:r>
        <w:rPr>
          <w:rFonts w:ascii="Arial" w:eastAsia="Arial" w:hAnsi="Arial" w:cs="Arial"/>
          <w:b/>
        </w:rPr>
        <w:t xml:space="preserve">Quinto.- Notificar el presente acuerdo a la Notaría de Güimar a los efectos de realizar los trámites notariales para la firma de la escritura pública de compraventa </w:t>
      </w:r>
      <w:r>
        <w:rPr>
          <w:rFonts w:ascii="Arial" w:eastAsia="Arial" w:hAnsi="Arial" w:cs="Arial"/>
          <w:b/>
        </w:rPr>
        <w:t>y la posterior inscripción de los bienes objeto de adquisición en el Registro de la Propiedad conforme los procedimientos correspondientes regulados por el Derecho civil”.</w:t>
      </w:r>
    </w:p>
    <w:p w:rsidR="00E23B86" w:rsidRDefault="00BA7C13">
      <w:pPr>
        <w:pStyle w:val="Ttulo4"/>
        <w:spacing w:after="479" w:line="265" w:lineRule="auto"/>
        <w:ind w:left="682" w:right="1511"/>
        <w:jc w:val="center"/>
      </w:pPr>
      <w:r>
        <w:rPr>
          <w:color w:val="000000"/>
        </w:rPr>
        <w:t>ANEXO</w:t>
      </w:r>
    </w:p>
    <w:p w:rsidR="00E23B86" w:rsidRDefault="00BA7C13">
      <w:pPr>
        <w:spacing w:after="485" w:line="249" w:lineRule="auto"/>
        <w:ind w:left="355" w:right="554" w:hanging="10"/>
        <w:jc w:val="both"/>
      </w:pPr>
      <w:r>
        <w:rPr>
          <w:rFonts w:ascii="Arial" w:eastAsia="Arial" w:hAnsi="Arial" w:cs="Arial"/>
          <w:b/>
        </w:rPr>
        <w:t>DATOS CATASTRALES Y REGISTRALES DE LAS FINCAS OBJETO DE ADQUISICIÓN EN EL EXPE</w:t>
      </w:r>
      <w:r>
        <w:rPr>
          <w:rFonts w:ascii="Arial" w:eastAsia="Arial" w:hAnsi="Arial" w:cs="Arial"/>
          <w:b/>
        </w:rPr>
        <w:t>DIENTE 11880/2019 APROBADO POR EL PLENO DE 26 DE DICIEMBRE DE 2019 Y PUBLICADO LA LICITACIÓN PÚBLICA EN LA PLATAFORMA DE CONTRATACIÓN DEL SECTOR PÚBLICO DE FECHA 10 DE ENERO DE 2020:</w:t>
      </w:r>
    </w:p>
    <w:p w:rsidR="00E23B86" w:rsidRDefault="00BA7C13">
      <w:pPr>
        <w:spacing w:after="95" w:line="265" w:lineRule="auto"/>
        <w:ind w:left="10" w:right="704" w:hanging="10"/>
        <w:jc w:val="center"/>
      </w:pPr>
      <w:r>
        <w:rPr>
          <w:rFonts w:ascii="Arial" w:eastAsia="Arial" w:hAnsi="Arial" w:cs="Arial"/>
          <w:b/>
          <w:u w:val="single" w:color="000000"/>
        </w:rPr>
        <w:t xml:space="preserve">FINCA 1: </w:t>
      </w:r>
    </w:p>
    <w:p w:rsidR="00E23B86" w:rsidRDefault="00BA7C13">
      <w:pPr>
        <w:spacing w:after="111" w:line="249" w:lineRule="auto"/>
        <w:ind w:left="355" w:right="554" w:hanging="10"/>
        <w:jc w:val="both"/>
      </w:pPr>
      <w:r>
        <w:rPr>
          <w:rFonts w:ascii="Arial" w:eastAsia="Arial" w:hAnsi="Arial" w:cs="Arial"/>
          <w:b/>
        </w:rPr>
        <w:t>Referencia catastral: 55748. 11. CS6357S 0001 RP.</w:t>
      </w:r>
    </w:p>
    <w:p w:rsidR="00E23B86" w:rsidRDefault="00BA7C13">
      <w:pPr>
        <w:spacing w:after="110" w:line="248" w:lineRule="auto"/>
        <w:ind w:left="373" w:right="552" w:hanging="10"/>
        <w:jc w:val="both"/>
      </w:pPr>
      <w:r>
        <w:rPr>
          <w:rFonts w:ascii="Arial" w:eastAsia="Arial" w:hAnsi="Arial" w:cs="Arial"/>
        </w:rPr>
        <w:t>Propiedad: Co</w:t>
      </w:r>
      <w:r>
        <w:rPr>
          <w:rFonts w:ascii="Arial" w:eastAsia="Arial" w:hAnsi="Arial" w:cs="Arial"/>
        </w:rPr>
        <w:t xml:space="preserve">nstrucciones Oliva Baute S. L. </w:t>
      </w:r>
    </w:p>
    <w:p w:rsidR="00E23B86" w:rsidRDefault="00BA7C13">
      <w:pPr>
        <w:spacing w:after="110" w:line="248" w:lineRule="auto"/>
        <w:ind w:left="373" w:right="552" w:hanging="10"/>
        <w:jc w:val="both"/>
      </w:pPr>
      <w:r>
        <w:rPr>
          <w:rFonts w:ascii="Arial" w:eastAsia="Arial" w:hAnsi="Arial" w:cs="Arial"/>
        </w:rPr>
        <w:t>Superficie construida: 0 metros cuadrados.</w:t>
      </w:r>
    </w:p>
    <w:p w:rsidR="00E23B86" w:rsidRDefault="00BA7C13">
      <w:pPr>
        <w:spacing w:after="110" w:line="248" w:lineRule="auto"/>
        <w:ind w:left="373" w:right="552" w:hanging="10"/>
        <w:jc w:val="both"/>
      </w:pPr>
      <w:r>
        <w:rPr>
          <w:rFonts w:ascii="Arial" w:eastAsia="Arial" w:hAnsi="Arial" w:cs="Arial"/>
        </w:rPr>
        <w:t>Superficie del suelo: 730 metros cuadrados.</w:t>
      </w:r>
    </w:p>
    <w:p w:rsidR="00E23B86" w:rsidRDefault="00BA7C13">
      <w:pPr>
        <w:spacing w:after="110" w:line="248" w:lineRule="auto"/>
        <w:ind w:left="373" w:right="552" w:hanging="10"/>
        <w:jc w:val="both"/>
      </w:pPr>
      <w:r>
        <w:rPr>
          <w:rFonts w:ascii="Arial" w:eastAsia="Arial" w:hAnsi="Arial" w:cs="Arial"/>
        </w:rPr>
        <w:t>Calle: Condes Santa María de Abona. 28 A.</w:t>
      </w:r>
    </w:p>
    <w:p w:rsidR="00E23B86" w:rsidRDefault="00BA7C13">
      <w:pPr>
        <w:spacing w:after="111" w:line="249" w:lineRule="auto"/>
        <w:ind w:left="355" w:right="554" w:hanging="10"/>
        <w:jc w:val="both"/>
      </w:pPr>
      <w:r>
        <w:rPr>
          <w:rFonts w:ascii="Arial" w:eastAsia="Arial" w:hAnsi="Arial" w:cs="Arial"/>
          <w:b/>
        </w:rPr>
        <w:t>Certificación del Registro de la Propiedad de 29 de enero de 2020:</w:t>
      </w:r>
    </w:p>
    <w:p w:rsidR="00E23B86" w:rsidRDefault="00BA7C13">
      <w:pPr>
        <w:spacing w:after="110" w:line="248" w:lineRule="auto"/>
        <w:ind w:left="373" w:right="552" w:hanging="10"/>
        <w:jc w:val="both"/>
      </w:pPr>
      <w:r>
        <w:rPr>
          <w:rFonts w:ascii="Arial" w:eastAsia="Arial" w:hAnsi="Arial" w:cs="Arial"/>
        </w:rPr>
        <w:t>“JOAQUÍN VILLATORIO MUÑOZ, REGISTRADOR DE LA PROPIEDAD DEL DISTRITO HIPOTECARIO DE SANTA CRUZ DE TENERIFE Nº 4:</w:t>
      </w:r>
    </w:p>
    <w:p w:rsidR="00E23B86" w:rsidRDefault="00BA7C13">
      <w:pPr>
        <w:spacing w:after="484" w:line="249" w:lineRule="auto"/>
        <w:ind w:left="347" w:right="555" w:hanging="10"/>
      </w:pPr>
      <w:r>
        <w:rPr>
          <w:noProof/>
        </w:rPr>
        <mc:AlternateContent>
          <mc:Choice Requires="wpg">
            <w:drawing>
              <wp:anchor distT="0" distB="0" distL="114300" distR="114300" simplePos="0" relativeHeight="2517923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7090" name="Group 50709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079" name="Rectangle 2607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080" name="Rectangle 2608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w:t>
                              </w:r>
                              <w:r>
                                <w:rPr>
                                  <w:rFonts w:ascii="Arial" w:eastAsia="Arial" w:hAnsi="Arial" w:cs="Arial"/>
                                  <w:sz w:val="12"/>
                                </w:rPr>
                                <w:t xml:space="preserve">la plataforma esPublico Gestiona | Página 131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7090" style="width:12.7031pt;height:280.35pt;position:absolute;mso-position-horizontal-relative:page;mso-position-horizontal:absolute;margin-left:681.958pt;mso-position-vertical-relative:page;margin-top:531.65pt;" coordsize="1613,35604">
                <v:rect id="Rectangle 2607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08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131 de 391 </w:t>
                        </w:r>
                      </w:p>
                    </w:txbxContent>
                  </v:textbox>
                </v:rect>
                <w10:wrap type="square"/>
              </v:group>
            </w:pict>
          </mc:Fallback>
        </mc:AlternateContent>
      </w:r>
      <w:r>
        <w:rPr>
          <w:rFonts w:ascii="Arial" w:eastAsia="Arial" w:hAnsi="Arial" w:cs="Arial"/>
        </w:rPr>
        <w:t>CERTIFICA: Que, en vista de la presente instancia, suscrita por la entidad CONSTRUCCIONES OLIVA BAUTE S.L., para que le sea expedida certificación que acredite la titularidad registral y cargas de FINCA</w:t>
      </w:r>
      <w:r>
        <w:rPr>
          <w:rFonts w:ascii="Arial" w:eastAsia="Arial" w:hAnsi="Arial" w:cs="Arial"/>
        </w:rPr>
        <w:t xml:space="preserve"> DE CANDELARIA Nº 9651, CÓDIGO REGISTRAL ÚNICO: 38021000052618, he examinado en todo lo necesario los libros del archivo a mi cargo, de los que RESULTA:</w:t>
      </w:r>
    </w:p>
    <w:p w:rsidR="00E23B86" w:rsidRDefault="00BA7C13">
      <w:pPr>
        <w:spacing w:after="110" w:line="248" w:lineRule="auto"/>
        <w:ind w:left="373" w:right="552" w:hanging="10"/>
        <w:jc w:val="both"/>
      </w:pPr>
      <w:r>
        <w:rPr>
          <w:rFonts w:ascii="Arial" w:eastAsia="Arial" w:hAnsi="Arial" w:cs="Arial"/>
        </w:rPr>
        <w:t>PRIMERO: Que la descripción de la finca de Candelaria nº 9561 es la siguiente:</w:t>
      </w:r>
    </w:p>
    <w:p w:rsidR="00E23B86" w:rsidRDefault="00BA7C13">
      <w:pPr>
        <w:spacing w:after="10" w:line="248" w:lineRule="auto"/>
        <w:ind w:left="373" w:right="552" w:hanging="10"/>
        <w:jc w:val="both"/>
      </w:pPr>
      <w:r>
        <w:rPr>
          <w:rFonts w:ascii="Arial" w:eastAsia="Arial" w:hAnsi="Arial" w:cs="Arial"/>
        </w:rPr>
        <w:t>URBANA, antes RÚSTICA: e</w:t>
      </w:r>
      <w:r>
        <w:rPr>
          <w:rFonts w:ascii="Arial" w:eastAsia="Arial" w:hAnsi="Arial" w:cs="Arial"/>
        </w:rPr>
        <w:t xml:space="preserve">n el término municipal de Candelaria, donde llaman </w:t>
      </w:r>
    </w:p>
    <w:p w:rsidR="00E23B86" w:rsidRDefault="00BA7C13">
      <w:pPr>
        <w:spacing w:after="482" w:line="249" w:lineRule="auto"/>
        <w:ind w:left="347" w:right="645" w:hanging="10"/>
      </w:pPr>
      <w:r>
        <w:rPr>
          <w:rFonts w:ascii="Arial" w:eastAsia="Arial" w:hAnsi="Arial" w:cs="Arial"/>
        </w:rPr>
        <w:t>AMANCE, con una superficie de SETECIENTOS VEINTINUEVE METROS OCHENTA Y UN DECÍMETROS CUADRADOS, y linda: al Oeste, vía en proyecto que separa del resto de la finca matriz; al Este, Don Carlos Benigno de C</w:t>
      </w:r>
      <w:r>
        <w:rPr>
          <w:rFonts w:ascii="Arial" w:eastAsia="Arial" w:hAnsi="Arial" w:cs="Arial"/>
        </w:rPr>
        <w:t>astro; al Norte, con un “Candil”; y por el Sur, con herederos de Don Florentín Castro y Andrés Tejera.- La descrita finca es resto que queda de la de este número, después de practicada la segregación que expresa la nota al margen de la inscripción 2ª. La f</w:t>
      </w:r>
      <w:r>
        <w:rPr>
          <w:rFonts w:ascii="Arial" w:eastAsia="Arial" w:hAnsi="Arial" w:cs="Arial"/>
        </w:rPr>
        <w:t>inca de este número no está coordinada gráficamente con el catastro.</w:t>
      </w:r>
    </w:p>
    <w:p w:rsidR="00E23B86" w:rsidRDefault="00BA7C13">
      <w:pPr>
        <w:spacing w:after="484" w:line="249" w:lineRule="auto"/>
        <w:ind w:left="347" w:right="555" w:hanging="10"/>
      </w:pPr>
      <w:r>
        <w:rPr>
          <w:rFonts w:ascii="Arial" w:eastAsia="Arial" w:hAnsi="Arial" w:cs="Arial"/>
        </w:rPr>
        <w:t>SEGUNDO: Que la finca descrita aparece inscrita a favor de la entidad mercantil CONSTRUCCIONES OLIVA BAUTE SL. Con CIF: B38284154, que adquirió el pleno dominio de la totalidad de la finc</w:t>
      </w:r>
      <w:r>
        <w:rPr>
          <w:rFonts w:ascii="Arial" w:eastAsia="Arial" w:hAnsi="Arial" w:cs="Arial"/>
        </w:rPr>
        <w:t>a, por título de compraventa, en virtud de escritura autorizada el día 21 de octubre 1988, por el Notario de Güimar, Don Florentino Javier Alaez Serrano, con número 758 de protocolo, según consta en la inscripción 5ª, al folio 93, del Libro 131, del Tomo 1</w:t>
      </w:r>
      <w:r>
        <w:rPr>
          <w:rFonts w:ascii="Arial" w:eastAsia="Arial" w:hAnsi="Arial" w:cs="Arial"/>
        </w:rPr>
        <w:t>.406 del Archivo, practicada el día 25 de enero de 1999.</w:t>
      </w:r>
    </w:p>
    <w:p w:rsidR="00E23B86" w:rsidRDefault="00BA7C13">
      <w:pPr>
        <w:spacing w:after="110" w:line="248" w:lineRule="auto"/>
        <w:ind w:left="373" w:right="552" w:hanging="10"/>
        <w:jc w:val="both"/>
      </w:pPr>
      <w:r>
        <w:rPr>
          <w:rFonts w:ascii="Arial" w:eastAsia="Arial" w:hAnsi="Arial" w:cs="Arial"/>
        </w:rPr>
        <w:t>TERCERO.- Que la finca de que se trata aparece GRAVADA con:</w:t>
      </w:r>
    </w:p>
    <w:p w:rsidR="00E23B86" w:rsidRDefault="00BA7C13">
      <w:pPr>
        <w:spacing w:after="110" w:line="248" w:lineRule="auto"/>
        <w:ind w:left="373" w:right="552" w:hanging="10"/>
        <w:jc w:val="both"/>
      </w:pPr>
      <w:r>
        <w:rPr>
          <w:rFonts w:ascii="Arial" w:eastAsia="Arial" w:hAnsi="Arial" w:cs="Arial"/>
        </w:rPr>
        <w:t>No hay cargas registradas.</w:t>
      </w:r>
    </w:p>
    <w:p w:rsidR="00E23B86" w:rsidRDefault="00BA7C13">
      <w:pPr>
        <w:spacing w:after="485" w:line="248" w:lineRule="auto"/>
        <w:ind w:left="373" w:right="552" w:hanging="10"/>
        <w:jc w:val="both"/>
      </w:pPr>
      <w:r>
        <w:rPr>
          <w:rFonts w:ascii="Arial" w:eastAsia="Arial" w:hAnsi="Arial" w:cs="Arial"/>
        </w:rPr>
        <w:t xml:space="preserve">CUARTO: Los datos consignados en la presente certificación se refieren al día que a continuación se cita, antes </w:t>
      </w:r>
      <w:r>
        <w:rPr>
          <w:rFonts w:ascii="Arial" w:eastAsia="Arial" w:hAnsi="Arial" w:cs="Arial"/>
        </w:rPr>
        <w:t>de la apertura del Libro Diario.</w:t>
      </w:r>
    </w:p>
    <w:p w:rsidR="00E23B86" w:rsidRDefault="00BA7C13">
      <w:pPr>
        <w:spacing w:after="6073" w:line="249" w:lineRule="auto"/>
        <w:ind w:left="347" w:right="699" w:hanging="10"/>
      </w:pPr>
      <w:r>
        <w:rPr>
          <w:noProof/>
        </w:rPr>
        <mc:AlternateContent>
          <mc:Choice Requires="wpg">
            <w:drawing>
              <wp:anchor distT="0" distB="0" distL="114300" distR="114300" simplePos="0" relativeHeight="251793408"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6891" name="Group 50689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101" name="Rectangle 2610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102" name="Rectangle 2610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132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6891" style="width:12.7031pt;height:280.35pt;position:absolute;mso-position-horizontal-relative:page;mso-position-horizontal:absolute;margin-left:681.958pt;mso-position-vertical-relative:page;margin-top:531.65pt;" coordsize="1613,35604">
                <v:rect id="Rectangle 2610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10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132 de 391 </w:t>
                        </w:r>
                      </w:p>
                    </w:txbxContent>
                  </v:textbox>
                </v:rect>
                <w10:wrap type="topAndBottom"/>
              </v:group>
            </w:pict>
          </mc:Fallback>
        </mc:AlternateContent>
      </w:r>
      <w:r>
        <w:rPr>
          <w:rFonts w:ascii="Arial" w:eastAsia="Arial" w:hAnsi="Arial" w:cs="Arial"/>
        </w:rPr>
        <w:t>QUINTO: Que en el Diario de Operaciones aparece autorizado por el Registrador que suscribe, el asiento de presentación que transcrito seguidamente: No hay documentos pendientes de despacho. (…)</w:t>
      </w:r>
    </w:p>
    <w:p w:rsidR="00E23B86" w:rsidRDefault="00BA7C13">
      <w:pPr>
        <w:spacing w:after="84" w:line="265" w:lineRule="auto"/>
        <w:ind w:left="682" w:hanging="10"/>
        <w:jc w:val="center"/>
      </w:pPr>
      <w:r>
        <w:rPr>
          <w:rFonts w:ascii="Arial" w:eastAsia="Arial" w:hAnsi="Arial" w:cs="Arial"/>
          <w:b/>
        </w:rPr>
        <w:t>FICHA CATASTRAL DE LA FINCA 1.</w:t>
      </w:r>
    </w:p>
    <w:p w:rsidR="00E23B86" w:rsidRDefault="00BA7C13">
      <w:pPr>
        <w:spacing w:after="0"/>
        <w:ind w:left="-2486" w:right="11894"/>
      </w:pPr>
      <w:r>
        <w:rPr>
          <w:noProof/>
        </w:rPr>
        <mc:AlternateContent>
          <mc:Choice Requires="wpg">
            <w:drawing>
              <wp:anchor distT="0" distB="0" distL="114300" distR="114300" simplePos="0" relativeHeight="251794432"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7354" name="Group 50735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114" name="Rectangle 2611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w:t>
                              </w:r>
                              <w:r>
                                <w:rPr>
                                  <w:rFonts w:ascii="Arial" w:eastAsia="Arial" w:hAnsi="Arial" w:cs="Arial"/>
                                  <w:sz w:val="12"/>
                                </w:rPr>
                                <w:t xml:space="preserve">P9GMGZC2N3FZWC | Verificación: https://candelaria.sedelectronica.es/ </w:t>
                              </w:r>
                            </w:p>
                          </w:txbxContent>
                        </wps:txbx>
                        <wps:bodyPr horzOverflow="overflow" vert="horz" lIns="0" tIns="0" rIns="0" bIns="0" rtlCol="0">
                          <a:noAutofit/>
                        </wps:bodyPr>
                      </wps:wsp>
                      <wps:wsp>
                        <wps:cNvPr id="26115" name="Rectangle 2611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133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7354" style="width:12.7031pt;height:280.35pt;position:absolute;mso-position-horizontal-relative:page;mso-position-horizontal:absolute;margin-left:681.958pt;mso-position-vertical-relative:page;margin-top:531.65pt;" coordsize="1613,35604">
                <v:rect id="Rectangle 2611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11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133 de 391 </w:t>
                        </w:r>
                      </w:p>
                    </w:txbxContent>
                  </v:textbox>
                </v:rect>
                <w10:wrap type="topAndBottom"/>
              </v:group>
            </w:pict>
          </mc:Fallback>
        </mc:AlternateContent>
      </w:r>
      <w:r>
        <w:rPr>
          <w:noProof/>
        </w:rPr>
        <w:drawing>
          <wp:anchor distT="0" distB="0" distL="114300" distR="114300" simplePos="0" relativeHeight="251795456" behindDoc="0" locked="0" layoutInCell="1" allowOverlap="0">
            <wp:simplePos x="0" y="0"/>
            <wp:positionH relativeFrom="column">
              <wp:posOffset>222250</wp:posOffset>
            </wp:positionH>
            <wp:positionV relativeFrom="paragraph">
              <wp:posOffset>0</wp:posOffset>
            </wp:positionV>
            <wp:extent cx="5763769" cy="4184904"/>
            <wp:effectExtent l="0" t="0" r="0" b="0"/>
            <wp:wrapSquare wrapText="bothSides"/>
            <wp:docPr id="609790" name="Picture 609790"/>
            <wp:cNvGraphicFramePr/>
            <a:graphic xmlns:a="http://schemas.openxmlformats.org/drawingml/2006/main">
              <a:graphicData uri="http://schemas.openxmlformats.org/drawingml/2006/picture">
                <pic:pic xmlns:pic="http://schemas.openxmlformats.org/drawingml/2006/picture">
                  <pic:nvPicPr>
                    <pic:cNvPr id="609790" name="Picture 609790"/>
                    <pic:cNvPicPr/>
                  </pic:nvPicPr>
                  <pic:blipFill>
                    <a:blip r:embed="rId8"/>
                    <a:stretch>
                      <a:fillRect/>
                    </a:stretch>
                  </pic:blipFill>
                  <pic:spPr>
                    <a:xfrm>
                      <a:off x="0" y="0"/>
                      <a:ext cx="5763769" cy="4184904"/>
                    </a:xfrm>
                    <a:prstGeom prst="rect">
                      <a:avLst/>
                    </a:prstGeom>
                  </pic:spPr>
                </pic:pic>
              </a:graphicData>
            </a:graphic>
          </wp:anchor>
        </w:drawing>
      </w:r>
      <w:r>
        <w:br w:type="page"/>
      </w:r>
    </w:p>
    <w:p w:rsidR="00E23B86" w:rsidRDefault="00BA7C13">
      <w:pPr>
        <w:spacing w:after="231" w:line="249" w:lineRule="auto"/>
        <w:ind w:left="3198" w:right="554" w:hanging="10"/>
        <w:jc w:val="both"/>
      </w:pPr>
      <w:r>
        <w:rPr>
          <w:noProof/>
        </w:rPr>
        <mc:AlternateContent>
          <mc:Choice Requires="wpg">
            <w:drawing>
              <wp:anchor distT="0" distB="0" distL="114300" distR="114300" simplePos="0" relativeHeight="251796480"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7521" name="Group 50752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128" name="Rectangle 2612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https://candelaria.sedel</w:t>
                              </w:r>
                              <w:r>
                                <w:rPr>
                                  <w:rFonts w:ascii="Arial" w:eastAsia="Arial" w:hAnsi="Arial" w:cs="Arial"/>
                                  <w:sz w:val="12"/>
                                </w:rPr>
                                <w:t xml:space="preserve">ectronica.es/ </w:t>
                              </w:r>
                            </w:p>
                          </w:txbxContent>
                        </wps:txbx>
                        <wps:bodyPr horzOverflow="overflow" vert="horz" lIns="0" tIns="0" rIns="0" bIns="0" rtlCol="0">
                          <a:noAutofit/>
                        </wps:bodyPr>
                      </wps:wsp>
                      <wps:wsp>
                        <wps:cNvPr id="26129" name="Rectangle 2612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134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7521" style="width:12.7031pt;height:280.35pt;position:absolute;mso-position-horizontal-relative:page;mso-position-horizontal:absolute;margin-left:681.958pt;mso-position-vertical-relative:page;margin-top:531.65pt;" coordsize="1613,35604">
                <v:rect id="Rectangle 2612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12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134 de 391 </w:t>
                        </w:r>
                      </w:p>
                    </w:txbxContent>
                  </v:textbox>
                </v:rect>
                <w10:wrap type="topAndBottom"/>
              </v:group>
            </w:pict>
          </mc:Fallback>
        </mc:AlternateContent>
      </w:r>
      <w:r>
        <w:rPr>
          <w:rFonts w:ascii="Arial" w:eastAsia="Arial" w:hAnsi="Arial" w:cs="Arial"/>
          <w:b/>
        </w:rPr>
        <w:t>FICHA REGISTRAL DE LA FINCA 1.</w:t>
      </w:r>
    </w:p>
    <w:p w:rsidR="00E23B86" w:rsidRDefault="00BA7C13">
      <w:pPr>
        <w:spacing w:after="0"/>
        <w:ind w:left="350"/>
      </w:pPr>
      <w:r>
        <w:rPr>
          <w:noProof/>
        </w:rPr>
        <w:drawing>
          <wp:inline distT="0" distB="0" distL="0" distR="0">
            <wp:extent cx="4450081" cy="4858513"/>
            <wp:effectExtent l="0" t="0" r="0" b="0"/>
            <wp:docPr id="609794" name="Picture 609794"/>
            <wp:cNvGraphicFramePr/>
            <a:graphic xmlns:a="http://schemas.openxmlformats.org/drawingml/2006/main">
              <a:graphicData uri="http://schemas.openxmlformats.org/drawingml/2006/picture">
                <pic:pic xmlns:pic="http://schemas.openxmlformats.org/drawingml/2006/picture">
                  <pic:nvPicPr>
                    <pic:cNvPr id="609794" name="Picture 609794"/>
                    <pic:cNvPicPr/>
                  </pic:nvPicPr>
                  <pic:blipFill>
                    <a:blip r:embed="rId9"/>
                    <a:stretch>
                      <a:fillRect/>
                    </a:stretch>
                  </pic:blipFill>
                  <pic:spPr>
                    <a:xfrm>
                      <a:off x="0" y="0"/>
                      <a:ext cx="4450081" cy="4858513"/>
                    </a:xfrm>
                    <a:prstGeom prst="rect">
                      <a:avLst/>
                    </a:prstGeom>
                  </pic:spPr>
                </pic:pic>
              </a:graphicData>
            </a:graphic>
          </wp:inline>
        </w:drawing>
      </w:r>
    </w:p>
    <w:p w:rsidR="00E23B86" w:rsidRDefault="00BA7C13">
      <w:pPr>
        <w:spacing w:after="467" w:line="265" w:lineRule="auto"/>
        <w:ind w:left="10" w:right="698" w:hanging="10"/>
        <w:jc w:val="center"/>
      </w:pPr>
      <w:r>
        <w:rPr>
          <w:rFonts w:ascii="Arial" w:eastAsia="Arial" w:hAnsi="Arial" w:cs="Arial"/>
          <w:b/>
          <w:u w:val="single" w:color="000000"/>
        </w:rPr>
        <w:t>FINCA 2:</w:t>
      </w:r>
    </w:p>
    <w:p w:rsidR="00E23B86" w:rsidRDefault="00BA7C13">
      <w:pPr>
        <w:spacing w:after="111" w:line="249" w:lineRule="auto"/>
        <w:ind w:left="355" w:right="554" w:hanging="10"/>
        <w:jc w:val="both"/>
      </w:pPr>
      <w:r>
        <w:rPr>
          <w:rFonts w:ascii="Arial" w:eastAsia="Arial" w:hAnsi="Arial" w:cs="Arial"/>
          <w:b/>
        </w:rPr>
        <w:t xml:space="preserve">Referencia catastral: 55748. 12. CS6357S.0001. DP. </w:t>
      </w:r>
    </w:p>
    <w:p w:rsidR="00E23B86" w:rsidRDefault="00BA7C13">
      <w:pPr>
        <w:spacing w:after="110" w:line="248" w:lineRule="auto"/>
        <w:ind w:left="373" w:right="552" w:hanging="10"/>
        <w:jc w:val="both"/>
      </w:pPr>
      <w:r>
        <w:rPr>
          <w:rFonts w:ascii="Arial" w:eastAsia="Arial" w:hAnsi="Arial" w:cs="Arial"/>
        </w:rPr>
        <w:t>Propiedad: Heraclia Castro Castro.</w:t>
      </w:r>
    </w:p>
    <w:p w:rsidR="00E23B86" w:rsidRDefault="00BA7C13">
      <w:pPr>
        <w:spacing w:after="110" w:line="248" w:lineRule="auto"/>
        <w:ind w:left="373" w:right="552" w:hanging="10"/>
        <w:jc w:val="both"/>
      </w:pPr>
      <w:r>
        <w:rPr>
          <w:rFonts w:ascii="Arial" w:eastAsia="Arial" w:hAnsi="Arial" w:cs="Arial"/>
        </w:rPr>
        <w:t>Superficie construida: 0 metros cuadrados.</w:t>
      </w:r>
    </w:p>
    <w:p w:rsidR="00E23B86" w:rsidRDefault="00BA7C13">
      <w:pPr>
        <w:spacing w:after="110" w:line="248" w:lineRule="auto"/>
        <w:ind w:left="373" w:right="552" w:hanging="10"/>
        <w:jc w:val="both"/>
      </w:pPr>
      <w:r>
        <w:rPr>
          <w:rFonts w:ascii="Arial" w:eastAsia="Arial" w:hAnsi="Arial" w:cs="Arial"/>
        </w:rPr>
        <w:t>Superficie del suelo: 1.422 metros cuadrados.</w:t>
      </w:r>
    </w:p>
    <w:p w:rsidR="00E23B86" w:rsidRDefault="00BA7C13">
      <w:pPr>
        <w:spacing w:after="483" w:line="248" w:lineRule="auto"/>
        <w:ind w:left="373" w:right="552" w:hanging="10"/>
        <w:jc w:val="both"/>
      </w:pPr>
      <w:r>
        <w:rPr>
          <w:rFonts w:ascii="Arial" w:eastAsia="Arial" w:hAnsi="Arial" w:cs="Arial"/>
        </w:rPr>
        <w:t>Calle Conde Santa María de Abona. 26 A.</w:t>
      </w:r>
    </w:p>
    <w:p w:rsidR="00E23B86" w:rsidRDefault="00BA7C13">
      <w:pPr>
        <w:spacing w:after="482" w:line="249" w:lineRule="auto"/>
        <w:ind w:left="355" w:right="554" w:hanging="10"/>
        <w:jc w:val="both"/>
      </w:pPr>
      <w:r>
        <w:rPr>
          <w:rFonts w:ascii="Arial" w:eastAsia="Arial" w:hAnsi="Arial" w:cs="Arial"/>
          <w:b/>
        </w:rPr>
        <w:t>Certificación del Registro de la Propiedad de 28 de enero de 2020:</w:t>
      </w:r>
    </w:p>
    <w:p w:rsidR="00E23B86" w:rsidRDefault="00BA7C13">
      <w:pPr>
        <w:spacing w:after="110" w:line="248" w:lineRule="auto"/>
        <w:ind w:left="373" w:right="552" w:hanging="10"/>
        <w:jc w:val="both"/>
      </w:pPr>
      <w:r>
        <w:rPr>
          <w:rFonts w:ascii="Arial" w:eastAsia="Arial" w:hAnsi="Arial" w:cs="Arial"/>
        </w:rPr>
        <w:t>“JOAQUÍN VILLATORIO MUÑOZ, REGISTRADOR DE LA PROPIEDAD DEL D</w:t>
      </w:r>
      <w:r>
        <w:rPr>
          <w:rFonts w:ascii="Arial" w:eastAsia="Arial" w:hAnsi="Arial" w:cs="Arial"/>
        </w:rPr>
        <w:t>ISTRITO HIPOTECARIO DE SANTA CRUZ DE TENERIFE Nº 4:</w:t>
      </w:r>
    </w:p>
    <w:p w:rsidR="00E23B86" w:rsidRDefault="00BA7C13">
      <w:pPr>
        <w:spacing w:after="484" w:line="249" w:lineRule="auto"/>
        <w:ind w:left="347" w:right="555" w:hanging="10"/>
      </w:pPr>
      <w:r>
        <w:rPr>
          <w:noProof/>
        </w:rPr>
        <mc:AlternateContent>
          <mc:Choice Requires="wpg">
            <w:drawing>
              <wp:anchor distT="0" distB="0" distL="114300" distR="114300" simplePos="0" relativeHeight="2517975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7941" name="Group 50794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170" name="Rectangle 2617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171" name="Rectangle 2617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135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7941" style="width:12.7031pt;height:280.35pt;position:absolute;mso-position-horizontal-relative:page;mso-position-horizontal:absolute;margin-left:681.958pt;mso-position-vertical-relative:page;margin-top:531.65pt;" coordsize="1613,35604">
                <v:rect id="Rectangle 2617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17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135 de 391 </w:t>
                        </w:r>
                      </w:p>
                    </w:txbxContent>
                  </v:textbox>
                </v:rect>
                <w10:wrap type="square"/>
              </v:group>
            </w:pict>
          </mc:Fallback>
        </mc:AlternateContent>
      </w:r>
      <w:r>
        <w:rPr>
          <w:rFonts w:ascii="Arial" w:eastAsia="Arial" w:hAnsi="Arial" w:cs="Arial"/>
        </w:rPr>
        <w:t xml:space="preserve">CERTIFICA: Que, en vista de la presente instancia, suscrita por Doña ROSA LUISA FALCÓN CASTRO, para que le sea expedida certificación que acredite la titularidad registral y cargas de FINCA DE CANDELARIA Nº 9562, CÓDIGO REGISTRAL ÚNICO: 38021000052625, he </w:t>
      </w:r>
      <w:r>
        <w:rPr>
          <w:rFonts w:ascii="Arial" w:eastAsia="Arial" w:hAnsi="Arial" w:cs="Arial"/>
        </w:rPr>
        <w:t>examinado en todo lo necesario los libros del archivo a mi cargo, de los que RESULTA:</w:t>
      </w:r>
    </w:p>
    <w:p w:rsidR="00E23B86" w:rsidRDefault="00BA7C13">
      <w:pPr>
        <w:spacing w:after="110" w:line="248" w:lineRule="auto"/>
        <w:ind w:left="373" w:right="552" w:hanging="10"/>
        <w:jc w:val="both"/>
      </w:pPr>
      <w:r>
        <w:rPr>
          <w:rFonts w:ascii="Arial" w:eastAsia="Arial" w:hAnsi="Arial" w:cs="Arial"/>
        </w:rPr>
        <w:t>PRIMERO.- Que la descripción de la finca de Candelaria nº 9652 es la siguiente:</w:t>
      </w:r>
    </w:p>
    <w:p w:rsidR="00E23B86" w:rsidRDefault="00BA7C13">
      <w:pPr>
        <w:spacing w:after="112" w:line="249" w:lineRule="auto"/>
        <w:ind w:left="347" w:right="555" w:hanging="10"/>
      </w:pPr>
      <w:r>
        <w:rPr>
          <w:rFonts w:ascii="Arial" w:eastAsia="Arial" w:hAnsi="Arial" w:cs="Arial"/>
        </w:rPr>
        <w:t>RÚSTICA: Trozo de terreno sito en el término municipal de Candelaria, donde llaman AMANCE,</w:t>
      </w:r>
      <w:r>
        <w:rPr>
          <w:rFonts w:ascii="Arial" w:eastAsia="Arial" w:hAnsi="Arial" w:cs="Arial"/>
        </w:rPr>
        <w:t xml:space="preserve"> con una superficie de 1422,09 metros cuadrados, que linda: al Norte, con un Canti sobre el que lindan Doña Almerinda Fariña Fariña, los hermanos Don Domingo, Doña Rosa Luisa y Don Gregorio Falcón Castro, de Don Domingo Manuel y Don Francisco Castellano Ga</w:t>
      </w:r>
      <w:r>
        <w:rPr>
          <w:rFonts w:ascii="Arial" w:eastAsia="Arial" w:hAnsi="Arial" w:cs="Arial"/>
        </w:rPr>
        <w:t xml:space="preserve">rcía y con Don Luis del Rosario Nuez; al Sur, con hermanos Chico Castellano; por el Este, con Hermanos Chico Castellano y al Oeste, Don Don Ramiro Oliva Rodríguez.- La citada parcela es atravesada por el cauce de un barranco que se conoce con el nombre de </w:t>
      </w:r>
      <w:r>
        <w:rPr>
          <w:rFonts w:ascii="Arial" w:eastAsia="Arial" w:hAnsi="Arial" w:cs="Arial"/>
        </w:rPr>
        <w:t>BARRANCO DE CHAMARIA INES.</w:t>
      </w:r>
    </w:p>
    <w:p w:rsidR="00E23B86" w:rsidRDefault="00BA7C13">
      <w:pPr>
        <w:spacing w:after="110" w:line="248" w:lineRule="auto"/>
        <w:ind w:left="373" w:right="552" w:hanging="10"/>
        <w:jc w:val="both"/>
      </w:pPr>
      <w:r>
        <w:rPr>
          <w:rFonts w:ascii="Arial" w:eastAsia="Arial" w:hAnsi="Arial" w:cs="Arial"/>
        </w:rPr>
        <w:t>PUBLICIDAD INFORMATIVA:</w:t>
      </w:r>
    </w:p>
    <w:p w:rsidR="00E23B86" w:rsidRDefault="00BA7C13">
      <w:pPr>
        <w:spacing w:after="484" w:line="249" w:lineRule="auto"/>
        <w:ind w:left="347" w:right="555" w:hanging="10"/>
      </w:pPr>
      <w:r>
        <w:rPr>
          <w:rFonts w:ascii="Arial" w:eastAsia="Arial" w:hAnsi="Arial" w:cs="Arial"/>
        </w:rPr>
        <w:t>La finca colindante con la de este número registral número 13775 de Candelaria (CRU 38021000075082) tiene inscrita su representación gráfica catastral con fecha 24 de octubre de 2017.</w:t>
      </w:r>
    </w:p>
    <w:p w:rsidR="00E23B86" w:rsidRDefault="00BA7C13">
      <w:pPr>
        <w:spacing w:after="484" w:line="249" w:lineRule="auto"/>
        <w:ind w:left="347" w:right="555" w:hanging="10"/>
      </w:pPr>
      <w:r>
        <w:rPr>
          <w:rFonts w:ascii="Arial" w:eastAsia="Arial" w:hAnsi="Arial" w:cs="Arial"/>
        </w:rPr>
        <w:t>SEGUNDO.- Que la finc</w:t>
      </w:r>
      <w:r>
        <w:rPr>
          <w:rFonts w:ascii="Arial" w:eastAsia="Arial" w:hAnsi="Arial" w:cs="Arial"/>
        </w:rPr>
        <w:t>a descrita aparece inscrita a favor de Doña Heraclia Castro Castro con NIF 41.804.004-D que adquirió el pleno dominio de la totalidad de esta finca, con carácter privativo, por los siguientes títulos: por título de Herencia, en virtud de escritura autoriza</w:t>
      </w:r>
      <w:r>
        <w:rPr>
          <w:rFonts w:ascii="Arial" w:eastAsia="Arial" w:hAnsi="Arial" w:cs="Arial"/>
        </w:rPr>
        <w:t>da el día 6 de junio de 1973, por el Notario de Santa Cruz de Tenerife, Don Jose Manuel García Leis, según consta en la inscripción 1ª, al folio 94, del Libro 131, del Tomo 1406 del Archivo, practicada el día 14 de enero de 1986; así como por título de Exc</w:t>
      </w:r>
      <w:r>
        <w:rPr>
          <w:rFonts w:ascii="Arial" w:eastAsia="Arial" w:hAnsi="Arial" w:cs="Arial"/>
        </w:rPr>
        <w:t>eso de Cabida, en virtud de escritura autorizada el día 22 de febrero de 2006, por el Notario de Santa Cruz de Tenerife, Don Bernando Saro Calamita, con número 507 de protocolo, según consta en la inscripción 2ª, al folio 94, del Libro 131, del Tomo 1406 d</w:t>
      </w:r>
      <w:r>
        <w:rPr>
          <w:rFonts w:ascii="Arial" w:eastAsia="Arial" w:hAnsi="Arial" w:cs="Arial"/>
        </w:rPr>
        <w:t>el Archivo, practicada el día 27 de marzo de 2006.</w:t>
      </w:r>
    </w:p>
    <w:p w:rsidR="00E23B86" w:rsidRDefault="00BA7C13">
      <w:pPr>
        <w:spacing w:after="110" w:line="248" w:lineRule="auto"/>
        <w:ind w:left="373" w:right="552" w:hanging="10"/>
        <w:jc w:val="both"/>
      </w:pPr>
      <w:r>
        <w:rPr>
          <w:rFonts w:ascii="Arial" w:eastAsia="Arial" w:hAnsi="Arial" w:cs="Arial"/>
        </w:rPr>
        <w:t>TERCERO.- Que la finca de que se trata aparece GRAVADA con:</w:t>
      </w:r>
    </w:p>
    <w:p w:rsidR="00E23B86" w:rsidRDefault="00BA7C13">
      <w:pPr>
        <w:spacing w:after="483" w:line="248" w:lineRule="auto"/>
        <w:ind w:left="373" w:right="552" w:hanging="10"/>
        <w:jc w:val="both"/>
      </w:pPr>
      <w:r>
        <w:rPr>
          <w:rFonts w:ascii="Arial" w:eastAsia="Arial" w:hAnsi="Arial" w:cs="Arial"/>
        </w:rPr>
        <w:t>No hay cargas registradas.</w:t>
      </w:r>
    </w:p>
    <w:p w:rsidR="00E23B86" w:rsidRDefault="00BA7C13">
      <w:pPr>
        <w:spacing w:after="110" w:line="248" w:lineRule="auto"/>
        <w:ind w:left="373" w:right="552" w:hanging="10"/>
        <w:jc w:val="both"/>
      </w:pPr>
      <w:r>
        <w:rPr>
          <w:noProof/>
        </w:rPr>
        <mc:AlternateContent>
          <mc:Choice Requires="wpg">
            <w:drawing>
              <wp:anchor distT="0" distB="0" distL="114300" distR="114300" simplePos="0" relativeHeight="251798528"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7817" name="Group 50781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202" name="Rectangle 2620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203" name="Rectangle 2620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w:t>
                              </w:r>
                              <w:r>
                                <w:rPr>
                                  <w:rFonts w:ascii="Arial" w:eastAsia="Arial" w:hAnsi="Arial" w:cs="Arial"/>
                                  <w:sz w:val="12"/>
                                </w:rPr>
                                <w:t xml:space="preserve">do electrónicamente desde la plataforma esPublico Gestiona | Página 136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7817" style="width:12.7031pt;height:280.35pt;position:absolute;mso-position-horizontal-relative:page;mso-position-horizontal:absolute;margin-left:681.958pt;mso-position-vertical-relative:page;margin-top:531.65pt;" coordsize="1613,35604">
                <v:rect id="Rectangle 2620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20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136 de 391 </w:t>
                        </w:r>
                      </w:p>
                    </w:txbxContent>
                  </v:textbox>
                </v:rect>
                <w10:wrap type="topAndBottom"/>
              </v:group>
            </w:pict>
          </mc:Fallback>
        </mc:AlternateContent>
      </w:r>
      <w:r>
        <w:rPr>
          <w:rFonts w:ascii="Arial" w:eastAsia="Arial" w:hAnsi="Arial" w:cs="Arial"/>
        </w:rPr>
        <w:t>CUARTO.- Los datos consignados en la presente certificación se refieren al día que a continuación se cita, antes de la apertura del Libro Diario.</w:t>
      </w:r>
    </w:p>
    <w:p w:rsidR="00E23B86" w:rsidRDefault="00BA7C13">
      <w:pPr>
        <w:spacing w:after="2348" w:line="249" w:lineRule="auto"/>
        <w:ind w:left="347" w:right="555" w:hanging="10"/>
      </w:pPr>
      <w:r>
        <w:rPr>
          <w:rFonts w:ascii="Arial" w:eastAsia="Arial" w:hAnsi="Arial" w:cs="Arial"/>
        </w:rPr>
        <w:t>QUINTO.- Que en el Diario de Operaciones aparece autorizado por el Registrador que suscribe, el asiento de presentación que transcribo seguidamente: No hay documentos pendientes de despacho.(…)</w:t>
      </w:r>
    </w:p>
    <w:p w:rsidR="00E23B86" w:rsidRDefault="00BA7C13">
      <w:pPr>
        <w:spacing w:after="84" w:line="265" w:lineRule="auto"/>
        <w:ind w:left="682" w:right="1404" w:hanging="10"/>
        <w:jc w:val="center"/>
      </w:pPr>
      <w:r>
        <w:rPr>
          <w:rFonts w:ascii="Arial" w:eastAsia="Arial" w:hAnsi="Arial" w:cs="Arial"/>
          <w:b/>
        </w:rPr>
        <w:t>FICHA CATASTRAL DE LA FINCA 2:</w:t>
      </w:r>
    </w:p>
    <w:p w:rsidR="00E23B86" w:rsidRDefault="00BA7C13">
      <w:pPr>
        <w:spacing w:after="3857"/>
        <w:ind w:left="350" w:right="-11"/>
      </w:pPr>
      <w:r>
        <w:rPr>
          <w:noProof/>
        </w:rPr>
        <w:drawing>
          <wp:inline distT="0" distB="0" distL="0" distR="0">
            <wp:extent cx="5763769" cy="4184904"/>
            <wp:effectExtent l="0" t="0" r="0" b="0"/>
            <wp:docPr id="609795" name="Picture 609795"/>
            <wp:cNvGraphicFramePr/>
            <a:graphic xmlns:a="http://schemas.openxmlformats.org/drawingml/2006/main">
              <a:graphicData uri="http://schemas.openxmlformats.org/drawingml/2006/picture">
                <pic:pic xmlns:pic="http://schemas.openxmlformats.org/drawingml/2006/picture">
                  <pic:nvPicPr>
                    <pic:cNvPr id="609795" name="Picture 609795"/>
                    <pic:cNvPicPr/>
                  </pic:nvPicPr>
                  <pic:blipFill>
                    <a:blip r:embed="rId10"/>
                    <a:stretch>
                      <a:fillRect/>
                    </a:stretch>
                  </pic:blipFill>
                  <pic:spPr>
                    <a:xfrm>
                      <a:off x="0" y="0"/>
                      <a:ext cx="5763769" cy="4184904"/>
                    </a:xfrm>
                    <a:prstGeom prst="rect">
                      <a:avLst/>
                    </a:prstGeom>
                  </pic:spPr>
                </pic:pic>
              </a:graphicData>
            </a:graphic>
          </wp:inline>
        </w:drawing>
      </w:r>
    </w:p>
    <w:p w:rsidR="00E23B86" w:rsidRDefault="00BA7C13">
      <w:pPr>
        <w:spacing w:after="111" w:line="249" w:lineRule="auto"/>
        <w:ind w:left="2488" w:right="554" w:hanging="10"/>
        <w:jc w:val="both"/>
      </w:pPr>
      <w:r>
        <w:rPr>
          <w:noProof/>
        </w:rPr>
        <mc:AlternateContent>
          <mc:Choice Requires="wpg">
            <w:drawing>
              <wp:anchor distT="0" distB="0" distL="114300" distR="114300" simplePos="0" relativeHeight="2517995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7763" name="Group 50776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219" name="Rectangle 2621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w:t>
                              </w:r>
                              <w:r>
                                <w:rPr>
                                  <w:rFonts w:ascii="Arial" w:eastAsia="Arial" w:hAnsi="Arial" w:cs="Arial"/>
                                  <w:sz w:val="12"/>
                                </w:rPr>
                                <w:t xml:space="preserve">K3P9GMGZC2N3FZWC | Verificación: https://candelaria.sedelectronica.es/ </w:t>
                              </w:r>
                            </w:p>
                          </w:txbxContent>
                        </wps:txbx>
                        <wps:bodyPr horzOverflow="overflow" vert="horz" lIns="0" tIns="0" rIns="0" bIns="0" rtlCol="0">
                          <a:noAutofit/>
                        </wps:bodyPr>
                      </wps:wsp>
                      <wps:wsp>
                        <wps:cNvPr id="26220" name="Rectangle 2622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137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7763" style="width:12.7031pt;height:280.35pt;position:absolute;mso-position-horizontal-relative:page;mso-position-horizontal:absolute;margin-left:681.958pt;mso-position-vertical-relative:page;margin-top:531.65pt;" coordsize="1613,35604">
                <v:rect id="Rectangle 2621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22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137 de 391 </w:t>
                        </w:r>
                      </w:p>
                    </w:txbxContent>
                  </v:textbox>
                </v:rect>
                <w10:wrap type="square"/>
              </v:group>
            </w:pict>
          </mc:Fallback>
        </mc:AlternateContent>
      </w:r>
      <w:r>
        <w:rPr>
          <w:rFonts w:ascii="Arial" w:eastAsia="Arial" w:hAnsi="Arial" w:cs="Arial"/>
          <w:b/>
        </w:rPr>
        <w:t>FICHA REGISTRAL DE LA FINCA 2</w:t>
      </w:r>
    </w:p>
    <w:p w:rsidR="00E23B86" w:rsidRDefault="00BA7C13">
      <w:pPr>
        <w:spacing w:after="1619"/>
        <w:ind w:left="350" w:right="-11"/>
      </w:pPr>
      <w:r>
        <w:rPr>
          <w:noProof/>
        </w:rPr>
        <w:drawing>
          <wp:inline distT="0" distB="0" distL="0" distR="0">
            <wp:extent cx="5763769" cy="4696969"/>
            <wp:effectExtent l="0" t="0" r="0" b="0"/>
            <wp:docPr id="609796" name="Picture 609796"/>
            <wp:cNvGraphicFramePr/>
            <a:graphic xmlns:a="http://schemas.openxmlformats.org/drawingml/2006/main">
              <a:graphicData uri="http://schemas.openxmlformats.org/drawingml/2006/picture">
                <pic:pic xmlns:pic="http://schemas.openxmlformats.org/drawingml/2006/picture">
                  <pic:nvPicPr>
                    <pic:cNvPr id="609796" name="Picture 609796"/>
                    <pic:cNvPicPr/>
                  </pic:nvPicPr>
                  <pic:blipFill>
                    <a:blip r:embed="rId11"/>
                    <a:stretch>
                      <a:fillRect/>
                    </a:stretch>
                  </pic:blipFill>
                  <pic:spPr>
                    <a:xfrm>
                      <a:off x="0" y="0"/>
                      <a:ext cx="5763769" cy="4696969"/>
                    </a:xfrm>
                    <a:prstGeom prst="rect">
                      <a:avLst/>
                    </a:prstGeom>
                  </pic:spPr>
                </pic:pic>
              </a:graphicData>
            </a:graphic>
          </wp:inline>
        </w:drawing>
      </w:r>
    </w:p>
    <w:p w:rsidR="00E23B86" w:rsidRDefault="00BA7C13">
      <w:pPr>
        <w:spacing w:after="95" w:line="265" w:lineRule="auto"/>
        <w:ind w:left="10" w:right="698" w:hanging="10"/>
        <w:jc w:val="center"/>
      </w:pPr>
      <w:r>
        <w:rPr>
          <w:rFonts w:ascii="Arial" w:eastAsia="Arial" w:hAnsi="Arial" w:cs="Arial"/>
          <w:b/>
          <w:u w:val="single" w:color="000000"/>
        </w:rPr>
        <w:t>FINCA 3:</w:t>
      </w:r>
    </w:p>
    <w:p w:rsidR="00E23B86" w:rsidRDefault="00BA7C13">
      <w:pPr>
        <w:spacing w:after="111" w:line="249" w:lineRule="auto"/>
        <w:ind w:left="355" w:right="554" w:hanging="10"/>
        <w:jc w:val="both"/>
      </w:pPr>
      <w:r>
        <w:rPr>
          <w:rFonts w:ascii="Arial" w:eastAsia="Arial" w:hAnsi="Arial" w:cs="Arial"/>
          <w:b/>
        </w:rPr>
        <w:t>Datos:</w:t>
      </w:r>
    </w:p>
    <w:p w:rsidR="00E23B86" w:rsidRDefault="00BA7C13">
      <w:pPr>
        <w:spacing w:after="10" w:line="248" w:lineRule="auto"/>
        <w:ind w:left="373" w:right="552" w:hanging="10"/>
        <w:jc w:val="both"/>
      </w:pPr>
      <w:r>
        <w:rPr>
          <w:rFonts w:ascii="Arial" w:eastAsia="Arial" w:hAnsi="Arial" w:cs="Arial"/>
        </w:rPr>
        <w:t xml:space="preserve">Propiedad: Hermanos Chico Castellano: Doña Evangelina Chico Castellano, Don José </w:t>
      </w:r>
    </w:p>
    <w:p w:rsidR="00E23B86" w:rsidRDefault="00BA7C13">
      <w:pPr>
        <w:spacing w:after="110" w:line="248" w:lineRule="auto"/>
        <w:ind w:left="373" w:right="552" w:hanging="10"/>
        <w:jc w:val="both"/>
      </w:pPr>
      <w:r>
        <w:rPr>
          <w:rFonts w:ascii="Arial" w:eastAsia="Arial" w:hAnsi="Arial" w:cs="Arial"/>
        </w:rPr>
        <w:t>Aurelio Chico Castellano, Don Juan Carmelo Chico Castellano y Don Andrés Jesús Chico Castellano</w:t>
      </w:r>
    </w:p>
    <w:p w:rsidR="00E23B86" w:rsidRDefault="00BA7C13">
      <w:pPr>
        <w:spacing w:after="110" w:line="248" w:lineRule="auto"/>
        <w:ind w:left="373" w:right="552" w:hanging="10"/>
        <w:jc w:val="both"/>
      </w:pPr>
      <w:r>
        <w:rPr>
          <w:rFonts w:ascii="Arial" w:eastAsia="Arial" w:hAnsi="Arial" w:cs="Arial"/>
        </w:rPr>
        <w:t>Superficie: 1311 metros cuadrados según registro de la propiedad.</w:t>
      </w:r>
    </w:p>
    <w:p w:rsidR="00E23B86" w:rsidRDefault="00BA7C13">
      <w:pPr>
        <w:spacing w:after="483" w:line="248" w:lineRule="auto"/>
        <w:ind w:left="373" w:right="552" w:hanging="10"/>
        <w:jc w:val="both"/>
      </w:pPr>
      <w:r>
        <w:rPr>
          <w:noProof/>
        </w:rPr>
        <mc:AlternateContent>
          <mc:Choice Requires="wpg">
            <w:drawing>
              <wp:anchor distT="0" distB="0" distL="114300" distR="114300" simplePos="0" relativeHeight="2518005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8087" name="Group 50808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244" name="Rectangle 2624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245" name="Rectangle 2624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138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8087" style="width:12.7031pt;height:280.35pt;position:absolute;mso-position-horizontal-relative:page;mso-position-horizontal:absolute;margin-left:681.958pt;mso-position-vertical-relative:page;margin-top:531.65pt;" coordsize="1613,35604">
                <v:rect id="Rectangle 2624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24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138 de 391 </w:t>
                        </w:r>
                      </w:p>
                    </w:txbxContent>
                  </v:textbox>
                </v:rect>
                <w10:wrap type="square"/>
              </v:group>
            </w:pict>
          </mc:Fallback>
        </mc:AlternateContent>
      </w:r>
      <w:r>
        <w:rPr>
          <w:rFonts w:ascii="Arial" w:eastAsia="Arial" w:hAnsi="Arial" w:cs="Arial"/>
        </w:rPr>
        <w:t>Calle El Pozo, 3.</w:t>
      </w:r>
    </w:p>
    <w:p w:rsidR="00E23B86" w:rsidRDefault="00BA7C13">
      <w:pPr>
        <w:spacing w:after="482" w:line="249" w:lineRule="auto"/>
        <w:ind w:left="355" w:right="554" w:hanging="10"/>
        <w:jc w:val="both"/>
      </w:pPr>
      <w:r>
        <w:rPr>
          <w:rFonts w:ascii="Arial" w:eastAsia="Arial" w:hAnsi="Arial" w:cs="Arial"/>
          <w:b/>
        </w:rPr>
        <w:t xml:space="preserve">Certificación del registro de la Propiedad </w:t>
      </w:r>
      <w:r>
        <w:rPr>
          <w:rFonts w:ascii="Arial" w:eastAsia="Arial" w:hAnsi="Arial" w:cs="Arial"/>
          <w:b/>
        </w:rPr>
        <w:t>de 28 de enero de 2020:</w:t>
      </w:r>
    </w:p>
    <w:p w:rsidR="00E23B86" w:rsidRDefault="00BA7C13">
      <w:pPr>
        <w:spacing w:after="110" w:line="248" w:lineRule="auto"/>
        <w:ind w:left="373" w:right="552" w:hanging="10"/>
        <w:jc w:val="both"/>
      </w:pPr>
      <w:r>
        <w:rPr>
          <w:rFonts w:ascii="Arial" w:eastAsia="Arial" w:hAnsi="Arial" w:cs="Arial"/>
        </w:rPr>
        <w:t>“JOAQUÍN VILLATORIO MUÑOZ, REGISTRADOR DE LA PROPIEDAD DEL DISTRITO HIPOTECARIO DE SANTA CRUZ DE TENERIFE Nº 4:</w:t>
      </w:r>
    </w:p>
    <w:p w:rsidR="00E23B86" w:rsidRDefault="00BA7C13">
      <w:pPr>
        <w:spacing w:after="484" w:line="249" w:lineRule="auto"/>
        <w:ind w:left="347" w:right="555" w:hanging="10"/>
      </w:pPr>
      <w:r>
        <w:rPr>
          <w:rFonts w:ascii="Arial" w:eastAsia="Arial" w:hAnsi="Arial" w:cs="Arial"/>
        </w:rPr>
        <w:t xml:space="preserve">CERTIFICA: Que, en vista de la presente instancia, suscrita por Doña MARÍA JOSÉ CHICO JIMENEZ, para que le sea expedida </w:t>
      </w:r>
      <w:r>
        <w:rPr>
          <w:rFonts w:ascii="Arial" w:eastAsia="Arial" w:hAnsi="Arial" w:cs="Arial"/>
        </w:rPr>
        <w:t>certificación que acredite la titularidad registral y cargas de FINCA DE CANDELARIA Nº 5.088 CÓDIGO REGISTRAL ÚNICO: 38021000029825, he examinado en todo lo necesario los libros del archivo a mi cargo, de los que RESULTA</w:t>
      </w:r>
    </w:p>
    <w:p w:rsidR="00E23B86" w:rsidRDefault="00BA7C13">
      <w:pPr>
        <w:spacing w:after="110" w:line="248" w:lineRule="auto"/>
        <w:ind w:left="373" w:right="552" w:hanging="10"/>
        <w:jc w:val="both"/>
      </w:pPr>
      <w:r>
        <w:rPr>
          <w:rFonts w:ascii="Arial" w:eastAsia="Arial" w:hAnsi="Arial" w:cs="Arial"/>
        </w:rPr>
        <w:t xml:space="preserve"> “PRIMERO.- Que la descripción de l</w:t>
      </w:r>
      <w:r>
        <w:rPr>
          <w:rFonts w:ascii="Arial" w:eastAsia="Arial" w:hAnsi="Arial" w:cs="Arial"/>
        </w:rPr>
        <w:t>a finca de Candelaria nº 5.088 es la siguiente:</w:t>
      </w:r>
    </w:p>
    <w:p w:rsidR="00E23B86" w:rsidRDefault="00BA7C13">
      <w:pPr>
        <w:spacing w:after="112" w:line="249" w:lineRule="auto"/>
        <w:ind w:left="347" w:right="555" w:hanging="10"/>
      </w:pPr>
      <w:r>
        <w:rPr>
          <w:rFonts w:ascii="Arial" w:eastAsia="Arial" w:hAnsi="Arial" w:cs="Arial"/>
        </w:rPr>
        <w:t>URBANA antes RUSTICA: SOLAR, donde dicen AMANCE, término municipal de Candelaria, de superficie TRECE ÁREAS ONCE CENTIAREAS que linda: Naciente, herederos de D. Sixto Melitón Machado y María Domínguez; Poniente, camino y tierras de Claudio Gutiérrez; Norte</w:t>
      </w:r>
      <w:r>
        <w:rPr>
          <w:rFonts w:ascii="Arial" w:eastAsia="Arial" w:hAnsi="Arial" w:cs="Arial"/>
        </w:rPr>
        <w:t>, las de Víctor Rodríguez; y Sur, Barranco de la Cumbre.</w:t>
      </w:r>
    </w:p>
    <w:p w:rsidR="00E23B86" w:rsidRDefault="00BA7C13">
      <w:pPr>
        <w:spacing w:after="483" w:line="248" w:lineRule="auto"/>
        <w:ind w:left="373" w:right="552" w:hanging="10"/>
        <w:jc w:val="both"/>
      </w:pPr>
      <w:r>
        <w:rPr>
          <w:rFonts w:ascii="Arial" w:eastAsia="Arial" w:hAnsi="Arial" w:cs="Arial"/>
        </w:rPr>
        <w:t>La finca de este número no está coordinada gráficamente con el catastro.</w:t>
      </w:r>
    </w:p>
    <w:p w:rsidR="00E23B86" w:rsidRDefault="00BA7C13">
      <w:pPr>
        <w:spacing w:after="10" w:line="248" w:lineRule="auto"/>
        <w:ind w:left="373" w:right="552" w:hanging="10"/>
        <w:jc w:val="both"/>
      </w:pPr>
      <w:r>
        <w:rPr>
          <w:rFonts w:ascii="Arial" w:eastAsia="Arial" w:hAnsi="Arial" w:cs="Arial"/>
        </w:rPr>
        <w:t xml:space="preserve">SEGUNDO.- Que la finca descrita aparece inscrita a favor de Doña Evangelina, con </w:t>
      </w:r>
    </w:p>
    <w:p w:rsidR="00E23B86" w:rsidRDefault="00BA7C13">
      <w:pPr>
        <w:spacing w:after="484" w:line="249" w:lineRule="auto"/>
        <w:ind w:left="347" w:right="555" w:hanging="10"/>
      </w:pPr>
      <w:r>
        <w:rPr>
          <w:noProof/>
        </w:rPr>
        <mc:AlternateContent>
          <mc:Choice Requires="wpg">
            <w:drawing>
              <wp:anchor distT="0" distB="0" distL="114300" distR="114300" simplePos="0" relativeHeight="2518016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8563" name="Group 50856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292" name="Rectangle 2629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w:t>
                              </w:r>
                              <w:r>
                                <w:rPr>
                                  <w:rFonts w:ascii="Arial" w:eastAsia="Arial" w:hAnsi="Arial" w:cs="Arial"/>
                                  <w:sz w:val="12"/>
                                </w:rPr>
                                <w:t xml:space="preserve">C | Verificación: https://candelaria.sedelectronica.es/ </w:t>
                              </w:r>
                            </w:p>
                          </w:txbxContent>
                        </wps:txbx>
                        <wps:bodyPr horzOverflow="overflow" vert="horz" lIns="0" tIns="0" rIns="0" bIns="0" rtlCol="0">
                          <a:noAutofit/>
                        </wps:bodyPr>
                      </wps:wsp>
                      <wps:wsp>
                        <wps:cNvPr id="26293" name="Rectangle 2629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139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8563" style="width:12.7031pt;height:280.35pt;position:absolute;mso-position-horizontal-relative:page;mso-position-horizontal:absolute;margin-left:681.958pt;mso-position-vertical-relative:page;margin-top:531.65pt;" coordsize="1613,35604">
                <v:rect id="Rectangle 2629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29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139 de 391 </w:t>
                        </w:r>
                      </w:p>
                    </w:txbxContent>
                  </v:textbox>
                </v:rect>
                <w10:wrap type="square"/>
              </v:group>
            </w:pict>
          </mc:Fallback>
        </mc:AlternateContent>
      </w:r>
      <w:r>
        <w:rPr>
          <w:rFonts w:ascii="Arial" w:eastAsia="Arial" w:hAnsi="Arial" w:cs="Arial"/>
        </w:rPr>
        <w:t xml:space="preserve">NIF 42.029.26.T, Don José Aurelio, con NIF 41.814.696Y, Don Juan Carmelo, Con NIF 78.858.602-C, y Don </w:t>
      </w:r>
      <w:r>
        <w:rPr>
          <w:rFonts w:ascii="Arial" w:eastAsia="Arial" w:hAnsi="Arial" w:cs="Arial"/>
        </w:rPr>
        <w:t>Andrés Jesús con NIF 41.806.617-T,  que adquirieron el pleno dominio de la totalidad de la finca, en la siguiente proporción: con respecto a ½ una mitad indivisa, adquirieron cada uno, la nuda propiedad de 1/8 ava parte indivisa, con carácter privativo, po</w:t>
      </w:r>
      <w:r>
        <w:rPr>
          <w:rFonts w:ascii="Arial" w:eastAsia="Arial" w:hAnsi="Arial" w:cs="Arial"/>
        </w:rPr>
        <w:t>r título de Herencia en virtud de escritura autorizada el día 14 de diciembre de 1994 ante el Notario de Güimar Don Alejandro Ruiz Ayucar Seifert, con número 2003 de protocolo, según consta en la inscripción 4ª, al folio 13 del libro 135 del archivo practi</w:t>
      </w:r>
      <w:r>
        <w:rPr>
          <w:rFonts w:ascii="Arial" w:eastAsia="Arial" w:hAnsi="Arial" w:cs="Arial"/>
        </w:rPr>
        <w:t>cada el día de dos de febrero de dos mil, consolidando el pleno dominio de dicha proporción por título de extinción del usufructo, en virtud de escritura autorizada el día uno de octubre de 2009, por el notario de Santa Cruz de Tenerife, Don Nicolás Quinta</w:t>
      </w:r>
      <w:r>
        <w:rPr>
          <w:rFonts w:ascii="Arial" w:eastAsia="Arial" w:hAnsi="Arial" w:cs="Arial"/>
        </w:rPr>
        <w:t>na Plasencia, con número 2551 de protocolo, según consta en la inscripción 5ª, practicada el día 17 de diciembre de 2009. Y con respecto a la otra (1/2) mitad indivisa, adquirieron, cada uno, el pleno dominio de 1/8 ava parte indivisa, con carácter privati</w:t>
      </w:r>
      <w:r>
        <w:rPr>
          <w:rFonts w:ascii="Arial" w:eastAsia="Arial" w:hAnsi="Arial" w:cs="Arial"/>
        </w:rPr>
        <w:t xml:space="preserve">vo, por título de adjudicación de herencia, previa extinción de ususfructo en cuanto a la restante mitad, en virtud de escritura autorizada el día uno de octubre de 2009, por el notario de Santa Cruz de Tenerife, Don Nicolás Quintana Plasencia, con número </w:t>
      </w:r>
      <w:r>
        <w:rPr>
          <w:rFonts w:ascii="Arial" w:eastAsia="Arial" w:hAnsi="Arial" w:cs="Arial"/>
        </w:rPr>
        <w:t>2551 de protocolo, según consta en la inscripción 5ª al folio 13 del Libro 135 del archivo, practicada el día 17 de diciembre de 2009.</w:t>
      </w:r>
    </w:p>
    <w:p w:rsidR="00E23B86" w:rsidRDefault="00BA7C13">
      <w:pPr>
        <w:spacing w:after="110" w:line="248" w:lineRule="auto"/>
        <w:ind w:left="373" w:right="552" w:hanging="10"/>
        <w:jc w:val="both"/>
      </w:pPr>
      <w:r>
        <w:rPr>
          <w:rFonts w:ascii="Arial" w:eastAsia="Arial" w:hAnsi="Arial" w:cs="Arial"/>
        </w:rPr>
        <w:t>TERCERO.- Que la finca de que se trata aparece gravada con:</w:t>
      </w:r>
    </w:p>
    <w:p w:rsidR="00E23B86" w:rsidRDefault="00BA7C13">
      <w:pPr>
        <w:spacing w:after="483" w:line="248" w:lineRule="auto"/>
        <w:ind w:left="373" w:right="552" w:hanging="10"/>
        <w:jc w:val="both"/>
      </w:pPr>
      <w:r>
        <w:rPr>
          <w:rFonts w:ascii="Arial" w:eastAsia="Arial" w:hAnsi="Arial" w:cs="Arial"/>
        </w:rPr>
        <w:t>No hay cargas registradas.</w:t>
      </w:r>
    </w:p>
    <w:p w:rsidR="00E23B86" w:rsidRDefault="00BA7C13">
      <w:pPr>
        <w:spacing w:after="485" w:line="248" w:lineRule="auto"/>
        <w:ind w:left="373" w:right="552" w:hanging="10"/>
        <w:jc w:val="both"/>
      </w:pPr>
      <w:r>
        <w:rPr>
          <w:rFonts w:ascii="Arial" w:eastAsia="Arial" w:hAnsi="Arial" w:cs="Arial"/>
        </w:rPr>
        <w:t>CUARTO: Los datos consignados en l</w:t>
      </w:r>
      <w:r>
        <w:rPr>
          <w:rFonts w:ascii="Arial" w:eastAsia="Arial" w:hAnsi="Arial" w:cs="Arial"/>
        </w:rPr>
        <w:t>a presente certificación se refieren al día que a continuación se cita, antes de la apertura del Libro Diario.</w:t>
      </w:r>
    </w:p>
    <w:p w:rsidR="00E23B86" w:rsidRDefault="00BA7C13">
      <w:pPr>
        <w:spacing w:after="110" w:line="248" w:lineRule="auto"/>
        <w:ind w:left="373" w:right="552" w:hanging="10"/>
        <w:jc w:val="both"/>
      </w:pPr>
      <w:r>
        <w:rPr>
          <w:rFonts w:ascii="Arial" w:eastAsia="Arial" w:hAnsi="Arial" w:cs="Arial"/>
        </w:rPr>
        <w:t>QUINTO.- Que en el Diario de Operaciones aparece autorizado por el Registrador que suscribe, el asiento de presentación que transcribo seguidamen</w:t>
      </w:r>
      <w:r>
        <w:rPr>
          <w:rFonts w:ascii="Arial" w:eastAsia="Arial" w:hAnsi="Arial" w:cs="Arial"/>
        </w:rPr>
        <w:t>te:</w:t>
      </w:r>
    </w:p>
    <w:p w:rsidR="00E23B86" w:rsidRDefault="00BA7C13">
      <w:pPr>
        <w:spacing w:after="110" w:line="248" w:lineRule="auto"/>
        <w:ind w:left="373" w:right="552" w:hanging="10"/>
        <w:jc w:val="both"/>
      </w:pPr>
      <w:r>
        <w:rPr>
          <w:rFonts w:ascii="Arial" w:eastAsia="Arial" w:hAnsi="Arial" w:cs="Arial"/>
        </w:rPr>
        <w:t>No hay documentos pendientes de despacho.(…)</w:t>
      </w:r>
    </w:p>
    <w:p w:rsidR="00E23B86" w:rsidRDefault="00BA7C13">
      <w:pPr>
        <w:spacing w:after="587" w:line="265" w:lineRule="auto"/>
        <w:ind w:left="10" w:right="3248" w:hanging="10"/>
        <w:jc w:val="right"/>
      </w:pPr>
      <w:r>
        <w:rPr>
          <w:noProof/>
        </w:rPr>
        <mc:AlternateContent>
          <mc:Choice Requires="wpg">
            <w:drawing>
              <wp:anchor distT="0" distB="0" distL="114300" distR="114300" simplePos="0" relativeHeight="2518026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8521" name="Group 50852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314" name="Rectangle 2631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315" name="Rectangle 2631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140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8521" style="width:12.7031pt;height:280.35pt;position:absolute;mso-position-horizontal-relative:page;mso-position-horizontal:absolute;margin-left:681.958pt;mso-position-vertical-relative:page;margin-top:531.65pt;" coordsize="1613,35604">
                <v:rect id="Rectangle 2631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31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140 de 391 </w:t>
                        </w:r>
                      </w:p>
                    </w:txbxContent>
                  </v:textbox>
                </v:rect>
                <w10:wrap type="square"/>
              </v:group>
            </w:pict>
          </mc:Fallback>
        </mc:AlternateContent>
      </w:r>
      <w:r>
        <w:rPr>
          <w:rFonts w:ascii="Arial" w:eastAsia="Arial" w:hAnsi="Arial" w:cs="Arial"/>
          <w:b/>
        </w:rPr>
        <w:t>FICHA REGISTRAL DE LA FINCA 3:</w:t>
      </w:r>
    </w:p>
    <w:p w:rsidR="00E23B86" w:rsidRDefault="00BA7C13">
      <w:pPr>
        <w:spacing w:after="1621"/>
        <w:ind w:left="350" w:right="-11"/>
      </w:pPr>
      <w:r>
        <w:rPr>
          <w:noProof/>
        </w:rPr>
        <w:drawing>
          <wp:inline distT="0" distB="0" distL="0" distR="0">
            <wp:extent cx="5763769" cy="4081272"/>
            <wp:effectExtent l="0" t="0" r="0" b="0"/>
            <wp:docPr id="609797" name="Picture 609797"/>
            <wp:cNvGraphicFramePr/>
            <a:graphic xmlns:a="http://schemas.openxmlformats.org/drawingml/2006/main">
              <a:graphicData uri="http://schemas.openxmlformats.org/drawingml/2006/picture">
                <pic:pic xmlns:pic="http://schemas.openxmlformats.org/drawingml/2006/picture">
                  <pic:nvPicPr>
                    <pic:cNvPr id="609797" name="Picture 609797"/>
                    <pic:cNvPicPr/>
                  </pic:nvPicPr>
                  <pic:blipFill>
                    <a:blip r:embed="rId12"/>
                    <a:stretch>
                      <a:fillRect/>
                    </a:stretch>
                  </pic:blipFill>
                  <pic:spPr>
                    <a:xfrm>
                      <a:off x="0" y="0"/>
                      <a:ext cx="5763769" cy="4081272"/>
                    </a:xfrm>
                    <a:prstGeom prst="rect">
                      <a:avLst/>
                    </a:prstGeom>
                  </pic:spPr>
                </pic:pic>
              </a:graphicData>
            </a:graphic>
          </wp:inline>
        </w:drawing>
      </w:r>
    </w:p>
    <w:p w:rsidR="00E23B86" w:rsidRDefault="00BA7C13">
      <w:pPr>
        <w:spacing w:after="467" w:line="265" w:lineRule="auto"/>
        <w:ind w:left="10" w:right="698" w:hanging="10"/>
        <w:jc w:val="center"/>
      </w:pPr>
      <w:r>
        <w:rPr>
          <w:rFonts w:ascii="Arial" w:eastAsia="Arial" w:hAnsi="Arial" w:cs="Arial"/>
          <w:b/>
          <w:u w:val="single" w:color="000000"/>
        </w:rPr>
        <w:t xml:space="preserve">FINCA 4: </w:t>
      </w:r>
    </w:p>
    <w:p w:rsidR="00E23B86" w:rsidRDefault="00BA7C13">
      <w:pPr>
        <w:spacing w:after="111" w:line="249" w:lineRule="auto"/>
        <w:ind w:left="355" w:right="554" w:hanging="10"/>
        <w:jc w:val="both"/>
      </w:pPr>
      <w:r>
        <w:rPr>
          <w:rFonts w:ascii="Arial" w:eastAsia="Arial" w:hAnsi="Arial" w:cs="Arial"/>
          <w:b/>
        </w:rPr>
        <w:t>Datos:</w:t>
      </w:r>
    </w:p>
    <w:p w:rsidR="00E23B86" w:rsidRDefault="00BA7C13">
      <w:pPr>
        <w:spacing w:after="112" w:line="249" w:lineRule="auto"/>
        <w:ind w:left="347" w:right="555" w:hanging="10"/>
      </w:pPr>
      <w:r>
        <w:rPr>
          <w:rFonts w:ascii="Arial" w:eastAsia="Arial" w:hAnsi="Arial" w:cs="Arial"/>
        </w:rPr>
        <w:t>Propiedad: Hermanos Chico Castellano: Doña Evangelina Chico Castellano, Don José Aurelio Chico Castellano, Don Juan Carmelo Chico Castellano y Don Andrés Jesús Chico Castellano.</w:t>
      </w:r>
    </w:p>
    <w:p w:rsidR="00E23B86" w:rsidRDefault="00BA7C13">
      <w:pPr>
        <w:spacing w:after="110" w:line="248" w:lineRule="auto"/>
        <w:ind w:left="373" w:right="552" w:hanging="10"/>
        <w:jc w:val="both"/>
      </w:pPr>
      <w:r>
        <w:rPr>
          <w:rFonts w:ascii="Arial" w:eastAsia="Arial" w:hAnsi="Arial" w:cs="Arial"/>
        </w:rPr>
        <w:t>Superficie: 1.010 metros cua</w:t>
      </w:r>
      <w:r>
        <w:rPr>
          <w:rFonts w:ascii="Arial" w:eastAsia="Arial" w:hAnsi="Arial" w:cs="Arial"/>
        </w:rPr>
        <w:t>drados según registro de la propiedad.</w:t>
      </w:r>
    </w:p>
    <w:p w:rsidR="00E23B86" w:rsidRDefault="00BA7C13">
      <w:pPr>
        <w:spacing w:after="483" w:line="248" w:lineRule="auto"/>
        <w:ind w:left="373" w:right="552" w:hanging="10"/>
        <w:jc w:val="both"/>
      </w:pPr>
      <w:r>
        <w:rPr>
          <w:rFonts w:ascii="Arial" w:eastAsia="Arial" w:hAnsi="Arial" w:cs="Arial"/>
        </w:rPr>
        <w:t>Calle El Pozo,3.</w:t>
      </w:r>
    </w:p>
    <w:p w:rsidR="00E23B86" w:rsidRDefault="00BA7C13">
      <w:pPr>
        <w:spacing w:after="482" w:line="249" w:lineRule="auto"/>
        <w:ind w:left="355" w:right="554" w:hanging="10"/>
        <w:jc w:val="both"/>
      </w:pPr>
      <w:r>
        <w:rPr>
          <w:rFonts w:ascii="Arial" w:eastAsia="Arial" w:hAnsi="Arial" w:cs="Arial"/>
          <w:b/>
        </w:rPr>
        <w:t>Certificación del registro de la Propiedad de 28 de enero de 2020:</w:t>
      </w:r>
    </w:p>
    <w:p w:rsidR="00E23B86" w:rsidRDefault="00BA7C13">
      <w:pPr>
        <w:spacing w:after="110" w:line="248" w:lineRule="auto"/>
        <w:ind w:left="373" w:right="552" w:hanging="10"/>
        <w:jc w:val="both"/>
      </w:pPr>
      <w:r>
        <w:rPr>
          <w:rFonts w:ascii="Arial" w:eastAsia="Arial" w:hAnsi="Arial" w:cs="Arial"/>
        </w:rPr>
        <w:t>“JOAQUÍN VILLATORIO MUÑOZ, REGISTRADOR DE LA PROPIEDAD DEL DISTRITO HIPOTECARIO DE SANTA CRUZ DE TENERIFE Nº 4:</w:t>
      </w:r>
    </w:p>
    <w:p w:rsidR="00E23B86" w:rsidRDefault="00BA7C13">
      <w:pPr>
        <w:spacing w:after="484" w:line="249" w:lineRule="auto"/>
        <w:ind w:left="347" w:right="555" w:hanging="10"/>
      </w:pPr>
      <w:r>
        <w:rPr>
          <w:rFonts w:ascii="Arial" w:eastAsia="Arial" w:hAnsi="Arial" w:cs="Arial"/>
        </w:rPr>
        <w:t>CERTIFICA: Que, en vista de la presente instancia, suscrita por Doña MARÍA JOSÉ CHICO JIMENEZ, para que le sea expedida certificación que acredite la titularidad registral y cargas de FINCA DE CANDELARIA Nº 3.311 CÓDIGO REGISTRAL ÚNICO: 38021000028842</w:t>
      </w:r>
      <w:r>
        <w:rPr>
          <w:rFonts w:ascii="Arial" w:eastAsia="Arial" w:hAnsi="Arial" w:cs="Arial"/>
          <w:b/>
        </w:rPr>
        <w:t>,</w:t>
      </w:r>
      <w:r>
        <w:rPr>
          <w:rFonts w:ascii="Arial" w:eastAsia="Arial" w:hAnsi="Arial" w:cs="Arial"/>
        </w:rPr>
        <w:t xml:space="preserve"> he </w:t>
      </w:r>
      <w:r>
        <w:rPr>
          <w:rFonts w:ascii="Arial" w:eastAsia="Arial" w:hAnsi="Arial" w:cs="Arial"/>
        </w:rPr>
        <w:t>examinado en todo lo necesario los libros del archivo a mi cargo, de los que RESULTA</w:t>
      </w:r>
    </w:p>
    <w:p w:rsidR="00E23B86" w:rsidRDefault="00BA7C13">
      <w:pPr>
        <w:spacing w:after="110" w:line="248" w:lineRule="auto"/>
        <w:ind w:left="373" w:right="552" w:hanging="10"/>
        <w:jc w:val="both"/>
      </w:pPr>
      <w:r>
        <w:rPr>
          <w:rFonts w:ascii="Arial" w:eastAsia="Arial" w:hAnsi="Arial" w:cs="Arial"/>
        </w:rPr>
        <w:t>PRIMERO.- Que la descripción de la finca de Candelaria nº 3311 es la siguiente:</w:t>
      </w:r>
    </w:p>
    <w:p w:rsidR="00E23B86" w:rsidRDefault="00BA7C13">
      <w:pPr>
        <w:spacing w:after="110" w:line="249" w:lineRule="auto"/>
        <w:ind w:left="347" w:right="555" w:hanging="10"/>
      </w:pPr>
      <w:r>
        <w:rPr>
          <w:noProof/>
        </w:rPr>
        <mc:AlternateContent>
          <mc:Choice Requires="wpg">
            <w:drawing>
              <wp:anchor distT="0" distB="0" distL="114300" distR="114300" simplePos="0" relativeHeight="2518036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8714" name="Group 50871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363" name="Rectangle 2636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364" name="Rectangle 2636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141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8714" style="width:12.7031pt;height:280.35pt;position:absolute;mso-position-horizontal-relative:page;mso-position-horizontal:absolute;margin-left:681.958pt;mso-position-vertical-relative:page;margin-top:531.65pt;" coordsize="1613,35604">
                <v:rect id="Rectangle 2636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36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141 de 391 </w:t>
                        </w:r>
                      </w:p>
                    </w:txbxContent>
                  </v:textbox>
                </v:rect>
                <w10:wrap type="square"/>
              </v:group>
            </w:pict>
          </mc:Fallback>
        </mc:AlternateContent>
      </w:r>
      <w:r>
        <w:rPr>
          <w:rFonts w:ascii="Arial" w:eastAsia="Arial" w:hAnsi="Arial" w:cs="Arial"/>
        </w:rPr>
        <w:t>URBANA.- Solar, antes rústica, donde dicen “AMANCE” término m</w:t>
      </w:r>
      <w:r>
        <w:rPr>
          <w:rFonts w:ascii="Arial" w:eastAsia="Arial" w:hAnsi="Arial" w:cs="Arial"/>
        </w:rPr>
        <w:t xml:space="preserve">unicipal de Candelaria, de superficie DIEZ AREAS Y DÍEZ CENTIÁREAS, dentro del cual existe un pozo soterrado y un salón cubierto de teja, formado por dos naves, que linda: Norte, Barranquillo; Sur, la finca siguiente; Este, camino y calle Amance; y Oeste, </w:t>
      </w:r>
      <w:r>
        <w:rPr>
          <w:rFonts w:ascii="Arial" w:eastAsia="Arial" w:hAnsi="Arial" w:cs="Arial"/>
        </w:rPr>
        <w:t>Francisco Castellano y Víctor Rodríguez Cruz.</w:t>
      </w:r>
    </w:p>
    <w:p w:rsidR="00E23B86" w:rsidRDefault="00BA7C13">
      <w:pPr>
        <w:spacing w:after="483" w:line="248" w:lineRule="auto"/>
        <w:ind w:left="373" w:right="552" w:hanging="10"/>
        <w:jc w:val="both"/>
      </w:pPr>
      <w:r>
        <w:rPr>
          <w:rFonts w:ascii="Arial" w:eastAsia="Arial" w:hAnsi="Arial" w:cs="Arial"/>
        </w:rPr>
        <w:t>La finca de este número no está coordinada gráficamente con el catastro.</w:t>
      </w:r>
    </w:p>
    <w:p w:rsidR="00E23B86" w:rsidRDefault="00BA7C13">
      <w:pPr>
        <w:spacing w:after="10" w:line="248" w:lineRule="auto"/>
        <w:ind w:left="373" w:right="552" w:hanging="10"/>
        <w:jc w:val="both"/>
      </w:pPr>
      <w:r>
        <w:rPr>
          <w:rFonts w:ascii="Arial" w:eastAsia="Arial" w:hAnsi="Arial" w:cs="Arial"/>
        </w:rPr>
        <w:t xml:space="preserve">SEGUNDO.- Que la finca descrita aparece inscrita a favor de Doña Evangelina, con </w:t>
      </w:r>
    </w:p>
    <w:p w:rsidR="00E23B86" w:rsidRDefault="00BA7C13">
      <w:pPr>
        <w:spacing w:after="484" w:line="249" w:lineRule="auto"/>
        <w:ind w:left="347" w:right="555" w:hanging="10"/>
      </w:pPr>
      <w:r>
        <w:rPr>
          <w:rFonts w:ascii="Arial" w:eastAsia="Arial" w:hAnsi="Arial" w:cs="Arial"/>
        </w:rPr>
        <w:t>NIF 42.029.26 T, con José Aurelio, con NIF 41.814.696Y, Don Juan Carmelo, con NIF 78.858.602-C y Don Andrés Jesús con NIF 41.806.617.T, que adquirieron el pleno dominio de la totalidad de esta finca, en la siguiente proporción: con respecto a ½ una mitad i</w:t>
      </w:r>
      <w:r>
        <w:rPr>
          <w:rFonts w:ascii="Arial" w:eastAsia="Arial" w:hAnsi="Arial" w:cs="Arial"/>
        </w:rPr>
        <w:t xml:space="preserve">ndivisa, adquirieron, cada uno, la nuda propiedad de 1/8 ava parte indivisa, con carácter privativo, por título de adjudicación de herencia, previa extinción de usufructo en cuanto la restante mitad, en virtud de escritura autorizada el día uno de octubre </w:t>
      </w:r>
      <w:r>
        <w:rPr>
          <w:rFonts w:ascii="Arial" w:eastAsia="Arial" w:hAnsi="Arial" w:cs="Arial"/>
        </w:rPr>
        <w:t>de dos mil nueve, por el notario de Santa Cruz de Tenerife, Don Nicolás Quintana Plasencia, con número 2551 de protocolo, según consta en la inscripción 14ª, al folio 13 del Libro 135 del archivo, practicada el día 17 de diciembre de dos mil nueve.</w:t>
      </w:r>
    </w:p>
    <w:p w:rsidR="00E23B86" w:rsidRDefault="00BA7C13">
      <w:pPr>
        <w:spacing w:after="110" w:line="248" w:lineRule="auto"/>
        <w:ind w:left="373" w:right="552" w:hanging="10"/>
        <w:jc w:val="both"/>
      </w:pPr>
      <w:r>
        <w:rPr>
          <w:rFonts w:ascii="Arial" w:eastAsia="Arial" w:hAnsi="Arial" w:cs="Arial"/>
        </w:rPr>
        <w:t>TERCERO</w:t>
      </w:r>
      <w:r>
        <w:rPr>
          <w:rFonts w:ascii="Arial" w:eastAsia="Arial" w:hAnsi="Arial" w:cs="Arial"/>
        </w:rPr>
        <w:t>.- Que la finca de que se trata aparece GRAVADA con:</w:t>
      </w:r>
    </w:p>
    <w:p w:rsidR="00E23B86" w:rsidRDefault="00BA7C13">
      <w:pPr>
        <w:spacing w:after="483" w:line="248" w:lineRule="auto"/>
        <w:ind w:left="373" w:right="552" w:hanging="10"/>
        <w:jc w:val="both"/>
      </w:pPr>
      <w:r>
        <w:rPr>
          <w:rFonts w:ascii="Arial" w:eastAsia="Arial" w:hAnsi="Arial" w:cs="Arial"/>
        </w:rPr>
        <w:t>No hay cargas registradas.</w:t>
      </w:r>
    </w:p>
    <w:p w:rsidR="00E23B86" w:rsidRDefault="00BA7C13">
      <w:pPr>
        <w:spacing w:after="485" w:line="248" w:lineRule="auto"/>
        <w:ind w:left="373" w:right="552" w:hanging="10"/>
        <w:jc w:val="both"/>
      </w:pPr>
      <w:r>
        <w:rPr>
          <w:rFonts w:ascii="Arial" w:eastAsia="Arial" w:hAnsi="Arial" w:cs="Arial"/>
        </w:rPr>
        <w:t>CUARTA: Los datos consignados en la presente certificación se refieren al día que a continuación se cita, antes de la apertura del Libro Diario.</w:t>
      </w:r>
    </w:p>
    <w:p w:rsidR="00E23B86" w:rsidRDefault="00BA7C13">
      <w:pPr>
        <w:spacing w:after="110" w:line="248" w:lineRule="auto"/>
        <w:ind w:left="373" w:right="552" w:hanging="10"/>
        <w:jc w:val="both"/>
      </w:pPr>
      <w:r>
        <w:rPr>
          <w:rFonts w:ascii="Arial" w:eastAsia="Arial" w:hAnsi="Arial" w:cs="Arial"/>
        </w:rPr>
        <w:t>QUINTA.- Que en el Diario de Op</w:t>
      </w:r>
      <w:r>
        <w:rPr>
          <w:rFonts w:ascii="Arial" w:eastAsia="Arial" w:hAnsi="Arial" w:cs="Arial"/>
        </w:rPr>
        <w:t>eraciones aparece autorizado por el Registrador que suscribe, el asiento de presentación que transcribo seguidamente.</w:t>
      </w:r>
    </w:p>
    <w:p w:rsidR="00E23B86" w:rsidRDefault="00BA7C13">
      <w:pPr>
        <w:spacing w:after="110" w:line="248" w:lineRule="auto"/>
        <w:ind w:left="373" w:right="552" w:hanging="10"/>
        <w:jc w:val="both"/>
      </w:pPr>
      <w:r>
        <w:rPr>
          <w:rFonts w:ascii="Arial" w:eastAsia="Arial" w:hAnsi="Arial" w:cs="Arial"/>
        </w:rPr>
        <w:t>No hay documentos pendientes de despacho.</w:t>
      </w:r>
    </w:p>
    <w:p w:rsidR="00E23B86" w:rsidRDefault="00BA7C13">
      <w:pPr>
        <w:spacing w:after="6823" w:line="248" w:lineRule="auto"/>
        <w:ind w:left="373" w:right="552" w:hanging="10"/>
        <w:jc w:val="both"/>
      </w:pPr>
      <w:r>
        <w:rPr>
          <w:noProof/>
        </w:rPr>
        <mc:AlternateContent>
          <mc:Choice Requires="wpg">
            <w:drawing>
              <wp:anchor distT="0" distB="0" distL="114300" distR="114300" simplePos="0" relativeHeight="251804672"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8564" name="Group 50856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381" name="Rectangle 2638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26382" name="Rectangle 2638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142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8564" style="width:12.7031pt;height:280.35pt;position:absolute;mso-position-horizontal-relative:page;mso-position-horizontal:absolute;margin-left:681.958pt;mso-position-vertical-relative:page;margin-top:531.65pt;" coordsize="1613,35604">
                <v:rect id="Rectangle 2638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38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142 de 391 </w:t>
                        </w:r>
                      </w:p>
                    </w:txbxContent>
                  </v:textbox>
                </v:rect>
                <w10:wrap type="topAndBottom"/>
              </v:group>
            </w:pict>
          </mc:Fallback>
        </mc:AlternateContent>
      </w:r>
      <w:r>
        <w:rPr>
          <w:rFonts w:ascii="Arial" w:eastAsia="Arial" w:hAnsi="Arial" w:cs="Arial"/>
        </w:rPr>
        <w:t>(…)</w:t>
      </w:r>
    </w:p>
    <w:p w:rsidR="00E23B86" w:rsidRDefault="00BA7C13">
      <w:pPr>
        <w:spacing w:after="93" w:line="265" w:lineRule="auto"/>
        <w:ind w:left="10" w:right="3321" w:hanging="10"/>
        <w:jc w:val="right"/>
      </w:pPr>
      <w:r>
        <w:rPr>
          <w:rFonts w:ascii="Arial" w:eastAsia="Arial" w:hAnsi="Arial" w:cs="Arial"/>
          <w:b/>
        </w:rPr>
        <w:t>FICHA REGISTRAL DE LA FINCA 4</w:t>
      </w:r>
    </w:p>
    <w:p w:rsidR="00E23B86" w:rsidRDefault="00BA7C13">
      <w:pPr>
        <w:spacing w:after="0"/>
        <w:ind w:left="-2486" w:right="11894"/>
      </w:pPr>
      <w:r>
        <w:rPr>
          <w:noProof/>
        </w:rPr>
        <mc:AlternateContent>
          <mc:Choice Requires="wpg">
            <w:drawing>
              <wp:anchor distT="0" distB="0" distL="114300" distR="114300" simplePos="0" relativeHeight="251805696"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8854" name="Group 50885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397" name="Rectangle 2639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398" name="Rectangle 2639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143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8854" style="width:12.7031pt;height:280.35pt;position:absolute;mso-position-horizontal-relative:page;mso-position-horizontal:absolute;margin-left:681.958pt;mso-position-vertical-relative:page;margin-top:531.65pt;" coordsize="1613,35604">
                <v:rect id="Rectangle 2639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39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143 de 391 </w:t>
                        </w:r>
                      </w:p>
                    </w:txbxContent>
                  </v:textbox>
                </v:rect>
                <w10:wrap type="topAndBottom"/>
              </v:group>
            </w:pict>
          </mc:Fallback>
        </mc:AlternateContent>
      </w:r>
      <w:r>
        <w:rPr>
          <w:noProof/>
        </w:rPr>
        <w:drawing>
          <wp:anchor distT="0" distB="0" distL="114300" distR="114300" simplePos="0" relativeHeight="251806720" behindDoc="0" locked="0" layoutInCell="1" allowOverlap="0">
            <wp:simplePos x="0" y="0"/>
            <wp:positionH relativeFrom="column">
              <wp:posOffset>222250</wp:posOffset>
            </wp:positionH>
            <wp:positionV relativeFrom="paragraph">
              <wp:posOffset>0</wp:posOffset>
            </wp:positionV>
            <wp:extent cx="5763769" cy="4069080"/>
            <wp:effectExtent l="0" t="0" r="0" b="0"/>
            <wp:wrapSquare wrapText="bothSides"/>
            <wp:docPr id="609798" name="Picture 609798"/>
            <wp:cNvGraphicFramePr/>
            <a:graphic xmlns:a="http://schemas.openxmlformats.org/drawingml/2006/main">
              <a:graphicData uri="http://schemas.openxmlformats.org/drawingml/2006/picture">
                <pic:pic xmlns:pic="http://schemas.openxmlformats.org/drawingml/2006/picture">
                  <pic:nvPicPr>
                    <pic:cNvPr id="609798" name="Picture 609798"/>
                    <pic:cNvPicPr/>
                  </pic:nvPicPr>
                  <pic:blipFill>
                    <a:blip r:embed="rId13"/>
                    <a:stretch>
                      <a:fillRect/>
                    </a:stretch>
                  </pic:blipFill>
                  <pic:spPr>
                    <a:xfrm>
                      <a:off x="0" y="0"/>
                      <a:ext cx="5763769" cy="4069080"/>
                    </a:xfrm>
                    <a:prstGeom prst="rect">
                      <a:avLst/>
                    </a:prstGeom>
                  </pic:spPr>
                </pic:pic>
              </a:graphicData>
            </a:graphic>
          </wp:anchor>
        </w:drawing>
      </w:r>
      <w:r>
        <w:br w:type="page"/>
      </w:r>
    </w:p>
    <w:p w:rsidR="00E23B86" w:rsidRDefault="00BA7C13">
      <w:pPr>
        <w:spacing w:after="111" w:line="249" w:lineRule="auto"/>
        <w:ind w:left="355" w:right="554" w:hanging="10"/>
        <w:jc w:val="both"/>
      </w:pPr>
      <w:r>
        <w:rPr>
          <w:noProof/>
        </w:rPr>
        <mc:AlternateContent>
          <mc:Choice Requires="wpg">
            <w:drawing>
              <wp:anchor distT="0" distB="0" distL="114300" distR="114300" simplePos="0" relativeHeight="251807744"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8952" name="Group 50895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414" name="Rectangle 2641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415" name="Rectangle 2641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144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8952" style="width:12.7031pt;height:280.35pt;position:absolute;mso-position-horizontal-relative:page;mso-position-horizontal:absolute;margin-left:681.958pt;mso-position-vertical-relative:page;margin-top:531.65pt;" coordsize="1613,35604">
                <v:rect id="Rectangle 2641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41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144 de 391 </w:t>
                        </w:r>
                      </w:p>
                    </w:txbxContent>
                  </v:textbox>
                </v:rect>
                <w10:wrap type="topAndBottom"/>
              </v:group>
            </w:pict>
          </mc:Fallback>
        </mc:AlternateContent>
      </w:r>
      <w:r>
        <w:rPr>
          <w:rFonts w:ascii="Arial" w:eastAsia="Arial" w:hAnsi="Arial" w:cs="Arial"/>
          <w:b/>
        </w:rPr>
        <w:t>ANEXO: FICHAS CATASTRALES QUE CORRESPONDEN A LAS FINCAS REGISTRALES 3 Y 4.</w:t>
      </w:r>
    </w:p>
    <w:p w:rsidR="00E23B86" w:rsidRDefault="00BA7C13">
      <w:pPr>
        <w:spacing w:after="93" w:line="265" w:lineRule="auto"/>
        <w:ind w:left="10" w:right="1838" w:hanging="10"/>
        <w:jc w:val="right"/>
      </w:pPr>
      <w:r>
        <w:rPr>
          <w:rFonts w:ascii="Arial" w:eastAsia="Arial" w:hAnsi="Arial" w:cs="Arial"/>
          <w:b/>
        </w:rPr>
        <w:t xml:space="preserve">REFERENCIA CATASTRAL DEL BIEN INMUEBLE </w:t>
      </w:r>
    </w:p>
    <w:p w:rsidR="00E23B86" w:rsidRDefault="00BA7C13">
      <w:pPr>
        <w:spacing w:after="229" w:line="249" w:lineRule="auto"/>
        <w:ind w:left="3902" w:right="554" w:hanging="10"/>
        <w:jc w:val="both"/>
      </w:pPr>
      <w:r>
        <w:rPr>
          <w:rFonts w:ascii="Arial" w:eastAsia="Arial" w:hAnsi="Arial" w:cs="Arial"/>
          <w:b/>
        </w:rPr>
        <w:t>5574804CS6357S0001FP</w:t>
      </w:r>
    </w:p>
    <w:p w:rsidR="00E23B86" w:rsidRDefault="00BA7C13">
      <w:pPr>
        <w:spacing w:after="0"/>
        <w:ind w:left="350" w:right="-11"/>
      </w:pPr>
      <w:r>
        <w:rPr>
          <w:noProof/>
        </w:rPr>
        <w:drawing>
          <wp:inline distT="0" distB="0" distL="0" distR="0">
            <wp:extent cx="5763769" cy="4184904"/>
            <wp:effectExtent l="0" t="0" r="0" b="0"/>
            <wp:docPr id="609802" name="Picture 609802"/>
            <wp:cNvGraphicFramePr/>
            <a:graphic xmlns:a="http://schemas.openxmlformats.org/drawingml/2006/main">
              <a:graphicData uri="http://schemas.openxmlformats.org/drawingml/2006/picture">
                <pic:pic xmlns:pic="http://schemas.openxmlformats.org/drawingml/2006/picture">
                  <pic:nvPicPr>
                    <pic:cNvPr id="609802" name="Picture 609802"/>
                    <pic:cNvPicPr/>
                  </pic:nvPicPr>
                  <pic:blipFill>
                    <a:blip r:embed="rId14"/>
                    <a:stretch>
                      <a:fillRect/>
                    </a:stretch>
                  </pic:blipFill>
                  <pic:spPr>
                    <a:xfrm>
                      <a:off x="0" y="0"/>
                      <a:ext cx="5763769" cy="4184904"/>
                    </a:xfrm>
                    <a:prstGeom prst="rect">
                      <a:avLst/>
                    </a:prstGeom>
                  </pic:spPr>
                </pic:pic>
              </a:graphicData>
            </a:graphic>
          </wp:inline>
        </w:drawing>
      </w:r>
    </w:p>
    <w:p w:rsidR="00E23B86" w:rsidRDefault="00BA7C13">
      <w:pPr>
        <w:spacing w:after="108" w:line="250" w:lineRule="auto"/>
        <w:ind w:left="2486" w:hanging="10"/>
        <w:jc w:val="both"/>
      </w:pPr>
      <w:r>
        <w:rPr>
          <w:noProof/>
        </w:rPr>
        <mc:AlternateContent>
          <mc:Choice Requires="wpg">
            <w:drawing>
              <wp:anchor distT="0" distB="0" distL="114300" distR="114300" simplePos="0" relativeHeight="251808768"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9037" name="Group 50903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431" name="Rectangle 2643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432" name="Rectangle 2643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145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9037" style="width:12.7031pt;height:280.35pt;position:absolute;mso-position-horizontal-relative:page;mso-position-horizontal:absolute;margin-left:681.958pt;mso-position-vertical-relative:page;margin-top:531.65pt;" coordsize="1613,35604">
                <v:rect id="Rectangle 2643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43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145 de 391 </w:t>
                        </w:r>
                      </w:p>
                    </w:txbxContent>
                  </v:textbox>
                </v:rect>
                <w10:wrap type="topAndBottom"/>
              </v:group>
            </w:pict>
          </mc:Fallback>
        </mc:AlternateContent>
      </w:r>
      <w:r>
        <w:rPr>
          <w:rFonts w:ascii="Arial" w:eastAsia="Arial" w:hAnsi="Arial" w:cs="Arial"/>
          <w:b/>
          <w:sz w:val="24"/>
        </w:rPr>
        <w:t>REFERENCIA CATASTRAL DEL BIEN INMUEBLE</w:t>
      </w:r>
    </w:p>
    <w:p w:rsidR="00E23B86" w:rsidRDefault="00BA7C13">
      <w:pPr>
        <w:spacing w:after="563" w:line="265" w:lineRule="auto"/>
        <w:ind w:left="1183" w:hanging="10"/>
        <w:jc w:val="center"/>
      </w:pPr>
      <w:r>
        <w:rPr>
          <w:rFonts w:ascii="Arial" w:eastAsia="Arial" w:hAnsi="Arial" w:cs="Arial"/>
          <w:b/>
          <w:sz w:val="24"/>
        </w:rPr>
        <w:t>5574803CS6357S0001TP</w:t>
      </w:r>
    </w:p>
    <w:p w:rsidR="00E23B86" w:rsidRDefault="00BA7C13">
      <w:pPr>
        <w:spacing w:after="0"/>
        <w:ind w:left="350" w:right="-11"/>
      </w:pPr>
      <w:r>
        <w:rPr>
          <w:noProof/>
        </w:rPr>
        <w:drawing>
          <wp:inline distT="0" distB="0" distL="0" distR="0">
            <wp:extent cx="5763769" cy="4181856"/>
            <wp:effectExtent l="0" t="0" r="0" b="0"/>
            <wp:docPr id="609803" name="Picture 609803"/>
            <wp:cNvGraphicFramePr/>
            <a:graphic xmlns:a="http://schemas.openxmlformats.org/drawingml/2006/main">
              <a:graphicData uri="http://schemas.openxmlformats.org/drawingml/2006/picture">
                <pic:pic xmlns:pic="http://schemas.openxmlformats.org/drawingml/2006/picture">
                  <pic:nvPicPr>
                    <pic:cNvPr id="609803" name="Picture 609803"/>
                    <pic:cNvPicPr/>
                  </pic:nvPicPr>
                  <pic:blipFill>
                    <a:blip r:embed="rId15"/>
                    <a:stretch>
                      <a:fillRect/>
                    </a:stretch>
                  </pic:blipFill>
                  <pic:spPr>
                    <a:xfrm>
                      <a:off x="0" y="0"/>
                      <a:ext cx="5763769" cy="4181856"/>
                    </a:xfrm>
                    <a:prstGeom prst="rect">
                      <a:avLst/>
                    </a:prstGeom>
                  </pic:spPr>
                </pic:pic>
              </a:graphicData>
            </a:graphic>
          </wp:inline>
        </w:drawing>
      </w:r>
    </w:p>
    <w:p w:rsidR="00E23B86" w:rsidRDefault="00BA7C13">
      <w:pPr>
        <w:spacing w:after="108" w:line="250" w:lineRule="auto"/>
        <w:ind w:left="1778" w:hanging="10"/>
        <w:jc w:val="both"/>
      </w:pPr>
      <w:r>
        <w:rPr>
          <w:noProof/>
        </w:rPr>
        <mc:AlternateContent>
          <mc:Choice Requires="wpg">
            <w:drawing>
              <wp:anchor distT="0" distB="0" distL="114300" distR="114300" simplePos="0" relativeHeight="251809792"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09375" name="Group 50937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448" name="Rectangle 2644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449" name="Rectangle 2644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146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9375" style="width:12.7031pt;height:280.35pt;position:absolute;mso-position-horizontal-relative:page;mso-position-horizontal:absolute;margin-left:681.958pt;mso-position-vertical-relative:page;margin-top:531.65pt;" coordsize="1613,35604">
                <v:rect id="Rectangle 2644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44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146 de 391 </w:t>
                        </w:r>
                      </w:p>
                    </w:txbxContent>
                  </v:textbox>
                </v:rect>
                <w10:wrap type="topAndBottom"/>
              </v:group>
            </w:pict>
          </mc:Fallback>
        </mc:AlternateContent>
      </w:r>
      <w:r>
        <w:rPr>
          <w:rFonts w:ascii="Arial" w:eastAsia="Arial" w:hAnsi="Arial" w:cs="Arial"/>
          <w:b/>
          <w:sz w:val="24"/>
        </w:rPr>
        <w:t xml:space="preserve">REFERENCIA CATASTRAL DE BIEN INMUEBLE </w:t>
      </w:r>
    </w:p>
    <w:p w:rsidR="00E23B86" w:rsidRDefault="00BA7C13">
      <w:pPr>
        <w:spacing w:after="937" w:line="265" w:lineRule="auto"/>
        <w:ind w:left="1183" w:right="1362" w:hanging="10"/>
        <w:jc w:val="center"/>
      </w:pPr>
      <w:r>
        <w:rPr>
          <w:rFonts w:ascii="Arial" w:eastAsia="Arial" w:hAnsi="Arial" w:cs="Arial"/>
          <w:b/>
          <w:sz w:val="24"/>
        </w:rPr>
        <w:t>5574805CS6357S0001MP</w:t>
      </w:r>
    </w:p>
    <w:p w:rsidR="00E23B86" w:rsidRDefault="00BA7C13">
      <w:pPr>
        <w:spacing w:after="0"/>
        <w:ind w:left="350" w:right="-11"/>
      </w:pPr>
      <w:r>
        <w:rPr>
          <w:noProof/>
        </w:rPr>
        <w:drawing>
          <wp:inline distT="0" distB="0" distL="0" distR="0">
            <wp:extent cx="5763769" cy="4181856"/>
            <wp:effectExtent l="0" t="0" r="0" b="0"/>
            <wp:docPr id="609804" name="Picture 609804"/>
            <wp:cNvGraphicFramePr/>
            <a:graphic xmlns:a="http://schemas.openxmlformats.org/drawingml/2006/main">
              <a:graphicData uri="http://schemas.openxmlformats.org/drawingml/2006/picture">
                <pic:pic xmlns:pic="http://schemas.openxmlformats.org/drawingml/2006/picture">
                  <pic:nvPicPr>
                    <pic:cNvPr id="609804" name="Picture 609804"/>
                    <pic:cNvPicPr/>
                  </pic:nvPicPr>
                  <pic:blipFill>
                    <a:blip r:embed="rId16"/>
                    <a:stretch>
                      <a:fillRect/>
                    </a:stretch>
                  </pic:blipFill>
                  <pic:spPr>
                    <a:xfrm>
                      <a:off x="0" y="0"/>
                      <a:ext cx="5763769" cy="4181856"/>
                    </a:xfrm>
                    <a:prstGeom prst="rect">
                      <a:avLst/>
                    </a:prstGeom>
                  </pic:spPr>
                </pic:pic>
              </a:graphicData>
            </a:graphic>
          </wp:inline>
        </w:drawing>
      </w:r>
    </w:p>
    <w:p w:rsidR="00E23B86" w:rsidRDefault="00BA7C13">
      <w:pPr>
        <w:spacing w:after="464" w:line="250" w:lineRule="auto"/>
        <w:ind w:left="355" w:right="566" w:hanging="10"/>
        <w:jc w:val="both"/>
      </w:pPr>
      <w:r>
        <w:rPr>
          <w:rFonts w:ascii="Arial" w:eastAsia="Arial" w:hAnsi="Arial" w:cs="Arial"/>
          <w:b/>
          <w:sz w:val="24"/>
        </w:rPr>
        <w:t>6.-Expediente 11840/2019. Propuesta de la Concejala delegada de Servicios Sociales e Igualdad de 13 de febrero de 2020 para la aprobación del IV Plan Municipal de Prevención de Drogodependencias y otras Adicciones (2019-2023) del municipio de Candelaria.</w:t>
      </w:r>
    </w:p>
    <w:p w:rsidR="00E23B86" w:rsidRDefault="00BA7C13">
      <w:pPr>
        <w:spacing w:after="485" w:line="249" w:lineRule="auto"/>
        <w:ind w:left="355" w:right="554" w:hanging="10"/>
        <w:jc w:val="both"/>
      </w:pPr>
      <w:r>
        <w:rPr>
          <w:rFonts w:ascii="Arial" w:eastAsia="Arial" w:hAnsi="Arial" w:cs="Arial"/>
          <w:b/>
        </w:rPr>
        <w:t xml:space="preserve"> </w:t>
      </w:r>
      <w:r>
        <w:rPr>
          <w:rFonts w:ascii="Arial" w:eastAsia="Arial" w:hAnsi="Arial" w:cs="Arial"/>
          <w:b/>
        </w:rPr>
        <w:t xml:space="preserve">  Consta en el expediente propuesta de la Concejala delegada de Servicios Sociales, Igualdad y Sanidad, de fecha 17 de febrero de 2020, que transcrito literalmente dice:</w:t>
      </w:r>
    </w:p>
    <w:p w:rsidR="00E23B86" w:rsidRDefault="00BA7C13">
      <w:pPr>
        <w:spacing w:after="545" w:line="248" w:lineRule="auto"/>
        <w:ind w:left="373" w:right="552" w:hanging="10"/>
        <w:jc w:val="both"/>
      </w:pPr>
      <w:r>
        <w:rPr>
          <w:rFonts w:ascii="Arial" w:eastAsia="Arial" w:hAnsi="Arial" w:cs="Arial"/>
        </w:rPr>
        <w:t>“Tramitado por esta Concejalía expediente de aprobación del IV Plan de Prevención de A</w:t>
      </w:r>
      <w:r>
        <w:rPr>
          <w:rFonts w:ascii="Arial" w:eastAsia="Arial" w:hAnsi="Arial" w:cs="Arial"/>
        </w:rPr>
        <w:t>dicciones 2019-, consta informe de Doña Corina Marrero Déniz, Técnica Jurista adscrita a los Servicios Sociales, personal laboral del Ayuntamiento, de fecha 13 de febrero de 2020, del tenor literal siguiente:</w:t>
      </w:r>
    </w:p>
    <w:p w:rsidR="00E23B86" w:rsidRDefault="00BA7C13">
      <w:pPr>
        <w:spacing w:after="482" w:line="249" w:lineRule="auto"/>
        <w:ind w:left="336" w:right="821" w:hanging="10"/>
        <w:jc w:val="center"/>
      </w:pPr>
      <w:r>
        <w:rPr>
          <w:rFonts w:ascii="Arial" w:eastAsia="Arial" w:hAnsi="Arial" w:cs="Arial"/>
          <w:i/>
        </w:rPr>
        <w:t xml:space="preserve">“INFORME                            </w:t>
      </w:r>
    </w:p>
    <w:p w:rsidR="00E23B86" w:rsidRDefault="00BA7C13">
      <w:pPr>
        <w:spacing w:after="483" w:line="251" w:lineRule="auto"/>
        <w:ind w:left="355" w:right="573" w:hanging="10"/>
        <w:jc w:val="both"/>
      </w:pPr>
      <w:r>
        <w:rPr>
          <w:rFonts w:ascii="Arial" w:eastAsia="Arial" w:hAnsi="Arial" w:cs="Arial"/>
          <w:i/>
        </w:rPr>
        <w:t>Visto el e</w:t>
      </w:r>
      <w:r>
        <w:rPr>
          <w:rFonts w:ascii="Arial" w:eastAsia="Arial" w:hAnsi="Arial" w:cs="Arial"/>
          <w:i/>
        </w:rPr>
        <w:t>xpediente relativo a la aprobación del IV Plan Municipal de Prevención de Adicciones 2019-2023, se emite el siguiente informe:</w:t>
      </w:r>
    </w:p>
    <w:p w:rsidR="00E23B86" w:rsidRDefault="00BA7C13">
      <w:pPr>
        <w:spacing w:after="482" w:line="249" w:lineRule="auto"/>
        <w:ind w:left="336" w:right="551" w:hanging="10"/>
        <w:jc w:val="center"/>
      </w:pPr>
      <w:r>
        <w:rPr>
          <w:noProof/>
        </w:rPr>
        <mc:AlternateContent>
          <mc:Choice Requires="wpg">
            <w:drawing>
              <wp:anchor distT="0" distB="0" distL="114300" distR="114300" simplePos="0" relativeHeight="2518108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9667" name="Group 50966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529" name="Rectangle 2652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530" name="Rectangle 2653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w:t>
                              </w:r>
                              <w:r>
                                <w:rPr>
                                  <w:rFonts w:ascii="Arial" w:eastAsia="Arial" w:hAnsi="Arial" w:cs="Arial"/>
                                  <w:sz w:val="12"/>
                                </w:rPr>
                                <w:t xml:space="preserve">icamente desde la plataforma esPublico Gestiona | Página 147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9667" style="width:12.7031pt;height:280.35pt;position:absolute;mso-position-horizontal-relative:page;mso-position-horizontal:absolute;margin-left:681.958pt;mso-position-vertical-relative:page;margin-top:531.65pt;" coordsize="1613,35604">
                <v:rect id="Rectangle 2652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53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147 de 391 </w:t>
                        </w:r>
                      </w:p>
                    </w:txbxContent>
                  </v:textbox>
                </v:rect>
                <w10:wrap type="square"/>
              </v:group>
            </w:pict>
          </mc:Fallback>
        </mc:AlternateContent>
      </w:r>
      <w:r>
        <w:rPr>
          <w:rFonts w:ascii="Arial" w:eastAsia="Arial" w:hAnsi="Arial" w:cs="Arial"/>
          <w:i/>
        </w:rPr>
        <w:t>ANTECEDENTES DE HECHO</w:t>
      </w:r>
    </w:p>
    <w:p w:rsidR="00E23B86" w:rsidRDefault="00BA7C13">
      <w:pPr>
        <w:spacing w:after="483" w:line="251" w:lineRule="auto"/>
        <w:ind w:left="355" w:right="573" w:hanging="10"/>
        <w:jc w:val="both"/>
      </w:pPr>
      <w:r>
        <w:rPr>
          <w:rFonts w:ascii="Arial" w:eastAsia="Arial" w:hAnsi="Arial" w:cs="Arial"/>
          <w:i/>
        </w:rPr>
        <w:t>Primero.- Mediante providencia de la Concejala delegada de Servicios Sociales de fecha 10 de diciembre de 2019, se propone la tramitación del correspondiente expedie</w:t>
      </w:r>
      <w:r>
        <w:rPr>
          <w:rFonts w:ascii="Arial" w:eastAsia="Arial" w:hAnsi="Arial" w:cs="Arial"/>
          <w:i/>
        </w:rPr>
        <w:t>nte para la aprobación por el Ayuntamiento Pleno del IV Plan Municipal de Prevención de Adicciones 2019-2023.</w:t>
      </w:r>
    </w:p>
    <w:p w:rsidR="00E23B86" w:rsidRDefault="00BA7C13">
      <w:pPr>
        <w:spacing w:after="111" w:line="251" w:lineRule="auto"/>
        <w:ind w:left="355" w:right="573" w:hanging="10"/>
        <w:jc w:val="both"/>
      </w:pPr>
      <w:r>
        <w:rPr>
          <w:rFonts w:ascii="Arial" w:eastAsia="Arial" w:hAnsi="Arial" w:cs="Arial"/>
          <w:i/>
        </w:rPr>
        <w:t>Segundo.- Consta en el expediente borrador del IV Plan de Prevención de Adicciones del siguiente tenor literal:</w:t>
      </w:r>
    </w:p>
    <w:p w:rsidR="00E23B86" w:rsidRDefault="00BA7C13">
      <w:pPr>
        <w:spacing w:after="111" w:line="249" w:lineRule="auto"/>
        <w:ind w:left="336" w:right="551" w:hanging="10"/>
        <w:jc w:val="center"/>
      </w:pPr>
      <w:r>
        <w:rPr>
          <w:rFonts w:ascii="Arial" w:eastAsia="Arial" w:hAnsi="Arial" w:cs="Arial"/>
          <w:i/>
        </w:rPr>
        <w:t>“IV Plan Municipal de Prevención de Adicciones (2019-2023) del municipio de la Villa de Candelaria</w:t>
      </w:r>
    </w:p>
    <w:p w:rsidR="00E23B86" w:rsidRDefault="00BA7C13">
      <w:pPr>
        <w:spacing w:after="182" w:line="251" w:lineRule="auto"/>
        <w:ind w:left="355" w:right="573" w:hanging="10"/>
        <w:jc w:val="both"/>
      </w:pPr>
      <w:r>
        <w:rPr>
          <w:rFonts w:ascii="Arial" w:eastAsia="Arial" w:hAnsi="Arial" w:cs="Arial"/>
          <w:i/>
          <w:u w:val="single" w:color="000000"/>
        </w:rPr>
        <w:t xml:space="preserve">Equipo Técnico Municipal </w:t>
      </w:r>
      <w:r>
        <w:rPr>
          <w:rFonts w:ascii="Segoe UI Symbol" w:eastAsia="Segoe UI Symbol" w:hAnsi="Segoe UI Symbol" w:cs="Segoe UI Symbol"/>
          <w:sz w:val="24"/>
        </w:rPr>
        <w:t xml:space="preserve"> </w:t>
      </w:r>
      <w:r>
        <w:rPr>
          <w:rFonts w:ascii="Arial" w:eastAsia="Arial" w:hAnsi="Arial" w:cs="Arial"/>
          <w:i/>
        </w:rPr>
        <w:t xml:space="preserve">Jessica Castillo Betancor. Trabajadora Social del Ayuntamiento de Candelaria. Especialista en Elaboración de Planes de Prevención </w:t>
      </w:r>
      <w:r>
        <w:rPr>
          <w:rFonts w:ascii="Arial" w:eastAsia="Arial" w:hAnsi="Arial" w:cs="Arial"/>
          <w:i/>
        </w:rPr>
        <w:t>de Drogodependencias y</w:t>
      </w:r>
    </w:p>
    <w:p w:rsidR="00E23B86" w:rsidRDefault="00BA7C13">
      <w:pPr>
        <w:spacing w:after="182" w:line="251" w:lineRule="auto"/>
        <w:ind w:left="355" w:right="573" w:hanging="10"/>
        <w:jc w:val="both"/>
      </w:pPr>
      <w:r>
        <w:rPr>
          <w:rFonts w:ascii="Arial" w:eastAsia="Arial" w:hAnsi="Arial" w:cs="Arial"/>
          <w:i/>
        </w:rPr>
        <w:t>Adicciones.</w:t>
      </w:r>
    </w:p>
    <w:p w:rsidR="00E23B86" w:rsidRDefault="00BA7C13">
      <w:pPr>
        <w:numPr>
          <w:ilvl w:val="0"/>
          <w:numId w:val="39"/>
        </w:numPr>
        <w:spacing w:after="186" w:line="251" w:lineRule="auto"/>
        <w:ind w:right="573" w:hanging="360"/>
        <w:jc w:val="both"/>
      </w:pPr>
      <w:r>
        <w:rPr>
          <w:rFonts w:ascii="Arial" w:eastAsia="Arial" w:hAnsi="Arial" w:cs="Arial"/>
          <w:i/>
        </w:rPr>
        <w:t>Mª Begoña Rodríguez Pérez. Pedagoga del Ayuntamiento de Candelaria. Agente de Desarrollo (Diseño de Proyectos y Elaboración de Planes de Intervención).</w:t>
      </w:r>
    </w:p>
    <w:p w:rsidR="00E23B86" w:rsidRDefault="00BA7C13">
      <w:pPr>
        <w:numPr>
          <w:ilvl w:val="0"/>
          <w:numId w:val="39"/>
        </w:numPr>
        <w:spacing w:after="148" w:line="251" w:lineRule="auto"/>
        <w:ind w:right="573" w:hanging="360"/>
        <w:jc w:val="both"/>
      </w:pPr>
      <w:r>
        <w:rPr>
          <w:rFonts w:ascii="Arial" w:eastAsia="Arial" w:hAnsi="Arial" w:cs="Arial"/>
          <w:i/>
        </w:rPr>
        <w:t xml:space="preserve">Mª del Carmen Padilla García. Trabajadora Social del Ayuntamiento de </w:t>
      </w:r>
      <w:r>
        <w:rPr>
          <w:rFonts w:ascii="Arial" w:eastAsia="Arial" w:hAnsi="Arial" w:cs="Arial"/>
          <w:i/>
        </w:rPr>
        <w:t>Candelaria. Máster Universitario en Intervención Familiar.</w:t>
      </w:r>
    </w:p>
    <w:p w:rsidR="00E23B86" w:rsidRDefault="00BA7C13">
      <w:pPr>
        <w:spacing w:after="5" w:line="249" w:lineRule="auto"/>
        <w:ind w:left="347" w:hanging="10"/>
      </w:pPr>
      <w:r>
        <w:rPr>
          <w:rFonts w:ascii="Arial" w:eastAsia="Arial" w:hAnsi="Arial" w:cs="Arial"/>
          <w:i/>
          <w:u w:val="single" w:color="000000"/>
        </w:rPr>
        <w:t>Equipo Técnico Externo:</w:t>
      </w:r>
    </w:p>
    <w:p w:rsidR="00E23B86" w:rsidRDefault="00BA7C13">
      <w:pPr>
        <w:numPr>
          <w:ilvl w:val="0"/>
          <w:numId w:val="39"/>
        </w:numPr>
        <w:spacing w:after="257" w:line="251" w:lineRule="auto"/>
        <w:ind w:right="573" w:hanging="360"/>
        <w:jc w:val="both"/>
      </w:pPr>
      <w:r>
        <w:rPr>
          <w:rFonts w:ascii="Arial" w:eastAsia="Arial" w:hAnsi="Arial" w:cs="Arial"/>
          <w:i/>
        </w:rPr>
        <w:t>Josué Gutiérrez Barroso. Profesor del Departamento de Sociología y Antropología de la Universidad de La Laguna. Especialista en análisis de datos.</w:t>
      </w:r>
    </w:p>
    <w:p w:rsidR="00E23B86" w:rsidRDefault="00BA7C13">
      <w:pPr>
        <w:numPr>
          <w:ilvl w:val="0"/>
          <w:numId w:val="39"/>
        </w:numPr>
        <w:spacing w:after="260" w:line="251" w:lineRule="auto"/>
        <w:ind w:right="573" w:hanging="360"/>
        <w:jc w:val="both"/>
      </w:pPr>
      <w:r>
        <w:rPr>
          <w:rFonts w:ascii="Arial" w:eastAsia="Arial" w:hAnsi="Arial" w:cs="Arial"/>
          <w:i/>
        </w:rPr>
        <w:t>Juan Manuel Herrera Hernán</w:t>
      </w:r>
      <w:r>
        <w:rPr>
          <w:rFonts w:ascii="Arial" w:eastAsia="Arial" w:hAnsi="Arial" w:cs="Arial"/>
          <w:i/>
        </w:rPr>
        <w:t>dez. Profesor de la Facultad de Ciencias Sociales de la Comunicación. Departamento de Ciencias de la Comunicación y Trabajo Social. Experto/Máster en Drogodependencias e Intervención Familiar. Diplomado en</w:t>
      </w:r>
    </w:p>
    <w:p w:rsidR="00E23B86" w:rsidRDefault="00BA7C13">
      <w:pPr>
        <w:spacing w:after="260" w:line="251" w:lineRule="auto"/>
        <w:ind w:left="705" w:right="573" w:hanging="360"/>
        <w:jc w:val="both"/>
      </w:pPr>
      <w:r>
        <w:rPr>
          <w:rFonts w:ascii="Arial" w:eastAsia="Arial" w:hAnsi="Arial" w:cs="Arial"/>
          <w:i/>
        </w:rPr>
        <w:t>Sanidad.</w:t>
      </w:r>
    </w:p>
    <w:p w:rsidR="00E23B86" w:rsidRDefault="00BA7C13">
      <w:pPr>
        <w:numPr>
          <w:ilvl w:val="0"/>
          <w:numId w:val="39"/>
        </w:numPr>
        <w:spacing w:after="257" w:line="251" w:lineRule="auto"/>
        <w:ind w:right="573" w:hanging="360"/>
        <w:jc w:val="both"/>
      </w:pPr>
      <w:r>
        <w:rPr>
          <w:rFonts w:ascii="Arial" w:eastAsia="Arial" w:hAnsi="Arial" w:cs="Arial"/>
          <w:i/>
        </w:rPr>
        <w:t>Esther Torrado Martín-Palomino. Profesora del Departamento de Sociología y Antropología de la Universidad de La Laguna. Miembra del Instituto Universitario de Estudios de Mujeres (IUEM)</w:t>
      </w:r>
    </w:p>
    <w:p w:rsidR="00E23B86" w:rsidRDefault="00BA7C13">
      <w:pPr>
        <w:numPr>
          <w:ilvl w:val="0"/>
          <w:numId w:val="39"/>
        </w:numPr>
        <w:spacing w:after="595" w:line="251" w:lineRule="auto"/>
        <w:ind w:right="573" w:hanging="360"/>
        <w:jc w:val="both"/>
      </w:pPr>
      <w:r>
        <w:rPr>
          <w:rFonts w:ascii="Arial" w:eastAsia="Arial" w:hAnsi="Arial" w:cs="Arial"/>
          <w:i/>
        </w:rPr>
        <w:t>Saray Suárez Perera. Trabajadora Social. Especialista en Elaboración d</w:t>
      </w:r>
      <w:r>
        <w:rPr>
          <w:rFonts w:ascii="Arial" w:eastAsia="Arial" w:hAnsi="Arial" w:cs="Arial"/>
          <w:i/>
        </w:rPr>
        <w:t>e Planes de Prevención de Drogodependencias y Adicciones.</w:t>
      </w:r>
    </w:p>
    <w:p w:rsidR="00E23B86" w:rsidRDefault="00BA7C13">
      <w:pPr>
        <w:spacing w:after="186" w:line="249" w:lineRule="auto"/>
        <w:ind w:left="347" w:hanging="10"/>
      </w:pPr>
      <w:r>
        <w:rPr>
          <w:rFonts w:ascii="Arial" w:eastAsia="Arial" w:hAnsi="Arial" w:cs="Arial"/>
          <w:i/>
          <w:u w:val="single" w:color="000000"/>
        </w:rPr>
        <w:t xml:space="preserve">Colaboradores/as  </w:t>
      </w:r>
    </w:p>
    <w:p w:rsidR="00E23B86" w:rsidRDefault="00BA7C13">
      <w:pPr>
        <w:numPr>
          <w:ilvl w:val="0"/>
          <w:numId w:val="39"/>
        </w:numPr>
        <w:spacing w:after="199" w:line="250" w:lineRule="auto"/>
        <w:ind w:right="573" w:hanging="360"/>
        <w:jc w:val="both"/>
      </w:pPr>
      <w:r>
        <w:rPr>
          <w:rFonts w:ascii="Arial" w:eastAsia="Arial" w:hAnsi="Arial" w:cs="Arial"/>
          <w:i/>
        </w:rPr>
        <w:t>Equipo Municipal Especializado en la Atención de Infancia y Familia del Iltre. Ayuntamiento de Candelaria. Concejalía de Servicios Sociales, Igualdad y Sanidad:  Mª de la Sierra R</w:t>
      </w:r>
      <w:r>
        <w:rPr>
          <w:rFonts w:ascii="Arial" w:eastAsia="Arial" w:hAnsi="Arial" w:cs="Arial"/>
          <w:i/>
        </w:rPr>
        <w:t xml:space="preserve">ivera Ruz, Fátima León Rodríguez, Alicia Pérez Gómez.  </w:t>
      </w:r>
    </w:p>
    <w:p w:rsidR="00E23B86" w:rsidRDefault="00BA7C13">
      <w:pPr>
        <w:numPr>
          <w:ilvl w:val="0"/>
          <w:numId w:val="39"/>
        </w:numPr>
        <w:spacing w:after="166" w:line="251" w:lineRule="auto"/>
        <w:ind w:right="573" w:hanging="360"/>
        <w:jc w:val="both"/>
      </w:pPr>
      <w:r>
        <w:rPr>
          <w:rFonts w:ascii="Arial" w:eastAsia="Arial" w:hAnsi="Arial" w:cs="Arial"/>
          <w:i/>
        </w:rPr>
        <w:t>C.E.I.P. Igueste; Rosa Mª Ortiz González (Directora).</w:t>
      </w:r>
    </w:p>
    <w:p w:rsidR="00E23B86" w:rsidRDefault="00BA7C13">
      <w:pPr>
        <w:numPr>
          <w:ilvl w:val="0"/>
          <w:numId w:val="39"/>
        </w:numPr>
        <w:spacing w:after="239" w:line="251" w:lineRule="auto"/>
        <w:ind w:right="573" w:hanging="360"/>
        <w:jc w:val="both"/>
      </w:pPr>
      <w:r>
        <w:rPr>
          <w:noProof/>
        </w:rPr>
        <mc:AlternateContent>
          <mc:Choice Requires="wpg">
            <w:drawing>
              <wp:anchor distT="0" distB="0" distL="114300" distR="114300" simplePos="0" relativeHeight="2518118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09921" name="Group 50992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595" name="Rectangle 2659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596" name="Rectangle 2659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148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09921" style="width:12.7031pt;height:280.35pt;position:absolute;mso-position-horizontal-relative:page;mso-position-horizontal:absolute;margin-left:681.958pt;mso-position-vertical-relative:page;margin-top:531.65pt;" coordsize="1613,35604">
                <v:rect id="Rectangle 2659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59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148 de 391 </w:t>
                        </w:r>
                      </w:p>
                    </w:txbxContent>
                  </v:textbox>
                </v:rect>
                <w10:wrap type="square"/>
              </v:group>
            </w:pict>
          </mc:Fallback>
        </mc:AlternateContent>
      </w:r>
      <w:r>
        <w:rPr>
          <w:rFonts w:ascii="Arial" w:eastAsia="Arial" w:hAnsi="Arial" w:cs="Arial"/>
          <w:i/>
        </w:rPr>
        <w:t>C.E.I.P. Punta Larga; Cristina Álvarez Álvarez (Directora), Airam Reyes León (Vicedirector), Victoria José Sánchez García (Jefa de estudios).</w:t>
      </w:r>
    </w:p>
    <w:p w:rsidR="00E23B86" w:rsidRDefault="00BA7C13">
      <w:pPr>
        <w:numPr>
          <w:ilvl w:val="0"/>
          <w:numId w:val="39"/>
        </w:numPr>
        <w:spacing w:after="186" w:line="251" w:lineRule="auto"/>
        <w:ind w:right="573" w:hanging="360"/>
        <w:jc w:val="both"/>
      </w:pPr>
      <w:r>
        <w:rPr>
          <w:rFonts w:ascii="Arial" w:eastAsia="Arial" w:hAnsi="Arial" w:cs="Arial"/>
          <w:i/>
        </w:rPr>
        <w:t>C.E.I.P. Príncipe F</w:t>
      </w:r>
      <w:r>
        <w:rPr>
          <w:rFonts w:ascii="Arial" w:eastAsia="Arial" w:hAnsi="Arial" w:cs="Arial"/>
          <w:i/>
        </w:rPr>
        <w:t>elipe Mª Ángeles Valls Santamaría (Directora).</w:t>
      </w:r>
    </w:p>
    <w:p w:rsidR="00E23B86" w:rsidRDefault="00BA7C13">
      <w:pPr>
        <w:numPr>
          <w:ilvl w:val="0"/>
          <w:numId w:val="39"/>
        </w:numPr>
        <w:spacing w:after="148" w:line="251" w:lineRule="auto"/>
        <w:ind w:right="573" w:hanging="360"/>
        <w:jc w:val="both"/>
      </w:pPr>
      <w:r>
        <w:rPr>
          <w:rFonts w:ascii="Arial" w:eastAsia="Arial" w:hAnsi="Arial" w:cs="Arial"/>
          <w:i/>
        </w:rPr>
        <w:t>C.E.I.P. Álvarez de la Rosa Rocío Díaz Bacallado (Directora).</w:t>
      </w:r>
    </w:p>
    <w:p w:rsidR="00E23B86" w:rsidRDefault="00BA7C13">
      <w:pPr>
        <w:numPr>
          <w:ilvl w:val="0"/>
          <w:numId w:val="39"/>
        </w:numPr>
        <w:spacing w:after="166" w:line="251" w:lineRule="auto"/>
        <w:ind w:right="573" w:hanging="360"/>
        <w:jc w:val="both"/>
      </w:pPr>
      <w:r>
        <w:rPr>
          <w:rFonts w:ascii="Arial" w:eastAsia="Arial" w:hAnsi="Arial" w:cs="Arial"/>
          <w:i/>
        </w:rPr>
        <w:t xml:space="preserve">I.E.S. Punta Larga; Rafael González Pérez (Director).  </w:t>
      </w:r>
    </w:p>
    <w:p w:rsidR="00E23B86" w:rsidRDefault="00BA7C13">
      <w:pPr>
        <w:numPr>
          <w:ilvl w:val="0"/>
          <w:numId w:val="39"/>
        </w:numPr>
        <w:spacing w:after="462" w:line="251" w:lineRule="auto"/>
        <w:ind w:right="573" w:hanging="360"/>
        <w:jc w:val="both"/>
      </w:pPr>
      <w:r>
        <w:rPr>
          <w:rFonts w:ascii="Arial" w:eastAsia="Arial" w:hAnsi="Arial" w:cs="Arial"/>
          <w:i/>
        </w:rPr>
        <w:t xml:space="preserve">Grupo  Político: Si se puede; Mª del Carmen González. </w:t>
      </w:r>
    </w:p>
    <w:p w:rsidR="00E23B86" w:rsidRDefault="00BA7C13">
      <w:pPr>
        <w:spacing w:after="111" w:line="251" w:lineRule="auto"/>
        <w:ind w:left="355" w:right="573" w:hanging="10"/>
        <w:jc w:val="both"/>
      </w:pPr>
      <w:r>
        <w:rPr>
          <w:rFonts w:ascii="Arial" w:eastAsia="Arial" w:hAnsi="Arial" w:cs="Arial"/>
          <w:i/>
        </w:rPr>
        <w:t xml:space="preserve">Saludo de la Alcaldesa </w:t>
      </w:r>
    </w:p>
    <w:p w:rsidR="00E23B86" w:rsidRDefault="00BA7C13">
      <w:pPr>
        <w:spacing w:after="142" w:line="251" w:lineRule="auto"/>
        <w:ind w:left="345" w:right="573" w:firstLine="708"/>
        <w:jc w:val="both"/>
      </w:pPr>
      <w:r>
        <w:rPr>
          <w:rFonts w:ascii="Arial" w:eastAsia="Arial" w:hAnsi="Arial" w:cs="Arial"/>
          <w:i/>
        </w:rPr>
        <w:t>Como represe</w:t>
      </w:r>
      <w:r>
        <w:rPr>
          <w:rFonts w:ascii="Arial" w:eastAsia="Arial" w:hAnsi="Arial" w:cs="Arial"/>
          <w:i/>
        </w:rPr>
        <w:t>ntante de la Corporación Local me complace presentar el IV Plan Municipal de Prevención de Adicciones (2019-2023) del municipio de Candelaria. Este documento define las acciones de política social que se llevarán a cabo en los próximos años en nuestro muni</w:t>
      </w:r>
      <w:r>
        <w:rPr>
          <w:rFonts w:ascii="Arial" w:eastAsia="Arial" w:hAnsi="Arial" w:cs="Arial"/>
          <w:i/>
        </w:rPr>
        <w:t>cipio.</w:t>
      </w:r>
    </w:p>
    <w:p w:rsidR="00E23B86" w:rsidRDefault="00BA7C13">
      <w:pPr>
        <w:spacing w:after="111" w:line="251" w:lineRule="auto"/>
        <w:ind w:left="345" w:right="573" w:firstLine="708"/>
        <w:jc w:val="both"/>
      </w:pPr>
      <w:r>
        <w:rPr>
          <w:rFonts w:ascii="Arial" w:eastAsia="Arial" w:hAnsi="Arial" w:cs="Arial"/>
          <w:i/>
        </w:rPr>
        <w:t>En este IV Plan Municipal se cumple con las obligaciones que establece la Ley 9/1998, de 22 de julio, sobre prevención, asistencia, e inserción social en materia de drogodependencias de la Comunidad Canaria, que define la competencia municipal a dos</w:t>
      </w:r>
      <w:r>
        <w:rPr>
          <w:rFonts w:ascii="Arial" w:eastAsia="Arial" w:hAnsi="Arial" w:cs="Arial"/>
          <w:i/>
        </w:rPr>
        <w:t xml:space="preserve"> niveles: la prevención y sensibilización en la comunidad, y apoyar en los procesos de incorporación social a personas con problemas de drogodependencias. </w:t>
      </w:r>
    </w:p>
    <w:p w:rsidR="00E23B86" w:rsidRDefault="00BA7C13">
      <w:pPr>
        <w:spacing w:after="142" w:line="251" w:lineRule="auto"/>
        <w:ind w:left="345" w:right="573" w:firstLine="708"/>
        <w:jc w:val="both"/>
      </w:pPr>
      <w:r>
        <w:rPr>
          <w:rFonts w:ascii="Arial" w:eastAsia="Arial" w:hAnsi="Arial" w:cs="Arial"/>
          <w:i/>
        </w:rPr>
        <w:t>Es significativo que desde el año 2003, se elaborara y aprobara el primer Plan Municipal de Prevenci</w:t>
      </w:r>
      <w:r>
        <w:rPr>
          <w:rFonts w:ascii="Arial" w:eastAsia="Arial" w:hAnsi="Arial" w:cs="Arial"/>
          <w:i/>
        </w:rPr>
        <w:t>ón de Drogodependencias y actualmente con este IV Plan, continuemos con el compromiso de garantizar a la ciudadanía medidas y acciones específicas dirigidas a la promoción de la salud y hábitos saludables en la población y la prevención de las adicciones.</w:t>
      </w:r>
    </w:p>
    <w:p w:rsidR="00E23B86" w:rsidRDefault="00BA7C13">
      <w:pPr>
        <w:spacing w:after="142" w:line="251" w:lineRule="auto"/>
        <w:ind w:left="345" w:right="573" w:firstLine="708"/>
        <w:jc w:val="both"/>
      </w:pPr>
      <w:r>
        <w:rPr>
          <w:rFonts w:ascii="Arial" w:eastAsia="Arial" w:hAnsi="Arial" w:cs="Arial"/>
          <w:i/>
        </w:rPr>
        <w:t xml:space="preserve">Lograr mejoras en la calidad de la vida municipal a través de la prevención, conlleva un esfuerzo de todos/as los/as agentes sociales municipales y la implicación de los recursos de la comunidad.  Desde esta corporación que presido, asumimos el compromiso </w:t>
      </w:r>
      <w:r>
        <w:rPr>
          <w:rFonts w:ascii="Arial" w:eastAsia="Arial" w:hAnsi="Arial" w:cs="Arial"/>
          <w:i/>
        </w:rPr>
        <w:t>político de apoyar el proceso de implementación y ejecución del IV Plan para que se logren los objetivos marcados y los resultados esperados.</w:t>
      </w:r>
    </w:p>
    <w:p w:rsidR="00E23B86" w:rsidRDefault="00BA7C13">
      <w:pPr>
        <w:spacing w:after="111" w:line="251" w:lineRule="auto"/>
        <w:ind w:left="345" w:right="573" w:firstLine="708"/>
        <w:jc w:val="both"/>
      </w:pPr>
      <w:r>
        <w:rPr>
          <w:rFonts w:ascii="Arial" w:eastAsia="Arial" w:hAnsi="Arial" w:cs="Arial"/>
          <w:i/>
        </w:rPr>
        <w:t>Deseamos que las medidas y acciones previstas incrementen los factores de protección dentro del municipio, contrib</w:t>
      </w:r>
      <w:r>
        <w:rPr>
          <w:rFonts w:ascii="Arial" w:eastAsia="Arial" w:hAnsi="Arial" w:cs="Arial"/>
          <w:i/>
        </w:rPr>
        <w:t>uyan a la mejora de la calidad de vida comunitaria y reduzcan los</w:t>
      </w:r>
      <w:r>
        <w:rPr>
          <w:rFonts w:ascii="Times New Roman" w:eastAsia="Times New Roman" w:hAnsi="Times New Roman" w:cs="Times New Roman"/>
          <w:i/>
          <w:sz w:val="24"/>
        </w:rPr>
        <w:t xml:space="preserve"> </w:t>
      </w:r>
      <w:r>
        <w:rPr>
          <w:rFonts w:ascii="Arial" w:eastAsia="Arial" w:hAnsi="Arial" w:cs="Arial"/>
          <w:i/>
        </w:rPr>
        <w:t>factores de riesgo existentes.</w:t>
      </w:r>
    </w:p>
    <w:p w:rsidR="00E23B86" w:rsidRDefault="00BA7C13">
      <w:pPr>
        <w:spacing w:after="142" w:line="251" w:lineRule="auto"/>
        <w:ind w:left="345" w:right="573" w:firstLine="708"/>
        <w:jc w:val="both"/>
      </w:pPr>
      <w:r>
        <w:rPr>
          <w:rFonts w:ascii="Arial" w:eastAsia="Arial" w:hAnsi="Arial" w:cs="Arial"/>
          <w:i/>
        </w:rPr>
        <w:t>Las acciones y medidas que se contemplan en esta planificación no tienen sentido alguno, sin la implicación y participación de la ciudadanía como parte activa del municipio. Es la ciudadanía la verdadera protagonista de la vida comunitaria y por ello, debe</w:t>
      </w:r>
      <w:r>
        <w:rPr>
          <w:rFonts w:ascii="Arial" w:eastAsia="Arial" w:hAnsi="Arial" w:cs="Arial"/>
          <w:i/>
        </w:rPr>
        <w:t xml:space="preserve"> ser responsable del cuidado de su salud, estilo de vida, etc., con todos los apoyos y recursos existentes en la comunidad y concretamente de ésta Corporación Local. </w:t>
      </w:r>
    </w:p>
    <w:p w:rsidR="00E23B86" w:rsidRDefault="00BA7C13">
      <w:pPr>
        <w:spacing w:after="144" w:line="251" w:lineRule="auto"/>
        <w:ind w:left="355" w:right="573" w:hanging="10"/>
        <w:jc w:val="both"/>
      </w:pPr>
      <w:r>
        <w:rPr>
          <w:rFonts w:ascii="Arial" w:eastAsia="Arial" w:hAnsi="Arial" w:cs="Arial"/>
          <w:i/>
        </w:rPr>
        <w:t>La Alcaldesa,</w:t>
      </w:r>
    </w:p>
    <w:p w:rsidR="00E23B86" w:rsidRDefault="00BA7C13">
      <w:pPr>
        <w:spacing w:after="144" w:line="251" w:lineRule="auto"/>
        <w:ind w:left="355" w:right="573" w:hanging="10"/>
        <w:jc w:val="both"/>
      </w:pPr>
      <w:r>
        <w:rPr>
          <w:rFonts w:ascii="Arial" w:eastAsia="Arial" w:hAnsi="Arial" w:cs="Arial"/>
          <w:i/>
        </w:rPr>
        <w:t>Dña. Mª Concepción Brito Núñez</w:t>
      </w:r>
    </w:p>
    <w:p w:rsidR="00E23B86" w:rsidRDefault="00BA7C13">
      <w:pPr>
        <w:spacing w:after="144" w:line="251" w:lineRule="auto"/>
        <w:ind w:left="355" w:right="573" w:hanging="10"/>
        <w:jc w:val="both"/>
      </w:pPr>
      <w:r>
        <w:rPr>
          <w:rFonts w:ascii="Arial" w:eastAsia="Arial" w:hAnsi="Arial" w:cs="Arial"/>
          <w:i/>
        </w:rPr>
        <w:t xml:space="preserve">Saludo de la Concejala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128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0088" name="Group 51008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665" name="Rectangle 2666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w:t>
                              </w:r>
                              <w:r>
                                <w:rPr>
                                  <w:rFonts w:ascii="Arial" w:eastAsia="Arial" w:hAnsi="Arial" w:cs="Arial"/>
                                  <w:sz w:val="12"/>
                                </w:rPr>
                                <w:t xml:space="preserve"> 5AJ7C4GAAK3P9GMGZC2N3FZWC | Verificación: https://candelaria.sedelectronica.es/ </w:t>
                              </w:r>
                            </w:p>
                          </w:txbxContent>
                        </wps:txbx>
                        <wps:bodyPr horzOverflow="overflow" vert="horz" lIns="0" tIns="0" rIns="0" bIns="0" rtlCol="0">
                          <a:noAutofit/>
                        </wps:bodyPr>
                      </wps:wsp>
                      <wps:wsp>
                        <wps:cNvPr id="26666" name="Rectangle 2666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149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0088" style="width:12.7031pt;height:280.35pt;position:absolute;mso-position-horizontal-relative:page;mso-position-horizontal:absolute;margin-left:681.958pt;mso-position-vertical-relative:page;margin-top:531.65pt;" coordsize="1613,35604">
                <v:rect id="Rectangle 2666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66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149 de 391 </w:t>
                        </w:r>
                      </w:p>
                    </w:txbxContent>
                  </v:textbox>
                </v:rect>
                <w10:wrap type="square"/>
              </v:group>
            </w:pict>
          </mc:Fallback>
        </mc:AlternateContent>
      </w:r>
      <w:r>
        <w:rPr>
          <w:rFonts w:ascii="Arial" w:eastAsia="Arial" w:hAnsi="Arial" w:cs="Arial"/>
          <w:i/>
        </w:rPr>
        <w:t>El IV Plan Municipal de Prevención de Adicciones (2019-2023) del municipio de</w:t>
      </w:r>
      <w:r>
        <w:rPr>
          <w:rFonts w:ascii="Arial" w:eastAsia="Arial" w:hAnsi="Arial" w:cs="Arial"/>
          <w:i/>
        </w:rPr>
        <w:t xml:space="preserve"> Candelaria, es el documento marco donde se concretan las medidas y acciones para los próximos años en materia de promoción de la salud y prevención de las drogodependencias y otras adicciones.</w:t>
      </w:r>
    </w:p>
    <w:p w:rsidR="00E23B86" w:rsidRDefault="00BA7C13">
      <w:pPr>
        <w:spacing w:after="111" w:line="251" w:lineRule="auto"/>
        <w:ind w:left="355" w:right="573" w:hanging="10"/>
        <w:jc w:val="both"/>
      </w:pPr>
      <w:r>
        <w:rPr>
          <w:rFonts w:ascii="Arial" w:eastAsia="Arial" w:hAnsi="Arial" w:cs="Arial"/>
          <w:i/>
        </w:rPr>
        <w:t>Como responsable de la Concejalía de Servicios Sociales, Igual</w:t>
      </w:r>
      <w:r>
        <w:rPr>
          <w:rFonts w:ascii="Arial" w:eastAsia="Arial" w:hAnsi="Arial" w:cs="Arial"/>
          <w:i/>
        </w:rPr>
        <w:t>dad y Sanidad, se ha visto necesario disponer de este documento, pues en éste se recogen las acciones a implementar en el municipio, y donde se han tenido en cuenta las particularidades y necesidades municipales, así como las indicaciones de los organismos</w:t>
      </w:r>
      <w:r>
        <w:rPr>
          <w:rFonts w:ascii="Arial" w:eastAsia="Arial" w:hAnsi="Arial" w:cs="Arial"/>
          <w:i/>
        </w:rPr>
        <w:t xml:space="preserve"> pertinentes en materia de prevención de adicciones y apoyo a la inserción social. </w:t>
      </w:r>
    </w:p>
    <w:p w:rsidR="00E23B86" w:rsidRDefault="00BA7C13">
      <w:pPr>
        <w:spacing w:after="111" w:line="251" w:lineRule="auto"/>
        <w:ind w:left="355" w:right="573" w:hanging="10"/>
        <w:jc w:val="both"/>
      </w:pPr>
      <w:r>
        <w:rPr>
          <w:rFonts w:ascii="Arial" w:eastAsia="Arial" w:hAnsi="Arial" w:cs="Arial"/>
          <w:i/>
        </w:rPr>
        <w:t xml:space="preserve">En este IV Plan, se centra en las drogas y adicciones sobre las que hay que intervenir, los principios que rigen las actuaciones, las áreas de intervención, los objetivos, </w:t>
      </w:r>
      <w:r>
        <w:rPr>
          <w:rFonts w:ascii="Arial" w:eastAsia="Arial" w:hAnsi="Arial" w:cs="Arial"/>
          <w:i/>
        </w:rPr>
        <w:t>las acciones, los procedimientos de coordinación, evaluación y los recursos necesarios para su implementación.</w:t>
      </w:r>
    </w:p>
    <w:p w:rsidR="00E23B86" w:rsidRDefault="00BA7C13">
      <w:pPr>
        <w:spacing w:after="111" w:line="251" w:lineRule="auto"/>
        <w:ind w:left="355" w:right="573" w:hanging="10"/>
        <w:jc w:val="both"/>
      </w:pPr>
      <w:r>
        <w:rPr>
          <w:rFonts w:ascii="Arial" w:eastAsia="Arial" w:hAnsi="Arial" w:cs="Arial"/>
          <w:i/>
        </w:rPr>
        <w:t xml:space="preserve">Esta planificación de la prevención e inserción, se encuadra dentro de los servicios sociales municipales, que según la Ley 16/2019 de 2 de mayo </w:t>
      </w:r>
      <w:r>
        <w:rPr>
          <w:rFonts w:ascii="Arial" w:eastAsia="Arial" w:hAnsi="Arial" w:cs="Arial"/>
          <w:i/>
        </w:rPr>
        <w:t>de Servicios Sociales de Canarias, en su artículo 4, apartado 5, indica que éstos “se dirigen especialmente a prevenir y a compensar el déficit de apoyo social y económico en situaciones de riesgo y exclusión social, promoviendo actitudes y capacidades que</w:t>
      </w:r>
      <w:r>
        <w:rPr>
          <w:rFonts w:ascii="Arial" w:eastAsia="Arial" w:hAnsi="Arial" w:cs="Arial"/>
          <w:i/>
        </w:rPr>
        <w:t xml:space="preserve"> faciliten la inclusión de las personas, desde una perspectiva integral y participada”. Así mismo, en el apartado 7, define que “los servicios sociales se coordinarán con todos los sistemas que inciden en la calidad de vida, como los de salud, igualdad de </w:t>
      </w:r>
      <w:r>
        <w:rPr>
          <w:rFonts w:ascii="Arial" w:eastAsia="Arial" w:hAnsi="Arial" w:cs="Arial"/>
          <w:i/>
        </w:rPr>
        <w:t>género, prevención y protección de las mujeres contra la violencia de género, educativos, culturales, de empleo, de vivienda, urbanísticos, judiciales, entre otros”.</w:t>
      </w:r>
    </w:p>
    <w:p w:rsidR="00E23B86" w:rsidRDefault="00BA7C13">
      <w:pPr>
        <w:spacing w:after="483" w:line="251" w:lineRule="auto"/>
        <w:ind w:left="355" w:right="573" w:hanging="10"/>
        <w:jc w:val="both"/>
      </w:pPr>
      <w:r>
        <w:rPr>
          <w:rFonts w:ascii="Arial" w:eastAsia="Arial" w:hAnsi="Arial" w:cs="Arial"/>
          <w:i/>
        </w:rPr>
        <w:t>Como responsable de la concejalía, comparto el reto de todos y todas los/as que formamos p</w:t>
      </w:r>
      <w:r>
        <w:rPr>
          <w:rFonts w:ascii="Arial" w:eastAsia="Arial" w:hAnsi="Arial" w:cs="Arial"/>
          <w:i/>
        </w:rPr>
        <w:t>arte de la comunidad, en contribuir en la mejora de las condiciones de calidad de vida de la población, la promoción de la salud y la prevención de las adicciones en el municipio.</w:t>
      </w:r>
    </w:p>
    <w:p w:rsidR="00E23B86" w:rsidRDefault="00BA7C13">
      <w:pPr>
        <w:spacing w:after="111" w:line="251" w:lineRule="auto"/>
        <w:ind w:left="355" w:right="573" w:hanging="10"/>
        <w:jc w:val="both"/>
      </w:pPr>
      <w:r>
        <w:rPr>
          <w:rFonts w:ascii="Arial" w:eastAsia="Arial" w:hAnsi="Arial" w:cs="Arial"/>
          <w:i/>
        </w:rPr>
        <w:t xml:space="preserve">La Concejala, </w:t>
      </w:r>
    </w:p>
    <w:p w:rsidR="00E23B86" w:rsidRDefault="00BA7C13">
      <w:pPr>
        <w:spacing w:after="111" w:line="251" w:lineRule="auto"/>
        <w:ind w:left="355" w:right="573" w:hanging="10"/>
        <w:jc w:val="both"/>
      </w:pPr>
      <w:r>
        <w:rPr>
          <w:rFonts w:ascii="Arial" w:eastAsia="Arial" w:hAnsi="Arial" w:cs="Arial"/>
          <w:i/>
        </w:rPr>
        <w:t>Olivia C. Pérez Díaz.</w:t>
      </w:r>
    </w:p>
    <w:p w:rsidR="00E23B86" w:rsidRDefault="00BA7C13">
      <w:pPr>
        <w:spacing w:after="111" w:line="249" w:lineRule="auto"/>
        <w:ind w:left="336" w:right="550" w:hanging="10"/>
        <w:jc w:val="center"/>
      </w:pPr>
      <w:r>
        <w:rPr>
          <w:rFonts w:ascii="Arial" w:eastAsia="Arial" w:hAnsi="Arial" w:cs="Arial"/>
          <w:i/>
        </w:rPr>
        <w:t>ÍNDICE</w:t>
      </w:r>
    </w:p>
    <w:p w:rsidR="00E23B86" w:rsidRDefault="00BA7C13">
      <w:pPr>
        <w:spacing w:after="115"/>
        <w:ind w:left="10" w:right="540" w:hanging="10"/>
        <w:jc w:val="right"/>
      </w:pPr>
      <w:r>
        <w:rPr>
          <w:color w:val="000080"/>
          <w:u w:val="single" w:color="000080"/>
        </w:rPr>
        <w:t xml:space="preserve"> 3.- RESULTADO PRESUPUESTARIO  </w:t>
      </w:r>
      <w:r>
        <w:rPr>
          <w:color w:val="000080"/>
          <w:u w:val="single" w:color="000080"/>
        </w:rPr>
        <w:t>.........................................................................................                                                                                                   6</w:t>
      </w:r>
    </w:p>
    <w:p w:rsidR="00E23B86" w:rsidRDefault="00BA7C13">
      <w:pPr>
        <w:spacing w:after="115"/>
        <w:ind w:left="10" w:right="540" w:hanging="10"/>
        <w:jc w:val="right"/>
      </w:pPr>
      <w:r>
        <w:rPr>
          <w:color w:val="000080"/>
          <w:u w:val="single" w:color="000080"/>
        </w:rPr>
        <w:t xml:space="preserve"> REMANENTE DE TESORERIA                             PRESUPUESTO  2</w:t>
      </w:r>
      <w:r>
        <w:rPr>
          <w:color w:val="000080"/>
          <w:u w:val="single" w:color="000080"/>
        </w:rPr>
        <w:t>019 ( Euros )  .............................                               7</w:t>
      </w:r>
    </w:p>
    <w:p w:rsidR="00E23B86" w:rsidRDefault="00BA7C13">
      <w:pPr>
        <w:spacing w:after="109" w:line="249" w:lineRule="auto"/>
        <w:ind w:left="353" w:hanging="8"/>
      </w:pPr>
      <w:r>
        <w:rPr>
          <w:b/>
          <w:color w:val="000080"/>
          <w:u w:val="single" w:color="000080"/>
        </w:rPr>
        <w:t xml:space="preserve"> 2.TOTAL  ..................................................................................................................................                                       </w:t>
      </w:r>
      <w:r>
        <w:rPr>
          <w:b/>
          <w:color w:val="000080"/>
          <w:u w:val="single" w:color="000080"/>
        </w:rPr>
        <w:t xml:space="preserve">                                                                                                                28</w:t>
      </w:r>
    </w:p>
    <w:p w:rsidR="00E23B86" w:rsidRDefault="00BA7C13">
      <w:pPr>
        <w:spacing w:after="115"/>
        <w:ind w:left="10" w:right="540" w:hanging="10"/>
        <w:jc w:val="right"/>
      </w:pPr>
      <w:r>
        <w:rPr>
          <w:color w:val="000080"/>
          <w:u w:val="single" w:color="000080"/>
        </w:rPr>
        <w:t xml:space="preserve"> B) CLASIFICACIÓN POR PROGRAMAS  .....................................................................................                       </w:t>
      </w:r>
      <w:r>
        <w:rPr>
          <w:color w:val="000080"/>
          <w:u w:val="single" w:color="000080"/>
        </w:rPr>
        <w:t xml:space="preserve">                                                                         33</w:t>
      </w:r>
    </w:p>
    <w:p w:rsidR="00E23B86" w:rsidRDefault="00BA7C13">
      <w:pPr>
        <w:spacing w:after="109" w:line="249" w:lineRule="auto"/>
        <w:ind w:left="353" w:right="468" w:hanging="8"/>
      </w:pPr>
      <w:r>
        <w:rPr>
          <w:b/>
          <w:color w:val="000080"/>
          <w:u w:val="single" w:color="000080"/>
        </w:rPr>
        <w:t>Área de Gasto 0: Comprende todos los gastos de intereses y amortización de la deuda pública  y demás operaciones financieras de naturaleza análoga.  ...............................</w:t>
      </w:r>
      <w:r>
        <w:rPr>
          <w:b/>
          <w:color w:val="000080"/>
          <w:u w:val="single" w:color="000080"/>
        </w:rPr>
        <w:t>........................                                                                33</w:t>
      </w:r>
    </w:p>
    <w:p w:rsidR="00E23B86" w:rsidRDefault="00BA7C13">
      <w:pPr>
        <w:spacing w:after="0" w:line="249" w:lineRule="auto"/>
        <w:ind w:left="353" w:right="256" w:hanging="8"/>
      </w:pPr>
      <w:r>
        <w:rPr>
          <w:b/>
          <w:color w:val="000080"/>
          <w:u w:val="single" w:color="000080"/>
        </w:rPr>
        <w:t xml:space="preserve"> Importa un gasto total liquidado de 9.297.373,80 Euros, frente a los 7.752.849,94 Euros en el año 2018, generando un aumento del 19,9 %. Representa el 38,5 % del total liquidado en el </w:t>
      </w:r>
    </w:p>
    <w:p w:rsidR="00E23B86" w:rsidRDefault="00BA7C13">
      <w:pPr>
        <w:spacing w:after="9" w:line="249" w:lineRule="auto"/>
        <w:ind w:left="353" w:hanging="8"/>
      </w:pPr>
      <w:r>
        <w:rPr>
          <w:b/>
          <w:color w:val="000080"/>
          <w:u w:val="single" w:color="000080"/>
        </w:rPr>
        <w:t>ejercicio 2019, frente al 31,7 % en el 2018. Así destacamos los siguie</w:t>
      </w:r>
      <w:r>
        <w:rPr>
          <w:b/>
          <w:color w:val="000080"/>
          <w:u w:val="single" w:color="000080"/>
        </w:rPr>
        <w:t xml:space="preserve">ntes subprogramas </w:t>
      </w:r>
    </w:p>
    <w:p w:rsidR="00E23B86" w:rsidRDefault="00BA7C13">
      <w:pPr>
        <w:spacing w:after="109" w:line="249" w:lineRule="auto"/>
        <w:ind w:left="353" w:hanging="8"/>
      </w:pPr>
      <w:r>
        <w:rPr>
          <w:b/>
          <w:color w:val="000080"/>
          <w:u w:val="single" w:color="000080"/>
        </w:rPr>
        <w:t xml:space="preserve"> previstos en el presupuesto:  ..................................................................................................                                                                                                            </w:t>
      </w:r>
      <w:r>
        <w:rPr>
          <w:b/>
          <w:color w:val="000080"/>
          <w:u w:val="single" w:color="000080"/>
        </w:rPr>
        <w:t xml:space="preserve">      34</w:t>
      </w:r>
    </w:p>
    <w:p w:rsidR="00E23B86" w:rsidRDefault="00BA7C13">
      <w:pPr>
        <w:spacing w:after="0" w:line="249" w:lineRule="auto"/>
        <w:ind w:left="353" w:right="467" w:hanging="8"/>
      </w:pPr>
      <w:r>
        <w:rPr>
          <w:noProof/>
        </w:rPr>
        <mc:AlternateContent>
          <mc:Choice Requires="wpg">
            <w:drawing>
              <wp:anchor distT="0" distB="0" distL="114300" distR="114300" simplePos="0" relativeHeight="2518138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2163" name="Group 51216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6873" name="Rectangle 2687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6874" name="Rectangle 2687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150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2163" style="width:12.7031pt;height:280.35pt;position:absolute;mso-position-horizontal-relative:page;mso-position-horizontal:absolute;margin-left:681.958pt;mso-position-vertical-relative:page;margin-top:531.65pt;" coordsize="1613,35604">
                <v:rect id="Rectangle 2687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687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150 de 391 </w:t>
                        </w:r>
                      </w:p>
                    </w:txbxContent>
                  </v:textbox>
                </v:rect>
                <w10:wrap type="square"/>
              </v:group>
            </w:pict>
          </mc:Fallback>
        </mc:AlternateContent>
      </w:r>
      <w:r>
        <w:rPr>
          <w:b/>
          <w:color w:val="000080"/>
          <w:u w:val="single" w:color="000080"/>
        </w:rPr>
        <w:t>Subprograma 132.00 de Seguridad y Orden Público, sube un 13,4 %, principalmente en el gasto de personal, que sube más de 207.000,00 Euros (de los que 147.000 Euros, son de gratificaciones y productividad), compensando la caída en un 29 % del gasto en biene</w:t>
      </w:r>
      <w:r>
        <w:rPr>
          <w:b/>
          <w:color w:val="000080"/>
          <w:u w:val="single" w:color="000080"/>
        </w:rPr>
        <w:t xml:space="preserve">s y servicios corrientes. La inversión sube en 50.468,03 Euros, que fue nula en el 2018. Representa el capítulo de personal el 92,5 % frente al 92,3 % del año anterior en este </w:t>
      </w:r>
    </w:p>
    <w:p w:rsidR="00E23B86" w:rsidRDefault="00BA7C13">
      <w:pPr>
        <w:spacing w:after="109" w:line="249" w:lineRule="auto"/>
        <w:ind w:left="353" w:hanging="8"/>
      </w:pPr>
      <w:r>
        <w:rPr>
          <w:b/>
          <w:color w:val="000080"/>
          <w:u w:val="single" w:color="000080"/>
        </w:rPr>
        <w:t xml:space="preserve"> subprograma.  ................................................................</w:t>
      </w:r>
      <w:r>
        <w:rPr>
          <w:b/>
          <w:color w:val="000080"/>
          <w:u w:val="single" w:color="000080"/>
        </w:rPr>
        <w:t>........................................................                                                                                                                                            34</w:t>
      </w:r>
    </w:p>
    <w:p w:rsidR="00E23B86" w:rsidRDefault="00BA7C13">
      <w:pPr>
        <w:pStyle w:val="Ttulo1"/>
        <w:ind w:left="353"/>
      </w:pPr>
      <w:bookmarkStart w:id="2" w:name="_Toc626362"/>
      <w:r>
        <w:t xml:space="preserve"> Representan un 7,75 % respecto del gasto total, frente a</w:t>
      </w:r>
      <w:r>
        <w:t>l 6,7 % del ejercicio 2018.  ...............                34</w:t>
      </w:r>
      <w:bookmarkEnd w:id="2"/>
    </w:p>
    <w:p w:rsidR="00E23B86" w:rsidRDefault="00BA7C13">
      <w:pPr>
        <w:pStyle w:val="Ttulo1"/>
        <w:spacing w:after="0"/>
        <w:ind w:left="353" w:right="150"/>
      </w:pPr>
      <w:bookmarkStart w:id="3" w:name="_Toc626363"/>
      <w:r>
        <w:t xml:space="preserve">Subprograma 135.00 de Protección Civil, que cae un 0,5 %, Sube las inversiones en siete mil euros, mientras que el capítulo de gastos bienes corrientes y de servicios, cae un 4 %. Este </w:t>
      </w:r>
      <w:bookmarkEnd w:id="3"/>
    </w:p>
    <w:p w:rsidR="00E23B86" w:rsidRDefault="00BA7C13">
      <w:pPr>
        <w:spacing w:after="109" w:line="249" w:lineRule="auto"/>
        <w:ind w:left="353" w:hanging="8"/>
      </w:pPr>
      <w:r>
        <w:rPr>
          <w:b/>
          <w:color w:val="000080"/>
          <w:u w:val="single" w:color="000080"/>
        </w:rPr>
        <w:t xml:space="preserve"> capítu</w:t>
      </w:r>
      <w:r>
        <w:rPr>
          <w:b/>
          <w:color w:val="000080"/>
          <w:u w:val="single" w:color="000080"/>
        </w:rPr>
        <w:t>lo representa el 80,30 % del gasto total.  ......................................................................                                                                                 34</w:t>
      </w:r>
    </w:p>
    <w:p w:rsidR="00E23B86" w:rsidRDefault="00BA7C13">
      <w:pPr>
        <w:pStyle w:val="Ttulo2"/>
        <w:ind w:left="353"/>
      </w:pPr>
      <w:bookmarkStart w:id="4" w:name="_Toc626364"/>
      <w:r>
        <w:t xml:space="preserve"> Representan un 1 %, respecto del gasto total, frente al 0,</w:t>
      </w:r>
      <w:r>
        <w:t>9 %, en el ejercicio anterior.  .........          34</w:t>
      </w:r>
      <w:bookmarkEnd w:id="4"/>
    </w:p>
    <w:p w:rsidR="00E23B86" w:rsidRDefault="00BA7C13">
      <w:pPr>
        <w:pStyle w:val="Ttulo1"/>
        <w:spacing w:after="0"/>
        <w:ind w:left="353"/>
      </w:pPr>
      <w:bookmarkStart w:id="5" w:name="_Toc626365"/>
      <w:r>
        <w:t xml:space="preserve">Subprograma 136.00 de Servicios de Extinción de Incendios que recoge las   aportaciones al Consorcio de Incendios. Crece un 0,1 % el gasto de esta subvención respecto el año anterior. </w:t>
      </w:r>
      <w:bookmarkEnd w:id="5"/>
    </w:p>
    <w:p w:rsidR="00E23B86" w:rsidRDefault="00BA7C13">
      <w:pPr>
        <w:spacing w:after="109" w:line="249" w:lineRule="auto"/>
        <w:ind w:left="353" w:hanging="8"/>
      </w:pPr>
      <w:r>
        <w:rPr>
          <w:b/>
          <w:color w:val="000080"/>
          <w:u w:val="single" w:color="000080"/>
        </w:rPr>
        <w:t xml:space="preserve"> Representan un 0</w:t>
      </w:r>
      <w:r>
        <w:rPr>
          <w:b/>
          <w:color w:val="000080"/>
          <w:u w:val="single" w:color="000080"/>
        </w:rPr>
        <w:t>,7 % respecto del gasto total, frente al 0,6 % del ejercicio 2018.  .................                   34</w:t>
      </w:r>
    </w:p>
    <w:p w:rsidR="00E23B86" w:rsidRDefault="00BA7C13">
      <w:pPr>
        <w:pStyle w:val="Ttulo1"/>
        <w:spacing w:after="0"/>
        <w:ind w:left="353" w:right="472"/>
      </w:pPr>
      <w:bookmarkStart w:id="6" w:name="_Toc626366"/>
      <w:r>
        <w:t>Subprograma 151.00 de Urbanismo, que sube un 8,2 %, motivado por la subida del capítulo de inversiones (aumenta un 17 %). Compensa la caída en gastos</w:t>
      </w:r>
      <w:r>
        <w:t xml:space="preserve"> de transferencias de capital, </w:t>
      </w:r>
      <w:bookmarkEnd w:id="6"/>
    </w:p>
    <w:p w:rsidR="00E23B86" w:rsidRDefault="00BA7C13">
      <w:pPr>
        <w:pStyle w:val="Ttulo1"/>
        <w:spacing w:after="0"/>
        <w:ind w:left="353" w:right="472"/>
      </w:pPr>
      <w:bookmarkStart w:id="7" w:name="_Toc626367"/>
      <w:r>
        <w:t xml:space="preserve">que fue nula. Representa el 5 % este subprograma, en el gasto total, frente al 4,5 % del gasto </w:t>
      </w:r>
      <w:bookmarkEnd w:id="7"/>
    </w:p>
    <w:p w:rsidR="00E23B86" w:rsidRDefault="00BA7C13">
      <w:pPr>
        <w:spacing w:after="109" w:line="249" w:lineRule="auto"/>
        <w:ind w:left="353" w:hanging="8"/>
      </w:pPr>
      <w:r>
        <w:rPr>
          <w:b/>
          <w:color w:val="000080"/>
          <w:u w:val="single" w:color="000080"/>
        </w:rPr>
        <w:t xml:space="preserve"> total.  .......................................................................................................................</w:t>
      </w:r>
      <w:r>
        <w:rPr>
          <w:b/>
          <w:color w:val="000080"/>
          <w:u w:val="single" w:color="000080"/>
        </w:rPr>
        <w:t>...............                                                                                                                                                           34</w:t>
      </w:r>
    </w:p>
    <w:p w:rsidR="00E23B86" w:rsidRDefault="00BA7C13">
      <w:pPr>
        <w:pStyle w:val="Ttulo1"/>
        <w:spacing w:after="9"/>
        <w:ind w:left="353"/>
      </w:pPr>
      <w:bookmarkStart w:id="8" w:name="_Toc626368"/>
      <w:r>
        <w:t>Subprograma 160.00 de Alcantarillado, que recoge las obras de saneamiento y no se h</w:t>
      </w:r>
      <w:r>
        <w:t xml:space="preserve">a </w:t>
      </w:r>
      <w:bookmarkEnd w:id="8"/>
    </w:p>
    <w:p w:rsidR="00E23B86" w:rsidRDefault="00BA7C13">
      <w:pPr>
        <w:spacing w:after="109" w:line="249" w:lineRule="auto"/>
        <w:ind w:left="353" w:hanging="8"/>
      </w:pPr>
      <w:r>
        <w:rPr>
          <w:b/>
          <w:color w:val="000080"/>
          <w:u w:val="single" w:color="000080"/>
        </w:rPr>
        <w:t xml:space="preserve"> realizado gasto alguno, igual que en el año anterior.  .............................................................                                                                       34</w:t>
      </w:r>
    </w:p>
    <w:p w:rsidR="00E23B86" w:rsidRDefault="00BA7C13">
      <w:pPr>
        <w:pStyle w:val="Ttulo1"/>
        <w:spacing w:after="0"/>
        <w:ind w:left="353"/>
      </w:pPr>
      <w:bookmarkStart w:id="9" w:name="_Toc626369"/>
      <w:r>
        <w:t xml:space="preserve">Subprograma 161.00 de Abastecimiento de Agua, que refleja los </w:t>
      </w:r>
      <w:r>
        <w:t xml:space="preserve">gastos de inversiones en el depósito de agua de Igueste, que aumenta en casi doscientos cuarenta mil euros. </w:t>
      </w:r>
      <w:bookmarkEnd w:id="9"/>
    </w:p>
    <w:p w:rsidR="00E23B86" w:rsidRDefault="00BA7C13">
      <w:pPr>
        <w:pStyle w:val="Ttulo1"/>
        <w:spacing w:after="0" w:line="241" w:lineRule="auto"/>
        <w:ind w:left="345" w:hanging="10"/>
        <w:jc w:val="both"/>
      </w:pPr>
      <w:bookmarkStart w:id="10" w:name="_Toc626370"/>
      <w:r>
        <w:t xml:space="preserve"> Representan un 1,9 % respecto del gasto total, frente al 0,6 % del año anterior.  ...................                      34</w:t>
      </w:r>
      <w:bookmarkEnd w:id="10"/>
    </w:p>
    <w:p w:rsidR="00E23B86" w:rsidRDefault="00BA7C13">
      <w:pPr>
        <w:spacing w:after="0" w:line="241" w:lineRule="auto"/>
        <w:ind w:left="345" w:hanging="10"/>
        <w:jc w:val="both"/>
      </w:pPr>
      <w:r>
        <w:rPr>
          <w:b/>
          <w:color w:val="000080"/>
          <w:u w:val="single" w:color="000080"/>
        </w:rPr>
        <w:t>Subprograma 162.10 d</w:t>
      </w:r>
      <w:r>
        <w:rPr>
          <w:b/>
          <w:color w:val="000080"/>
          <w:u w:val="single" w:color="000080"/>
        </w:rPr>
        <w:t xml:space="preserve">e Gestión de Recogida de Residuos, que refleja los gastos de la </w:t>
      </w:r>
    </w:p>
    <w:p w:rsidR="00E23B86" w:rsidRDefault="00BA7C13">
      <w:pPr>
        <w:pStyle w:val="Ttulo1"/>
        <w:spacing w:after="0" w:line="241" w:lineRule="auto"/>
        <w:ind w:left="345" w:hanging="10"/>
        <w:jc w:val="both"/>
      </w:pPr>
      <w:bookmarkStart w:id="11" w:name="_Toc626371"/>
      <w:r>
        <w:t xml:space="preserve">concesión que gestiona Urbaser SA, relativo a la Limpieza Viaria. Representan un 3,6 % </w:t>
      </w:r>
      <w:bookmarkEnd w:id="11"/>
    </w:p>
    <w:p w:rsidR="00E23B86" w:rsidRDefault="00BA7C13">
      <w:pPr>
        <w:spacing w:after="109" w:line="249" w:lineRule="auto"/>
        <w:ind w:left="353" w:hanging="8"/>
      </w:pPr>
      <w:r>
        <w:rPr>
          <w:b/>
          <w:color w:val="000080"/>
          <w:u w:val="single" w:color="000080"/>
        </w:rPr>
        <w:t xml:space="preserve"> respecto del gasto total, tres décimas más que en el 2018.  </w:t>
      </w:r>
      <w:r>
        <w:rPr>
          <w:b/>
          <w:color w:val="000080"/>
          <w:u w:val="single" w:color="000080"/>
        </w:rPr>
        <w:t>....................................................                                                            34</w:t>
      </w:r>
    </w:p>
    <w:p w:rsidR="00E23B86" w:rsidRDefault="00BA7C13">
      <w:pPr>
        <w:pStyle w:val="Ttulo1"/>
        <w:spacing w:after="0"/>
        <w:ind w:left="353" w:right="376"/>
      </w:pPr>
      <w:bookmarkStart w:id="12" w:name="_Toc626372"/>
      <w:r>
        <w:t>Subprograma 163.00 de Gestión de Recogida de Residuos, que refleja los gastos de la concesión que gestiona Urbaser SA, relativo a la recogida</w:t>
      </w:r>
      <w:r>
        <w:t xml:space="preserve"> de residuos sólidos urbanos y </w:t>
      </w:r>
      <w:bookmarkEnd w:id="12"/>
    </w:p>
    <w:p w:rsidR="00E23B86" w:rsidRDefault="00BA7C13">
      <w:pPr>
        <w:spacing w:after="9" w:line="249" w:lineRule="auto"/>
        <w:ind w:left="353" w:hanging="8"/>
      </w:pPr>
      <w:r>
        <w:rPr>
          <w:b/>
          <w:color w:val="000080"/>
          <w:u w:val="single" w:color="000080"/>
        </w:rPr>
        <w:t xml:space="preserve">recogida selectiva y la aportación a Epelcan, por limpieza de edificios. Representan un 8,3 % </w:t>
      </w:r>
    </w:p>
    <w:p w:rsidR="00E23B86" w:rsidRDefault="00BA7C13">
      <w:pPr>
        <w:spacing w:after="109" w:line="249" w:lineRule="auto"/>
        <w:ind w:left="353" w:hanging="8"/>
      </w:pPr>
      <w:r>
        <w:rPr>
          <w:b/>
          <w:color w:val="000080"/>
          <w:u w:val="single" w:color="000080"/>
        </w:rPr>
        <w:t xml:space="preserve"> respecto del gasto total, ocho décimas más que en 2018.  ......................................................                 </w:t>
      </w:r>
      <w:r>
        <w:rPr>
          <w:b/>
          <w:color w:val="000080"/>
          <w:u w:val="single" w:color="000080"/>
        </w:rPr>
        <w:t xml:space="preserve">                                             34</w:t>
      </w:r>
    </w:p>
    <w:p w:rsidR="00E23B86" w:rsidRDefault="00BA7C13">
      <w:pPr>
        <w:pStyle w:val="Ttulo1"/>
        <w:spacing w:after="0"/>
        <w:ind w:left="353" w:right="256"/>
      </w:pPr>
      <w:bookmarkStart w:id="13" w:name="_Toc626373"/>
      <w:r>
        <w:t xml:space="preserve">Subprograma 164.00 de Cementerios, que sube un 34,9 %, representando los gastos de personal, el 69,2 % del gasto de este subprograma, subiendo los gastos corrientes, casi el </w:t>
      </w:r>
      <w:bookmarkEnd w:id="13"/>
    </w:p>
    <w:p w:rsidR="00E23B86" w:rsidRDefault="00BA7C13">
      <w:pPr>
        <w:spacing w:after="109" w:line="249" w:lineRule="auto"/>
        <w:ind w:left="353" w:hanging="8"/>
      </w:pPr>
      <w:r>
        <w:rPr>
          <w:b/>
          <w:color w:val="000080"/>
          <w:u w:val="single" w:color="000080"/>
        </w:rPr>
        <w:t xml:space="preserve"> doble. Representan un 0,1 % resp</w:t>
      </w:r>
      <w:r>
        <w:rPr>
          <w:b/>
          <w:color w:val="000080"/>
          <w:u w:val="single" w:color="000080"/>
        </w:rPr>
        <w:t>ecto del gasto total, igual que en el año anterior.  ..............               35</w:t>
      </w:r>
    </w:p>
    <w:p w:rsidR="00E23B86" w:rsidRDefault="00BA7C13">
      <w:pPr>
        <w:pStyle w:val="Ttulo1"/>
        <w:spacing w:after="0"/>
        <w:ind w:left="353"/>
      </w:pPr>
      <w:bookmarkStart w:id="14" w:name="_Toc626374"/>
      <w:r>
        <w:t xml:space="preserve">Subprograma 165.00 de Alumbrado Público, que cae un 10,5 %, por la menor inversión en alumbrado, al caer un 43 %, mientras que ha subido el consumo en un 4 %. Representan </w:t>
      </w:r>
      <w:r>
        <w:t xml:space="preserve">un </w:t>
      </w:r>
      <w:bookmarkEnd w:id="14"/>
    </w:p>
    <w:p w:rsidR="00E23B86" w:rsidRDefault="00BA7C13">
      <w:pPr>
        <w:spacing w:after="109" w:line="249" w:lineRule="auto"/>
        <w:ind w:left="353" w:hanging="8"/>
      </w:pPr>
      <w:r>
        <w:rPr>
          <w:b/>
          <w:color w:val="000080"/>
          <w:u w:val="single" w:color="000080"/>
        </w:rPr>
        <w:t xml:space="preserve"> 1,6 % respecto del gasto total, frente al 1,7 % del año anterior.  .............................................                                                   35</w:t>
      </w:r>
    </w:p>
    <w:p w:rsidR="00E23B86" w:rsidRDefault="00BA7C13">
      <w:pPr>
        <w:spacing w:after="109" w:line="249" w:lineRule="auto"/>
        <w:ind w:left="353" w:right="216" w:hanging="8"/>
      </w:pPr>
      <w:r>
        <w:rPr>
          <w:b/>
          <w:color w:val="000080"/>
          <w:u w:val="single" w:color="000080"/>
        </w:rPr>
        <w:t>Subprograma 170.00 de Medio Ambiente, que se creó en el 2018, con unos gastos de seis</w:t>
      </w:r>
      <w:r>
        <w:rPr>
          <w:b/>
          <w:color w:val="000080"/>
          <w:u w:val="single" w:color="000080"/>
        </w:rPr>
        <w:t xml:space="preserve"> mil </w:t>
      </w:r>
    </w:p>
    <w:p w:rsidR="00E23B86" w:rsidRDefault="00BA7C13">
      <w:pPr>
        <w:pStyle w:val="Ttulo1"/>
        <w:ind w:left="353" w:right="216"/>
      </w:pPr>
      <w:bookmarkStart w:id="15" w:name="_Toc626375"/>
      <w:r>
        <w:t xml:space="preserve"> tres euros, refleja gastos corrientes en bienes y servicios por cuarenta y ocho mil Euros.  .....     35</w:t>
      </w:r>
      <w:bookmarkEnd w:id="15"/>
    </w:p>
    <w:p w:rsidR="00E23B86" w:rsidRDefault="00BA7C13">
      <w:pPr>
        <w:pStyle w:val="Ttulo1"/>
        <w:spacing w:after="0"/>
        <w:ind w:left="353" w:right="180"/>
      </w:pPr>
      <w:bookmarkStart w:id="16" w:name="_Toc626376"/>
      <w:r>
        <w:t>Subprograma 171.00 de Parques y Jardines, que sube un 5,6 %, por el mayor gasto en inversiones, por importe de ciento setenta y dos mil Euros, q</w:t>
      </w:r>
      <w:r>
        <w:t xml:space="preserve">ue compensa la caída de gastos corrientes y de servicios, que cae un 51 %, representando el capítulo de personal el 43,2 % </w:t>
      </w:r>
      <w:bookmarkEnd w:id="16"/>
    </w:p>
    <w:p w:rsidR="00E23B86" w:rsidRDefault="00BA7C13">
      <w:pPr>
        <w:spacing w:after="9" w:line="249" w:lineRule="auto"/>
        <w:ind w:left="353" w:hanging="8"/>
      </w:pPr>
      <w:r>
        <w:rPr>
          <w:b/>
          <w:color w:val="000080"/>
          <w:u w:val="single" w:color="000080"/>
        </w:rPr>
        <w:t xml:space="preserve">del gasto en este subprograma y. Representan un 2,3 % respecto del gasto total, frente al 2,1 </w:t>
      </w:r>
    </w:p>
    <w:p w:rsidR="00E23B86" w:rsidRDefault="00BA7C13">
      <w:pPr>
        <w:spacing w:after="109" w:line="249" w:lineRule="auto"/>
        <w:ind w:left="353" w:hanging="8"/>
      </w:pPr>
      <w:r>
        <w:rPr>
          <w:b/>
          <w:color w:val="000080"/>
          <w:u w:val="single" w:color="000080"/>
        </w:rPr>
        <w:t xml:space="preserve"> % del año anterior.  ...............</w:t>
      </w:r>
      <w:r>
        <w:rPr>
          <w:b/>
          <w:color w:val="000080"/>
          <w:u w:val="single" w:color="000080"/>
        </w:rPr>
        <w:t>..................................................................................................                                                                                                                                   35</w:t>
      </w:r>
    </w:p>
    <w:bookmarkStart w:id="17" w:name="_Toc626377"/>
    <w:p w:rsidR="00E23B86" w:rsidRDefault="00BA7C13">
      <w:pPr>
        <w:pStyle w:val="Ttulo1"/>
        <w:spacing w:after="0"/>
        <w:ind w:left="353" w:right="351"/>
      </w:pPr>
      <w:r>
        <w:rPr>
          <w:noProof/>
        </w:rPr>
        <mc:AlternateContent>
          <mc:Choice Requires="wpg">
            <w:drawing>
              <wp:anchor distT="0" distB="0" distL="114300" distR="114300" simplePos="0" relativeHeight="2518149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2457" name="Group 51245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7100" name="Rectangle 2710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7101" name="Rectangle 2710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151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2457" style="width:12.7031pt;height:280.35pt;position:absolute;mso-position-horizontal-relative:page;mso-position-horizontal:absolute;margin-left:681.958pt;mso-position-vertical-relative:page;margin-top:531.65pt;" coordsize="1613,35604">
                <v:rect id="Rectangle 2710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710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151 de 391 </w:t>
                        </w:r>
                      </w:p>
                    </w:txbxContent>
                  </v:textbox>
                </v:rect>
                <w10:wrap type="square"/>
              </v:group>
            </w:pict>
          </mc:Fallback>
        </mc:AlternateContent>
      </w:r>
      <w:r>
        <w:t>Área de Gasto 2: Incluye las Actuaciones de Protección y Prom</w:t>
      </w:r>
      <w:r>
        <w:t xml:space="preserve">oción Social. El total gasto liquidado en esta área de gasto asciende a 4.641.367,35 Euros frente a los 4.102.717,80 Euros de 2018, es decir, que ha habido un incremento del 13 %, representando el 19,2 % del gasto </w:t>
      </w:r>
      <w:bookmarkEnd w:id="17"/>
    </w:p>
    <w:p w:rsidR="00E23B86" w:rsidRDefault="00BA7C13">
      <w:pPr>
        <w:spacing w:after="9" w:line="249" w:lineRule="auto"/>
        <w:ind w:left="353" w:hanging="8"/>
      </w:pPr>
      <w:r>
        <w:rPr>
          <w:b/>
          <w:color w:val="000080"/>
          <w:u w:val="single" w:color="000080"/>
        </w:rPr>
        <w:t xml:space="preserve">total, frente al 16,8 % del ejercicio 2018. A continuación, destacamos los siguientes </w:t>
      </w:r>
    </w:p>
    <w:p w:rsidR="00E23B86" w:rsidRDefault="00BA7C13">
      <w:pPr>
        <w:spacing w:after="109" w:line="249" w:lineRule="auto"/>
        <w:ind w:left="353" w:hanging="8"/>
      </w:pPr>
      <w:r>
        <w:rPr>
          <w:b/>
          <w:color w:val="000080"/>
          <w:u w:val="single" w:color="000080"/>
        </w:rPr>
        <w:t xml:space="preserve"> subprogramas:  .......................................................................................................................                                  </w:t>
      </w:r>
      <w:r>
        <w:rPr>
          <w:b/>
          <w:color w:val="000080"/>
          <w:u w:val="single" w:color="000080"/>
        </w:rPr>
        <w:t xml:space="preserve">                                                                                                        35</w:t>
      </w:r>
    </w:p>
    <w:p w:rsidR="00E23B86" w:rsidRDefault="00BA7C13">
      <w:pPr>
        <w:pStyle w:val="Ttulo1"/>
        <w:spacing w:after="0"/>
        <w:ind w:left="353"/>
      </w:pPr>
      <w:bookmarkStart w:id="18" w:name="_Toc626378"/>
      <w:r>
        <w:t>Subprograma 211.00 de Pensiones, se incrementa el 6,5 % el gasto liquidado. Recoge los emolumentos dejados de recibir por parte de funcionarios que h</w:t>
      </w:r>
      <w:r>
        <w:t xml:space="preserve">an solicitado la jubilación </w:t>
      </w:r>
      <w:bookmarkEnd w:id="18"/>
    </w:p>
    <w:p w:rsidR="00E23B86" w:rsidRDefault="00BA7C13">
      <w:pPr>
        <w:spacing w:after="109" w:line="249" w:lineRule="auto"/>
        <w:ind w:left="353" w:hanging="8"/>
      </w:pPr>
      <w:r>
        <w:rPr>
          <w:b/>
          <w:color w:val="000080"/>
          <w:u w:val="single" w:color="000080"/>
        </w:rPr>
        <w:t xml:space="preserve"> anticipada. Representan un 0,09 % respecto del gasto total.  .................................................                                                        36</w:t>
      </w:r>
    </w:p>
    <w:p w:rsidR="00E23B86" w:rsidRDefault="00BA7C13">
      <w:pPr>
        <w:spacing w:after="109" w:line="249" w:lineRule="auto"/>
        <w:ind w:left="353" w:right="506" w:hanging="8"/>
      </w:pPr>
      <w:r>
        <w:rPr>
          <w:b/>
          <w:color w:val="000080"/>
          <w:u w:val="single" w:color="000080"/>
        </w:rPr>
        <w:t>Subprograma 221.00 de Otras Prestaciones a favor de los E</w:t>
      </w:r>
      <w:r>
        <w:rPr>
          <w:b/>
          <w:color w:val="000080"/>
          <w:u w:val="single" w:color="000080"/>
        </w:rPr>
        <w:t xml:space="preserve">mpleados, que recoge los gastos de acción social y la aportación municipal al seguro privado, cae un 13 %, por el menor gasto </w:t>
      </w:r>
    </w:p>
    <w:p w:rsidR="00E23B86" w:rsidRDefault="00BA7C13">
      <w:pPr>
        <w:pStyle w:val="Ttulo1"/>
        <w:ind w:left="353" w:right="506"/>
      </w:pPr>
      <w:bookmarkStart w:id="19" w:name="_Toc626379"/>
      <w:r>
        <w:t xml:space="preserve"> en acción social. Representan un 0,2 % respecto del gasto total, igual que en el 2018.  ..........          36</w:t>
      </w:r>
      <w:bookmarkEnd w:id="19"/>
    </w:p>
    <w:p w:rsidR="00E23B86" w:rsidRDefault="00BA7C13">
      <w:pPr>
        <w:spacing w:after="109" w:line="249" w:lineRule="auto"/>
        <w:ind w:left="353" w:right="446" w:hanging="8"/>
      </w:pPr>
      <w:r>
        <w:rPr>
          <w:b/>
          <w:color w:val="000080"/>
          <w:u w:val="single" w:color="000080"/>
        </w:rPr>
        <w:t>Subprograma 231.0</w:t>
      </w:r>
      <w:r>
        <w:rPr>
          <w:b/>
          <w:color w:val="000080"/>
          <w:u w:val="single" w:color="000080"/>
        </w:rPr>
        <w:t xml:space="preserve">0 de Servicios Sociales, que sube un 0,8 %, respecto a los gastos del ejercicio anterior, destacando la subida de los gastos en bienes corrientes y de servicios (14 %); los costes de personal (2,8 %), que compensa la caída de los costes de transferencias, </w:t>
      </w:r>
      <w:r>
        <w:rPr>
          <w:b/>
          <w:color w:val="000080"/>
          <w:u w:val="single" w:color="000080"/>
        </w:rPr>
        <w:t>que</w:t>
      </w:r>
    </w:p>
    <w:p w:rsidR="00E23B86" w:rsidRDefault="00BA7C13">
      <w:pPr>
        <w:pStyle w:val="Ttulo1"/>
        <w:ind w:left="353" w:right="446"/>
      </w:pPr>
      <w:bookmarkStart w:id="20" w:name="_Toc626380"/>
      <w:r>
        <w:t xml:space="preserve"> cae un 7 %. Representan un 8,7 % frente al 8,2 % respecto del gasto total del año anterior.   ..36</w:t>
      </w:r>
      <w:bookmarkEnd w:id="20"/>
    </w:p>
    <w:p w:rsidR="00E23B86" w:rsidRDefault="00BA7C13">
      <w:pPr>
        <w:spacing w:after="0" w:line="249" w:lineRule="auto"/>
        <w:ind w:left="353" w:right="494" w:hanging="8"/>
      </w:pPr>
      <w:r>
        <w:rPr>
          <w:b/>
          <w:color w:val="000080"/>
          <w:u w:val="single" w:color="000080"/>
        </w:rPr>
        <w:t xml:space="preserve">Subprograma 231.01 de Mujer, Menor y Familia. Ejecuta un gasto de 78.746 Euros, frente a </w:t>
      </w:r>
    </w:p>
    <w:p w:rsidR="00E23B86" w:rsidRDefault="00BA7C13">
      <w:pPr>
        <w:spacing w:after="0" w:line="249" w:lineRule="auto"/>
        <w:ind w:left="353" w:right="494" w:hanging="8"/>
      </w:pPr>
      <w:r>
        <w:rPr>
          <w:b/>
          <w:color w:val="000080"/>
          <w:u w:val="single" w:color="000080"/>
        </w:rPr>
        <w:t xml:space="preserve">los casi 62.500 Euros del año anterior, principalmente en gastos corriente en bienes y </w:t>
      </w:r>
    </w:p>
    <w:p w:rsidR="00E23B86" w:rsidRDefault="00BA7C13">
      <w:pPr>
        <w:spacing w:after="109" w:line="249" w:lineRule="auto"/>
        <w:ind w:left="353" w:hanging="8"/>
      </w:pPr>
      <w:r>
        <w:rPr>
          <w:b/>
          <w:color w:val="000080"/>
          <w:u w:val="single" w:color="000080"/>
        </w:rPr>
        <w:t xml:space="preserve"> servicios. Crece un  26 %. Representa un 0,3 % del gasto total.  ..............................................                                                    36</w:t>
      </w:r>
    </w:p>
    <w:p w:rsidR="00E23B86" w:rsidRDefault="00BA7C13">
      <w:pPr>
        <w:spacing w:after="9" w:line="249" w:lineRule="auto"/>
        <w:ind w:left="353" w:hanging="8"/>
      </w:pPr>
      <w:r>
        <w:rPr>
          <w:b/>
          <w:color w:val="000080"/>
          <w:u w:val="single" w:color="000080"/>
        </w:rPr>
        <w:t>S</w:t>
      </w:r>
      <w:r>
        <w:rPr>
          <w:b/>
          <w:color w:val="000080"/>
          <w:u w:val="single" w:color="000080"/>
        </w:rPr>
        <w:t xml:space="preserve">ubprograma 231.02 de Mayores, crece muy levemente. Representan un gasto de 16.408 </w:t>
      </w:r>
    </w:p>
    <w:p w:rsidR="00E23B86" w:rsidRDefault="00BA7C13">
      <w:pPr>
        <w:spacing w:after="109" w:line="249" w:lineRule="auto"/>
        <w:ind w:left="353" w:hanging="8"/>
      </w:pPr>
      <w:r>
        <w:rPr>
          <w:b/>
          <w:color w:val="000080"/>
          <w:u w:val="single" w:color="000080"/>
        </w:rPr>
        <w:t xml:space="preserve"> Euros.  .....................................................................................................................................                               </w:t>
      </w:r>
      <w:r>
        <w:rPr>
          <w:b/>
          <w:color w:val="000080"/>
          <w:u w:val="single" w:color="000080"/>
        </w:rPr>
        <w:t xml:space="preserve">                                                                                                                           36</w:t>
      </w:r>
    </w:p>
    <w:p w:rsidR="00E23B86" w:rsidRDefault="00BA7C13">
      <w:pPr>
        <w:spacing w:after="0" w:line="249" w:lineRule="auto"/>
        <w:ind w:left="353" w:right="488" w:hanging="8"/>
      </w:pPr>
      <w:r>
        <w:rPr>
          <w:b/>
          <w:color w:val="000080"/>
          <w:u w:val="single" w:color="000080"/>
        </w:rPr>
        <w:t>Subprograma 241.00 de Fomento del Empleo, que recoge las transferencias corrientes a la sociedad municipal de vivienda y servicios</w:t>
      </w:r>
      <w:r>
        <w:rPr>
          <w:b/>
          <w:color w:val="000080"/>
          <w:u w:val="single" w:color="000080"/>
        </w:rPr>
        <w:t>, pero sobre todo los gastos de personal y gastos corrientes vinculados a proyectos subvencionados, que aumenta un 27,5 %, representando los gastos de personal, el 64,7 %, del gasto total, incrementándose este capítulo en un 5,8 %, en relación al ejercicio</w:t>
      </w:r>
      <w:r>
        <w:rPr>
          <w:b/>
          <w:color w:val="000080"/>
          <w:u w:val="single" w:color="000080"/>
        </w:rPr>
        <w:t xml:space="preserve"> precedente. Representan un 10,2 % respecto del gasto total, frente al </w:t>
      </w:r>
    </w:p>
    <w:p w:rsidR="00E23B86" w:rsidRDefault="00BA7C13">
      <w:pPr>
        <w:spacing w:after="109" w:line="249" w:lineRule="auto"/>
        <w:ind w:left="353" w:hanging="8"/>
      </w:pPr>
      <w:r>
        <w:rPr>
          <w:b/>
          <w:color w:val="000080"/>
          <w:u w:val="single" w:color="000080"/>
        </w:rPr>
        <w:t xml:space="preserve"> 7,9 % del ejercicio 2018.  .........................................................................................................                                                   </w:t>
      </w:r>
      <w:r>
        <w:rPr>
          <w:b/>
          <w:color w:val="000080"/>
          <w:u w:val="single" w:color="000080"/>
        </w:rPr>
        <w:t xml:space="preserve">                                                                      36</w:t>
      </w:r>
    </w:p>
    <w:p w:rsidR="00E23B86" w:rsidRDefault="00BA7C13">
      <w:pPr>
        <w:spacing w:after="0" w:line="249" w:lineRule="auto"/>
        <w:ind w:left="353" w:right="495" w:hanging="8"/>
      </w:pPr>
      <w:r>
        <w:rPr>
          <w:b/>
          <w:color w:val="000080"/>
          <w:u w:val="single" w:color="000080"/>
        </w:rPr>
        <w:t xml:space="preserve">  Área de Gasto 3: Producción de Bienes Públicos de carácter Preferente, que comprende los gastos relacionados con la sanidad, educación, cultura, ocio y tiempo libre, deporte y todos</w:t>
      </w:r>
      <w:r>
        <w:rPr>
          <w:b/>
          <w:color w:val="000080"/>
          <w:u w:val="single" w:color="000080"/>
        </w:rPr>
        <w:t xml:space="preserve"> aquellos que mejoren la calidad de vida, El gasto en esta área importa 2.586.831,84 Euros frente al gasto de  2.827.981,30 Euros en el 2018, esto es, hay una caída del 8,5 % y representa el 10,7 % del gasto total, frente al 11,5 % del gasto total en el ej</w:t>
      </w:r>
      <w:r>
        <w:rPr>
          <w:b/>
          <w:color w:val="000080"/>
          <w:u w:val="single" w:color="000080"/>
        </w:rPr>
        <w:t xml:space="preserve">ercicio anterior, </w:t>
      </w:r>
    </w:p>
    <w:p w:rsidR="00E23B86" w:rsidRDefault="00BA7C13">
      <w:pPr>
        <w:spacing w:after="9" w:line="249" w:lineRule="auto"/>
        <w:ind w:left="353" w:hanging="8"/>
      </w:pPr>
      <w:r>
        <w:rPr>
          <w:b/>
          <w:color w:val="000080"/>
          <w:u w:val="single" w:color="000080"/>
        </w:rPr>
        <w:t xml:space="preserve">destacando el gasto en bienes corrientes en un 45,5 % y los gastos de personal, un 25 % y las </w:t>
      </w:r>
    </w:p>
    <w:p w:rsidR="00E23B86" w:rsidRDefault="00BA7C13">
      <w:pPr>
        <w:spacing w:after="109" w:line="249" w:lineRule="auto"/>
        <w:ind w:left="353" w:hanging="8"/>
      </w:pPr>
      <w:r>
        <w:rPr>
          <w:b/>
          <w:color w:val="000080"/>
          <w:u w:val="single" w:color="000080"/>
        </w:rPr>
        <w:t xml:space="preserve"> subvenciones, el 24,6 %. Destacamos:  ...................................................................................                    </w:t>
      </w:r>
      <w:r>
        <w:rPr>
          <w:b/>
          <w:color w:val="000080"/>
          <w:u w:val="single" w:color="000080"/>
        </w:rPr>
        <w:t xml:space="preserve">                                                                             37</w:t>
      </w:r>
    </w:p>
    <w:p w:rsidR="00E23B86" w:rsidRDefault="00BA7C13">
      <w:pPr>
        <w:spacing w:after="116" w:line="257" w:lineRule="auto"/>
        <w:ind w:left="800" w:hanging="10"/>
      </w:pPr>
      <w:r>
        <w:rPr>
          <w:color w:val="000080"/>
          <w:u w:val="single" w:color="000080"/>
        </w:rPr>
        <w:t xml:space="preserve"> 1.- RESULTADO PRESUPUESTARIO  .......................................................................................                                                          </w:t>
      </w:r>
      <w:r>
        <w:rPr>
          <w:color w:val="000080"/>
          <w:u w:val="single" w:color="000080"/>
        </w:rPr>
        <w:t xml:space="preserve">                                       66</w:t>
      </w:r>
    </w:p>
    <w:p w:rsidR="00E23B86" w:rsidRDefault="00BA7C13">
      <w:pPr>
        <w:spacing w:after="116" w:line="257" w:lineRule="auto"/>
        <w:ind w:left="580" w:hanging="10"/>
      </w:pPr>
      <w:r>
        <w:rPr>
          <w:color w:val="000080"/>
          <w:u w:val="single" w:color="000080"/>
        </w:rPr>
        <w:t xml:space="preserve"> REMANENTE DE TESORERIA                             PRESUPUESTO  2019 ( Euros )  ...........................                             67</w:t>
      </w:r>
    </w:p>
    <w:p w:rsidR="00E23B86" w:rsidRDefault="00BA7C13">
      <w:pPr>
        <w:spacing w:after="116" w:line="257" w:lineRule="auto"/>
        <w:ind w:left="582" w:hanging="10"/>
      </w:pPr>
      <w:r>
        <w:rPr>
          <w:color w:val="000080"/>
          <w:u w:val="single" w:color="000080"/>
        </w:rPr>
        <w:t>I ........................................................................</w:t>
      </w:r>
      <w:r>
        <w:rPr>
          <w:color w:val="000080"/>
          <w:u w:val="single" w:color="000080"/>
        </w:rPr>
        <w:t>....................................................................                                                                                                                                                             102</w:t>
      </w:r>
    </w:p>
    <w:p w:rsidR="00E23B86" w:rsidRDefault="00BA7C13">
      <w:pPr>
        <w:spacing w:after="116" w:line="257" w:lineRule="auto"/>
        <w:ind w:left="800" w:hanging="10"/>
      </w:pPr>
      <w:r>
        <w:rPr>
          <w:color w:val="000080"/>
          <w:u w:val="single" w:color="000080"/>
        </w:rPr>
        <w:t xml:space="preserve"> ACTO DE CALIFICACIÓN  ....</w:t>
      </w:r>
      <w:r>
        <w:rPr>
          <w:color w:val="000080"/>
          <w:u w:val="single" w:color="000080"/>
        </w:rPr>
        <w:t>................................................................................................                                                                                                                102</w:t>
      </w:r>
    </w:p>
    <w:p w:rsidR="00E23B86" w:rsidRDefault="00BA7C13">
      <w:pPr>
        <w:spacing w:after="116" w:line="257" w:lineRule="auto"/>
        <w:ind w:left="582" w:hanging="10"/>
      </w:pPr>
      <w:r>
        <w:rPr>
          <w:color w:val="000080"/>
          <w:u w:val="single" w:color="000080"/>
        </w:rPr>
        <w:t xml:space="preserve">I </w:t>
      </w:r>
      <w:r>
        <w:rPr>
          <w:color w:val="000080"/>
          <w:u w:val="single" w:color="000080"/>
        </w:rPr>
        <w:t xml:space="preserve">............................................................................................................................................                                                                                                                    </w:t>
      </w:r>
      <w:r>
        <w:rPr>
          <w:color w:val="000080"/>
          <w:u w:val="single" w:color="000080"/>
        </w:rPr>
        <w:t xml:space="preserve">                                         115</w:t>
      </w:r>
    </w:p>
    <w:p w:rsidR="00E23B86" w:rsidRDefault="00BA7C13">
      <w:pPr>
        <w:spacing w:after="116" w:line="257" w:lineRule="auto"/>
        <w:ind w:left="800" w:hanging="10"/>
      </w:pPr>
      <w:r>
        <w:rPr>
          <w:color w:val="000080"/>
          <w:u w:val="single" w:color="000080"/>
        </w:rPr>
        <w:t xml:space="preserve"> ACTO DE CALIFICACIÓN  ....................................................................................................                                                                                        </w:t>
      </w:r>
      <w:r>
        <w:rPr>
          <w:color w:val="000080"/>
          <w:u w:val="single" w:color="000080"/>
        </w:rPr>
        <w:t xml:space="preserve">                        115</w:t>
      </w:r>
    </w:p>
    <w:p w:rsidR="00E23B86" w:rsidRDefault="00BA7C13">
      <w:pPr>
        <w:spacing w:after="109" w:line="249" w:lineRule="auto"/>
        <w:ind w:left="353" w:hanging="8"/>
      </w:pPr>
      <w:r>
        <w:rPr>
          <w:b/>
          <w:color w:val="000080"/>
          <w:u w:val="single" w:color="000080"/>
        </w:rPr>
        <w:t xml:space="preserve"> INTRODUCCIÓN    .................................................................................................................                                                                                                  </w:t>
      </w:r>
      <w:r>
        <w:rPr>
          <w:b/>
          <w:color w:val="000080"/>
          <w:u w:val="single" w:color="000080"/>
        </w:rPr>
        <w:t xml:space="preserve">                                 158</w:t>
      </w:r>
    </w:p>
    <w:p w:rsidR="00E23B86" w:rsidRDefault="00BA7C13">
      <w:pPr>
        <w:numPr>
          <w:ilvl w:val="0"/>
          <w:numId w:val="40"/>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                                     </w:t>
      </w:r>
      <w:r>
        <w:rPr>
          <w:b/>
          <w:color w:val="000080"/>
          <w:u w:val="single" w:color="000080"/>
        </w:rPr>
        <w:t xml:space="preserve">                                                                                 158</w:t>
      </w:r>
    </w:p>
    <w:p w:rsidR="00E23B86" w:rsidRDefault="00BA7C13">
      <w:pPr>
        <w:numPr>
          <w:ilvl w:val="0"/>
          <w:numId w:val="40"/>
        </w:numPr>
        <w:spacing w:after="9" w:line="249" w:lineRule="auto"/>
        <w:ind w:hanging="220"/>
      </w:pPr>
      <w:r>
        <w:rPr>
          <w:b/>
          <w:color w:val="000080"/>
          <w:u w:val="single" w:color="000080"/>
        </w:rPr>
        <w:t xml:space="preserve">ANÁLISIS DE LA PROBLEMÁTICA Y APROXIMACIÓN EPIDEMIOLÓGICA Y CONTEXTUAL DE </w:t>
      </w:r>
    </w:p>
    <w:p w:rsidR="00E23B86" w:rsidRDefault="00BA7C13">
      <w:pPr>
        <w:spacing w:after="109" w:line="249" w:lineRule="auto"/>
        <w:ind w:left="353" w:hanging="8"/>
      </w:pPr>
      <w:r>
        <w:rPr>
          <w:noProof/>
        </w:rPr>
        <mc:AlternateContent>
          <mc:Choice Requires="wpg">
            <w:drawing>
              <wp:anchor distT="0" distB="0" distL="114300" distR="114300" simplePos="0" relativeHeight="2518159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4882" name="Group 51488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7429" name="Rectangle 2742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27430" name="Rectangle 2743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152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4882" style="width:12.7031pt;height:280.35pt;position:absolute;mso-position-horizontal-relative:page;mso-position-horizontal:absolute;margin-left:681.958pt;mso-position-vertical-relative:page;margin-top:531.65pt;" coordsize="1613,35604">
                <v:rect id="Rectangle 2742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743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152 de 391 </w:t>
                        </w:r>
                      </w:p>
                    </w:txbxContent>
                  </v:textbox>
                </v:rect>
                <w10:wrap type="square"/>
              </v:group>
            </w:pict>
          </mc:Fallback>
        </mc:AlternateContent>
      </w:r>
      <w:r>
        <w:rPr>
          <w:b/>
          <w:color w:val="000080"/>
          <w:u w:val="single" w:color="000080"/>
        </w:rPr>
        <w:t xml:space="preserve"> LAS ADICCIONES EN EL AMBITO MUNICIPAL   ......................................................................                                           </w:t>
      </w:r>
      <w:r>
        <w:rPr>
          <w:b/>
          <w:color w:val="000080"/>
          <w:u w:val="single" w:color="000080"/>
        </w:rPr>
        <w:t xml:space="preserve">                                       159</w:t>
      </w:r>
    </w:p>
    <w:p w:rsidR="00E23B86" w:rsidRDefault="00BA7C13">
      <w:pPr>
        <w:numPr>
          <w:ilvl w:val="1"/>
          <w:numId w:val="40"/>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w:t>
      </w:r>
      <w:r>
        <w:rPr>
          <w:color w:val="000080"/>
          <w:u w:val="single" w:color="000080"/>
        </w:rPr>
        <w:t>................                                                                                                                                                              159</w:t>
      </w:r>
    </w:p>
    <w:p w:rsidR="00E23B86" w:rsidRDefault="00BA7C13">
      <w:pPr>
        <w:numPr>
          <w:ilvl w:val="1"/>
          <w:numId w:val="40"/>
        </w:numPr>
        <w:spacing w:after="2" w:line="257" w:lineRule="auto"/>
        <w:ind w:hanging="383"/>
      </w:pPr>
      <w:r>
        <w:rPr>
          <w:color w:val="000080"/>
          <w:u w:val="single" w:color="000080"/>
        </w:rPr>
        <w:t>La prevalencia del consumo en Canarias e indicaciones para la planificación de</w:t>
      </w:r>
      <w:r>
        <w:rPr>
          <w:color w:val="000080"/>
          <w:u w:val="single" w:color="000080"/>
        </w:rPr>
        <w:t xml:space="preserve"> las </w:t>
      </w:r>
    </w:p>
    <w:p w:rsidR="00E23B86" w:rsidRDefault="00BA7C13">
      <w:pPr>
        <w:spacing w:after="116" w:line="257" w:lineRule="auto"/>
        <w:ind w:left="580" w:hanging="10"/>
      </w:pPr>
      <w:r>
        <w:rPr>
          <w:color w:val="000080"/>
          <w:u w:val="single" w:color="000080"/>
        </w:rPr>
        <w:t xml:space="preserve"> acciones de prevención e inserción.   ...................................................................................                                                                                             161</w:t>
      </w:r>
    </w:p>
    <w:p w:rsidR="00E23B86" w:rsidRDefault="00BA7C13">
      <w:pPr>
        <w:numPr>
          <w:ilvl w:val="1"/>
          <w:numId w:val="40"/>
        </w:numPr>
        <w:spacing w:after="116" w:line="257" w:lineRule="auto"/>
        <w:ind w:hanging="383"/>
      </w:pPr>
      <w:r>
        <w:rPr>
          <w:color w:val="000080"/>
          <w:u w:val="single" w:color="000080"/>
        </w:rPr>
        <w:t>Descripción del contexto municipal    ............................................................................                                                                                     162</w:t>
      </w:r>
    </w:p>
    <w:p w:rsidR="00E23B86" w:rsidRDefault="00BA7C13">
      <w:pPr>
        <w:spacing w:after="116" w:line="257" w:lineRule="auto"/>
        <w:ind w:left="800" w:hanging="10"/>
      </w:pPr>
      <w:r>
        <w:rPr>
          <w:color w:val="000080"/>
          <w:u w:val="single" w:color="000080"/>
        </w:rPr>
        <w:t xml:space="preserve"> 2.3.1. Contexto demográfico y laboral  .............</w:t>
      </w:r>
      <w:r>
        <w:rPr>
          <w:color w:val="000080"/>
          <w:u w:val="single" w:color="000080"/>
        </w:rPr>
        <w:t>.................................................................                                                                                       163</w:t>
      </w:r>
    </w:p>
    <w:p w:rsidR="00E23B86" w:rsidRDefault="00BA7C13">
      <w:pPr>
        <w:numPr>
          <w:ilvl w:val="1"/>
          <w:numId w:val="40"/>
        </w:numPr>
        <w:spacing w:after="116" w:line="257" w:lineRule="auto"/>
        <w:ind w:hanging="383"/>
      </w:pPr>
      <w:r>
        <w:rPr>
          <w:color w:val="000080"/>
          <w:u w:val="single" w:color="000080"/>
        </w:rPr>
        <w:t xml:space="preserve">Recomendaciones para el diseño del IV Plan    </w:t>
      </w:r>
      <w:r>
        <w:rPr>
          <w:color w:val="000080"/>
          <w:u w:val="single" w:color="000080"/>
        </w:rPr>
        <w:t>..............................................................                                                                      167</w:t>
      </w:r>
    </w:p>
    <w:p w:rsidR="00E23B86" w:rsidRDefault="00BA7C13">
      <w:pPr>
        <w:spacing w:after="109" w:line="249" w:lineRule="auto"/>
        <w:ind w:left="353" w:hanging="8"/>
      </w:pPr>
      <w:r>
        <w:rPr>
          <w:b/>
          <w:color w:val="000080"/>
          <w:u w:val="single" w:color="000080"/>
        </w:rPr>
        <w:t xml:space="preserve"> 3.LOS PRINCIPIOS DEL IV PLAN  .........................................................................................</w:t>
      </w:r>
      <w:r>
        <w:rPr>
          <w:b/>
          <w:color w:val="000080"/>
          <w:u w:val="single" w:color="000080"/>
        </w:rPr>
        <w:t>...                                                                                                           168</w:t>
      </w:r>
    </w:p>
    <w:p w:rsidR="00E23B86" w:rsidRDefault="00BA7C13">
      <w:pPr>
        <w:spacing w:after="109" w:line="249" w:lineRule="auto"/>
        <w:ind w:left="353" w:hanging="8"/>
      </w:pPr>
      <w:r>
        <w:rPr>
          <w:b/>
          <w:color w:val="000080"/>
          <w:u w:val="single" w:color="000080"/>
        </w:rPr>
        <w:t xml:space="preserve"> 4.CAMPO DE ACTUACIÓN   ...................................................................................................                   </w:t>
      </w:r>
      <w:r>
        <w:rPr>
          <w:b/>
          <w:color w:val="000080"/>
          <w:u w:val="single" w:color="000080"/>
        </w:rPr>
        <w:t xml:space="preserve">                                                                                                169</w:t>
      </w:r>
    </w:p>
    <w:p w:rsidR="00E23B86" w:rsidRDefault="00BA7C13">
      <w:pPr>
        <w:spacing w:after="109" w:line="249" w:lineRule="auto"/>
        <w:ind w:left="353" w:hanging="8"/>
      </w:pPr>
      <w:r>
        <w:rPr>
          <w:b/>
          <w:color w:val="000080"/>
          <w:u w:val="single" w:color="000080"/>
        </w:rPr>
        <w:t xml:space="preserve"> 5.META Y OBJETIVOS GENERALES DEL IV PLAN SOBRE ADICCIONES DE CANDELARIA   .........         170</w:t>
      </w:r>
    </w:p>
    <w:p w:rsidR="00E23B86" w:rsidRDefault="00BA7C13">
      <w:pPr>
        <w:spacing w:after="109" w:line="249" w:lineRule="auto"/>
        <w:ind w:left="353" w:hanging="8"/>
      </w:pPr>
      <w:r>
        <w:rPr>
          <w:b/>
          <w:color w:val="000080"/>
          <w:u w:val="single" w:color="000080"/>
        </w:rPr>
        <w:t xml:space="preserve"> 6.ÁREAS DE ACTUACIÓN  ....................................</w:t>
      </w:r>
      <w:r>
        <w:rPr>
          <w:b/>
          <w:color w:val="000080"/>
          <w:u w:val="single" w:color="000080"/>
        </w:rPr>
        <w:t>.................................................................                                                                                                                      170</w:t>
      </w:r>
    </w:p>
    <w:p w:rsidR="00E23B86" w:rsidRDefault="00BA7C13">
      <w:pPr>
        <w:spacing w:after="116" w:line="257" w:lineRule="auto"/>
        <w:ind w:left="580" w:hanging="10"/>
      </w:pPr>
      <w:r>
        <w:rPr>
          <w:color w:val="000080"/>
          <w:u w:val="single" w:color="000080"/>
        </w:rPr>
        <w:t xml:space="preserve"> 6.1. ÁREA DE PREVENCIÓN Y SENSIBILIZACIÓN  .........................</w:t>
      </w:r>
      <w:r>
        <w:rPr>
          <w:color w:val="000080"/>
          <w:u w:val="single" w:color="000080"/>
        </w:rPr>
        <w:t>..........................................                                                                           170</w:t>
      </w:r>
    </w:p>
    <w:p w:rsidR="00E23B86" w:rsidRDefault="00BA7C13">
      <w:pPr>
        <w:numPr>
          <w:ilvl w:val="2"/>
          <w:numId w:val="41"/>
        </w:numPr>
        <w:spacing w:after="116" w:line="257" w:lineRule="auto"/>
        <w:ind w:hanging="551"/>
      </w:pPr>
      <w:r>
        <w:rPr>
          <w:color w:val="000080"/>
          <w:u w:val="single" w:color="000080"/>
        </w:rPr>
        <w:t xml:space="preserve">Ámbito Educativo  ...................................................................................................                  </w:t>
      </w:r>
      <w:r>
        <w:rPr>
          <w:color w:val="000080"/>
          <w:u w:val="single" w:color="000080"/>
        </w:rPr>
        <w:t xml:space="preserve">                                                                                             171</w:t>
      </w:r>
    </w:p>
    <w:p w:rsidR="00E23B86" w:rsidRDefault="00BA7C13">
      <w:pPr>
        <w:numPr>
          <w:ilvl w:val="2"/>
          <w:numId w:val="41"/>
        </w:numPr>
        <w:spacing w:after="116" w:line="257" w:lineRule="auto"/>
        <w:ind w:hanging="551"/>
      </w:pPr>
      <w:r>
        <w:rPr>
          <w:color w:val="000080"/>
          <w:u w:val="single" w:color="000080"/>
        </w:rPr>
        <w:t xml:space="preserve">Ámbito Familiar  ......................................................................................................                                        </w:t>
      </w:r>
      <w:r>
        <w:rPr>
          <w:color w:val="000080"/>
          <w:u w:val="single" w:color="000080"/>
        </w:rPr>
        <w:t xml:space="preserve">                                                                          172</w:t>
      </w:r>
    </w:p>
    <w:p w:rsidR="00E23B86" w:rsidRDefault="00BA7C13">
      <w:pPr>
        <w:numPr>
          <w:ilvl w:val="2"/>
          <w:numId w:val="41"/>
        </w:numPr>
        <w:spacing w:after="116" w:line="257" w:lineRule="auto"/>
        <w:ind w:hanging="551"/>
      </w:pPr>
      <w:r>
        <w:rPr>
          <w:color w:val="000080"/>
          <w:u w:val="single" w:color="000080"/>
        </w:rPr>
        <w:t xml:space="preserve">Ámbito Comunitario  ..............................................................................................                                                                </w:t>
      </w:r>
      <w:r>
        <w:rPr>
          <w:color w:val="000080"/>
          <w:u w:val="single" w:color="000080"/>
        </w:rPr>
        <w:t xml:space="preserve">                                          173  6.2. ÁREA DE INSERCIÓN SOCIAL  ..........................................................................................                                                                                        </w:t>
      </w:r>
      <w:r>
        <w:rPr>
          <w:color w:val="000080"/>
          <w:u w:val="single" w:color="000080"/>
        </w:rPr>
        <w:t xml:space="preserve">             175</w:t>
      </w:r>
    </w:p>
    <w:p w:rsidR="00E23B86" w:rsidRDefault="00BA7C13">
      <w:pPr>
        <w:spacing w:after="116" w:line="257" w:lineRule="auto"/>
        <w:ind w:left="800" w:hanging="10"/>
      </w:pPr>
      <w:r>
        <w:rPr>
          <w:color w:val="000080"/>
          <w:u w:val="single" w:color="000080"/>
        </w:rPr>
        <w:t xml:space="preserve"> 6.3.ÁREA DE SOPORTE Y APOYO  ..........................................................................................                                                                                                     176</w:t>
      </w:r>
    </w:p>
    <w:p w:rsidR="00E23B86" w:rsidRDefault="00BA7C13">
      <w:pPr>
        <w:spacing w:after="109" w:line="249" w:lineRule="auto"/>
        <w:ind w:left="353" w:hanging="8"/>
      </w:pPr>
      <w:r>
        <w:rPr>
          <w:b/>
          <w:color w:val="000080"/>
          <w:u w:val="single" w:color="000080"/>
        </w:rPr>
        <w:t xml:space="preserve"> 7.COORDINACIÓ</w:t>
      </w:r>
      <w:r>
        <w:rPr>
          <w:b/>
          <w:color w:val="000080"/>
          <w:u w:val="single" w:color="000080"/>
        </w:rPr>
        <w:t>N DE LAS ACTUACIONES DEL IV PLAN  .........................................................                                                                  177</w:t>
      </w:r>
    </w:p>
    <w:p w:rsidR="00E23B86" w:rsidRDefault="00BA7C13">
      <w:pPr>
        <w:numPr>
          <w:ilvl w:val="1"/>
          <w:numId w:val="42"/>
        </w:numPr>
        <w:spacing w:after="116" w:line="257" w:lineRule="auto"/>
        <w:ind w:hanging="383"/>
      </w:pPr>
      <w:r>
        <w:rPr>
          <w:color w:val="000080"/>
          <w:u w:val="single" w:color="000080"/>
        </w:rPr>
        <w:t>Comisión Municipal de Prevención de Adicciones de Candelaria  .................................</w:t>
      </w:r>
      <w:r>
        <w:rPr>
          <w:color w:val="000080"/>
          <w:u w:val="single" w:color="000080"/>
        </w:rPr>
        <w:t>.                                     177</w:t>
      </w:r>
    </w:p>
    <w:p w:rsidR="00E23B86" w:rsidRDefault="00BA7C13">
      <w:pPr>
        <w:numPr>
          <w:ilvl w:val="1"/>
          <w:numId w:val="42"/>
        </w:numPr>
        <w:spacing w:after="116" w:line="257" w:lineRule="auto"/>
        <w:ind w:hanging="383"/>
      </w:pPr>
      <w:r>
        <w:rPr>
          <w:color w:val="000080"/>
          <w:u w:val="single" w:color="000080"/>
        </w:rPr>
        <w:t>Comisión Mixta de Prevención de Adicciones de Candelaria  .........................................                                             177</w:t>
      </w:r>
    </w:p>
    <w:p w:rsidR="00E23B86" w:rsidRDefault="00BA7C13">
      <w:pPr>
        <w:spacing w:after="109" w:line="249" w:lineRule="auto"/>
        <w:ind w:left="353" w:hanging="8"/>
      </w:pPr>
      <w:r>
        <w:rPr>
          <w:b/>
          <w:color w:val="000080"/>
          <w:u w:val="single" w:color="000080"/>
        </w:rPr>
        <w:t xml:space="preserve"> 8.RECURSOS DEL IV PLAN   ........................................</w:t>
      </w:r>
      <w:r>
        <w:rPr>
          <w:b/>
          <w:color w:val="000080"/>
          <w:u w:val="single" w:color="000080"/>
        </w:rPr>
        <w:t>...........................................................                                                                                                                   178</w:t>
      </w:r>
    </w:p>
    <w:p w:rsidR="00E23B86" w:rsidRDefault="00BA7C13">
      <w:pPr>
        <w:spacing w:after="109" w:line="249" w:lineRule="auto"/>
        <w:ind w:left="353" w:hanging="8"/>
      </w:pPr>
      <w:r>
        <w:rPr>
          <w:b/>
          <w:color w:val="000080"/>
          <w:u w:val="single" w:color="000080"/>
        </w:rPr>
        <w:t xml:space="preserve"> 9.EVALUACIÓN Y SEGUIMIENTO DEL PLAN  ........................................</w:t>
      </w:r>
      <w:r>
        <w:rPr>
          <w:b/>
          <w:color w:val="000080"/>
          <w:u w:val="single" w:color="000080"/>
        </w:rPr>
        <w:t>..................................                                                                                      179</w:t>
      </w:r>
    </w:p>
    <w:p w:rsidR="00E23B86" w:rsidRDefault="00BA7C13">
      <w:pPr>
        <w:spacing w:after="116" w:line="257" w:lineRule="auto"/>
        <w:ind w:left="800" w:hanging="10"/>
      </w:pPr>
      <w:r>
        <w:rPr>
          <w:color w:val="000080"/>
          <w:u w:val="single" w:color="000080"/>
        </w:rPr>
        <w:t xml:space="preserve"> Ley 16/2019, de 2 de mayo, de Servicios Sociales de Canarias.  ........................................                            </w:t>
      </w:r>
      <w:r>
        <w:rPr>
          <w:color w:val="000080"/>
          <w:u w:val="single" w:color="000080"/>
        </w:rPr>
        <w:t xml:space="preserve">                184</w:t>
      </w:r>
    </w:p>
    <w:p w:rsidR="00E23B86" w:rsidRDefault="00BA7C13">
      <w:pPr>
        <w:numPr>
          <w:ilvl w:val="0"/>
          <w:numId w:val="43"/>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w:t>
      </w:r>
      <w:r>
        <w:rPr>
          <w:b/>
          <w:color w:val="000080"/>
          <w:u w:val="single" w:color="000080"/>
        </w:rPr>
        <w:t xml:space="preserve">                                                                                                                      192</w:t>
      </w:r>
    </w:p>
    <w:p w:rsidR="00E23B86" w:rsidRDefault="00BA7C13">
      <w:pPr>
        <w:numPr>
          <w:ilvl w:val="0"/>
          <w:numId w:val="43"/>
        </w:numPr>
        <w:spacing w:after="9" w:line="249" w:lineRule="auto"/>
        <w:ind w:hanging="220"/>
      </w:pPr>
      <w:r>
        <w:rPr>
          <w:b/>
          <w:color w:val="000080"/>
          <w:u w:val="single" w:color="000080"/>
        </w:rPr>
        <w:t xml:space="preserve">ANÁLISIS DE LA PROBLEMÁTICA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w:t>
      </w:r>
      <w:r>
        <w:rPr>
          <w:b/>
          <w:color w:val="000080"/>
          <w:u w:val="single" w:color="000080"/>
        </w:rPr>
        <w:t>....................................................                                                                                  193</w:t>
      </w:r>
    </w:p>
    <w:p w:rsidR="00E23B86" w:rsidRDefault="00BA7C13">
      <w:pPr>
        <w:numPr>
          <w:ilvl w:val="1"/>
          <w:numId w:val="43"/>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w:t>
      </w:r>
      <w:r>
        <w:rPr>
          <w:color w:val="000080"/>
          <w:u w:val="single" w:color="000080"/>
        </w:rPr>
        <w:t xml:space="preserve">...............................................................................................................                                                                                                                                                 </w:t>
      </w:r>
      <w:r>
        <w:rPr>
          <w:color w:val="000080"/>
          <w:u w:val="single" w:color="000080"/>
        </w:rPr>
        <w:t xml:space="preserve">             193</w:t>
      </w:r>
    </w:p>
    <w:p w:rsidR="00E23B86" w:rsidRDefault="00BA7C13">
      <w:pPr>
        <w:numPr>
          <w:ilvl w:val="1"/>
          <w:numId w:val="43"/>
        </w:numPr>
        <w:spacing w:after="2" w:line="257" w:lineRule="auto"/>
        <w:ind w:hanging="383"/>
      </w:pPr>
      <w:r>
        <w:rPr>
          <w:color w:val="000080"/>
          <w:u w:val="single" w:color="000080"/>
        </w:rPr>
        <w:t xml:space="preserve">La prevalencia del consumo en Canarias e indicaciones para la planificación de las </w:t>
      </w:r>
    </w:p>
    <w:p w:rsidR="00E23B86" w:rsidRDefault="00BA7C13">
      <w:pPr>
        <w:spacing w:after="116" w:line="257" w:lineRule="auto"/>
        <w:ind w:left="580" w:hanging="10"/>
      </w:pPr>
      <w:r>
        <w:rPr>
          <w:color w:val="000080"/>
          <w:u w:val="single" w:color="000080"/>
        </w:rPr>
        <w:t xml:space="preserve"> acciones de prevención e inserción.   ...................................................................................                                 </w:t>
      </w:r>
      <w:r>
        <w:rPr>
          <w:color w:val="000080"/>
          <w:u w:val="single" w:color="000080"/>
        </w:rPr>
        <w:t xml:space="preserve">                                                            195</w:t>
      </w:r>
    </w:p>
    <w:p w:rsidR="00E23B86" w:rsidRDefault="00BA7C13">
      <w:pPr>
        <w:numPr>
          <w:ilvl w:val="1"/>
          <w:numId w:val="43"/>
        </w:numPr>
        <w:spacing w:after="116" w:line="257" w:lineRule="auto"/>
        <w:ind w:hanging="383"/>
      </w:pPr>
      <w:r>
        <w:rPr>
          <w:color w:val="000080"/>
          <w:u w:val="single" w:color="000080"/>
        </w:rPr>
        <w:t xml:space="preserve">Descripción del contexto municipal    ............................................................................                                                                              </w:t>
      </w:r>
      <w:r>
        <w:rPr>
          <w:color w:val="000080"/>
          <w:u w:val="single" w:color="000080"/>
        </w:rPr>
        <w:t xml:space="preserve">       196</w:t>
      </w:r>
    </w:p>
    <w:p w:rsidR="00E23B86" w:rsidRDefault="00BA7C13">
      <w:pPr>
        <w:spacing w:after="116" w:line="257" w:lineRule="auto"/>
        <w:ind w:left="800" w:hanging="10"/>
      </w:pPr>
      <w:r>
        <w:rPr>
          <w:color w:val="000080"/>
          <w:u w:val="single" w:color="000080"/>
        </w:rPr>
        <w:t xml:space="preserve"> 2.3.1. Contexto demográfico y laboral  ..............................................................................                                                                                       196</w:t>
      </w:r>
    </w:p>
    <w:p w:rsidR="00E23B86" w:rsidRDefault="00BA7C13">
      <w:pPr>
        <w:numPr>
          <w:ilvl w:val="1"/>
          <w:numId w:val="43"/>
        </w:numPr>
        <w:spacing w:after="116" w:line="257" w:lineRule="auto"/>
        <w:ind w:hanging="383"/>
      </w:pPr>
      <w:r>
        <w:rPr>
          <w:color w:val="000080"/>
          <w:u w:val="single" w:color="000080"/>
        </w:rPr>
        <w:t>Recomendaciones para el diseño del I</w:t>
      </w:r>
      <w:r>
        <w:rPr>
          <w:color w:val="000080"/>
          <w:u w:val="single" w:color="000080"/>
        </w:rPr>
        <w:t>V Plan    ..............................................................                                                                      200</w:t>
      </w:r>
    </w:p>
    <w:p w:rsidR="00E23B86" w:rsidRDefault="00BA7C13">
      <w:pPr>
        <w:spacing w:after="109" w:line="249" w:lineRule="auto"/>
        <w:ind w:left="353" w:hanging="8"/>
      </w:pPr>
      <w:r>
        <w:rPr>
          <w:noProof/>
        </w:rPr>
        <mc:AlternateContent>
          <mc:Choice Requires="wpg">
            <w:drawing>
              <wp:anchor distT="0" distB="0" distL="114300" distR="114300" simplePos="0" relativeHeight="2518169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5503" name="Group 51550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7857" name="Rectangle 2785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7858" name="Rectangle 2785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w:t>
                              </w:r>
                              <w:r>
                                <w:rPr>
                                  <w:rFonts w:ascii="Arial" w:eastAsia="Arial" w:hAnsi="Arial" w:cs="Arial"/>
                                  <w:sz w:val="12"/>
                                </w:rPr>
                                <w:t xml:space="preserve">to firmado electrónicamente desde la plataforma esPublico Gestiona | Página 153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5503" style="width:12.7031pt;height:280.35pt;position:absolute;mso-position-horizontal-relative:page;mso-position-horizontal:absolute;margin-left:681.958pt;mso-position-vertical-relative:page;margin-top:531.65pt;" coordsize="1613,35604">
                <v:rect id="Rectangle 2785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785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153 de 391 </w:t>
                        </w:r>
                      </w:p>
                    </w:txbxContent>
                  </v:textbox>
                </v:rect>
                <w10:wrap type="square"/>
              </v:group>
            </w:pict>
          </mc:Fallback>
        </mc:AlternateContent>
      </w:r>
      <w:r>
        <w:rPr>
          <w:b/>
          <w:color w:val="000080"/>
          <w:u w:val="single" w:color="000080"/>
        </w:rPr>
        <w:t xml:space="preserve"> 10.LOS PRINCIPIOS DEL IV PLAN  ...........................................................................................                                             </w:t>
      </w:r>
      <w:r>
        <w:rPr>
          <w:b/>
          <w:color w:val="000080"/>
          <w:u w:val="single" w:color="000080"/>
        </w:rPr>
        <w:t xml:space="preserve">                                                            202</w:t>
      </w:r>
    </w:p>
    <w:p w:rsidR="00E23B86" w:rsidRDefault="00BA7C13">
      <w:pPr>
        <w:spacing w:after="109" w:line="249" w:lineRule="auto"/>
        <w:ind w:left="353" w:hanging="8"/>
      </w:pPr>
      <w:r>
        <w:rPr>
          <w:b/>
          <w:color w:val="000080"/>
          <w:u w:val="single" w:color="000080"/>
        </w:rPr>
        <w:t xml:space="preserve"> 11.CAMPO DE ACTUACIÓN   .................................................................................................                                                                      </w:t>
      </w:r>
      <w:r>
        <w:rPr>
          <w:b/>
          <w:color w:val="000080"/>
          <w:u w:val="single" w:color="000080"/>
        </w:rPr>
        <w:t xml:space="preserve">                                          203</w:t>
      </w:r>
    </w:p>
    <w:p w:rsidR="00E23B86" w:rsidRDefault="00BA7C13">
      <w:pPr>
        <w:spacing w:after="109" w:line="249" w:lineRule="auto"/>
        <w:ind w:left="353" w:hanging="8"/>
      </w:pPr>
      <w:r>
        <w:rPr>
          <w:b/>
          <w:color w:val="000080"/>
          <w:u w:val="single" w:color="000080"/>
        </w:rPr>
        <w:t xml:space="preserve"> 12.META Y OBJETIVOS GENERALES DEL IV PLAN SOBRE ADICCIONES DE CANDELARIA   .......       203</w:t>
      </w:r>
    </w:p>
    <w:p w:rsidR="00E23B86" w:rsidRDefault="00BA7C13">
      <w:pPr>
        <w:spacing w:after="109" w:line="249" w:lineRule="auto"/>
        <w:ind w:left="353" w:hanging="8"/>
      </w:pPr>
      <w:r>
        <w:rPr>
          <w:b/>
          <w:color w:val="000080"/>
          <w:u w:val="single" w:color="000080"/>
        </w:rPr>
        <w:t xml:space="preserve"> 13.ÁREAS DE ACTUACIÓN  </w:t>
      </w:r>
      <w:r>
        <w:rPr>
          <w:b/>
          <w:color w:val="000080"/>
          <w:u w:val="single" w:color="000080"/>
        </w:rPr>
        <w:t>...................................................................................................                                                                                                                   204</w:t>
      </w:r>
    </w:p>
    <w:p w:rsidR="00E23B86" w:rsidRDefault="00BA7C13">
      <w:pPr>
        <w:spacing w:after="116" w:line="257" w:lineRule="auto"/>
        <w:ind w:left="580" w:hanging="10"/>
      </w:pPr>
      <w:r>
        <w:rPr>
          <w:color w:val="000080"/>
          <w:u w:val="single" w:color="000080"/>
        </w:rPr>
        <w:t xml:space="preserve"> 6.1. ÁREA DE PREVENCIÓN Y SENSIBILIZA</w:t>
      </w:r>
      <w:r>
        <w:rPr>
          <w:color w:val="000080"/>
          <w:u w:val="single" w:color="000080"/>
        </w:rPr>
        <w:t>CIÓN  ...................................................................                                                                           204</w:t>
      </w:r>
    </w:p>
    <w:p w:rsidR="00E23B86" w:rsidRDefault="00BA7C13">
      <w:pPr>
        <w:numPr>
          <w:ilvl w:val="2"/>
          <w:numId w:val="44"/>
        </w:numPr>
        <w:spacing w:after="116" w:line="257" w:lineRule="auto"/>
        <w:ind w:hanging="551"/>
      </w:pPr>
      <w:r>
        <w:rPr>
          <w:color w:val="000080"/>
          <w:u w:val="single" w:color="000080"/>
        </w:rPr>
        <w:t>Ámbito Educativo  ......................................................................................</w:t>
      </w:r>
      <w:r>
        <w:rPr>
          <w:color w:val="000080"/>
          <w:u w:val="single" w:color="000080"/>
        </w:rPr>
        <w:t>.............                                                                                                               204</w:t>
      </w:r>
    </w:p>
    <w:p w:rsidR="00E23B86" w:rsidRDefault="00BA7C13">
      <w:pPr>
        <w:numPr>
          <w:ilvl w:val="2"/>
          <w:numId w:val="44"/>
        </w:numPr>
        <w:spacing w:after="116" w:line="257" w:lineRule="auto"/>
        <w:ind w:hanging="551"/>
      </w:pPr>
      <w:r>
        <w:rPr>
          <w:color w:val="000080"/>
          <w:u w:val="single" w:color="000080"/>
        </w:rPr>
        <w:t xml:space="preserve">Ámbito Familiar  ......................................................................................................         </w:t>
      </w:r>
      <w:r>
        <w:rPr>
          <w:color w:val="000080"/>
          <w:u w:val="single" w:color="000080"/>
        </w:rPr>
        <w:t xml:space="preserve">                                                                                                         205</w:t>
      </w:r>
    </w:p>
    <w:p w:rsidR="00E23B86" w:rsidRDefault="00BA7C13">
      <w:pPr>
        <w:numPr>
          <w:ilvl w:val="2"/>
          <w:numId w:val="44"/>
        </w:numPr>
        <w:spacing w:after="116" w:line="257" w:lineRule="auto"/>
        <w:ind w:hanging="551"/>
      </w:pPr>
      <w:r>
        <w:rPr>
          <w:color w:val="000080"/>
          <w:u w:val="single" w:color="000080"/>
        </w:rPr>
        <w:t>Ámbito Comunitario  ..............................................................................................</w:t>
      </w:r>
      <w:r>
        <w:rPr>
          <w:color w:val="000080"/>
          <w:u w:val="single" w:color="000080"/>
        </w:rPr>
        <w:t xml:space="preserve">                                                                                                          206</w:t>
      </w:r>
    </w:p>
    <w:p w:rsidR="00E23B86" w:rsidRDefault="00BA7C13">
      <w:pPr>
        <w:spacing w:after="116" w:line="257" w:lineRule="auto"/>
        <w:ind w:left="580" w:hanging="10"/>
      </w:pPr>
      <w:r>
        <w:rPr>
          <w:color w:val="000080"/>
          <w:u w:val="single" w:color="000080"/>
        </w:rPr>
        <w:t xml:space="preserve"> 6.2. ÁREA DE INSERCIÓN SOCIAL  ..........................................................................................                        </w:t>
      </w:r>
      <w:r>
        <w:rPr>
          <w:color w:val="000080"/>
          <w:u w:val="single" w:color="000080"/>
        </w:rPr>
        <w:t xml:space="preserve">                                                                             208</w:t>
      </w:r>
    </w:p>
    <w:p w:rsidR="00E23B86" w:rsidRDefault="00BA7C13">
      <w:pPr>
        <w:spacing w:after="116" w:line="257" w:lineRule="auto"/>
        <w:ind w:left="580" w:hanging="10"/>
      </w:pPr>
      <w:r>
        <w:rPr>
          <w:color w:val="000080"/>
          <w:u w:val="single" w:color="000080"/>
        </w:rPr>
        <w:t xml:space="preserve"> 13.3.REA DE SOPORTE Y APOYO  ..........................................................................................                                                       </w:t>
      </w:r>
      <w:r>
        <w:rPr>
          <w:color w:val="000080"/>
          <w:u w:val="single" w:color="000080"/>
        </w:rPr>
        <w:t xml:space="preserve">                                              209</w:t>
      </w:r>
    </w:p>
    <w:p w:rsidR="00E23B86" w:rsidRDefault="00BA7C13">
      <w:pPr>
        <w:spacing w:after="109" w:line="249" w:lineRule="auto"/>
        <w:ind w:left="353" w:hanging="8"/>
      </w:pPr>
      <w:r>
        <w:rPr>
          <w:b/>
          <w:color w:val="000080"/>
          <w:u w:val="single" w:color="000080"/>
        </w:rPr>
        <w:t xml:space="preserve"> 14.COORDINACIÓN DE LAS ACTUACIONES DEL IV PLAN  .......................................................                                                                210</w:t>
      </w:r>
    </w:p>
    <w:p w:rsidR="00E23B86" w:rsidRDefault="00BA7C13">
      <w:pPr>
        <w:numPr>
          <w:ilvl w:val="1"/>
          <w:numId w:val="45"/>
        </w:numPr>
        <w:spacing w:after="116" w:line="257" w:lineRule="auto"/>
        <w:ind w:hanging="383"/>
      </w:pPr>
      <w:r>
        <w:rPr>
          <w:color w:val="000080"/>
          <w:u w:val="single" w:color="000080"/>
        </w:rPr>
        <w:t>Comisión Municipal de Prevención d</w:t>
      </w:r>
      <w:r>
        <w:rPr>
          <w:color w:val="000080"/>
          <w:u w:val="single" w:color="000080"/>
        </w:rPr>
        <w:t>e Adicciones de Candelaria  ..................................                                     210</w:t>
      </w:r>
    </w:p>
    <w:p w:rsidR="00E23B86" w:rsidRDefault="00BA7C13">
      <w:pPr>
        <w:numPr>
          <w:ilvl w:val="1"/>
          <w:numId w:val="45"/>
        </w:numPr>
        <w:spacing w:after="116" w:line="257" w:lineRule="auto"/>
        <w:ind w:hanging="383"/>
      </w:pPr>
      <w:r>
        <w:rPr>
          <w:color w:val="000080"/>
          <w:u w:val="single" w:color="000080"/>
        </w:rPr>
        <w:t>Comisión Mixta de Prevención de Adicciones de Candelaria  .........................................                                             211</w:t>
      </w:r>
    </w:p>
    <w:p w:rsidR="00E23B86" w:rsidRDefault="00BA7C13">
      <w:pPr>
        <w:spacing w:after="109" w:line="249" w:lineRule="auto"/>
        <w:ind w:left="353" w:hanging="8"/>
      </w:pPr>
      <w:r>
        <w:rPr>
          <w:b/>
          <w:color w:val="000080"/>
          <w:u w:val="single" w:color="000080"/>
        </w:rPr>
        <w:t xml:space="preserve"> 15.R</w:t>
      </w:r>
      <w:r>
        <w:rPr>
          <w:b/>
          <w:color w:val="000080"/>
          <w:u w:val="single" w:color="000080"/>
        </w:rPr>
        <w:t>ECURSOS DEL IV PLAN   .................................................................................................                                                                                                                 212</w:t>
      </w:r>
    </w:p>
    <w:p w:rsidR="00E23B86" w:rsidRDefault="00BA7C13">
      <w:pPr>
        <w:spacing w:after="109" w:line="249" w:lineRule="auto"/>
        <w:ind w:left="353" w:hanging="8"/>
      </w:pPr>
      <w:r>
        <w:rPr>
          <w:b/>
          <w:color w:val="000080"/>
          <w:u w:val="single" w:color="000080"/>
        </w:rPr>
        <w:t xml:space="preserve"> 16.EVALUACIÓN Y SEG</w:t>
      </w:r>
      <w:r>
        <w:rPr>
          <w:b/>
          <w:color w:val="000080"/>
          <w:u w:val="single" w:color="000080"/>
        </w:rPr>
        <w:t>UIMIENTO DEL PLAN  ........................................................................                                                                                    212</w:t>
      </w:r>
    </w:p>
    <w:p w:rsidR="00E23B86" w:rsidRDefault="00BA7C13">
      <w:pPr>
        <w:spacing w:after="109" w:line="249" w:lineRule="auto"/>
        <w:ind w:left="353" w:hanging="8"/>
      </w:pPr>
      <w:r>
        <w:rPr>
          <w:b/>
          <w:color w:val="000080"/>
          <w:u w:val="single" w:color="000080"/>
        </w:rPr>
        <w:t xml:space="preserve"> INTRODUCCIÓN    ............................................................</w:t>
      </w:r>
      <w:r>
        <w:rPr>
          <w:b/>
          <w:color w:val="000080"/>
          <w:u w:val="single" w:color="000080"/>
        </w:rPr>
        <w:t>.....................................................                                                                                                                                   218</w:t>
      </w:r>
    </w:p>
    <w:p w:rsidR="00E23B86" w:rsidRDefault="00BA7C13">
      <w:pPr>
        <w:numPr>
          <w:ilvl w:val="0"/>
          <w:numId w:val="46"/>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w:t>
      </w:r>
      <w:r>
        <w:rPr>
          <w:b/>
          <w:color w:val="000080"/>
          <w:u w:val="single" w:color="000080"/>
        </w:rPr>
        <w:t>ENDENCIAS.  ......................................................................................................                                                                                                                      218</w:t>
      </w:r>
    </w:p>
    <w:p w:rsidR="00E23B86" w:rsidRDefault="00BA7C13">
      <w:pPr>
        <w:numPr>
          <w:ilvl w:val="0"/>
          <w:numId w:val="46"/>
        </w:numPr>
        <w:spacing w:after="9" w:line="249" w:lineRule="auto"/>
        <w:ind w:hanging="220"/>
      </w:pPr>
      <w:r>
        <w:rPr>
          <w:b/>
          <w:color w:val="000080"/>
          <w:u w:val="single" w:color="000080"/>
        </w:rPr>
        <w:t>ANÁLISIS DE LA PROBL</w:t>
      </w:r>
      <w:r>
        <w:rPr>
          <w:b/>
          <w:color w:val="000080"/>
          <w:u w:val="single" w:color="000080"/>
        </w:rPr>
        <w:t xml:space="preserve">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219</w:t>
      </w:r>
    </w:p>
    <w:p w:rsidR="00E23B86" w:rsidRDefault="00BA7C13">
      <w:pPr>
        <w:numPr>
          <w:ilvl w:val="1"/>
          <w:numId w:val="46"/>
        </w:numPr>
        <w:spacing w:after="2" w:line="257" w:lineRule="auto"/>
        <w:ind w:hanging="383"/>
      </w:pPr>
      <w:r>
        <w:rPr>
          <w:color w:val="000080"/>
          <w:u w:val="single" w:color="000080"/>
        </w:rPr>
        <w:t>Resu</w:t>
      </w:r>
      <w:r>
        <w:rPr>
          <w:color w:val="000080"/>
          <w:u w:val="single" w:color="000080"/>
        </w:rPr>
        <w:t>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w:t>
      </w:r>
      <w:r>
        <w:rPr>
          <w:color w:val="000080"/>
          <w:u w:val="single" w:color="000080"/>
        </w:rPr>
        <w:t xml:space="preserve">                                                                                                                                                              219</w:t>
      </w:r>
    </w:p>
    <w:p w:rsidR="00E23B86" w:rsidRDefault="00BA7C13">
      <w:pPr>
        <w:numPr>
          <w:ilvl w:val="1"/>
          <w:numId w:val="46"/>
        </w:numPr>
        <w:spacing w:after="2" w:line="257" w:lineRule="auto"/>
        <w:ind w:hanging="383"/>
      </w:pPr>
      <w:r>
        <w:rPr>
          <w:color w:val="000080"/>
          <w:u w:val="single" w:color="000080"/>
        </w:rPr>
        <w:t xml:space="preserve">La prevalencia del consumo en Canarias e indicaciones para la planificación de las </w:t>
      </w:r>
    </w:p>
    <w:p w:rsidR="00E23B86" w:rsidRDefault="00BA7C13">
      <w:pPr>
        <w:spacing w:after="116" w:line="257" w:lineRule="auto"/>
        <w:ind w:left="580" w:hanging="10"/>
      </w:pPr>
      <w:r>
        <w:rPr>
          <w:color w:val="000080"/>
          <w:u w:val="single" w:color="000080"/>
        </w:rPr>
        <w:t xml:space="preserve"> acciones </w:t>
      </w:r>
      <w:r>
        <w:rPr>
          <w:color w:val="000080"/>
          <w:u w:val="single" w:color="000080"/>
        </w:rPr>
        <w:t>de prevención e inserción.   ...................................................................................                                                                                             221</w:t>
      </w:r>
    </w:p>
    <w:p w:rsidR="00E23B86" w:rsidRDefault="00BA7C13">
      <w:pPr>
        <w:numPr>
          <w:ilvl w:val="1"/>
          <w:numId w:val="46"/>
        </w:numPr>
        <w:spacing w:after="116" w:line="257" w:lineRule="auto"/>
        <w:ind w:hanging="383"/>
      </w:pPr>
      <w:r>
        <w:rPr>
          <w:color w:val="000080"/>
          <w:u w:val="single" w:color="000080"/>
        </w:rPr>
        <w:t>Descripción del contexto municipal    .........</w:t>
      </w:r>
      <w:r>
        <w:rPr>
          <w:color w:val="000080"/>
          <w:u w:val="single" w:color="000080"/>
        </w:rPr>
        <w:t>...................................................................                                                                                     222</w:t>
      </w:r>
    </w:p>
    <w:p w:rsidR="00E23B86" w:rsidRDefault="00BA7C13">
      <w:pPr>
        <w:spacing w:after="116" w:line="257" w:lineRule="auto"/>
        <w:ind w:left="800" w:hanging="10"/>
      </w:pPr>
      <w:r>
        <w:rPr>
          <w:color w:val="000080"/>
          <w:u w:val="single" w:color="000080"/>
        </w:rPr>
        <w:t xml:space="preserve"> 2.3.1. Contexto demográfico y laboral  ............................................................</w:t>
      </w:r>
      <w:r>
        <w:rPr>
          <w:color w:val="000080"/>
          <w:u w:val="single" w:color="000080"/>
        </w:rPr>
        <w:t>..................                                                                                       223</w:t>
      </w:r>
    </w:p>
    <w:p w:rsidR="00E23B86" w:rsidRDefault="00BA7C13">
      <w:pPr>
        <w:numPr>
          <w:ilvl w:val="1"/>
          <w:numId w:val="46"/>
        </w:numPr>
        <w:spacing w:after="116" w:line="257" w:lineRule="auto"/>
        <w:ind w:hanging="383"/>
      </w:pPr>
      <w:r>
        <w:rPr>
          <w:color w:val="000080"/>
          <w:u w:val="single" w:color="000080"/>
        </w:rPr>
        <w:t xml:space="preserve">Recomendaciones para el diseño del IV Plan    ..............................................................                                       </w:t>
      </w:r>
      <w:r>
        <w:rPr>
          <w:color w:val="000080"/>
          <w:u w:val="single" w:color="000080"/>
        </w:rPr>
        <w:t xml:space="preserve">                               227</w:t>
      </w:r>
    </w:p>
    <w:p w:rsidR="00E23B86" w:rsidRDefault="00BA7C13">
      <w:pPr>
        <w:spacing w:after="109" w:line="249" w:lineRule="auto"/>
        <w:ind w:left="353" w:hanging="8"/>
      </w:pPr>
      <w:r>
        <w:rPr>
          <w:b/>
          <w:color w:val="000080"/>
          <w:u w:val="single" w:color="000080"/>
        </w:rPr>
        <w:t xml:space="preserve"> 3.LOS PRINCIPIOS DEL IV PLAN  ............................................................................................                                                                                                  </w:t>
      </w:r>
      <w:r>
        <w:rPr>
          <w:b/>
          <w:color w:val="000080"/>
          <w:u w:val="single" w:color="000080"/>
        </w:rPr>
        <w:t xml:space="preserve">         228</w:t>
      </w:r>
    </w:p>
    <w:p w:rsidR="00E23B86" w:rsidRDefault="00BA7C13">
      <w:pPr>
        <w:spacing w:after="109" w:line="249" w:lineRule="auto"/>
        <w:ind w:left="353" w:hanging="8"/>
      </w:pPr>
      <w:r>
        <w:rPr>
          <w:b/>
          <w:color w:val="000080"/>
          <w:u w:val="single" w:color="000080"/>
        </w:rPr>
        <w:t xml:space="preserve"> 4.CAMPO DE ACTUACIÓN   ...................................................................................................                                                                                                                   229</w:t>
      </w:r>
    </w:p>
    <w:p w:rsidR="00E23B86" w:rsidRDefault="00BA7C13">
      <w:pPr>
        <w:spacing w:after="109" w:line="249" w:lineRule="auto"/>
        <w:ind w:left="353" w:hanging="8"/>
      </w:pPr>
      <w:r>
        <w:rPr>
          <w:b/>
          <w:color w:val="000080"/>
          <w:u w:val="single" w:color="000080"/>
        </w:rPr>
        <w:t xml:space="preserve"> </w:t>
      </w:r>
      <w:r>
        <w:rPr>
          <w:b/>
          <w:color w:val="000080"/>
          <w:u w:val="single" w:color="000080"/>
        </w:rPr>
        <w:t>5.META Y OBJETIVOS GENERALES DEL IV PLAN SOBRE ADICCIONES DE CANDELARIA   .........         229</w:t>
      </w:r>
    </w:p>
    <w:p w:rsidR="00E23B86" w:rsidRDefault="00BA7C13">
      <w:pPr>
        <w:spacing w:after="109" w:line="249" w:lineRule="auto"/>
        <w:ind w:left="353" w:hanging="8"/>
      </w:pPr>
      <w:r>
        <w:rPr>
          <w:b/>
          <w:color w:val="000080"/>
          <w:u w:val="single" w:color="000080"/>
        </w:rPr>
        <w:t xml:space="preserve"> 6.ÁREAS DE ACTUACIÓN  .....................................................................................................                                    </w:t>
      </w:r>
      <w:r>
        <w:rPr>
          <w:b/>
          <w:color w:val="000080"/>
          <w:u w:val="single" w:color="000080"/>
        </w:rPr>
        <w:t xml:space="preserve">                                                                                  230</w:t>
      </w:r>
    </w:p>
    <w:p w:rsidR="00E23B86" w:rsidRDefault="00BA7C13">
      <w:pPr>
        <w:spacing w:after="116" w:line="257" w:lineRule="auto"/>
        <w:ind w:left="580" w:hanging="10"/>
      </w:pPr>
      <w:r>
        <w:rPr>
          <w:color w:val="000080"/>
          <w:u w:val="single" w:color="000080"/>
        </w:rPr>
        <w:t xml:space="preserve"> 6.1. ÁREA DE PREVENCIÓN Y SENSIBILIZACIÓN  ...................................................................                                                           </w:t>
      </w:r>
      <w:r>
        <w:rPr>
          <w:color w:val="000080"/>
          <w:u w:val="single" w:color="000080"/>
        </w:rPr>
        <w:t xml:space="preserve">                230</w:t>
      </w:r>
    </w:p>
    <w:p w:rsidR="00E23B86" w:rsidRDefault="00BA7C13">
      <w:pPr>
        <w:numPr>
          <w:ilvl w:val="2"/>
          <w:numId w:val="47"/>
        </w:numPr>
        <w:spacing w:after="116" w:line="257" w:lineRule="auto"/>
        <w:ind w:hanging="551"/>
      </w:pPr>
      <w:r>
        <w:rPr>
          <w:color w:val="000080"/>
          <w:u w:val="single" w:color="000080"/>
        </w:rPr>
        <w:t>Ámbito Educativo  ...................................................................................................                                                                                                               231</w:t>
      </w:r>
    </w:p>
    <w:p w:rsidR="00E23B86" w:rsidRDefault="00BA7C13">
      <w:pPr>
        <w:numPr>
          <w:ilvl w:val="2"/>
          <w:numId w:val="47"/>
        </w:numPr>
        <w:spacing w:after="116" w:line="257" w:lineRule="auto"/>
        <w:ind w:hanging="551"/>
      </w:pPr>
      <w:r>
        <w:rPr>
          <w:color w:val="000080"/>
          <w:u w:val="single" w:color="000080"/>
        </w:rPr>
        <w:t>Ámbi</w:t>
      </w:r>
      <w:r>
        <w:rPr>
          <w:color w:val="000080"/>
          <w:u w:val="single" w:color="000080"/>
        </w:rPr>
        <w:t>to Familiar  ......................................................................................................                                                                                                                  232</w:t>
      </w:r>
    </w:p>
    <w:p w:rsidR="00E23B86" w:rsidRDefault="00BA7C13">
      <w:pPr>
        <w:numPr>
          <w:ilvl w:val="2"/>
          <w:numId w:val="47"/>
        </w:numPr>
        <w:spacing w:after="116" w:line="257" w:lineRule="auto"/>
        <w:ind w:hanging="551"/>
      </w:pPr>
      <w:r>
        <w:rPr>
          <w:color w:val="000080"/>
          <w:u w:val="single" w:color="000080"/>
        </w:rPr>
        <w:t>Ámbito Comunitario  ...</w:t>
      </w:r>
      <w:r>
        <w:rPr>
          <w:color w:val="000080"/>
          <w:u w:val="single" w:color="000080"/>
        </w:rPr>
        <w:t>...........................................................................................                                                                                                          233</w:t>
      </w:r>
    </w:p>
    <w:p w:rsidR="00E23B86" w:rsidRDefault="00BA7C13">
      <w:pPr>
        <w:spacing w:after="116" w:line="257" w:lineRule="auto"/>
        <w:ind w:left="580" w:hanging="10"/>
      </w:pPr>
      <w:r>
        <w:rPr>
          <w:noProof/>
        </w:rPr>
        <mc:AlternateContent>
          <mc:Choice Requires="wpg">
            <w:drawing>
              <wp:anchor distT="0" distB="0" distL="114300" distR="114300" simplePos="0" relativeHeight="2518179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5392" name="Group 51539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8301" name="Rectangle 2830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w:t>
                              </w:r>
                              <w:r>
                                <w:rPr>
                                  <w:rFonts w:ascii="Arial" w:eastAsia="Arial" w:hAnsi="Arial" w:cs="Arial"/>
                                  <w:sz w:val="12"/>
                                </w:rPr>
                                <w:t xml:space="preserve">ación: https://candelaria.sedelectronica.es/ </w:t>
                              </w:r>
                            </w:p>
                          </w:txbxContent>
                        </wps:txbx>
                        <wps:bodyPr horzOverflow="overflow" vert="horz" lIns="0" tIns="0" rIns="0" bIns="0" rtlCol="0">
                          <a:noAutofit/>
                        </wps:bodyPr>
                      </wps:wsp>
                      <wps:wsp>
                        <wps:cNvPr id="28302" name="Rectangle 2830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154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5392" style="width:12.7031pt;height:280.35pt;position:absolute;mso-position-horizontal-relative:page;mso-position-horizontal:absolute;margin-left:681.958pt;mso-position-vertical-relative:page;margin-top:531.65pt;" coordsize="1613,35604">
                <v:rect id="Rectangle 2830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830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154 de 391 </w:t>
                        </w:r>
                      </w:p>
                    </w:txbxContent>
                  </v:textbox>
                </v:rect>
                <w10:wrap type="square"/>
              </v:group>
            </w:pict>
          </mc:Fallback>
        </mc:AlternateContent>
      </w:r>
      <w:r>
        <w:rPr>
          <w:color w:val="000080"/>
          <w:u w:val="single" w:color="000080"/>
        </w:rPr>
        <w:t xml:space="preserve"> 6.2. ÁREA DE INSERCIÓN SOCIAL  </w:t>
      </w:r>
      <w:r>
        <w:rPr>
          <w:color w:val="000080"/>
          <w:u w:val="single" w:color="000080"/>
        </w:rPr>
        <w:t>..........................................................................................                                                                                                     235</w:t>
      </w:r>
    </w:p>
    <w:p w:rsidR="00E23B86" w:rsidRDefault="00BA7C13">
      <w:pPr>
        <w:spacing w:after="116" w:line="257" w:lineRule="auto"/>
        <w:ind w:left="580" w:hanging="10"/>
      </w:pPr>
      <w:r>
        <w:rPr>
          <w:color w:val="000080"/>
          <w:u w:val="single" w:color="000080"/>
        </w:rPr>
        <w:t xml:space="preserve"> 6.3.ÁREA DE SOPORTE Y APOYO  ...............................</w:t>
      </w:r>
      <w:r>
        <w:rPr>
          <w:color w:val="000080"/>
          <w:u w:val="single" w:color="000080"/>
        </w:rPr>
        <w:t>...........................................................                                                                                                     236</w:t>
      </w:r>
    </w:p>
    <w:p w:rsidR="00E23B86" w:rsidRDefault="00BA7C13">
      <w:pPr>
        <w:spacing w:after="109" w:line="249" w:lineRule="auto"/>
        <w:ind w:left="353" w:hanging="8"/>
      </w:pPr>
      <w:r>
        <w:rPr>
          <w:b/>
          <w:color w:val="000080"/>
          <w:u w:val="single" w:color="000080"/>
        </w:rPr>
        <w:t xml:space="preserve"> 7.COORDINACIÓN DE LAS ACTUACIONES DEL IV PLAN  ............................................</w:t>
      </w:r>
      <w:r>
        <w:rPr>
          <w:b/>
          <w:color w:val="000080"/>
          <w:u w:val="single" w:color="000080"/>
        </w:rPr>
        <w:t>.............                                                                  236</w:t>
      </w:r>
    </w:p>
    <w:p w:rsidR="00E23B86" w:rsidRDefault="00BA7C13">
      <w:pPr>
        <w:numPr>
          <w:ilvl w:val="1"/>
          <w:numId w:val="48"/>
        </w:numPr>
        <w:spacing w:after="116" w:line="257" w:lineRule="auto"/>
        <w:ind w:hanging="383"/>
      </w:pPr>
      <w:r>
        <w:rPr>
          <w:color w:val="000080"/>
          <w:u w:val="single" w:color="000080"/>
        </w:rPr>
        <w:t>Comisión Municipal de Prevención de Adicciones de Candelaria  ..................................                                     237</w:t>
      </w:r>
    </w:p>
    <w:p w:rsidR="00E23B86" w:rsidRDefault="00BA7C13">
      <w:pPr>
        <w:numPr>
          <w:ilvl w:val="1"/>
          <w:numId w:val="48"/>
        </w:numPr>
        <w:spacing w:after="116" w:line="257" w:lineRule="auto"/>
        <w:ind w:hanging="383"/>
      </w:pPr>
      <w:r>
        <w:rPr>
          <w:color w:val="000080"/>
          <w:u w:val="single" w:color="000080"/>
        </w:rPr>
        <w:t>Comisión Mixta de Prevención de Adic</w:t>
      </w:r>
      <w:r>
        <w:rPr>
          <w:color w:val="000080"/>
          <w:u w:val="single" w:color="000080"/>
        </w:rPr>
        <w:t>ciones de Candelaria  .........................................                                             237</w:t>
      </w:r>
    </w:p>
    <w:p w:rsidR="00E23B86" w:rsidRDefault="00BA7C13">
      <w:pPr>
        <w:spacing w:after="109" w:line="249" w:lineRule="auto"/>
        <w:ind w:left="353" w:hanging="8"/>
      </w:pPr>
      <w:r>
        <w:rPr>
          <w:b/>
          <w:color w:val="000080"/>
          <w:u w:val="single" w:color="000080"/>
        </w:rPr>
        <w:t xml:space="preserve"> 8.RECURSOS DEL IV PLAN   ...................................................................................................                   </w:t>
      </w:r>
      <w:r>
        <w:rPr>
          <w:b/>
          <w:color w:val="000080"/>
          <w:u w:val="single" w:color="000080"/>
        </w:rPr>
        <w:t xml:space="preserve">                                                                                                238</w:t>
      </w:r>
    </w:p>
    <w:p w:rsidR="00E23B86" w:rsidRDefault="00BA7C13">
      <w:pPr>
        <w:spacing w:after="109" w:line="249" w:lineRule="auto"/>
        <w:ind w:left="353" w:hanging="8"/>
      </w:pPr>
      <w:r>
        <w:rPr>
          <w:b/>
          <w:color w:val="000080"/>
          <w:u w:val="single" w:color="000080"/>
        </w:rPr>
        <w:t xml:space="preserve"> 9.EVALUACIÓN Y SEGUIMIENTO DEL PLAN  ..........................................................................                                            </w:t>
      </w:r>
      <w:r>
        <w:rPr>
          <w:b/>
          <w:color w:val="000080"/>
          <w:u w:val="single" w:color="000080"/>
        </w:rPr>
        <w:t xml:space="preserve">                                          239</w:t>
      </w:r>
    </w:p>
    <w:p w:rsidR="00E23B86" w:rsidRDefault="00BA7C13">
      <w:pPr>
        <w:spacing w:after="116" w:line="257" w:lineRule="auto"/>
        <w:ind w:left="800" w:hanging="10"/>
      </w:pPr>
      <w:r>
        <w:rPr>
          <w:color w:val="000080"/>
          <w:u w:val="single" w:color="000080"/>
        </w:rPr>
        <w:t xml:space="preserve"> Ley 16/2019, de 2 de mayo, de Servicios Sociales de Canarias.  ........................................                                            244</w:t>
      </w:r>
    </w:p>
    <w:p w:rsidR="00E23B86" w:rsidRDefault="00BA7C13">
      <w:pPr>
        <w:numPr>
          <w:ilvl w:val="0"/>
          <w:numId w:val="49"/>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                                                                                                                      252</w:t>
      </w:r>
    </w:p>
    <w:p w:rsidR="00E23B86" w:rsidRDefault="00BA7C13">
      <w:pPr>
        <w:numPr>
          <w:ilvl w:val="0"/>
          <w:numId w:val="49"/>
        </w:numPr>
        <w:spacing w:after="9" w:line="249" w:lineRule="auto"/>
        <w:ind w:hanging="220"/>
      </w:pPr>
      <w:r>
        <w:rPr>
          <w:b/>
          <w:color w:val="000080"/>
          <w:u w:val="single" w:color="000080"/>
        </w:rPr>
        <w:t>ANÁLISIS D</w:t>
      </w:r>
      <w:r>
        <w:rPr>
          <w:b/>
          <w:color w:val="000080"/>
          <w:u w:val="single" w:color="000080"/>
        </w:rPr>
        <w:t xml:space="preserve">E LA PROBLEMÁTICA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w:t>
      </w:r>
      <w:r>
        <w:rPr>
          <w:b/>
          <w:color w:val="000080"/>
          <w:u w:val="single" w:color="000080"/>
        </w:rPr>
        <w:t xml:space="preserve">  252</w:t>
      </w:r>
    </w:p>
    <w:p w:rsidR="00E23B86" w:rsidRDefault="00BA7C13">
      <w:pPr>
        <w:numPr>
          <w:ilvl w:val="1"/>
          <w:numId w:val="49"/>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                     </w:t>
      </w:r>
      <w:r>
        <w:rPr>
          <w:color w:val="000080"/>
          <w:u w:val="single" w:color="000080"/>
        </w:rPr>
        <w:t xml:space="preserve">                                                                                                                                         253</w:t>
      </w:r>
    </w:p>
    <w:p w:rsidR="00E23B86" w:rsidRDefault="00BA7C13">
      <w:pPr>
        <w:numPr>
          <w:ilvl w:val="1"/>
          <w:numId w:val="49"/>
        </w:numPr>
        <w:spacing w:after="2" w:line="257" w:lineRule="auto"/>
        <w:ind w:hanging="383"/>
      </w:pPr>
      <w:r>
        <w:rPr>
          <w:color w:val="000080"/>
          <w:u w:val="single" w:color="000080"/>
        </w:rPr>
        <w:t xml:space="preserve">La prevalencia del consumo en Canarias e indicaciones para la planificación de las </w:t>
      </w:r>
    </w:p>
    <w:p w:rsidR="00E23B86" w:rsidRDefault="00BA7C13">
      <w:pPr>
        <w:spacing w:after="116" w:line="257" w:lineRule="auto"/>
        <w:ind w:left="580" w:hanging="10"/>
      </w:pPr>
      <w:r>
        <w:rPr>
          <w:color w:val="000080"/>
          <w:u w:val="single" w:color="000080"/>
        </w:rPr>
        <w:t xml:space="preserve"> acciones de prevención e inser</w:t>
      </w:r>
      <w:r>
        <w:rPr>
          <w:color w:val="000080"/>
          <w:u w:val="single" w:color="000080"/>
        </w:rPr>
        <w:t>ción.   ...................................................................................                                                                                             254</w:t>
      </w:r>
    </w:p>
    <w:p w:rsidR="00E23B86" w:rsidRDefault="00BA7C13">
      <w:pPr>
        <w:numPr>
          <w:ilvl w:val="1"/>
          <w:numId w:val="49"/>
        </w:numPr>
        <w:spacing w:after="116" w:line="257" w:lineRule="auto"/>
        <w:ind w:hanging="383"/>
      </w:pPr>
      <w:r>
        <w:rPr>
          <w:color w:val="000080"/>
          <w:u w:val="single" w:color="000080"/>
        </w:rPr>
        <w:t xml:space="preserve">Descripción del contexto municipal    </w:t>
      </w:r>
      <w:r>
        <w:rPr>
          <w:color w:val="000080"/>
          <w:u w:val="single" w:color="000080"/>
        </w:rPr>
        <w:t>............................................................................                                                                                     255</w:t>
      </w:r>
    </w:p>
    <w:p w:rsidR="00E23B86" w:rsidRDefault="00BA7C13">
      <w:pPr>
        <w:spacing w:after="116" w:line="257" w:lineRule="auto"/>
        <w:ind w:left="800" w:hanging="10"/>
      </w:pPr>
      <w:r>
        <w:rPr>
          <w:color w:val="000080"/>
          <w:u w:val="single" w:color="000080"/>
        </w:rPr>
        <w:t xml:space="preserve"> 2.3.1. Contexto demográfico y laboral  ...................................................</w:t>
      </w:r>
      <w:r>
        <w:rPr>
          <w:color w:val="000080"/>
          <w:u w:val="single" w:color="000080"/>
        </w:rPr>
        <w:t>...........................                                                                                       256</w:t>
      </w:r>
    </w:p>
    <w:p w:rsidR="00E23B86" w:rsidRDefault="00BA7C13">
      <w:pPr>
        <w:numPr>
          <w:ilvl w:val="1"/>
          <w:numId w:val="49"/>
        </w:numPr>
        <w:spacing w:after="116" w:line="257" w:lineRule="auto"/>
        <w:ind w:hanging="383"/>
      </w:pPr>
      <w:r>
        <w:rPr>
          <w:color w:val="000080"/>
          <w:u w:val="single" w:color="000080"/>
        </w:rPr>
        <w:t xml:space="preserve">Recomendaciones para el diseño del IV Plan    ..............................................................                              </w:t>
      </w:r>
      <w:r>
        <w:rPr>
          <w:color w:val="000080"/>
          <w:u w:val="single" w:color="000080"/>
        </w:rPr>
        <w:t xml:space="preserve">                                        260</w:t>
      </w:r>
    </w:p>
    <w:p w:rsidR="00E23B86" w:rsidRDefault="00BA7C13">
      <w:pPr>
        <w:spacing w:after="109" w:line="249" w:lineRule="auto"/>
        <w:ind w:left="353" w:hanging="8"/>
      </w:pPr>
      <w:r>
        <w:rPr>
          <w:b/>
          <w:color w:val="000080"/>
          <w:u w:val="single" w:color="000080"/>
        </w:rPr>
        <w:t xml:space="preserve"> 10.LOS PRINCIPIOS DEL IV PLAN  ...........................................................................................                                                                                         </w:t>
      </w:r>
      <w:r>
        <w:rPr>
          <w:b/>
          <w:color w:val="000080"/>
          <w:u w:val="single" w:color="000080"/>
        </w:rPr>
        <w:t xml:space="preserve">                261</w:t>
      </w:r>
    </w:p>
    <w:p w:rsidR="00E23B86" w:rsidRDefault="00BA7C13">
      <w:pPr>
        <w:spacing w:after="109" w:line="249" w:lineRule="auto"/>
        <w:ind w:left="353" w:hanging="8"/>
      </w:pPr>
      <w:r>
        <w:rPr>
          <w:b/>
          <w:color w:val="000080"/>
          <w:u w:val="single" w:color="000080"/>
        </w:rPr>
        <w:t xml:space="preserve"> 11.CAMPO DE ACTUACIÓN   .................................................................................................                                                                                                                26</w:t>
      </w:r>
      <w:r>
        <w:rPr>
          <w:b/>
          <w:color w:val="000080"/>
          <w:u w:val="single" w:color="000080"/>
        </w:rPr>
        <w:t>2</w:t>
      </w:r>
    </w:p>
    <w:p w:rsidR="00E23B86" w:rsidRDefault="00BA7C13">
      <w:pPr>
        <w:spacing w:after="109" w:line="249" w:lineRule="auto"/>
        <w:ind w:left="353" w:hanging="8"/>
      </w:pPr>
      <w:r>
        <w:rPr>
          <w:b/>
          <w:color w:val="000080"/>
          <w:u w:val="single" w:color="000080"/>
        </w:rPr>
        <w:t xml:space="preserve"> 12.META Y OBJETIVOS GENERALES DEL IV PLAN SOBRE ADICCIONES DE CANDELARIA   .......       263</w:t>
      </w:r>
    </w:p>
    <w:p w:rsidR="00E23B86" w:rsidRDefault="00BA7C13">
      <w:pPr>
        <w:spacing w:after="109" w:line="249" w:lineRule="auto"/>
        <w:ind w:left="353" w:hanging="8"/>
      </w:pPr>
      <w:r>
        <w:rPr>
          <w:b/>
          <w:color w:val="000080"/>
          <w:u w:val="single" w:color="000080"/>
        </w:rPr>
        <w:t xml:space="preserve"> 13.ÁREAS DE ACTUACIÓN  ...................................................................................................                                     </w:t>
      </w:r>
      <w:r>
        <w:rPr>
          <w:b/>
          <w:color w:val="000080"/>
          <w:u w:val="single" w:color="000080"/>
        </w:rPr>
        <w:t xml:space="preserve">                                                                              263</w:t>
      </w:r>
    </w:p>
    <w:p w:rsidR="00E23B86" w:rsidRDefault="00BA7C13">
      <w:pPr>
        <w:spacing w:after="116" w:line="257" w:lineRule="auto"/>
        <w:ind w:left="580" w:hanging="10"/>
      </w:pPr>
      <w:r>
        <w:rPr>
          <w:color w:val="000080"/>
          <w:u w:val="single" w:color="000080"/>
        </w:rPr>
        <w:t xml:space="preserve"> 6.1. ÁREA DE PREVENCIÓN Y SENSIBILIZACIÓN  ...................................................................                                                               </w:t>
      </w:r>
      <w:r>
        <w:rPr>
          <w:color w:val="000080"/>
          <w:u w:val="single" w:color="000080"/>
        </w:rPr>
        <w:t xml:space="preserve">            264</w:t>
      </w:r>
    </w:p>
    <w:p w:rsidR="00E23B86" w:rsidRDefault="00BA7C13">
      <w:pPr>
        <w:numPr>
          <w:ilvl w:val="2"/>
          <w:numId w:val="50"/>
        </w:numPr>
        <w:spacing w:after="116" w:line="257" w:lineRule="auto"/>
        <w:ind w:hanging="551"/>
      </w:pPr>
      <w:r>
        <w:rPr>
          <w:color w:val="000080"/>
          <w:u w:val="single" w:color="000080"/>
        </w:rPr>
        <w:t>Ámbito Educativo  ...................................................................................................                                                                                                               264</w:t>
      </w:r>
    </w:p>
    <w:p w:rsidR="00E23B86" w:rsidRDefault="00BA7C13">
      <w:pPr>
        <w:numPr>
          <w:ilvl w:val="2"/>
          <w:numId w:val="50"/>
        </w:numPr>
        <w:spacing w:after="116" w:line="257" w:lineRule="auto"/>
        <w:ind w:hanging="551"/>
      </w:pPr>
      <w:r>
        <w:rPr>
          <w:color w:val="000080"/>
          <w:u w:val="single" w:color="000080"/>
        </w:rPr>
        <w:t>Ámbito F</w:t>
      </w:r>
      <w:r>
        <w:rPr>
          <w:color w:val="000080"/>
          <w:u w:val="single" w:color="000080"/>
        </w:rPr>
        <w:t>amiliar  ......................................................................................................                                                                                                                  265</w:t>
      </w:r>
    </w:p>
    <w:p w:rsidR="00E23B86" w:rsidRDefault="00BA7C13">
      <w:pPr>
        <w:numPr>
          <w:ilvl w:val="2"/>
          <w:numId w:val="50"/>
        </w:numPr>
        <w:spacing w:after="116" w:line="257" w:lineRule="auto"/>
        <w:ind w:hanging="551"/>
      </w:pPr>
      <w:r>
        <w:rPr>
          <w:color w:val="000080"/>
          <w:u w:val="single" w:color="000080"/>
        </w:rPr>
        <w:t>Ámbito Comunitario  .......</w:t>
      </w:r>
      <w:r>
        <w:rPr>
          <w:color w:val="000080"/>
          <w:u w:val="single" w:color="000080"/>
        </w:rPr>
        <w:t>.......................................................................................                                                                                                          266</w:t>
      </w:r>
    </w:p>
    <w:p w:rsidR="00E23B86" w:rsidRDefault="00BA7C13">
      <w:pPr>
        <w:spacing w:after="116" w:line="257" w:lineRule="auto"/>
        <w:ind w:left="580" w:hanging="10"/>
      </w:pPr>
      <w:r>
        <w:rPr>
          <w:color w:val="000080"/>
          <w:u w:val="single" w:color="000080"/>
        </w:rPr>
        <w:t xml:space="preserve"> 6.2. ÁREA DE INSERCIÓN SOCIAL  ...........................</w:t>
      </w:r>
      <w:r>
        <w:rPr>
          <w:color w:val="000080"/>
          <w:u w:val="single" w:color="000080"/>
        </w:rPr>
        <w:t>...............................................................                                                                                                     269</w:t>
      </w:r>
    </w:p>
    <w:p w:rsidR="00E23B86" w:rsidRDefault="00BA7C13">
      <w:pPr>
        <w:spacing w:after="116" w:line="257" w:lineRule="auto"/>
        <w:ind w:left="580" w:hanging="10"/>
      </w:pPr>
      <w:r>
        <w:rPr>
          <w:color w:val="000080"/>
          <w:u w:val="single" w:color="000080"/>
        </w:rPr>
        <w:t xml:space="preserve"> 13.3.ÁREA DE SOPORTE Y APOYO  .........................................................</w:t>
      </w:r>
      <w:r>
        <w:rPr>
          <w:color w:val="000080"/>
          <w:u w:val="single" w:color="000080"/>
        </w:rPr>
        <w:t>...............................                                                                                                   270</w:t>
      </w:r>
    </w:p>
    <w:p w:rsidR="00E23B86" w:rsidRDefault="00BA7C13">
      <w:pPr>
        <w:spacing w:after="109" w:line="249" w:lineRule="auto"/>
        <w:ind w:left="353" w:hanging="8"/>
      </w:pPr>
      <w:r>
        <w:rPr>
          <w:b/>
          <w:color w:val="000080"/>
          <w:u w:val="single" w:color="000080"/>
        </w:rPr>
        <w:t xml:space="preserve"> 14.COORDINACIÓN DE LAS ACTUACIONES DEL IV PLAN  .......................................................                  </w:t>
      </w:r>
      <w:r>
        <w:rPr>
          <w:b/>
          <w:color w:val="000080"/>
          <w:u w:val="single" w:color="000080"/>
        </w:rPr>
        <w:t xml:space="preserve">                                              270</w:t>
      </w:r>
    </w:p>
    <w:p w:rsidR="00E23B86" w:rsidRDefault="00BA7C13">
      <w:pPr>
        <w:numPr>
          <w:ilvl w:val="1"/>
          <w:numId w:val="51"/>
        </w:numPr>
        <w:spacing w:after="116" w:line="257" w:lineRule="auto"/>
        <w:ind w:hanging="383"/>
      </w:pPr>
      <w:r>
        <w:rPr>
          <w:color w:val="000080"/>
          <w:u w:val="single" w:color="000080"/>
        </w:rPr>
        <w:t>Comisión Municipal de Prevención de Adicciones de Candelaria  ..................................                                     271</w:t>
      </w:r>
    </w:p>
    <w:p w:rsidR="00E23B86" w:rsidRDefault="00BA7C13">
      <w:pPr>
        <w:numPr>
          <w:ilvl w:val="1"/>
          <w:numId w:val="51"/>
        </w:numPr>
        <w:spacing w:after="116" w:line="257" w:lineRule="auto"/>
        <w:ind w:hanging="383"/>
      </w:pPr>
      <w:r>
        <w:rPr>
          <w:color w:val="000080"/>
          <w:u w:val="single" w:color="000080"/>
        </w:rPr>
        <w:t>Comisión Mixta de Prevención de Adicciones de Candelaria  ...........</w:t>
      </w:r>
      <w:r>
        <w:rPr>
          <w:color w:val="000080"/>
          <w:u w:val="single" w:color="000080"/>
        </w:rPr>
        <w:t>..............................                                             271</w:t>
      </w:r>
    </w:p>
    <w:p w:rsidR="00E23B86" w:rsidRDefault="00BA7C13">
      <w:pPr>
        <w:spacing w:after="109" w:line="249" w:lineRule="auto"/>
        <w:ind w:left="353" w:hanging="8"/>
      </w:pPr>
      <w:r>
        <w:rPr>
          <w:b/>
          <w:color w:val="000080"/>
          <w:u w:val="single" w:color="000080"/>
        </w:rPr>
        <w:t xml:space="preserve"> 15.RECURSOS DEL IV PLAN   .................................................................................................                                                     </w:t>
      </w:r>
      <w:r>
        <w:rPr>
          <w:b/>
          <w:color w:val="000080"/>
          <w:u w:val="single" w:color="000080"/>
        </w:rPr>
        <w:t xml:space="preserve">                                                            272</w:t>
      </w:r>
    </w:p>
    <w:p w:rsidR="00E23B86" w:rsidRDefault="00BA7C13">
      <w:pPr>
        <w:spacing w:after="109" w:line="249" w:lineRule="auto"/>
        <w:ind w:left="353" w:hanging="8"/>
      </w:pPr>
      <w:r>
        <w:rPr>
          <w:b/>
          <w:color w:val="000080"/>
          <w:u w:val="single" w:color="000080"/>
        </w:rPr>
        <w:t xml:space="preserve"> 16.EVALUACIÓN Y SEGUIMIENTO DEL PLAN  ........................................................................                                                                                 </w:t>
      </w:r>
      <w:r>
        <w:rPr>
          <w:b/>
          <w:color w:val="000080"/>
          <w:u w:val="single" w:color="000080"/>
        </w:rPr>
        <w:t xml:space="preserve">   273</w:t>
      </w:r>
    </w:p>
    <w:p w:rsidR="00E23B86" w:rsidRDefault="00BA7C13">
      <w:pPr>
        <w:numPr>
          <w:ilvl w:val="0"/>
          <w:numId w:val="52"/>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w:t>
      </w:r>
      <w:r>
        <w:rPr>
          <w:b/>
          <w:color w:val="000080"/>
          <w:u w:val="single" w:color="000080"/>
        </w:rPr>
        <w:t xml:space="preserve">                                                                                                                      278</w:t>
      </w:r>
    </w:p>
    <w:p w:rsidR="00E23B86" w:rsidRDefault="00BA7C13">
      <w:pPr>
        <w:numPr>
          <w:ilvl w:val="0"/>
          <w:numId w:val="52"/>
        </w:numPr>
        <w:spacing w:after="9" w:line="249" w:lineRule="auto"/>
        <w:ind w:hanging="220"/>
      </w:pPr>
      <w:r>
        <w:rPr>
          <w:noProof/>
        </w:rPr>
        <mc:AlternateContent>
          <mc:Choice Requires="wpg">
            <w:drawing>
              <wp:anchor distT="0" distB="0" distL="114300" distR="114300" simplePos="0" relativeHeight="2518190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6765" name="Group 51676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8764" name="Rectangle 2876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8765" name="Rectangle 2876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w:t>
                              </w:r>
                              <w:r>
                                <w:rPr>
                                  <w:rFonts w:ascii="Arial" w:eastAsia="Arial" w:hAnsi="Arial" w:cs="Arial"/>
                                  <w:sz w:val="12"/>
                                </w:rPr>
                                <w:t xml:space="preserve">nte desde la plataforma esPublico Gestiona | Página 155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6765" style="width:12.7031pt;height:280.35pt;position:absolute;mso-position-horizontal-relative:page;mso-position-horizontal:absolute;margin-left:681.958pt;mso-position-vertical-relative:page;margin-top:531.65pt;" coordsize="1613,35604">
                <v:rect id="Rectangle 2876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876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155 de 391 </w:t>
                        </w:r>
                      </w:p>
                    </w:txbxContent>
                  </v:textbox>
                </v:rect>
                <w10:wrap type="square"/>
              </v:group>
            </w:pict>
          </mc:Fallback>
        </mc:AlternateContent>
      </w:r>
      <w:r>
        <w:rPr>
          <w:b/>
          <w:color w:val="000080"/>
          <w:u w:val="single" w:color="000080"/>
        </w:rPr>
        <w:t xml:space="preserve">ANÁLISIS DE LA PROBLEMÁTICA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w:t>
      </w:r>
      <w:r>
        <w:rPr>
          <w:b/>
          <w:color w:val="000080"/>
          <w:u w:val="single" w:color="000080"/>
        </w:rPr>
        <w:t xml:space="preserve">                                                                            278</w:t>
      </w:r>
    </w:p>
    <w:p w:rsidR="00E23B86" w:rsidRDefault="00BA7C13">
      <w:pPr>
        <w:numPr>
          <w:ilvl w:val="1"/>
          <w:numId w:val="52"/>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w:t>
      </w:r>
      <w:r>
        <w:rPr>
          <w:color w:val="000080"/>
          <w:u w:val="single" w:color="000080"/>
        </w:rPr>
        <w:t>.....................................................                                                                                                                                                              279</w:t>
      </w:r>
    </w:p>
    <w:p w:rsidR="00E23B86" w:rsidRDefault="00BA7C13">
      <w:pPr>
        <w:numPr>
          <w:ilvl w:val="1"/>
          <w:numId w:val="52"/>
        </w:numPr>
        <w:spacing w:after="2" w:line="257" w:lineRule="auto"/>
        <w:ind w:hanging="383"/>
      </w:pPr>
      <w:r>
        <w:rPr>
          <w:color w:val="000080"/>
          <w:u w:val="single" w:color="000080"/>
        </w:rPr>
        <w:t xml:space="preserve">La prevalencia del consumo en Canarias e </w:t>
      </w:r>
      <w:r>
        <w:rPr>
          <w:color w:val="000080"/>
          <w:u w:val="single" w:color="000080"/>
        </w:rPr>
        <w:t xml:space="preserve">indicaciones para la planificación de las </w:t>
      </w:r>
    </w:p>
    <w:p w:rsidR="00E23B86" w:rsidRDefault="00BA7C13">
      <w:pPr>
        <w:spacing w:after="116" w:line="257" w:lineRule="auto"/>
        <w:ind w:left="580" w:hanging="10"/>
      </w:pPr>
      <w:r>
        <w:rPr>
          <w:color w:val="000080"/>
          <w:u w:val="single" w:color="000080"/>
        </w:rPr>
        <w:t xml:space="preserve"> acciones de prevención e inserción.   ...................................................................................</w:t>
      </w:r>
      <w:r>
        <w:rPr>
          <w:color w:val="000080"/>
          <w:u w:val="single" w:color="000080"/>
        </w:rPr>
        <w:t xml:space="preserve">                                                                                             280</w:t>
      </w:r>
    </w:p>
    <w:p w:rsidR="00E23B86" w:rsidRDefault="00BA7C13">
      <w:pPr>
        <w:numPr>
          <w:ilvl w:val="1"/>
          <w:numId w:val="52"/>
        </w:numPr>
        <w:spacing w:after="116" w:line="257" w:lineRule="auto"/>
        <w:ind w:hanging="383"/>
      </w:pPr>
      <w:r>
        <w:rPr>
          <w:color w:val="000080"/>
          <w:u w:val="single" w:color="000080"/>
        </w:rPr>
        <w:t xml:space="preserve">Descripción del contexto municipal    ............................................................................                                             </w:t>
      </w:r>
      <w:r>
        <w:rPr>
          <w:color w:val="000080"/>
          <w:u w:val="single" w:color="000080"/>
        </w:rPr>
        <w:t xml:space="preserve">                                        281</w:t>
      </w:r>
    </w:p>
    <w:p w:rsidR="00E23B86" w:rsidRDefault="00BA7C13">
      <w:pPr>
        <w:spacing w:after="116" w:line="257" w:lineRule="auto"/>
        <w:ind w:left="800" w:hanging="10"/>
      </w:pPr>
      <w:r>
        <w:rPr>
          <w:color w:val="000080"/>
          <w:u w:val="single" w:color="000080"/>
        </w:rPr>
        <w:t xml:space="preserve"> 2.3.1. Contexto demográfico y laboral  ..............................................................................                                                                                       282</w:t>
      </w:r>
    </w:p>
    <w:p w:rsidR="00E23B86" w:rsidRDefault="00BA7C13">
      <w:pPr>
        <w:numPr>
          <w:ilvl w:val="1"/>
          <w:numId w:val="52"/>
        </w:numPr>
        <w:spacing w:after="116" w:line="257" w:lineRule="auto"/>
        <w:ind w:hanging="383"/>
      </w:pPr>
      <w:r>
        <w:rPr>
          <w:color w:val="000080"/>
          <w:u w:val="single" w:color="000080"/>
        </w:rPr>
        <w:t>Rec</w:t>
      </w:r>
      <w:r>
        <w:rPr>
          <w:color w:val="000080"/>
          <w:u w:val="single" w:color="000080"/>
        </w:rPr>
        <w:t>omendaciones para el diseño del IV Plan    ..............................................................                                                                      286</w:t>
      </w:r>
    </w:p>
    <w:p w:rsidR="00E23B86" w:rsidRDefault="00BA7C13">
      <w:pPr>
        <w:spacing w:after="109" w:line="249" w:lineRule="auto"/>
        <w:ind w:left="353" w:hanging="8"/>
      </w:pPr>
      <w:r>
        <w:rPr>
          <w:b/>
          <w:color w:val="000080"/>
          <w:u w:val="single" w:color="000080"/>
        </w:rPr>
        <w:t xml:space="preserve"> 17.LOS PRINCIPIOS DEL IV PLAN  .............................................</w:t>
      </w:r>
      <w:r>
        <w:rPr>
          <w:b/>
          <w:color w:val="000080"/>
          <w:u w:val="single" w:color="000080"/>
        </w:rPr>
        <w:t>..............................................                                                                                                         287</w:t>
      </w:r>
    </w:p>
    <w:p w:rsidR="00E23B86" w:rsidRDefault="00BA7C13">
      <w:pPr>
        <w:spacing w:after="109" w:line="249" w:lineRule="auto"/>
        <w:ind w:left="353" w:hanging="8"/>
      </w:pPr>
      <w:r>
        <w:rPr>
          <w:b/>
          <w:color w:val="000080"/>
          <w:u w:val="single" w:color="000080"/>
        </w:rPr>
        <w:t xml:space="preserve"> 18.CAMPO DE ACTUACIÓN   ............................................................................</w:t>
      </w:r>
      <w:r>
        <w:rPr>
          <w:b/>
          <w:color w:val="000080"/>
          <w:u w:val="single" w:color="000080"/>
        </w:rPr>
        <w:t>.....................                                                                                                                288</w:t>
      </w:r>
    </w:p>
    <w:p w:rsidR="00E23B86" w:rsidRDefault="00BA7C13">
      <w:pPr>
        <w:spacing w:after="109" w:line="249" w:lineRule="auto"/>
        <w:ind w:left="353" w:hanging="8"/>
      </w:pPr>
      <w:r>
        <w:rPr>
          <w:b/>
          <w:color w:val="000080"/>
          <w:u w:val="single" w:color="000080"/>
        </w:rPr>
        <w:t xml:space="preserve"> 19.META Y OBJETIVOS GENERALES DEL IV PLAN SOBRE ADICCIONES DE CANDELARIA   .......       289</w:t>
      </w:r>
    </w:p>
    <w:p w:rsidR="00E23B86" w:rsidRDefault="00BA7C13">
      <w:pPr>
        <w:spacing w:after="109" w:line="249" w:lineRule="auto"/>
        <w:ind w:left="353" w:hanging="8"/>
      </w:pPr>
      <w:r>
        <w:rPr>
          <w:b/>
          <w:color w:val="000080"/>
          <w:u w:val="single" w:color="000080"/>
        </w:rPr>
        <w:t xml:space="preserve"> 20.ÁREAS DE ACTUACIÓN  </w:t>
      </w:r>
      <w:r>
        <w:rPr>
          <w:b/>
          <w:color w:val="000080"/>
          <w:u w:val="single" w:color="000080"/>
        </w:rPr>
        <w:t>...................................................................................................                                                                                                                   289</w:t>
      </w:r>
    </w:p>
    <w:p w:rsidR="00E23B86" w:rsidRDefault="00BA7C13">
      <w:pPr>
        <w:spacing w:after="116" w:line="257" w:lineRule="auto"/>
        <w:ind w:left="580" w:hanging="10"/>
      </w:pPr>
      <w:r>
        <w:rPr>
          <w:color w:val="000080"/>
          <w:u w:val="single" w:color="000080"/>
        </w:rPr>
        <w:t xml:space="preserve"> 6.1. ÁREA DE PREVENCIÓN Y SENSIBILIZA</w:t>
      </w:r>
      <w:r>
        <w:rPr>
          <w:color w:val="000080"/>
          <w:u w:val="single" w:color="000080"/>
        </w:rPr>
        <w:t>CIÓN  ...................................................................                                                                           289</w:t>
      </w:r>
    </w:p>
    <w:p w:rsidR="00E23B86" w:rsidRDefault="00BA7C13">
      <w:pPr>
        <w:numPr>
          <w:ilvl w:val="2"/>
          <w:numId w:val="53"/>
        </w:numPr>
        <w:spacing w:after="116" w:line="257" w:lineRule="auto"/>
        <w:ind w:hanging="551"/>
      </w:pPr>
      <w:r>
        <w:rPr>
          <w:color w:val="000080"/>
          <w:u w:val="single" w:color="000080"/>
        </w:rPr>
        <w:t>Ámbito Educativo  ......................................................................................</w:t>
      </w:r>
      <w:r>
        <w:rPr>
          <w:color w:val="000080"/>
          <w:u w:val="single" w:color="000080"/>
        </w:rPr>
        <w:t>.............                                                                                                               290</w:t>
      </w:r>
    </w:p>
    <w:p w:rsidR="00E23B86" w:rsidRDefault="00BA7C13">
      <w:pPr>
        <w:numPr>
          <w:ilvl w:val="2"/>
          <w:numId w:val="53"/>
        </w:numPr>
        <w:spacing w:after="116" w:line="257" w:lineRule="auto"/>
        <w:ind w:hanging="551"/>
      </w:pPr>
      <w:r>
        <w:rPr>
          <w:color w:val="000080"/>
          <w:u w:val="single" w:color="000080"/>
        </w:rPr>
        <w:t xml:space="preserve">Ámbito Familiar  ......................................................................................................         </w:t>
      </w:r>
      <w:r>
        <w:rPr>
          <w:color w:val="000080"/>
          <w:u w:val="single" w:color="000080"/>
        </w:rPr>
        <w:t xml:space="preserve">                                                                                                         291</w:t>
      </w:r>
    </w:p>
    <w:p w:rsidR="00E23B86" w:rsidRDefault="00BA7C13">
      <w:pPr>
        <w:numPr>
          <w:ilvl w:val="2"/>
          <w:numId w:val="53"/>
        </w:numPr>
        <w:spacing w:after="116" w:line="257" w:lineRule="auto"/>
        <w:ind w:hanging="551"/>
      </w:pPr>
      <w:r>
        <w:rPr>
          <w:color w:val="000080"/>
          <w:u w:val="single" w:color="000080"/>
        </w:rPr>
        <w:t xml:space="preserve">Ámbito Comunitario  ..............................................................................................                                 </w:t>
      </w:r>
      <w:r>
        <w:rPr>
          <w:color w:val="000080"/>
          <w:u w:val="single" w:color="000080"/>
        </w:rPr>
        <w:t xml:space="preserve">                                                                         292</w:t>
      </w:r>
    </w:p>
    <w:p w:rsidR="00E23B86" w:rsidRDefault="00BA7C13">
      <w:pPr>
        <w:spacing w:after="116" w:line="257" w:lineRule="auto"/>
        <w:ind w:left="580" w:hanging="10"/>
      </w:pPr>
      <w:r>
        <w:rPr>
          <w:color w:val="000080"/>
          <w:u w:val="single" w:color="000080"/>
        </w:rPr>
        <w:t xml:space="preserve"> 6.2. ÁREA DE INSERCIÓN SOCIAL  ..........................................................................................                                                         </w:t>
      </w:r>
      <w:r>
        <w:rPr>
          <w:color w:val="000080"/>
          <w:u w:val="single" w:color="000080"/>
        </w:rPr>
        <w:t xml:space="preserve">                                            294</w:t>
      </w:r>
    </w:p>
    <w:p w:rsidR="00E23B86" w:rsidRDefault="00BA7C13">
      <w:pPr>
        <w:spacing w:after="115"/>
        <w:ind w:left="10" w:right="540" w:hanging="10"/>
        <w:jc w:val="right"/>
      </w:pPr>
      <w:r>
        <w:rPr>
          <w:color w:val="000080"/>
          <w:u w:val="single" w:color="000080"/>
        </w:rPr>
        <w:t xml:space="preserve"> 20.3.REA DE SOPORTE Y APOYO  ..........................................................................................                                                                                        </w:t>
      </w:r>
      <w:r>
        <w:rPr>
          <w:color w:val="000080"/>
          <w:u w:val="single" w:color="000080"/>
        </w:rPr>
        <w:t xml:space="preserve">             295</w:t>
      </w:r>
    </w:p>
    <w:p w:rsidR="00E23B86" w:rsidRDefault="00BA7C13">
      <w:pPr>
        <w:spacing w:after="109" w:line="249" w:lineRule="auto"/>
        <w:ind w:left="353" w:hanging="8"/>
      </w:pPr>
      <w:r>
        <w:rPr>
          <w:b/>
          <w:color w:val="000080"/>
          <w:u w:val="single" w:color="000080"/>
        </w:rPr>
        <w:t xml:space="preserve"> 21.COORDINACIÓN DE LAS ACTUACIONES DEL IV PLAN  .......................................................                                                                296</w:t>
      </w:r>
    </w:p>
    <w:p w:rsidR="00E23B86" w:rsidRDefault="00BA7C13">
      <w:pPr>
        <w:numPr>
          <w:ilvl w:val="1"/>
          <w:numId w:val="54"/>
        </w:numPr>
        <w:spacing w:after="115"/>
        <w:ind w:right="540" w:hanging="383"/>
        <w:jc w:val="right"/>
      </w:pPr>
      <w:r>
        <w:rPr>
          <w:color w:val="000080"/>
          <w:u w:val="single" w:color="000080"/>
        </w:rPr>
        <w:t>Comisión Municipal de Prevención de Adicciones de Candelaria  .....</w:t>
      </w:r>
      <w:r>
        <w:rPr>
          <w:color w:val="000080"/>
          <w:u w:val="single" w:color="000080"/>
        </w:rPr>
        <w:t>.............................                                     296</w:t>
      </w:r>
    </w:p>
    <w:p w:rsidR="00E23B86" w:rsidRDefault="00BA7C13">
      <w:pPr>
        <w:numPr>
          <w:ilvl w:val="1"/>
          <w:numId w:val="54"/>
        </w:numPr>
        <w:spacing w:after="115"/>
        <w:ind w:right="540" w:hanging="383"/>
        <w:jc w:val="right"/>
      </w:pPr>
      <w:r>
        <w:rPr>
          <w:color w:val="000080"/>
          <w:u w:val="single" w:color="000080"/>
        </w:rPr>
        <w:t>Comisión Mixta de Prevención de Adicciones de Candelaria  .........................................                                             296</w:t>
      </w:r>
    </w:p>
    <w:p w:rsidR="00E23B86" w:rsidRDefault="00BA7C13">
      <w:pPr>
        <w:spacing w:after="109" w:line="249" w:lineRule="auto"/>
        <w:ind w:left="353" w:hanging="8"/>
      </w:pPr>
      <w:r>
        <w:rPr>
          <w:b/>
          <w:color w:val="000080"/>
          <w:u w:val="single" w:color="000080"/>
        </w:rPr>
        <w:t xml:space="preserve"> 22.RECURSOS DEL IV PLAN   ...........</w:t>
      </w:r>
      <w:r>
        <w:rPr>
          <w:b/>
          <w:color w:val="000080"/>
          <w:u w:val="single" w:color="000080"/>
        </w:rPr>
        <w:t>......................................................................................                                                                                                                 297</w:t>
      </w:r>
    </w:p>
    <w:p w:rsidR="00E23B86" w:rsidRDefault="00BA7C13">
      <w:pPr>
        <w:spacing w:after="109" w:line="249" w:lineRule="auto"/>
        <w:ind w:left="353" w:hanging="8"/>
      </w:pPr>
      <w:r>
        <w:rPr>
          <w:b/>
          <w:color w:val="000080"/>
          <w:u w:val="single" w:color="000080"/>
        </w:rPr>
        <w:t xml:space="preserve"> 23.EVALUACIÓN Y SEGUIMIENTO DEL PLAN  ..............</w:t>
      </w:r>
      <w:r>
        <w:rPr>
          <w:b/>
          <w:color w:val="000080"/>
          <w:u w:val="single" w:color="000080"/>
        </w:rPr>
        <w:t>..........................................................                                                                                    298</w:t>
      </w:r>
    </w:p>
    <w:p w:rsidR="00E23B86" w:rsidRDefault="00BA7C13">
      <w:pPr>
        <w:spacing w:after="2" w:line="257" w:lineRule="auto"/>
        <w:ind w:left="802" w:hanging="10"/>
      </w:pPr>
      <w:r>
        <w:rPr>
          <w:color w:val="000080"/>
          <w:u w:val="single" w:color="000080"/>
        </w:rPr>
        <w:t xml:space="preserve">III. Ley Orgánica 1/1996, de 15 de enero, de protección jurídica del menor, de </w:t>
      </w:r>
    </w:p>
    <w:p w:rsidR="00E23B86" w:rsidRDefault="00BA7C13">
      <w:pPr>
        <w:spacing w:after="116" w:line="257" w:lineRule="auto"/>
        <w:ind w:left="800" w:hanging="10"/>
      </w:pPr>
      <w:r>
        <w:rPr>
          <w:color w:val="000080"/>
          <w:u w:val="single" w:color="000080"/>
        </w:rPr>
        <w:t xml:space="preserve"> modificación del Código Civil</w:t>
      </w:r>
      <w:r>
        <w:rPr>
          <w:color w:val="000080"/>
          <w:u w:val="single" w:color="000080"/>
        </w:rPr>
        <w:t xml:space="preserve"> y de la Ley de Enjuiciamiento Civil  .....................................                                         309</w:t>
      </w:r>
    </w:p>
    <w:p w:rsidR="00E23B86" w:rsidRDefault="00BA7C13">
      <w:pPr>
        <w:spacing w:after="116" w:line="257" w:lineRule="auto"/>
        <w:ind w:left="800" w:hanging="10"/>
      </w:pPr>
      <w:r>
        <w:rPr>
          <w:color w:val="000080"/>
          <w:u w:val="single" w:color="000080"/>
        </w:rPr>
        <w:t xml:space="preserve"> Derechos del menor  .........................................................................................................          </w:t>
      </w:r>
      <w:r>
        <w:rPr>
          <w:color w:val="000080"/>
          <w:u w:val="single" w:color="000080"/>
        </w:rPr>
        <w:t xml:space="preserve">                                                                                                            309</w:t>
      </w:r>
    </w:p>
    <w:p w:rsidR="00E23B86" w:rsidRDefault="00BA7C13">
      <w:pPr>
        <w:spacing w:after="116" w:line="257" w:lineRule="auto"/>
        <w:ind w:left="800" w:hanging="10"/>
      </w:pPr>
      <w:r>
        <w:rPr>
          <w:color w:val="000080"/>
          <w:u w:val="single" w:color="000080"/>
        </w:rPr>
        <w:t xml:space="preserve"> IV.- Ley 1/1997, de 7 de febrero, de atención integral a los menores  ...............................                                  314</w:t>
      </w:r>
    </w:p>
    <w:p w:rsidR="00E23B86" w:rsidRDefault="00BA7C13">
      <w:pPr>
        <w:spacing w:after="2" w:line="257" w:lineRule="auto"/>
        <w:ind w:left="802" w:hanging="10"/>
      </w:pPr>
      <w:r>
        <w:rPr>
          <w:color w:val="000080"/>
          <w:u w:val="single" w:color="000080"/>
        </w:rPr>
        <w:t xml:space="preserve">V.- Ley Orgánica 3/2018, de 5 de diciembre, de Protección de Datos Personales y garantía </w:t>
      </w:r>
    </w:p>
    <w:p w:rsidR="00E23B86" w:rsidRDefault="00BA7C13">
      <w:pPr>
        <w:spacing w:after="116" w:line="257" w:lineRule="auto"/>
        <w:ind w:left="800" w:hanging="10"/>
      </w:pPr>
      <w:r>
        <w:rPr>
          <w:color w:val="000080"/>
          <w:u w:val="single" w:color="000080"/>
        </w:rPr>
        <w:t xml:space="preserve"> de los derechos digitales  ..................................................................................................                                        </w:t>
      </w:r>
      <w:r>
        <w:rPr>
          <w:color w:val="000080"/>
          <w:u w:val="single" w:color="000080"/>
        </w:rPr>
        <w:t xml:space="preserve">                                                                      316</w:t>
      </w:r>
    </w:p>
    <w:p w:rsidR="00E23B86" w:rsidRDefault="00BA7C13">
      <w:pPr>
        <w:spacing w:after="116" w:line="257" w:lineRule="auto"/>
        <w:ind w:left="800" w:hanging="10"/>
      </w:pPr>
      <w:r>
        <w:rPr>
          <w:color w:val="000080"/>
          <w:u w:val="single" w:color="000080"/>
        </w:rPr>
        <w:t xml:space="preserve"> Ley 7/1985, de 2 de abril, reguladora de las Bases del Régimen Local  .............................                                317</w:t>
      </w:r>
    </w:p>
    <w:p w:rsidR="00E23B86" w:rsidRDefault="00BA7C13">
      <w:pPr>
        <w:spacing w:after="116" w:line="257" w:lineRule="auto"/>
        <w:ind w:left="800" w:hanging="10"/>
      </w:pPr>
      <w:r>
        <w:rPr>
          <w:color w:val="000080"/>
          <w:u w:val="single" w:color="000080"/>
        </w:rPr>
        <w:t xml:space="preserve"> Ley 7/2015, de 1 de abril, de los municipios </w:t>
      </w:r>
      <w:r>
        <w:rPr>
          <w:color w:val="000080"/>
          <w:u w:val="single" w:color="000080"/>
        </w:rPr>
        <w:t>de Canarias  .................................................                                                      317</w:t>
      </w:r>
    </w:p>
    <w:p w:rsidR="00E23B86" w:rsidRDefault="00BA7C13">
      <w:pPr>
        <w:spacing w:after="116" w:line="257" w:lineRule="auto"/>
        <w:ind w:left="800" w:hanging="10"/>
      </w:pPr>
      <w:r>
        <w:rPr>
          <w:color w:val="000080"/>
          <w:u w:val="single" w:color="000080"/>
        </w:rPr>
        <w:t xml:space="preserve"> Ley 1/1997, de 7 de febrero, de atención integral a los menores  ....................................                                  </w:t>
      </w:r>
      <w:r>
        <w:rPr>
          <w:color w:val="000080"/>
          <w:u w:val="single" w:color="000080"/>
        </w:rPr>
        <w:t xml:space="preserve">     318</w:t>
      </w:r>
    </w:p>
    <w:p w:rsidR="00E23B86" w:rsidRDefault="00BA7C13">
      <w:pPr>
        <w:spacing w:after="116" w:line="257" w:lineRule="auto"/>
        <w:ind w:left="800" w:hanging="10"/>
      </w:pPr>
      <w:r>
        <w:rPr>
          <w:color w:val="000080"/>
          <w:u w:val="single" w:color="000080"/>
        </w:rPr>
        <w:t xml:space="preserve"> Ley 7/1985, de 2 de abril, reguladora de las Bases del Régimen Local  .............................                                318</w:t>
      </w:r>
    </w:p>
    <w:p w:rsidR="00E23B86" w:rsidRDefault="00BA7C13">
      <w:pPr>
        <w:spacing w:after="116" w:line="257" w:lineRule="auto"/>
        <w:ind w:left="800" w:hanging="10"/>
      </w:pPr>
      <w:r>
        <w:rPr>
          <w:noProof/>
        </w:rPr>
        <mc:AlternateContent>
          <mc:Choice Requires="wpg">
            <w:drawing>
              <wp:anchor distT="0" distB="0" distL="114300" distR="114300" simplePos="0" relativeHeight="2518200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5027" name="Group 51502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197" name="Rectangle 2919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198" name="Rectangle 2919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w:t>
                              </w:r>
                              <w:r>
                                <w:rPr>
                                  <w:rFonts w:ascii="Arial" w:eastAsia="Arial" w:hAnsi="Arial" w:cs="Arial"/>
                                  <w:sz w:val="12"/>
                                </w:rPr>
                                <w:t xml:space="preserve">o firmado electrónicamente desde la plataforma esPublico Gestiona | Página 156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5027" style="width:12.7031pt;height:280.35pt;position:absolute;mso-position-horizontal-relative:page;mso-position-horizontal:absolute;margin-left:681.958pt;mso-position-vertical-relative:page;margin-top:531.65pt;" coordsize="1613,35604">
                <v:rect id="Rectangle 2919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19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156 de 391 </w:t>
                        </w:r>
                      </w:p>
                    </w:txbxContent>
                  </v:textbox>
                </v:rect>
                <w10:wrap type="square"/>
              </v:group>
            </w:pict>
          </mc:Fallback>
        </mc:AlternateContent>
      </w:r>
      <w:r>
        <w:rPr>
          <w:color w:val="000080"/>
          <w:u w:val="single" w:color="000080"/>
        </w:rPr>
        <w:t xml:space="preserve"> Ley 7/2015, de 1 de abril, de los municipios de Canarias  .................................................                                                      318</w:t>
      </w:r>
    </w:p>
    <w:p w:rsidR="00E23B86" w:rsidRDefault="00BA7C13">
      <w:pPr>
        <w:spacing w:after="2" w:line="257" w:lineRule="auto"/>
        <w:ind w:left="802" w:hanging="10"/>
      </w:pPr>
      <w:r>
        <w:rPr>
          <w:color w:val="000080"/>
          <w:u w:val="single" w:color="000080"/>
        </w:rPr>
        <w:t>III</w:t>
      </w:r>
      <w:r>
        <w:rPr>
          <w:color w:val="000080"/>
          <w:u w:val="single" w:color="000080"/>
        </w:rPr>
        <w:t xml:space="preserve">. Ley Orgánica 1/1996, de 15 de enero, de protección jurídica del menor, de </w:t>
      </w:r>
    </w:p>
    <w:p w:rsidR="00E23B86" w:rsidRDefault="00BA7C13">
      <w:pPr>
        <w:spacing w:after="116" w:line="257" w:lineRule="auto"/>
        <w:ind w:left="800" w:hanging="10"/>
      </w:pPr>
      <w:r>
        <w:rPr>
          <w:color w:val="000080"/>
          <w:u w:val="single" w:color="000080"/>
        </w:rPr>
        <w:t xml:space="preserve"> modificación del Código Civil y de la Ley de Enjuiciamiento Civil  .....................................                                         330</w:t>
      </w:r>
    </w:p>
    <w:p w:rsidR="00E23B86" w:rsidRDefault="00BA7C13">
      <w:pPr>
        <w:spacing w:after="116" w:line="257" w:lineRule="auto"/>
        <w:ind w:left="800" w:hanging="10"/>
      </w:pPr>
      <w:r>
        <w:rPr>
          <w:color w:val="000080"/>
          <w:u w:val="single" w:color="000080"/>
        </w:rPr>
        <w:t xml:space="preserve"> Derechos del menor  ........</w:t>
      </w:r>
      <w:r>
        <w:rPr>
          <w:color w:val="000080"/>
          <w:u w:val="single" w:color="000080"/>
        </w:rPr>
        <w:t>.................................................................................................                                                                                                                      330</w:t>
      </w:r>
    </w:p>
    <w:p w:rsidR="00E23B86" w:rsidRDefault="00BA7C13">
      <w:pPr>
        <w:spacing w:after="116" w:line="257" w:lineRule="auto"/>
        <w:ind w:left="800" w:hanging="10"/>
      </w:pPr>
      <w:r>
        <w:rPr>
          <w:color w:val="000080"/>
          <w:u w:val="single" w:color="000080"/>
        </w:rPr>
        <w:t xml:space="preserve"> IV.- Ley 1/1997, de 7 de febrero, de</w:t>
      </w:r>
      <w:r>
        <w:rPr>
          <w:color w:val="000080"/>
          <w:u w:val="single" w:color="000080"/>
        </w:rPr>
        <w:t xml:space="preserve"> atención integral a los menores  ...............................                                  335</w:t>
      </w:r>
    </w:p>
    <w:p w:rsidR="00E23B86" w:rsidRDefault="00BA7C13">
      <w:pPr>
        <w:spacing w:after="2" w:line="257" w:lineRule="auto"/>
        <w:ind w:left="802" w:hanging="10"/>
      </w:pPr>
      <w:r>
        <w:rPr>
          <w:color w:val="000080"/>
          <w:u w:val="single" w:color="000080"/>
        </w:rPr>
        <w:t xml:space="preserve">V.- Ley Orgánica 3/2018, de 5 de diciembre, de Protección de Datos Personales y garantía </w:t>
      </w:r>
    </w:p>
    <w:p w:rsidR="00E23B86" w:rsidRDefault="00BA7C13">
      <w:pPr>
        <w:spacing w:after="116" w:line="257" w:lineRule="auto"/>
        <w:ind w:left="800" w:hanging="10"/>
      </w:pPr>
      <w:r>
        <w:rPr>
          <w:color w:val="000080"/>
          <w:u w:val="single" w:color="000080"/>
        </w:rPr>
        <w:t xml:space="preserve"> de los derechos digitales  </w:t>
      </w:r>
      <w:r>
        <w:rPr>
          <w:color w:val="000080"/>
          <w:u w:val="single" w:color="000080"/>
        </w:rPr>
        <w:t>..................................................................................................                                                                                                              337</w:t>
      </w:r>
    </w:p>
    <w:p w:rsidR="00E23B86" w:rsidRDefault="00BA7C13">
      <w:pPr>
        <w:spacing w:after="116" w:line="257" w:lineRule="auto"/>
        <w:ind w:left="800" w:hanging="10"/>
      </w:pPr>
      <w:r>
        <w:rPr>
          <w:color w:val="000080"/>
          <w:u w:val="single" w:color="000080"/>
        </w:rPr>
        <w:t xml:space="preserve"> Ley 7/1985, de 2 de abril, reguladora de la</w:t>
      </w:r>
      <w:r>
        <w:rPr>
          <w:color w:val="000080"/>
          <w:u w:val="single" w:color="000080"/>
        </w:rPr>
        <w:t>s Bases del Régimen Local  .............................                                338</w:t>
      </w:r>
    </w:p>
    <w:p w:rsidR="00E23B86" w:rsidRDefault="00BA7C13">
      <w:pPr>
        <w:spacing w:after="116" w:line="257" w:lineRule="auto"/>
        <w:ind w:left="800" w:hanging="10"/>
      </w:pPr>
      <w:r>
        <w:rPr>
          <w:color w:val="000080"/>
          <w:u w:val="single" w:color="000080"/>
        </w:rPr>
        <w:t xml:space="preserve"> Ley 7/2015, de 1 de abril, de los municipios de Canarias  .................................................                                                      33</w:t>
      </w:r>
      <w:r>
        <w:rPr>
          <w:color w:val="000080"/>
          <w:u w:val="single" w:color="000080"/>
        </w:rPr>
        <w:t>8</w:t>
      </w:r>
    </w:p>
    <w:p w:rsidR="00E23B86" w:rsidRDefault="00BA7C13">
      <w:pPr>
        <w:spacing w:after="116" w:line="257" w:lineRule="auto"/>
        <w:ind w:left="800" w:hanging="10"/>
      </w:pPr>
      <w:r>
        <w:rPr>
          <w:color w:val="000080"/>
          <w:u w:val="single" w:color="000080"/>
        </w:rPr>
        <w:t xml:space="preserve"> Ley 1/1997, de 7 de febrero, de atención integral a los menores  ....................................                                       339</w:t>
      </w:r>
    </w:p>
    <w:p w:rsidR="00E23B86" w:rsidRDefault="00BA7C13">
      <w:pPr>
        <w:spacing w:after="116" w:line="257" w:lineRule="auto"/>
        <w:ind w:left="800" w:hanging="10"/>
      </w:pPr>
      <w:r>
        <w:rPr>
          <w:color w:val="000080"/>
          <w:u w:val="single" w:color="000080"/>
        </w:rPr>
        <w:t xml:space="preserve"> Ley 7/1985, de 2 de abril, reguladora de las Bases del Régimen Local  .............................         </w:t>
      </w:r>
      <w:r>
        <w:rPr>
          <w:color w:val="000080"/>
          <w:u w:val="single" w:color="000080"/>
        </w:rPr>
        <w:t xml:space="preserve">                       339</w:t>
      </w:r>
    </w:p>
    <w:p w:rsidR="00E23B86" w:rsidRDefault="00BA7C13">
      <w:pPr>
        <w:spacing w:after="116" w:line="257" w:lineRule="auto"/>
        <w:ind w:left="800" w:hanging="10"/>
      </w:pPr>
      <w:r>
        <w:rPr>
          <w:color w:val="000080"/>
          <w:u w:val="single" w:color="000080"/>
        </w:rPr>
        <w:t xml:space="preserve"> Ley 7/2015, de 1 de abril, de los municipios de Canarias  .................................................                                                      340</w:t>
      </w:r>
    </w:p>
    <w:p w:rsidR="00E23B86" w:rsidRDefault="00BA7C13">
      <w:pPr>
        <w:spacing w:after="109" w:line="249" w:lineRule="auto"/>
        <w:ind w:left="353" w:hanging="8"/>
      </w:pPr>
      <w:r>
        <w:rPr>
          <w:b/>
          <w:color w:val="000080"/>
          <w:u w:val="single" w:color="000080"/>
        </w:rPr>
        <w:t xml:space="preserve"> 5.MOCIÓN CON CARÁCTER DE URGENTE DE CC-PNC  </w:t>
      </w:r>
      <w:r>
        <w:rPr>
          <w:b/>
          <w:color w:val="000080"/>
          <w:u w:val="single" w:color="000080"/>
        </w:rPr>
        <w:t>...........................................................                                                                     353</w:t>
      </w:r>
    </w:p>
    <w:p w:rsidR="00E23B86" w:rsidRDefault="00BA7C13">
      <w:pPr>
        <w:spacing w:after="385" w:line="249" w:lineRule="auto"/>
        <w:ind w:left="353" w:hanging="8"/>
      </w:pPr>
      <w:r>
        <w:rPr>
          <w:b/>
          <w:color w:val="000080"/>
          <w:u w:val="single" w:color="000080"/>
        </w:rPr>
        <w:t xml:space="preserve"> 6.EN EL GRUPO MUNICIPAL MIXTO  ......................................................................................      </w:t>
      </w:r>
      <w:r>
        <w:rPr>
          <w:b/>
          <w:color w:val="000080"/>
          <w:u w:val="single" w:color="000080"/>
        </w:rPr>
        <w:t xml:space="preserve">                                                                                              353</w:t>
      </w:r>
    </w:p>
    <w:p w:rsidR="00E23B86" w:rsidRDefault="00BA7C13">
      <w:pPr>
        <w:pBdr>
          <w:top w:val="single" w:sz="2" w:space="0" w:color="00000A"/>
          <w:left w:val="single" w:sz="2" w:space="0" w:color="00000A"/>
          <w:bottom w:val="single" w:sz="2" w:space="0" w:color="00000A"/>
          <w:right w:val="single" w:sz="2" w:space="0" w:color="00000A"/>
        </w:pBdr>
        <w:spacing w:after="281" w:line="257" w:lineRule="auto"/>
        <w:ind w:left="449" w:hanging="10"/>
      </w:pPr>
      <w:r>
        <w:rPr>
          <w:rFonts w:ascii="Arial" w:eastAsia="Arial" w:hAnsi="Arial" w:cs="Arial"/>
          <w:i/>
        </w:rPr>
        <w:t xml:space="preserve">INTRODUCCIÓN   </w:t>
      </w:r>
    </w:p>
    <w:p w:rsidR="00E23B86" w:rsidRDefault="00BA7C13">
      <w:pPr>
        <w:spacing w:after="111" w:line="251" w:lineRule="auto"/>
        <w:ind w:left="355" w:right="573" w:hanging="10"/>
        <w:jc w:val="both"/>
      </w:pPr>
      <w:r>
        <w:rPr>
          <w:rFonts w:ascii="Arial" w:eastAsia="Arial" w:hAnsi="Arial" w:cs="Arial"/>
          <w:i/>
        </w:rPr>
        <w:t>Este documento denominado IV Plan Municipal de Prevención de Adicciones de Candelaria (2019-2023), es un instrumento de trabajo técnico que de</w:t>
      </w:r>
      <w:r>
        <w:rPr>
          <w:rFonts w:ascii="Arial" w:eastAsia="Arial" w:hAnsi="Arial" w:cs="Arial"/>
          <w:i/>
        </w:rPr>
        <w:t>fine las políticas sociales públicas de prevención de adicciones, a llevar a cabo en el espacio local.</w:t>
      </w:r>
    </w:p>
    <w:p w:rsidR="00E23B86" w:rsidRDefault="00BA7C13">
      <w:pPr>
        <w:spacing w:after="111" w:line="251" w:lineRule="auto"/>
        <w:ind w:left="355" w:right="573" w:hanging="10"/>
        <w:jc w:val="both"/>
      </w:pPr>
      <w:r>
        <w:rPr>
          <w:rFonts w:ascii="Arial" w:eastAsia="Arial" w:hAnsi="Arial" w:cs="Arial"/>
          <w:i/>
        </w:rPr>
        <w:t>El IV Plan Municipal, será el referente de planificación-acción para los próximos cinco años en el municipio, siendo un documento que deberá ser evaluado</w:t>
      </w:r>
      <w:r>
        <w:rPr>
          <w:rFonts w:ascii="Arial" w:eastAsia="Arial" w:hAnsi="Arial" w:cs="Arial"/>
          <w:i/>
        </w:rPr>
        <w:t xml:space="preserve"> en su proceso, para ir ajustando las acciones y medidas a las necesidades de la población, así como, la implementación o puesta en marcha de nuevas acciones que se detecten mediante la evaluación e investigación continua.</w:t>
      </w:r>
    </w:p>
    <w:p w:rsidR="00E23B86" w:rsidRDefault="00BA7C13">
      <w:pPr>
        <w:spacing w:after="111" w:line="251" w:lineRule="auto"/>
        <w:ind w:left="355" w:right="573" w:hanging="10"/>
        <w:jc w:val="both"/>
      </w:pPr>
      <w:r>
        <w:rPr>
          <w:rFonts w:ascii="Arial" w:eastAsia="Arial" w:hAnsi="Arial" w:cs="Arial"/>
          <w:i/>
        </w:rPr>
        <w:t>El documento se ha estructurado e</w:t>
      </w:r>
      <w:r>
        <w:rPr>
          <w:rFonts w:ascii="Arial" w:eastAsia="Arial" w:hAnsi="Arial" w:cs="Arial"/>
          <w:i/>
        </w:rPr>
        <w:t>n nueve apartados. El apartado primero recoge y explica las competencias de la Corporación Local en materia de prevención e inserción social. En el apartado segundo se desarrolla el análisis de la problemática y aproximación epidemiológica y contextual del</w:t>
      </w:r>
      <w:r>
        <w:rPr>
          <w:rFonts w:ascii="Arial" w:eastAsia="Arial" w:hAnsi="Arial" w:cs="Arial"/>
          <w:i/>
        </w:rPr>
        <w:t xml:space="preserve"> riesgo de adicciones en el ámbito municipal. En el tercer apartado recoge los principios sobre los que se sustenta el IV Plan Municipal y son los definidos desde la Estrategia Nacional sobre Adicciones 2017-2024 y el Plan de Acción sobre Adicciones 2018-2</w:t>
      </w:r>
      <w:r>
        <w:rPr>
          <w:rFonts w:ascii="Arial" w:eastAsia="Arial" w:hAnsi="Arial" w:cs="Arial"/>
          <w:i/>
        </w:rPr>
        <w:t xml:space="preserve">020. En el cuarto apartado se describen el campo de actuación del IV Plan, mientras que en el quinto y sexto se recoge la meta del IV Plan y los objetivos generales por áreas, respectivamente. </w:t>
      </w:r>
    </w:p>
    <w:p w:rsidR="00E23B86" w:rsidRDefault="00BA7C13">
      <w:pPr>
        <w:spacing w:after="111" w:line="251" w:lineRule="auto"/>
        <w:ind w:left="355" w:right="573" w:hanging="10"/>
        <w:jc w:val="both"/>
      </w:pPr>
      <w:r>
        <w:rPr>
          <w:rFonts w:ascii="Arial" w:eastAsia="Arial" w:hAnsi="Arial" w:cs="Arial"/>
          <w:i/>
        </w:rPr>
        <w:t xml:space="preserve">En el apartado sexto, se describen las acciones para cada una </w:t>
      </w:r>
      <w:r>
        <w:rPr>
          <w:rFonts w:ascii="Arial" w:eastAsia="Arial" w:hAnsi="Arial" w:cs="Arial"/>
          <w:i/>
        </w:rPr>
        <w:t xml:space="preserve">de las tres áreas de actuación y sus ámbitos o sectores prioritarios, donde se han diseñado un total de 35 acciones. </w:t>
      </w:r>
    </w:p>
    <w:p w:rsidR="00E23B86" w:rsidRDefault="00BA7C13">
      <w:pPr>
        <w:spacing w:after="391" w:line="251" w:lineRule="auto"/>
        <w:ind w:left="355" w:right="573" w:hanging="10"/>
        <w:jc w:val="both"/>
      </w:pPr>
      <w:r>
        <w:rPr>
          <w:rFonts w:ascii="Arial" w:eastAsia="Arial" w:hAnsi="Arial" w:cs="Arial"/>
          <w:i/>
        </w:rPr>
        <w:t xml:space="preserve">En los tres últimos apartados se recoge el sistema de coordinación y organización del IV Plan (séptimo apartado), así como la descripción </w:t>
      </w:r>
      <w:r>
        <w:rPr>
          <w:rFonts w:ascii="Arial" w:eastAsia="Arial" w:hAnsi="Arial" w:cs="Arial"/>
          <w:i/>
        </w:rPr>
        <w:t xml:space="preserve">de los recursos a emplear (octavo aportado) y los mecanismos de evaluación del IV Plan (noveno apartado). </w:t>
      </w:r>
    </w:p>
    <w:p w:rsidR="00E23B86" w:rsidRDefault="00BA7C13">
      <w:pPr>
        <w:numPr>
          <w:ilvl w:val="0"/>
          <w:numId w:val="55"/>
        </w:numPr>
        <w:pBdr>
          <w:top w:val="single" w:sz="2" w:space="0" w:color="00000A"/>
          <w:left w:val="single" w:sz="2" w:space="0" w:color="00000A"/>
          <w:bottom w:val="single" w:sz="2" w:space="0" w:color="00000A"/>
          <w:right w:val="single" w:sz="2" w:space="0" w:color="00000A"/>
        </w:pBdr>
        <w:spacing w:after="281" w:line="257" w:lineRule="auto"/>
        <w:ind w:hanging="10"/>
      </w:pPr>
      <w:r>
        <w:rPr>
          <w:noProof/>
        </w:rPr>
        <mc:AlternateContent>
          <mc:Choice Requires="wpg">
            <w:drawing>
              <wp:anchor distT="0" distB="0" distL="114300" distR="114300" simplePos="0" relativeHeight="2518210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3055" name="Group 51305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313" name="Rectangle 2931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314" name="Rectangle 2931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157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3055" style="width:12.7031pt;height:280.35pt;position:absolute;mso-position-horizontal-relative:page;mso-position-horizontal:absolute;margin-left:681.958pt;mso-position-vertical-relative:page;margin-top:531.65pt;" coordsize="1613,35604">
                <v:rect id="Rectangle 2931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31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157 de 391 </w:t>
                        </w:r>
                      </w:p>
                    </w:txbxContent>
                  </v:textbox>
                </v:rect>
                <w10:wrap type="square"/>
              </v:group>
            </w:pict>
          </mc:Fallback>
        </mc:AlternateContent>
      </w:r>
      <w:r>
        <w:rPr>
          <w:rFonts w:ascii="Arial" w:eastAsia="Arial" w:hAnsi="Arial" w:cs="Arial"/>
          <w:i/>
        </w:rPr>
        <w:t xml:space="preserve">COMPETENCIAS DEL AYUNTAMIENTO EN MATERIA DE PREVENCIÓN DEDROGODEPENDENCIAS. </w:t>
      </w:r>
    </w:p>
    <w:p w:rsidR="00E23B86" w:rsidRDefault="00BA7C13">
      <w:pPr>
        <w:spacing w:after="111" w:line="251" w:lineRule="auto"/>
        <w:ind w:left="355" w:right="573" w:hanging="10"/>
        <w:jc w:val="both"/>
      </w:pPr>
      <w:r>
        <w:rPr>
          <w:rFonts w:ascii="Arial" w:eastAsia="Arial" w:hAnsi="Arial" w:cs="Arial"/>
          <w:i/>
        </w:rPr>
        <w:t>La Ley 9/1998, de 22 de julio, sobre Prevención, Asistencia, e Inserción social en m</w:t>
      </w:r>
      <w:r>
        <w:rPr>
          <w:rFonts w:ascii="Arial" w:eastAsia="Arial" w:hAnsi="Arial" w:cs="Arial"/>
          <w:i/>
        </w:rPr>
        <w:t>ateria de drogodependencias de la Comunidad Autónoma de Canarias, determina las competencias atribuidas en materia de drogodependencias a los municipios, dependiendo del número de habitantes de los mismos, e indica en su artículo 34 aquellas que le son atr</w:t>
      </w:r>
      <w:r>
        <w:rPr>
          <w:rFonts w:ascii="Arial" w:eastAsia="Arial" w:hAnsi="Arial" w:cs="Arial"/>
          <w:i/>
        </w:rPr>
        <w:t>ibuidas a las Corporaciones Locales que tengan población superior a los 20.000 habitantes.</w:t>
      </w:r>
    </w:p>
    <w:p w:rsidR="00E23B86" w:rsidRDefault="00BA7C13">
      <w:pPr>
        <w:numPr>
          <w:ilvl w:val="2"/>
          <w:numId w:val="58"/>
        </w:numPr>
        <w:spacing w:after="111" w:line="251" w:lineRule="auto"/>
        <w:ind w:right="573" w:hanging="404"/>
        <w:jc w:val="both"/>
      </w:pPr>
      <w:r>
        <w:rPr>
          <w:rFonts w:ascii="Arial" w:eastAsia="Arial" w:hAnsi="Arial" w:cs="Arial"/>
          <w:i/>
        </w:rPr>
        <w:t>El establecimiento de los criterios que regulan la localización, distancia y características que deberán reunir los establecimientos de suministro y venta de bebidas</w:t>
      </w:r>
      <w:r>
        <w:rPr>
          <w:rFonts w:ascii="Arial" w:eastAsia="Arial" w:hAnsi="Arial" w:cs="Arial"/>
          <w:i/>
        </w:rPr>
        <w:t xml:space="preserve"> alcohólicas.</w:t>
      </w:r>
    </w:p>
    <w:p w:rsidR="00E23B86" w:rsidRDefault="00BA7C13">
      <w:pPr>
        <w:numPr>
          <w:ilvl w:val="2"/>
          <w:numId w:val="58"/>
        </w:numPr>
        <w:spacing w:after="111" w:line="251" w:lineRule="auto"/>
        <w:ind w:right="573" w:hanging="404"/>
        <w:jc w:val="both"/>
      </w:pPr>
      <w:r>
        <w:rPr>
          <w:rFonts w:ascii="Arial" w:eastAsia="Arial" w:hAnsi="Arial" w:cs="Arial"/>
          <w:i/>
        </w:rPr>
        <w:t>El otorgamiento de la autorización de apertura a locales o lugares de suministro y venta de bebidas alcohólicas.</w:t>
      </w:r>
    </w:p>
    <w:p w:rsidR="00E23B86" w:rsidRDefault="00BA7C13">
      <w:pPr>
        <w:numPr>
          <w:ilvl w:val="2"/>
          <w:numId w:val="58"/>
        </w:numPr>
        <w:spacing w:after="111" w:line="251" w:lineRule="auto"/>
        <w:ind w:right="573" w:hanging="404"/>
        <w:jc w:val="both"/>
      </w:pPr>
      <w:r>
        <w:rPr>
          <w:rFonts w:ascii="Arial" w:eastAsia="Arial" w:hAnsi="Arial" w:cs="Arial"/>
          <w:i/>
        </w:rPr>
        <w:t>Velar, en el marco de sus competencias, por el cumplimiento de las diferentes medidas de control que se establecen en el título I</w:t>
      </w:r>
      <w:r>
        <w:rPr>
          <w:rFonts w:ascii="Arial" w:eastAsia="Arial" w:hAnsi="Arial" w:cs="Arial"/>
          <w:i/>
        </w:rPr>
        <w:t>II de esta Ley.</w:t>
      </w:r>
    </w:p>
    <w:p w:rsidR="00E23B86" w:rsidRDefault="00BA7C13">
      <w:pPr>
        <w:numPr>
          <w:ilvl w:val="2"/>
          <w:numId w:val="58"/>
        </w:numPr>
        <w:spacing w:after="111" w:line="251" w:lineRule="auto"/>
        <w:ind w:right="573" w:hanging="404"/>
        <w:jc w:val="both"/>
      </w:pPr>
      <w:r>
        <w:rPr>
          <w:rFonts w:ascii="Arial" w:eastAsia="Arial" w:hAnsi="Arial" w:cs="Arial"/>
          <w:i/>
        </w:rPr>
        <w:t>La colaboración con los sistemas educativo y sanitario en materia de educación para la salud.</w:t>
      </w:r>
    </w:p>
    <w:p w:rsidR="00E23B86" w:rsidRDefault="00BA7C13">
      <w:pPr>
        <w:spacing w:after="111" w:line="251" w:lineRule="auto"/>
        <w:ind w:left="355" w:right="573" w:hanging="10"/>
        <w:jc w:val="both"/>
      </w:pPr>
      <w:r>
        <w:rPr>
          <w:rFonts w:ascii="Arial" w:eastAsia="Arial" w:hAnsi="Arial" w:cs="Arial"/>
          <w:i/>
        </w:rPr>
        <w:t>Además de las señaladas en el punto anterior, los municipios de más de 20.000 habitantes tienen las siguientes competencias y responsabilidades mí</w:t>
      </w:r>
      <w:r>
        <w:rPr>
          <w:rFonts w:ascii="Arial" w:eastAsia="Arial" w:hAnsi="Arial" w:cs="Arial"/>
          <w:i/>
        </w:rPr>
        <w:t>nimas:</w:t>
      </w:r>
    </w:p>
    <w:p w:rsidR="00E23B86" w:rsidRDefault="00BA7C13">
      <w:pPr>
        <w:numPr>
          <w:ilvl w:val="2"/>
          <w:numId w:val="59"/>
        </w:numPr>
        <w:spacing w:after="111" w:line="251" w:lineRule="auto"/>
        <w:ind w:right="573" w:hanging="360"/>
        <w:jc w:val="both"/>
      </w:pPr>
      <w:r>
        <w:rPr>
          <w:rFonts w:ascii="Arial" w:eastAsia="Arial" w:hAnsi="Arial" w:cs="Arial"/>
          <w:i/>
        </w:rPr>
        <w:t xml:space="preserve">La aprobación de Planes Municipales sobre Drogas, elaborados en coordinación y de acuerdo con los criterios y directrices del Plan Canario sobre Drogas, que incluyan programas de prevención e integración social, así como de información, orientación </w:t>
      </w:r>
      <w:r>
        <w:rPr>
          <w:rFonts w:ascii="Arial" w:eastAsia="Arial" w:hAnsi="Arial" w:cs="Arial"/>
          <w:i/>
        </w:rPr>
        <w:t>y motivación de drogodependientes a través de los centros de Servicios Sociales.</w:t>
      </w:r>
    </w:p>
    <w:p w:rsidR="00E23B86" w:rsidRDefault="00BA7C13">
      <w:pPr>
        <w:numPr>
          <w:ilvl w:val="2"/>
          <w:numId w:val="59"/>
        </w:numPr>
        <w:spacing w:after="8" w:line="251" w:lineRule="auto"/>
        <w:ind w:right="573" w:hanging="360"/>
        <w:jc w:val="both"/>
      </w:pPr>
      <w:r>
        <w:rPr>
          <w:rFonts w:ascii="Arial" w:eastAsia="Arial" w:hAnsi="Arial" w:cs="Arial"/>
          <w:i/>
        </w:rPr>
        <w:t>La coordinación de los programas de prevención e integración social que se</w:t>
      </w:r>
    </w:p>
    <w:p w:rsidR="00E23B86" w:rsidRDefault="00BA7C13">
      <w:pPr>
        <w:spacing w:after="111" w:line="251" w:lineRule="auto"/>
        <w:ind w:left="355" w:right="573" w:hanging="10"/>
        <w:jc w:val="both"/>
      </w:pPr>
      <w:r>
        <w:rPr>
          <w:rFonts w:ascii="Arial" w:eastAsia="Arial" w:hAnsi="Arial" w:cs="Arial"/>
          <w:i/>
        </w:rPr>
        <w:t>desarrollen exclusivamente en el ámbito de su municipio.</w:t>
      </w:r>
    </w:p>
    <w:p w:rsidR="00E23B86" w:rsidRDefault="00BA7C13">
      <w:pPr>
        <w:numPr>
          <w:ilvl w:val="2"/>
          <w:numId w:val="59"/>
        </w:numPr>
        <w:spacing w:after="8" w:line="251" w:lineRule="auto"/>
        <w:ind w:right="573" w:hanging="360"/>
        <w:jc w:val="both"/>
      </w:pPr>
      <w:r>
        <w:rPr>
          <w:rFonts w:ascii="Arial" w:eastAsia="Arial" w:hAnsi="Arial" w:cs="Arial"/>
          <w:i/>
        </w:rPr>
        <w:t>El apoyo a las asociaciones y entidades que</w:t>
      </w:r>
      <w:r>
        <w:rPr>
          <w:rFonts w:ascii="Arial" w:eastAsia="Arial" w:hAnsi="Arial" w:cs="Arial"/>
          <w:i/>
        </w:rPr>
        <w:t xml:space="preserve"> en el municipio desarrollen</w:t>
      </w:r>
    </w:p>
    <w:p w:rsidR="00E23B86" w:rsidRDefault="00BA7C13">
      <w:pPr>
        <w:spacing w:after="111" w:line="251" w:lineRule="auto"/>
        <w:ind w:left="355" w:right="573" w:hanging="10"/>
        <w:jc w:val="both"/>
      </w:pPr>
      <w:r>
        <w:rPr>
          <w:rFonts w:ascii="Arial" w:eastAsia="Arial" w:hAnsi="Arial" w:cs="Arial"/>
          <w:i/>
        </w:rPr>
        <w:t>actividades previstas en el Plan Canario sobre Drogas.</w:t>
      </w:r>
    </w:p>
    <w:p w:rsidR="00E23B86" w:rsidRDefault="00BA7C13">
      <w:pPr>
        <w:numPr>
          <w:ilvl w:val="2"/>
          <w:numId w:val="56"/>
        </w:numPr>
        <w:spacing w:after="517" w:line="251" w:lineRule="auto"/>
        <w:ind w:right="573" w:hanging="404"/>
        <w:jc w:val="both"/>
      </w:pPr>
      <w:r>
        <w:rPr>
          <w:rFonts w:ascii="Arial" w:eastAsia="Arial" w:hAnsi="Arial" w:cs="Arial"/>
          <w:i/>
        </w:rPr>
        <w:t>La formación en materia de drogas del personal propio.</w:t>
      </w:r>
    </w:p>
    <w:p w:rsidR="00E23B86" w:rsidRDefault="00BA7C13">
      <w:pPr>
        <w:numPr>
          <w:ilvl w:val="2"/>
          <w:numId w:val="56"/>
        </w:numPr>
        <w:spacing w:after="411" w:line="251" w:lineRule="auto"/>
        <w:ind w:right="573" w:hanging="404"/>
        <w:jc w:val="both"/>
      </w:pPr>
      <w:r>
        <w:rPr>
          <w:rFonts w:ascii="Arial" w:eastAsia="Arial" w:hAnsi="Arial" w:cs="Arial"/>
          <w:i/>
        </w:rPr>
        <w:t>La promoción de la participación social en esta materia en su ámbito territorial.</w:t>
      </w:r>
    </w:p>
    <w:p w:rsidR="00E23B86" w:rsidRDefault="00BA7C13">
      <w:pPr>
        <w:numPr>
          <w:ilvl w:val="0"/>
          <w:numId w:val="55"/>
        </w:numPr>
        <w:pBdr>
          <w:top w:val="single" w:sz="2" w:space="0" w:color="00000A"/>
          <w:left w:val="single" w:sz="2" w:space="0" w:color="00000A"/>
          <w:bottom w:val="single" w:sz="2" w:space="0" w:color="00000A"/>
          <w:right w:val="single" w:sz="2" w:space="0" w:color="00000A"/>
        </w:pBdr>
        <w:spacing w:after="281" w:line="257" w:lineRule="auto"/>
        <w:ind w:hanging="10"/>
      </w:pPr>
      <w:r>
        <w:rPr>
          <w:rFonts w:ascii="Arial" w:eastAsia="Arial" w:hAnsi="Arial" w:cs="Arial"/>
          <w:i/>
        </w:rPr>
        <w:t xml:space="preserve">ANÁLISIS DE LA PROBLEMÁTICA Y APROXIMACIÓN EPIDEMIOLÓGICA YCONTEXTUAL DE LAS ADICCIONES EN EL AMBITO MUNICIPAL  </w:t>
      </w:r>
    </w:p>
    <w:p w:rsidR="00E23B86" w:rsidRDefault="00BA7C13">
      <w:pPr>
        <w:spacing w:after="269" w:line="251" w:lineRule="auto"/>
        <w:ind w:left="355" w:right="573" w:hanging="10"/>
        <w:jc w:val="both"/>
      </w:pPr>
      <w:r>
        <w:rPr>
          <w:rFonts w:ascii="Arial" w:eastAsia="Arial" w:hAnsi="Arial" w:cs="Arial"/>
          <w:i/>
        </w:rPr>
        <w:t>En este apartado se presentan datos necesarios para poder disponer de una aproximación más ajustada a la realidad social municipal.  Primeramen</w:t>
      </w:r>
      <w:r>
        <w:rPr>
          <w:rFonts w:ascii="Arial" w:eastAsia="Arial" w:hAnsi="Arial" w:cs="Arial"/>
          <w:i/>
        </w:rPr>
        <w:t>te, se resumen los resultados de la evaluación del III Plan Municipal (2013-2017), para, a continuación, incluir los datos de la prevalencia del consumo en Canarias y añadir recomendaciones técnicas para la planificación de la prevención en adicciones. Por</w:t>
      </w:r>
      <w:r>
        <w:rPr>
          <w:rFonts w:ascii="Arial" w:eastAsia="Arial" w:hAnsi="Arial" w:cs="Arial"/>
          <w:i/>
        </w:rPr>
        <w:t xml:space="preserve"> último, se muestra una descripción del contexto municipal en el ámbito demográfico, laboral y social, prestando atención a cuestiones relacionadas con los hábitos saludables de la población del municipio. Además, se presentan las principales conclusiones </w:t>
      </w:r>
      <w:r>
        <w:rPr>
          <w:rFonts w:ascii="Arial" w:eastAsia="Arial" w:hAnsi="Arial" w:cs="Arial"/>
          <w:i/>
        </w:rPr>
        <w:t>de un estudio sobre hábitos saludables del alumnado de primaria y secundaria, realizado en el año 2019.</w:t>
      </w:r>
    </w:p>
    <w:p w:rsidR="00E23B86" w:rsidRDefault="00BA7C13">
      <w:pPr>
        <w:numPr>
          <w:ilvl w:val="1"/>
          <w:numId w:val="55"/>
        </w:numPr>
        <w:spacing w:after="243" w:line="251" w:lineRule="auto"/>
        <w:ind w:right="573" w:hanging="428"/>
        <w:jc w:val="both"/>
      </w:pPr>
      <w:r>
        <w:rPr>
          <w:noProof/>
        </w:rPr>
        <mc:AlternateContent>
          <mc:Choice Requires="wpg">
            <w:drawing>
              <wp:anchor distT="0" distB="0" distL="114300" distR="114300" simplePos="0" relativeHeight="2518220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4362" name="Group 51436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384" name="Rectangle 2938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385" name="Rectangle 2938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158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4362" style="width:12.7031pt;height:280.35pt;position:absolute;mso-position-horizontal-relative:page;mso-position-horizontal:absolute;margin-left:681.958pt;mso-position-vertical-relative:page;margin-top:531.65pt;" coordsize="1613,35604">
                <v:rect id="Rectangle 2938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38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158 de 391 </w:t>
                        </w:r>
                      </w:p>
                    </w:txbxContent>
                  </v:textbox>
                </v:rect>
                <w10:wrap type="square"/>
              </v:group>
            </w:pict>
          </mc:Fallback>
        </mc:AlternateContent>
      </w:r>
      <w:r>
        <w:rPr>
          <w:rFonts w:ascii="Arial" w:eastAsia="Arial" w:hAnsi="Arial" w:cs="Arial"/>
          <w:i/>
        </w:rPr>
        <w:t xml:space="preserve">Resultados de la evaluación del III Plan Municipal sobre Drogodependencias(2013-2017) </w:t>
      </w:r>
    </w:p>
    <w:p w:rsidR="00E23B86" w:rsidRDefault="00BA7C13">
      <w:pPr>
        <w:spacing w:after="144" w:line="251" w:lineRule="auto"/>
        <w:ind w:left="355" w:right="573" w:hanging="10"/>
        <w:jc w:val="both"/>
      </w:pPr>
      <w:r>
        <w:rPr>
          <w:rFonts w:ascii="Arial" w:eastAsia="Arial" w:hAnsi="Arial" w:cs="Arial"/>
          <w:i/>
        </w:rPr>
        <w:t xml:space="preserve">Los resultados más relevantes de la evaluación del III Plan Municipal son:  </w:t>
      </w:r>
    </w:p>
    <w:p w:rsidR="00E23B86" w:rsidRDefault="00BA7C13">
      <w:pPr>
        <w:numPr>
          <w:ilvl w:val="2"/>
          <w:numId w:val="55"/>
        </w:numPr>
        <w:spacing w:after="186" w:line="251" w:lineRule="auto"/>
        <w:ind w:right="573" w:hanging="360"/>
        <w:jc w:val="both"/>
      </w:pPr>
      <w:r>
        <w:rPr>
          <w:rFonts w:ascii="Arial" w:eastAsia="Arial" w:hAnsi="Arial" w:cs="Arial"/>
          <w:i/>
        </w:rPr>
        <w:t>Las acciones de prevención escolar llevadas a cabo son periódicas, lo cual hace que estén plenamente consolidadas, sobre todo las acciones recogidas en los proyectos Renueva-T e I</w:t>
      </w:r>
      <w:r>
        <w:rPr>
          <w:rFonts w:ascii="Arial" w:eastAsia="Arial" w:hAnsi="Arial" w:cs="Arial"/>
          <w:i/>
        </w:rPr>
        <w:t>nterróga-T. Sin duda, es una estrategia que ha de continuar consolidándose.</w:t>
      </w:r>
    </w:p>
    <w:p w:rsidR="00E23B86" w:rsidRDefault="00BA7C13">
      <w:pPr>
        <w:numPr>
          <w:ilvl w:val="2"/>
          <w:numId w:val="55"/>
        </w:numPr>
        <w:spacing w:after="187" w:line="251" w:lineRule="auto"/>
        <w:ind w:right="573" w:hanging="360"/>
        <w:jc w:val="both"/>
      </w:pPr>
      <w:r>
        <w:rPr>
          <w:rFonts w:ascii="Arial" w:eastAsia="Arial" w:hAnsi="Arial" w:cs="Arial"/>
          <w:i/>
        </w:rPr>
        <w:t xml:space="preserve">Respecto a las acciones de Prevención de la Concejalía de Servicios Sociales, las acciones con más beneficiarios/as son las dirigidas a prevenir el absentismo escolar. Esta acción </w:t>
      </w:r>
      <w:r>
        <w:rPr>
          <w:rFonts w:ascii="Arial" w:eastAsia="Arial" w:hAnsi="Arial" w:cs="Arial"/>
          <w:i/>
        </w:rPr>
        <w:t>es fundamental continuarla, pues gran cantidad de menores se exponen al riesgo de poder consumir algún tipo de sustancia cuando se ausentan de los centros escolares.</w:t>
      </w:r>
    </w:p>
    <w:p w:rsidR="00E23B86" w:rsidRDefault="00BA7C13">
      <w:pPr>
        <w:numPr>
          <w:ilvl w:val="2"/>
          <w:numId w:val="55"/>
        </w:numPr>
        <w:spacing w:after="187" w:line="251" w:lineRule="auto"/>
        <w:ind w:right="573" w:hanging="360"/>
        <w:jc w:val="both"/>
      </w:pPr>
      <w:r>
        <w:rPr>
          <w:rFonts w:ascii="Arial" w:eastAsia="Arial" w:hAnsi="Arial" w:cs="Arial"/>
          <w:i/>
        </w:rPr>
        <w:t>Las acciones del resto de Concejalías del Ayuntamiento (Juventud, Deportes) son numerosas,</w:t>
      </w:r>
      <w:r>
        <w:rPr>
          <w:rFonts w:ascii="Arial" w:eastAsia="Arial" w:hAnsi="Arial" w:cs="Arial"/>
          <w:i/>
        </w:rPr>
        <w:t xml:space="preserve"> pero en éstas no se aclara si efectivamente, además de entretener a los/as jóvenes o menores, se implementan medidas dedicadas a la promoción de la salud y prevención del consumo de drogas. Aun así, se destaca la conexión entre dichas Concejalías y la de </w:t>
      </w:r>
      <w:r>
        <w:rPr>
          <w:rFonts w:ascii="Arial" w:eastAsia="Arial" w:hAnsi="Arial" w:cs="Arial"/>
          <w:i/>
        </w:rPr>
        <w:t>Servicios Sociales, pues anualmente intercambian información a la hora de elaborar las memorias.</w:t>
      </w:r>
    </w:p>
    <w:p w:rsidR="00E23B86" w:rsidRDefault="00BA7C13">
      <w:pPr>
        <w:numPr>
          <w:ilvl w:val="2"/>
          <w:numId w:val="55"/>
        </w:numPr>
        <w:spacing w:after="188" w:line="251" w:lineRule="auto"/>
        <w:ind w:right="573" w:hanging="360"/>
        <w:jc w:val="both"/>
      </w:pPr>
      <w:r>
        <w:rPr>
          <w:rFonts w:ascii="Arial" w:eastAsia="Arial" w:hAnsi="Arial" w:cs="Arial"/>
          <w:i/>
        </w:rPr>
        <w:t>En lo referido a las atenciones de personas residentes en la Unidad Municipal de Drogodependencias, casi todas las atenciones son dirigidas a hombres que prese</w:t>
      </w:r>
      <w:r>
        <w:rPr>
          <w:rFonts w:ascii="Arial" w:eastAsia="Arial" w:hAnsi="Arial" w:cs="Arial"/>
          <w:i/>
        </w:rPr>
        <w:t>ntan poli-consumo. Además, las personas que han sido atendidas en alguno de los recursos específicos de atención a las drogodependencias durante el año 2016 y 2017 (San Miguel, Proyecto Hombre y Proyecto Drago), fueron en su mayoría por heroína, seguida de</w:t>
      </w:r>
      <w:r>
        <w:rPr>
          <w:rFonts w:ascii="Arial" w:eastAsia="Arial" w:hAnsi="Arial" w:cs="Arial"/>
          <w:i/>
        </w:rPr>
        <w:t xml:space="preserve"> alcohol, cannabis y cocaína. En cuanto al perfil mayoritario, la mayor parte fueron hombres en todas las drogas y mayores de 40 años.</w:t>
      </w:r>
    </w:p>
    <w:p w:rsidR="00E23B86" w:rsidRDefault="00BA7C13">
      <w:pPr>
        <w:numPr>
          <w:ilvl w:val="2"/>
          <w:numId w:val="55"/>
        </w:numPr>
        <w:spacing w:after="186" w:line="251" w:lineRule="auto"/>
        <w:ind w:right="573" w:hanging="360"/>
        <w:jc w:val="both"/>
      </w:pPr>
      <w:r>
        <w:rPr>
          <w:rFonts w:ascii="Arial" w:eastAsia="Arial" w:hAnsi="Arial" w:cs="Arial"/>
          <w:i/>
        </w:rPr>
        <w:t>En términos presupuestarios, la inversión realizada por la Unidad Municipal es inestable en cuanto a importes, pues varía</w:t>
      </w:r>
      <w:r>
        <w:rPr>
          <w:rFonts w:ascii="Arial" w:eastAsia="Arial" w:hAnsi="Arial" w:cs="Arial"/>
          <w:i/>
        </w:rPr>
        <w:t xml:space="preserve"> considerablemente de un año a otro.</w:t>
      </w:r>
    </w:p>
    <w:p w:rsidR="00E23B86" w:rsidRDefault="00BA7C13">
      <w:pPr>
        <w:numPr>
          <w:ilvl w:val="2"/>
          <w:numId w:val="55"/>
        </w:numPr>
        <w:spacing w:after="562" w:line="251" w:lineRule="auto"/>
        <w:ind w:right="573" w:hanging="360"/>
        <w:jc w:val="both"/>
      </w:pPr>
      <w:r>
        <w:rPr>
          <w:rFonts w:ascii="Arial" w:eastAsia="Arial" w:hAnsi="Arial" w:cs="Arial"/>
          <w:i/>
        </w:rPr>
        <w:t>Los Recursos Humanos están compartidos con otras áreas, lo cual hace que no dispongan de la dedicación que el área de drogodependencias exige, asumiendo el personal trabajos extra de otras áreas.</w:t>
      </w:r>
    </w:p>
    <w:p w:rsidR="00E23B86" w:rsidRDefault="00BA7C13">
      <w:pPr>
        <w:spacing w:after="599" w:line="251" w:lineRule="auto"/>
        <w:ind w:left="355" w:right="573" w:hanging="10"/>
        <w:jc w:val="both"/>
      </w:pPr>
      <w:r>
        <w:rPr>
          <w:rFonts w:ascii="Arial" w:eastAsia="Arial" w:hAnsi="Arial" w:cs="Arial"/>
          <w:i/>
        </w:rPr>
        <w:t>Además de realizar la E</w:t>
      </w:r>
      <w:r>
        <w:rPr>
          <w:rFonts w:ascii="Arial" w:eastAsia="Arial" w:hAnsi="Arial" w:cs="Arial"/>
          <w:i/>
        </w:rPr>
        <w:t>valuación del III Plan, ésta, junto con la estructura del IV Plan, fue presentada a los recursos municipales para que realizaran las aportaciones que consideraran que debían ser tenidas en cuenta a la hora de elaborar el presente IV Plan. Dichas aportacion</w:t>
      </w:r>
      <w:r>
        <w:rPr>
          <w:rFonts w:ascii="Arial" w:eastAsia="Arial" w:hAnsi="Arial" w:cs="Arial"/>
          <w:i/>
        </w:rPr>
        <w:t>es de los diferentes recursos se caracterizaron por lo siguiente:</w:t>
      </w:r>
    </w:p>
    <w:p w:rsidR="00E23B86" w:rsidRDefault="00BA7C13">
      <w:pPr>
        <w:numPr>
          <w:ilvl w:val="2"/>
          <w:numId w:val="55"/>
        </w:numPr>
        <w:spacing w:after="200" w:line="251" w:lineRule="auto"/>
        <w:ind w:right="573" w:hanging="360"/>
        <w:jc w:val="both"/>
      </w:pPr>
      <w:r>
        <w:rPr>
          <w:noProof/>
        </w:rPr>
        <mc:AlternateContent>
          <mc:Choice Requires="wpg">
            <w:drawing>
              <wp:anchor distT="0" distB="0" distL="114300" distR="114300" simplePos="0" relativeHeight="2518231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5209" name="Group 51520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446" name="Rectangle 2944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447" name="Rectangle 2944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159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5209" style="width:12.7031pt;height:280.35pt;position:absolute;mso-position-horizontal-relative:page;mso-position-horizontal:absolute;margin-left:681.958pt;mso-position-vertical-relative:page;margin-top:531.65pt;" coordsize="1613,35604">
                <v:rect id="Rectangle 2944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44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159 de 391 </w:t>
                        </w:r>
                      </w:p>
                    </w:txbxContent>
                  </v:textbox>
                </v:rect>
                <w10:wrap type="square"/>
              </v:group>
            </w:pict>
          </mc:Fallback>
        </mc:AlternateContent>
      </w:r>
      <w:r>
        <w:rPr>
          <w:rFonts w:ascii="Arial" w:eastAsia="Arial" w:hAnsi="Arial" w:cs="Arial"/>
          <w:i/>
        </w:rPr>
        <w:t>La valoración que hacen las personas participantes sobre la estructura del documento de propuesta de planificación para el IV Plan Municipal de Prevención de Adi</w:t>
      </w:r>
      <w:r>
        <w:rPr>
          <w:rFonts w:ascii="Arial" w:eastAsia="Arial" w:hAnsi="Arial" w:cs="Arial"/>
          <w:i/>
        </w:rPr>
        <w:t xml:space="preserve">cciones (2019-2023) del municipio de Candelaria, les parece adecuada. </w:t>
      </w:r>
    </w:p>
    <w:p w:rsidR="00E23B86" w:rsidRDefault="00BA7C13">
      <w:pPr>
        <w:numPr>
          <w:ilvl w:val="2"/>
          <w:numId w:val="55"/>
        </w:numPr>
        <w:spacing w:after="198" w:line="251" w:lineRule="auto"/>
        <w:ind w:right="573" w:hanging="360"/>
        <w:jc w:val="both"/>
      </w:pPr>
      <w:r>
        <w:rPr>
          <w:rFonts w:ascii="Arial" w:eastAsia="Arial" w:hAnsi="Arial" w:cs="Arial"/>
          <w:i/>
        </w:rPr>
        <w:t>La participación de los recursos municipales propios y de la comunidad ha sido baja, (pues la tasa de respuesta al documento no ha sido muy elevada), habiéndose enviado en tiempo y form</w:t>
      </w:r>
      <w:r>
        <w:rPr>
          <w:rFonts w:ascii="Arial" w:eastAsia="Arial" w:hAnsi="Arial" w:cs="Arial"/>
          <w:i/>
        </w:rPr>
        <w:t xml:space="preserve">a a los mismos.  </w:t>
      </w:r>
    </w:p>
    <w:p w:rsidR="00E23B86" w:rsidRDefault="00BA7C13">
      <w:pPr>
        <w:numPr>
          <w:ilvl w:val="2"/>
          <w:numId w:val="55"/>
        </w:numPr>
        <w:spacing w:after="200" w:line="251" w:lineRule="auto"/>
        <w:ind w:right="573" w:hanging="360"/>
        <w:jc w:val="both"/>
      </w:pPr>
      <w:r>
        <w:rPr>
          <w:rFonts w:ascii="Arial" w:eastAsia="Arial" w:hAnsi="Arial" w:cs="Arial"/>
          <w:i/>
        </w:rPr>
        <w:t>La valoración percibida sobre otros problemas y/o dificultades, destacan, son los ya expuestos en el diagnóstico.</w:t>
      </w:r>
    </w:p>
    <w:p w:rsidR="00E23B86" w:rsidRDefault="00BA7C13">
      <w:pPr>
        <w:numPr>
          <w:ilvl w:val="2"/>
          <w:numId w:val="55"/>
        </w:numPr>
        <w:spacing w:after="199" w:line="251" w:lineRule="auto"/>
        <w:ind w:right="573" w:hanging="360"/>
        <w:jc w:val="both"/>
      </w:pPr>
      <w:r>
        <w:rPr>
          <w:rFonts w:ascii="Arial" w:eastAsia="Arial" w:hAnsi="Arial" w:cs="Arial"/>
          <w:i/>
        </w:rPr>
        <w:t>Respecto a las valoraciones/opiniones sobre la información aportada y disponible en el ámbito municipal del documento aporta</w:t>
      </w:r>
      <w:r>
        <w:rPr>
          <w:rFonts w:ascii="Arial" w:eastAsia="Arial" w:hAnsi="Arial" w:cs="Arial"/>
          <w:i/>
        </w:rPr>
        <w:t xml:space="preserve">do, es necesario destacar que no se realizan aportaciones relevantes. Las mismas se reiteran en las problemáticas mencionadas en la evaluación y proponen que mejore la coordinación interna entre áreas municipales a la hora de ofertar recursos, servicios o </w:t>
      </w:r>
      <w:r>
        <w:rPr>
          <w:rFonts w:ascii="Arial" w:eastAsia="Arial" w:hAnsi="Arial" w:cs="Arial"/>
          <w:i/>
        </w:rPr>
        <w:t>actividades a la comunidad (escuela, familias, etc.).</w:t>
      </w:r>
    </w:p>
    <w:p w:rsidR="00E23B86" w:rsidRDefault="00BA7C13">
      <w:pPr>
        <w:numPr>
          <w:ilvl w:val="2"/>
          <w:numId w:val="55"/>
        </w:numPr>
        <w:spacing w:after="148" w:line="251" w:lineRule="auto"/>
        <w:ind w:right="573" w:hanging="360"/>
        <w:jc w:val="both"/>
      </w:pPr>
      <w:r>
        <w:rPr>
          <w:rFonts w:ascii="Arial" w:eastAsia="Arial" w:hAnsi="Arial" w:cs="Arial"/>
          <w:i/>
        </w:rPr>
        <w:t xml:space="preserve">En las propuestas, medidas y sugerencias hechas por los/as participantes, cabe destacar que las podemos agrupar en varias categorías: </w:t>
      </w:r>
    </w:p>
    <w:p w:rsidR="00E23B86" w:rsidRDefault="00BA7C13">
      <w:pPr>
        <w:numPr>
          <w:ilvl w:val="3"/>
          <w:numId w:val="55"/>
        </w:numPr>
        <w:spacing w:after="148" w:line="251" w:lineRule="auto"/>
        <w:ind w:right="573" w:hanging="360"/>
        <w:jc w:val="both"/>
      </w:pPr>
      <w:r>
        <w:rPr>
          <w:rFonts w:ascii="Arial" w:eastAsia="Arial" w:hAnsi="Arial" w:cs="Arial"/>
          <w:i/>
        </w:rPr>
        <w:t>De tipo preventivo, informativo y educativo:  dirigida a menores, f</w:t>
      </w:r>
      <w:r>
        <w:rPr>
          <w:rFonts w:ascii="Arial" w:eastAsia="Arial" w:hAnsi="Arial" w:cs="Arial"/>
          <w:i/>
        </w:rPr>
        <w:t>amilias y profesionales.</w:t>
      </w:r>
    </w:p>
    <w:p w:rsidR="00E23B86" w:rsidRDefault="00BA7C13">
      <w:pPr>
        <w:numPr>
          <w:ilvl w:val="3"/>
          <w:numId w:val="55"/>
        </w:numPr>
        <w:spacing w:after="148" w:line="251" w:lineRule="auto"/>
        <w:ind w:right="573" w:hanging="360"/>
        <w:jc w:val="both"/>
      </w:pPr>
      <w:r>
        <w:rPr>
          <w:rFonts w:ascii="Arial" w:eastAsia="Arial" w:hAnsi="Arial" w:cs="Arial"/>
          <w:i/>
        </w:rPr>
        <w:t>De tipo organizativo: centrada en la coordinación, evaluación, oferta de servicios y actividades y protocolos de actuación.</w:t>
      </w:r>
    </w:p>
    <w:p w:rsidR="00E23B86" w:rsidRDefault="00BA7C13">
      <w:pPr>
        <w:numPr>
          <w:ilvl w:val="3"/>
          <w:numId w:val="55"/>
        </w:numPr>
        <w:spacing w:after="3" w:line="265" w:lineRule="auto"/>
        <w:ind w:right="573" w:hanging="360"/>
        <w:jc w:val="both"/>
      </w:pPr>
      <w:r>
        <w:rPr>
          <w:rFonts w:ascii="Arial" w:eastAsia="Arial" w:hAnsi="Arial" w:cs="Arial"/>
          <w:i/>
        </w:rPr>
        <w:t>De mejora de recursos (incremento de medios humanos y materiales).</w:t>
      </w:r>
    </w:p>
    <w:p w:rsidR="00E23B86" w:rsidRDefault="00BA7C13">
      <w:pPr>
        <w:numPr>
          <w:ilvl w:val="1"/>
          <w:numId w:val="55"/>
        </w:numPr>
        <w:spacing w:after="243" w:line="251" w:lineRule="auto"/>
        <w:ind w:right="573" w:hanging="428"/>
        <w:jc w:val="both"/>
      </w:pPr>
      <w:r>
        <w:rPr>
          <w:rFonts w:ascii="Arial" w:eastAsia="Arial" w:hAnsi="Arial" w:cs="Arial"/>
          <w:i/>
        </w:rPr>
        <w:t>La prevalencia del consumo en Canarias e</w:t>
      </w:r>
      <w:r>
        <w:rPr>
          <w:rFonts w:ascii="Arial" w:eastAsia="Arial" w:hAnsi="Arial" w:cs="Arial"/>
          <w:i/>
        </w:rPr>
        <w:t xml:space="preserve"> indicaciones para la planificación delas acciones de prevención e inserción.  </w:t>
      </w:r>
    </w:p>
    <w:p w:rsidR="00E23B86" w:rsidRDefault="00BA7C13">
      <w:pPr>
        <w:spacing w:after="163" w:line="251" w:lineRule="auto"/>
        <w:ind w:left="355" w:right="573" w:hanging="10"/>
        <w:jc w:val="both"/>
      </w:pPr>
      <w:r>
        <w:rPr>
          <w:rFonts w:ascii="Arial" w:eastAsia="Arial" w:hAnsi="Arial" w:cs="Arial"/>
          <w:i/>
        </w:rPr>
        <w:t>Es preciso conocer cómo está la prevalencia del consumo en Canarias, y así poder establecer comparaciones con el escenario municipal y concretar las acciones a llevar a cabo. Los datos de referencia para conocer esa prevalencia proceden de las siguientes f</w:t>
      </w:r>
      <w:r>
        <w:rPr>
          <w:rFonts w:ascii="Arial" w:eastAsia="Arial" w:hAnsi="Arial" w:cs="Arial"/>
          <w:i/>
        </w:rPr>
        <w:t>uentes: Encuesta domiciliaria sobre alcohol y drogas en España 2016-2017 (EDADES 2017, población de 15 a 64 años) y la Encuesta sobre el uso de drogas en estudiantes de enseñanzas secundarias en España 2016-2017 (ESTUDES, estudiantes de 14 a 18 años).</w:t>
      </w:r>
    </w:p>
    <w:p w:rsidR="00E23B86" w:rsidRDefault="00BA7C13">
      <w:pPr>
        <w:spacing w:after="162" w:line="251" w:lineRule="auto"/>
        <w:ind w:left="355" w:right="573" w:hanging="10"/>
        <w:jc w:val="both"/>
      </w:pPr>
      <w:r>
        <w:rPr>
          <w:rFonts w:ascii="Arial" w:eastAsia="Arial" w:hAnsi="Arial" w:cs="Arial"/>
          <w:i/>
        </w:rPr>
        <w:t xml:space="preserve">Los </w:t>
      </w:r>
      <w:r>
        <w:rPr>
          <w:rFonts w:ascii="Arial" w:eastAsia="Arial" w:hAnsi="Arial" w:cs="Arial"/>
          <w:i/>
        </w:rPr>
        <w:t>datos relevantes para Canarias a destacar son los siguientes:</w:t>
      </w:r>
    </w:p>
    <w:p w:rsidR="00E23B86" w:rsidRDefault="00BA7C13">
      <w:pPr>
        <w:numPr>
          <w:ilvl w:val="2"/>
          <w:numId w:val="57"/>
        </w:numPr>
        <w:spacing w:after="162" w:line="251" w:lineRule="auto"/>
        <w:ind w:right="573" w:hanging="360"/>
        <w:jc w:val="both"/>
      </w:pPr>
      <w:r>
        <w:rPr>
          <w:rFonts w:ascii="Arial" w:eastAsia="Arial" w:hAnsi="Arial" w:cs="Arial"/>
          <w:i/>
        </w:rPr>
        <w:t>Sólo un 5,8% de la población declara no haber consumido alcohol y los hombres declaran un mayor consumo que las mujeres.</w:t>
      </w:r>
    </w:p>
    <w:p w:rsidR="00E23B86" w:rsidRDefault="00BA7C13">
      <w:pPr>
        <w:numPr>
          <w:ilvl w:val="2"/>
          <w:numId w:val="57"/>
        </w:numPr>
        <w:spacing w:after="163" w:line="251" w:lineRule="auto"/>
        <w:ind w:right="573" w:hanging="360"/>
        <w:jc w:val="both"/>
      </w:pPr>
      <w:r>
        <w:rPr>
          <w:rFonts w:ascii="Arial" w:eastAsia="Arial" w:hAnsi="Arial" w:cs="Arial"/>
          <w:i/>
        </w:rPr>
        <w:t>Existe un consumo de alcohol habitual en la población, pues un 57% ha con</w:t>
      </w:r>
      <w:r>
        <w:rPr>
          <w:rFonts w:ascii="Arial" w:eastAsia="Arial" w:hAnsi="Arial" w:cs="Arial"/>
          <w:i/>
        </w:rPr>
        <w:t>sumido al menos un día en los últimos 7 días y un 11% declaran un consumo diario a lo largo de la semana. La frecuencia de consumo es superior en las mujeres respecto a los hombres.</w:t>
      </w:r>
    </w:p>
    <w:p w:rsidR="00E23B86" w:rsidRDefault="00BA7C13">
      <w:pPr>
        <w:numPr>
          <w:ilvl w:val="2"/>
          <w:numId w:val="57"/>
        </w:numPr>
        <w:spacing w:after="163" w:line="251" w:lineRule="auto"/>
        <w:ind w:right="573" w:hanging="360"/>
        <w:jc w:val="both"/>
      </w:pPr>
      <w:r>
        <w:rPr>
          <w:rFonts w:ascii="Arial" w:eastAsia="Arial" w:hAnsi="Arial" w:cs="Arial"/>
          <w:i/>
        </w:rPr>
        <w:t xml:space="preserve">Un 72% declara haber consumido tabaco alguna vez en su vida y sólo un 36% </w:t>
      </w:r>
      <w:r>
        <w:rPr>
          <w:rFonts w:ascii="Arial" w:eastAsia="Arial" w:hAnsi="Arial" w:cs="Arial"/>
          <w:i/>
        </w:rPr>
        <w:t>declara consumir tabaco en los últimos doce meses. Son los hombres los que consumen más tabaco y con más frecuencia que las mujeres.</w:t>
      </w:r>
    </w:p>
    <w:p w:rsidR="00E23B86" w:rsidRDefault="00BA7C13">
      <w:pPr>
        <w:numPr>
          <w:ilvl w:val="2"/>
          <w:numId w:val="57"/>
        </w:numPr>
        <w:spacing w:after="163" w:line="251" w:lineRule="auto"/>
        <w:ind w:right="573" w:hanging="360"/>
        <w:jc w:val="both"/>
      </w:pPr>
      <w:r>
        <w:rPr>
          <w:noProof/>
        </w:rPr>
        <mc:AlternateContent>
          <mc:Choice Requires="wpg">
            <w:drawing>
              <wp:anchor distT="0" distB="0" distL="114300" distR="114300" simplePos="0" relativeHeight="2518241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5682" name="Group 51568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507" name="Rectangle 2950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508" name="Rectangle 2950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w:t>
                              </w:r>
                              <w:r>
                                <w:rPr>
                                  <w:rFonts w:ascii="Arial" w:eastAsia="Arial" w:hAnsi="Arial" w:cs="Arial"/>
                                  <w:sz w:val="12"/>
                                </w:rPr>
                                <w:t xml:space="preserve">ectrónicamente desde la plataforma esPublico Gestiona | Página 160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5682" style="width:12.7031pt;height:280.35pt;position:absolute;mso-position-horizontal-relative:page;mso-position-horizontal:absolute;margin-left:681.958pt;mso-position-vertical-relative:page;margin-top:531.65pt;" coordsize="1613,35604">
                <v:rect id="Rectangle 2950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50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160 de 391 </w:t>
                        </w:r>
                      </w:p>
                    </w:txbxContent>
                  </v:textbox>
                </v:rect>
                <w10:wrap type="square"/>
              </v:group>
            </w:pict>
          </mc:Fallback>
        </mc:AlternateContent>
      </w:r>
      <w:r>
        <w:rPr>
          <w:rFonts w:ascii="Arial" w:eastAsia="Arial" w:hAnsi="Arial" w:cs="Arial"/>
          <w:i/>
        </w:rPr>
        <w:t>Un 21% declara haber consumido tranquilizantes alguna vez en su vida, pero sólo un 14% dice haberlos consumido los últimos doce meses, y un 9% a diario. El consumo es mayor en las m</w:t>
      </w:r>
      <w:r>
        <w:rPr>
          <w:rFonts w:ascii="Arial" w:eastAsia="Arial" w:hAnsi="Arial" w:cs="Arial"/>
          <w:i/>
        </w:rPr>
        <w:t>ujeres que en los hombres.</w:t>
      </w:r>
    </w:p>
    <w:p w:rsidR="00E23B86" w:rsidRDefault="00BA7C13">
      <w:pPr>
        <w:numPr>
          <w:ilvl w:val="2"/>
          <w:numId w:val="57"/>
        </w:numPr>
        <w:spacing w:after="162" w:line="251" w:lineRule="auto"/>
        <w:ind w:right="573" w:hanging="360"/>
        <w:jc w:val="both"/>
      </w:pPr>
      <w:r>
        <w:rPr>
          <w:rFonts w:ascii="Arial" w:eastAsia="Arial" w:hAnsi="Arial" w:cs="Arial"/>
          <w:i/>
        </w:rPr>
        <w:t>Una de cada tres personas declara haber consumido derivados del cannabis, siendo los hombres los que más consumen respecto a las mujeres.</w:t>
      </w:r>
    </w:p>
    <w:p w:rsidR="00E23B86" w:rsidRDefault="00BA7C13">
      <w:pPr>
        <w:numPr>
          <w:ilvl w:val="2"/>
          <w:numId w:val="57"/>
        </w:numPr>
        <w:spacing w:after="163" w:line="251" w:lineRule="auto"/>
        <w:ind w:right="573" w:hanging="360"/>
        <w:jc w:val="both"/>
      </w:pPr>
      <w:r>
        <w:rPr>
          <w:rFonts w:ascii="Arial" w:eastAsia="Arial" w:hAnsi="Arial" w:cs="Arial"/>
          <w:i/>
        </w:rPr>
        <w:t>Un 3% declara haber consumido cocaína en lo últimos doce meses, y sólo un 1,8% dice haberlo</w:t>
      </w:r>
      <w:r>
        <w:rPr>
          <w:rFonts w:ascii="Arial" w:eastAsia="Arial" w:hAnsi="Arial" w:cs="Arial"/>
          <w:i/>
        </w:rPr>
        <w:t xml:space="preserve"> hecho en los últimos 30 días. El consumo es ocasional y son los hombres lo que más la consumen.</w:t>
      </w:r>
    </w:p>
    <w:p w:rsidR="00E23B86" w:rsidRDefault="00BA7C13">
      <w:pPr>
        <w:numPr>
          <w:ilvl w:val="2"/>
          <w:numId w:val="57"/>
        </w:numPr>
        <w:spacing w:after="163" w:line="251" w:lineRule="auto"/>
        <w:ind w:right="573" w:hanging="360"/>
        <w:jc w:val="both"/>
      </w:pPr>
      <w:r>
        <w:rPr>
          <w:rFonts w:ascii="Arial" w:eastAsia="Arial" w:hAnsi="Arial" w:cs="Arial"/>
          <w:i/>
        </w:rPr>
        <w:t>Un 6% declara haber consumido anfetaminas alguna vez en su vida, un 5% dice haber consumido alucinógenos y un 0,4% heroína. Son los hombres los que declaran co</w:t>
      </w:r>
      <w:r>
        <w:rPr>
          <w:rFonts w:ascii="Arial" w:eastAsia="Arial" w:hAnsi="Arial" w:cs="Arial"/>
          <w:i/>
        </w:rPr>
        <w:t xml:space="preserve">nsumir estas sustancias más, respecto a las mujeres. </w:t>
      </w:r>
    </w:p>
    <w:p w:rsidR="00E23B86" w:rsidRDefault="00BA7C13">
      <w:pPr>
        <w:numPr>
          <w:ilvl w:val="2"/>
          <w:numId w:val="57"/>
        </w:numPr>
        <w:spacing w:after="163" w:line="251" w:lineRule="auto"/>
        <w:ind w:right="573" w:hanging="360"/>
        <w:jc w:val="both"/>
      </w:pPr>
      <w:r>
        <w:rPr>
          <w:rFonts w:ascii="Arial" w:eastAsia="Arial" w:hAnsi="Arial" w:cs="Arial"/>
          <w:i/>
        </w:rPr>
        <w:t>Un 42% declara haber jugado dinero dentro de la red, un 26% dice jugar dinero un día al mes, mientras un 18% declara que juega fuera de internet entre 2-4 días al mes. Un 97% ha jugado sin dinero de for</w:t>
      </w:r>
      <w:r>
        <w:rPr>
          <w:rFonts w:ascii="Arial" w:eastAsia="Arial" w:hAnsi="Arial" w:cs="Arial"/>
          <w:i/>
        </w:rPr>
        <w:t xml:space="preserve">ma online. En general son los hombres los que más juegan.  </w:t>
      </w:r>
    </w:p>
    <w:p w:rsidR="00E23B86" w:rsidRDefault="00BA7C13">
      <w:pPr>
        <w:numPr>
          <w:ilvl w:val="2"/>
          <w:numId w:val="57"/>
        </w:numPr>
        <w:spacing w:after="163" w:line="251" w:lineRule="auto"/>
        <w:ind w:right="573" w:hanging="360"/>
        <w:jc w:val="both"/>
      </w:pPr>
      <w:r>
        <w:rPr>
          <w:rFonts w:ascii="Arial" w:eastAsia="Arial" w:hAnsi="Arial" w:cs="Arial"/>
          <w:i/>
        </w:rPr>
        <w:t>La frecuencia de consumo de alcohol y tabaco en población menor en los últimos treinta días, se sitúa en torno al 22%, y un 33% ha consumido tabaco o alcohol alguna vez en su vida.</w:t>
      </w:r>
    </w:p>
    <w:p w:rsidR="00E23B86" w:rsidRDefault="00BA7C13">
      <w:pPr>
        <w:numPr>
          <w:ilvl w:val="2"/>
          <w:numId w:val="57"/>
        </w:numPr>
        <w:spacing w:after="111" w:line="251" w:lineRule="auto"/>
        <w:ind w:right="573" w:hanging="360"/>
        <w:jc w:val="both"/>
      </w:pPr>
      <w:r>
        <w:rPr>
          <w:rFonts w:ascii="Arial" w:eastAsia="Arial" w:hAnsi="Arial" w:cs="Arial"/>
          <w:i/>
        </w:rPr>
        <w:t xml:space="preserve">Respecto al consumo de derivados del cannabis en población menor, un 27% dice haberlos probado alguna vez en su vida, y un 16% dice haberlas consumido en los últimos treinta días.     </w:t>
      </w:r>
    </w:p>
    <w:p w:rsidR="00E23B86" w:rsidRDefault="00BA7C13">
      <w:pPr>
        <w:numPr>
          <w:ilvl w:val="1"/>
          <w:numId w:val="55"/>
        </w:numPr>
        <w:spacing w:after="242" w:line="251" w:lineRule="auto"/>
        <w:ind w:right="573" w:hanging="428"/>
        <w:jc w:val="both"/>
      </w:pPr>
      <w:r>
        <w:rPr>
          <w:rFonts w:ascii="Arial" w:eastAsia="Arial" w:hAnsi="Arial" w:cs="Arial"/>
          <w:i/>
        </w:rPr>
        <w:t xml:space="preserve">Descripción del contexto municipal   </w:t>
      </w:r>
    </w:p>
    <w:p w:rsidR="00E23B86" w:rsidRDefault="00BA7C13">
      <w:pPr>
        <w:spacing w:after="111" w:line="251" w:lineRule="auto"/>
        <w:ind w:left="355" w:right="573" w:hanging="10"/>
        <w:jc w:val="both"/>
      </w:pPr>
      <w:r>
        <w:rPr>
          <w:rFonts w:ascii="Arial" w:eastAsia="Arial" w:hAnsi="Arial" w:cs="Arial"/>
          <w:i/>
        </w:rPr>
        <w:t>Candelaria es uno de los municipi</w:t>
      </w:r>
      <w:r>
        <w:rPr>
          <w:rFonts w:ascii="Arial" w:eastAsia="Arial" w:hAnsi="Arial" w:cs="Arial"/>
          <w:i/>
        </w:rPr>
        <w:t>os de Tenerife que está enclavado en su vertiente meridional en el ámbito del Sureste de la isla. Tiene una extensión superficial de 49,8 Km2 y se halla a unos 19 kilómetros de la capital (Santa Cruz de Tenerife). El desnivel orográfico que presenta todo s</w:t>
      </w:r>
      <w:r>
        <w:rPr>
          <w:rFonts w:ascii="Arial" w:eastAsia="Arial" w:hAnsi="Arial" w:cs="Arial"/>
          <w:i/>
        </w:rPr>
        <w:t xml:space="preserve">u territorio hace que existan altitudes desde cero hasta 1.746 metros. </w:t>
      </w:r>
    </w:p>
    <w:p w:rsidR="00E23B86" w:rsidRDefault="00BA7C13">
      <w:pPr>
        <w:spacing w:after="111" w:line="251" w:lineRule="auto"/>
        <w:ind w:left="355" w:right="573" w:hanging="10"/>
        <w:jc w:val="both"/>
      </w:pPr>
      <w:r>
        <w:rPr>
          <w:rFonts w:ascii="Arial" w:eastAsia="Arial" w:hAnsi="Arial" w:cs="Arial"/>
          <w:i/>
        </w:rPr>
        <w:t>El municipio limita al Norte con El Rosario por Barranco Hondo, al Sur, con Arafo por el Barranco de Tapia, al Este con el Océano Atlántico y al Oeste con los montes que corresponden a</w:t>
      </w:r>
      <w:r>
        <w:rPr>
          <w:rFonts w:ascii="Arial" w:eastAsia="Arial" w:hAnsi="Arial" w:cs="Arial"/>
          <w:i/>
        </w:rPr>
        <w:t xml:space="preserve"> La Matanza, La Victoria, El Sauzal y Santa Úrsula. El terreno está surcado con varios barrancos que conforman los barrios o caseríos. </w:t>
      </w:r>
    </w:p>
    <w:p w:rsidR="00E23B86" w:rsidRDefault="00BA7C13">
      <w:pPr>
        <w:spacing w:after="111" w:line="251" w:lineRule="auto"/>
        <w:ind w:left="355" w:right="573" w:hanging="10"/>
        <w:jc w:val="both"/>
      </w:pPr>
      <w:r>
        <w:rPr>
          <w:rFonts w:ascii="Arial" w:eastAsia="Arial" w:hAnsi="Arial" w:cs="Arial"/>
          <w:i/>
        </w:rPr>
        <w:t>En cuanto a la actividad económica del municipio, siempre se ha basado en la ganadería y la agricultura. Contra la opini</w:t>
      </w:r>
      <w:r>
        <w:rPr>
          <w:rFonts w:ascii="Arial" w:eastAsia="Arial" w:hAnsi="Arial" w:cs="Arial"/>
          <w:i/>
        </w:rPr>
        <w:t>ón común que se piensa que Candelaria es un pueblo de pescadores/as, la pesca en la economía local ya no tiene la importancia que tuvo en las décadas anteriores y hoy apenas tiene significado en la economía municipal. El desarrollo agrícola y ganadero, lim</w:t>
      </w:r>
      <w:r>
        <w:rPr>
          <w:rFonts w:ascii="Arial" w:eastAsia="Arial" w:hAnsi="Arial" w:cs="Arial"/>
          <w:i/>
        </w:rPr>
        <w:t xml:space="preserve">itado a los barrios altos, Igueste, Barranco Hondo, Araya, Cuevecitas y Malpaís, siempre se ha visto favorecido por la abundancia de aguas subterráneas, alumbradas por medio de pozos o galerías. </w:t>
      </w:r>
    </w:p>
    <w:p w:rsidR="00E23B86" w:rsidRDefault="00BA7C13">
      <w:pPr>
        <w:spacing w:after="111" w:line="251" w:lineRule="auto"/>
        <w:ind w:left="355" w:right="573" w:hanging="10"/>
        <w:jc w:val="both"/>
      </w:pPr>
      <w:r>
        <w:rPr>
          <w:rFonts w:ascii="Arial" w:eastAsia="Arial" w:hAnsi="Arial" w:cs="Arial"/>
          <w:i/>
        </w:rPr>
        <w:t>Los otros municipios del valle agrupan su núcleo poblacional</w:t>
      </w:r>
      <w:r>
        <w:rPr>
          <w:rFonts w:ascii="Arial" w:eastAsia="Arial" w:hAnsi="Arial" w:cs="Arial"/>
          <w:i/>
        </w:rPr>
        <w:t xml:space="preserve"> entorno a un casco. Candelaria cuenta con varias entidades tan significativas como el centro por su población y recursos. Entre ellos se encuentra Candelaria casco urbano, Las Caletillas, Punta Larga, La Viuda, El Ramonal, Barranco Hondo, Igueste de Cande</w:t>
      </w:r>
      <w:r>
        <w:rPr>
          <w:rFonts w:ascii="Arial" w:eastAsia="Arial" w:hAnsi="Arial" w:cs="Arial"/>
          <w:i/>
        </w:rPr>
        <w:t>laria, Araya, Cuevecitas, Malpaís y La Viuda.</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251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5760" name="Group 51576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572" name="Rectangle 2957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573" name="Rectangle 2957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161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5760" style="width:12.7031pt;height:280.35pt;position:absolute;mso-position-horizontal-relative:page;mso-position-horizontal:absolute;margin-left:681.958pt;mso-position-vertical-relative:page;margin-top:531.65pt;" coordsize="1613,35604">
                <v:rect id="Rectangle 2957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57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161 de 391 </w:t>
                        </w:r>
                      </w:p>
                    </w:txbxContent>
                  </v:textbox>
                </v:rect>
                <w10:wrap type="square"/>
              </v:group>
            </w:pict>
          </mc:Fallback>
        </mc:AlternateContent>
      </w:r>
      <w:r>
        <w:rPr>
          <w:rFonts w:ascii="Arial" w:eastAsia="Arial" w:hAnsi="Arial" w:cs="Arial"/>
          <w:i/>
        </w:rPr>
        <w:t>Los recursos disponibles en el municipio dependen del tipo de Administración de la que estemos tratando. Así, desde la propia Administración municipal, se puede contar con las propias Concejalías del Iltre. Ayuntamiento de Candelaria, y en concreto o con c</w:t>
      </w:r>
      <w:r>
        <w:rPr>
          <w:rFonts w:ascii="Arial" w:eastAsia="Arial" w:hAnsi="Arial" w:cs="Arial"/>
          <w:i/>
        </w:rPr>
        <w:t xml:space="preserve">arácter prioritario las de Servicios Sociales, Igualdad, Sanidad, Juventud, Deportes, Participación Ciudadana y Protección Civil, además de las Fuerzas de Seguridad Local. </w:t>
      </w:r>
    </w:p>
    <w:p w:rsidR="00E23B86" w:rsidRDefault="00BA7C13">
      <w:pPr>
        <w:spacing w:after="111" w:line="251" w:lineRule="auto"/>
        <w:ind w:left="355" w:right="573" w:hanging="10"/>
        <w:jc w:val="both"/>
      </w:pPr>
      <w:r>
        <w:rPr>
          <w:rFonts w:ascii="Arial" w:eastAsia="Arial" w:hAnsi="Arial" w:cs="Arial"/>
          <w:i/>
        </w:rPr>
        <w:t xml:space="preserve">En cuanto a los recursos educativos, existen cinco Centros de Enseñanza Infantil y </w:t>
      </w:r>
      <w:r>
        <w:rPr>
          <w:rFonts w:ascii="Arial" w:eastAsia="Arial" w:hAnsi="Arial" w:cs="Arial"/>
          <w:i/>
        </w:rPr>
        <w:t>Primaria del municipio de Candelaria: C.E.I.P. Igueste, C.E.I.P. Araya, C.E.I.P. Carmen Álvarez de la Rosa, C.E.I.P. Punta Larga y C.E.I.P. Príncipe Felipe”. Además, existen dos centros de enseñanza de secundaria; I.E.S. Punta Larga e I.E.S. Santa Ana, ade</w:t>
      </w:r>
      <w:r>
        <w:rPr>
          <w:rFonts w:ascii="Arial" w:eastAsia="Arial" w:hAnsi="Arial" w:cs="Arial"/>
          <w:i/>
        </w:rPr>
        <w:t xml:space="preserve">más de la Escuela de Adultos del municipio. </w:t>
      </w:r>
    </w:p>
    <w:p w:rsidR="00E23B86" w:rsidRDefault="00BA7C13">
      <w:pPr>
        <w:spacing w:after="151" w:line="251" w:lineRule="auto"/>
        <w:ind w:left="355" w:right="573" w:hanging="10"/>
        <w:jc w:val="both"/>
      </w:pPr>
      <w:r>
        <w:rPr>
          <w:rFonts w:ascii="Arial" w:eastAsia="Arial" w:hAnsi="Arial" w:cs="Arial"/>
          <w:i/>
        </w:rPr>
        <w:t>En lo relativo a recursos sanitarios se encuentran en Candelaria varias farmacias, un Centro de Salud en el casco del municipio de Candelaria y los Consultorios Médicos Periféricos de Barranco Hondo e Igueste. A</w:t>
      </w:r>
      <w:r>
        <w:rPr>
          <w:rFonts w:ascii="Arial" w:eastAsia="Arial" w:hAnsi="Arial" w:cs="Arial"/>
          <w:i/>
        </w:rPr>
        <w:t>unque físicamente no estén en Candelaria, es necesario tener en cuenta que existen recursos externos que atienden a personas del municipio como las Unidades de Atención a las Drogodependencias y recursos en materia de desintoxicación/deshabituación y/o rei</w:t>
      </w:r>
      <w:r>
        <w:rPr>
          <w:rFonts w:ascii="Arial" w:eastAsia="Arial" w:hAnsi="Arial" w:cs="Arial"/>
          <w:i/>
        </w:rPr>
        <w:t>nserción social en general. Por último, es necesario tener en cuenta otros agentes sociales como el Servicio Insular de Atención Integral a la Mujer y la Radio municipal, además de las diferentes asociaciones culturales/vecinales/deportivas y las Fuerzas y</w:t>
      </w:r>
      <w:r>
        <w:rPr>
          <w:rFonts w:ascii="Arial" w:eastAsia="Arial" w:hAnsi="Arial" w:cs="Arial"/>
          <w:i/>
        </w:rPr>
        <w:t xml:space="preserve"> Cuerpos de Seguridad.</w:t>
      </w:r>
    </w:p>
    <w:p w:rsidR="00E23B86" w:rsidRDefault="00BA7C13">
      <w:pPr>
        <w:spacing w:after="111" w:line="251" w:lineRule="auto"/>
        <w:ind w:left="355" w:right="573" w:hanging="10"/>
        <w:jc w:val="both"/>
      </w:pPr>
      <w:r>
        <w:rPr>
          <w:rFonts w:ascii="Arial" w:eastAsia="Arial" w:hAnsi="Arial" w:cs="Arial"/>
          <w:i/>
        </w:rPr>
        <w:t>2.3.1. Contexto demográfico y laboral</w:t>
      </w:r>
    </w:p>
    <w:p w:rsidR="00E23B86" w:rsidRDefault="00BA7C13">
      <w:pPr>
        <w:spacing w:after="482" w:line="251" w:lineRule="auto"/>
        <w:ind w:left="355" w:right="573" w:hanging="10"/>
        <w:jc w:val="both"/>
      </w:pPr>
      <w:r>
        <w:rPr>
          <w:rFonts w:ascii="Arial" w:eastAsia="Arial" w:hAnsi="Arial" w:cs="Arial"/>
          <w:i/>
        </w:rPr>
        <w:t xml:space="preserve">En lo referente a la evolución de la población, en el periodo analizado (2011-2017), en general, la población ha crecido en torno a dos mil personas. Sin embargo, han existido periodos (2013 y 2015), donde la población decreció, si bien en el resto de las </w:t>
      </w:r>
      <w:r>
        <w:rPr>
          <w:rFonts w:ascii="Arial" w:eastAsia="Arial" w:hAnsi="Arial" w:cs="Arial"/>
          <w:i/>
        </w:rPr>
        <w:t>anualidades creció de forma general.  El peso de la población de Candelaria con respecto a la población total de Tenerife, de los años 2010 al 2017, ha ganado peso respecto al total insular. Así, se pasó de un 2,8% en 2010 a un 3% de la población insular e</w:t>
      </w:r>
      <w:r>
        <w:rPr>
          <w:rFonts w:ascii="Arial" w:eastAsia="Arial" w:hAnsi="Arial" w:cs="Arial"/>
          <w:i/>
        </w:rPr>
        <w:t xml:space="preserve">n 2017. </w:t>
      </w:r>
    </w:p>
    <w:p w:rsidR="00E23B86" w:rsidRDefault="00BA7C13">
      <w:pPr>
        <w:spacing w:after="111" w:line="251" w:lineRule="auto"/>
        <w:ind w:left="355" w:right="573" w:hanging="10"/>
        <w:jc w:val="both"/>
      </w:pPr>
      <w:r>
        <w:rPr>
          <w:rFonts w:ascii="Arial" w:eastAsia="Arial" w:hAnsi="Arial" w:cs="Arial"/>
          <w:i/>
        </w:rPr>
        <w:t>Según el sexo de las personas residentes en Candelaria, en general en todo el periodo apenas hay variaciones entre hombres y mujeres, siendo el número de mujeres superior al de hombres, si bien las diferencias son mínimas (51% a 49%).</w:t>
      </w:r>
    </w:p>
    <w:p w:rsidR="00E23B86" w:rsidRDefault="00BA7C13">
      <w:pPr>
        <w:spacing w:after="111" w:line="251" w:lineRule="auto"/>
        <w:ind w:left="355" w:right="573" w:hanging="10"/>
        <w:jc w:val="both"/>
      </w:pPr>
      <w:r>
        <w:rPr>
          <w:rFonts w:ascii="Arial" w:eastAsia="Arial" w:hAnsi="Arial" w:cs="Arial"/>
          <w:i/>
        </w:rPr>
        <w:t>Para determi</w:t>
      </w:r>
      <w:r>
        <w:rPr>
          <w:rFonts w:ascii="Arial" w:eastAsia="Arial" w:hAnsi="Arial" w:cs="Arial"/>
          <w:i/>
        </w:rPr>
        <w:t>nar la evolución de la población de Candelaria según la edad, se han obtenido los índices de juventud y envejecimiento del municipio. Se destaca que en el periodo estudiado (2011-2017), el índice de juventud descendió de un 15,67% a un 15,16%, mientras que</w:t>
      </w:r>
      <w:r>
        <w:rPr>
          <w:rFonts w:ascii="Arial" w:eastAsia="Arial" w:hAnsi="Arial" w:cs="Arial"/>
          <w:i/>
        </w:rPr>
        <w:t xml:space="preserve"> el de envejecimiento subió de 12,18% a 14,72%. Todo ello indica que se está produciendo un progresivo envejecimiento de la población.</w:t>
      </w:r>
    </w:p>
    <w:p w:rsidR="00E23B86" w:rsidRDefault="00BA7C13">
      <w:pPr>
        <w:spacing w:after="111" w:line="251" w:lineRule="auto"/>
        <w:ind w:left="355" w:right="573" w:hanging="10"/>
        <w:jc w:val="both"/>
      </w:pPr>
      <w:r>
        <w:rPr>
          <w:rFonts w:ascii="Arial" w:eastAsia="Arial" w:hAnsi="Arial" w:cs="Arial"/>
          <w:i/>
        </w:rPr>
        <w:t>Respecto al número de desempleados/as, de 2011 a 2018, en general ha mejorado la situación progresivamente. Así, se inici</w:t>
      </w:r>
      <w:r>
        <w:rPr>
          <w:rFonts w:ascii="Arial" w:eastAsia="Arial" w:hAnsi="Arial" w:cs="Arial"/>
          <w:i/>
        </w:rPr>
        <w:t>ó el periodo con más de 2.500 desempleados/as, para aumentar en el periodo más duro de la crisis económica (2012 y 2013), mientras que a partir de esa fecha ha ido progresivamente descendiendo. Analizando el desempleo por sexo, se observa que, si bien part</w:t>
      </w:r>
      <w:r>
        <w:rPr>
          <w:rFonts w:ascii="Arial" w:eastAsia="Arial" w:hAnsi="Arial" w:cs="Arial"/>
          <w:i/>
        </w:rPr>
        <w:t>ieron de un número de desempleados/as similares en 2011, poco a poco con el transcurrir de los años la brecha de género se ha ampliado. Así, en el momento actual es donde más diferencia hay entre el desempleo de hombres y mujeres, perjudicando más a las mu</w:t>
      </w:r>
      <w:r>
        <w:rPr>
          <w:rFonts w:ascii="Arial" w:eastAsia="Arial" w:hAnsi="Arial" w:cs="Arial"/>
          <w:i/>
        </w:rPr>
        <w:t>jeres.</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261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6320" name="Group 51632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634" name="Rectangle 2963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635" name="Rectangle 2963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162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6320" style="width:12.7031pt;height:280.35pt;position:absolute;mso-position-horizontal-relative:page;mso-position-horizontal:absolute;margin-left:681.958pt;mso-position-vertical-relative:page;margin-top:531.65pt;" coordsize="1613,35604">
                <v:rect id="Rectangle 2963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63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162 de 391 </w:t>
                        </w:r>
                      </w:p>
                    </w:txbxContent>
                  </v:textbox>
                </v:rect>
                <w10:wrap type="square"/>
              </v:group>
            </w:pict>
          </mc:Fallback>
        </mc:AlternateContent>
      </w:r>
      <w:r>
        <w:rPr>
          <w:rFonts w:ascii="Arial" w:eastAsia="Arial" w:hAnsi="Arial" w:cs="Arial"/>
          <w:i/>
        </w:rPr>
        <w:t>Por último, respecto al desempleo según grandes gru</w:t>
      </w:r>
      <w:r>
        <w:rPr>
          <w:rFonts w:ascii="Arial" w:eastAsia="Arial" w:hAnsi="Arial" w:cs="Arial"/>
          <w:i/>
        </w:rPr>
        <w:t>pos de edad, en general el número de desempleados/as mayores de 25 años ha ido disminuyendo, mientras que el/la de menores de 25 años se han mantenido estable. Aun así, se aprecia que afecta más a los/as mayores de 25 que a los/as menores de dicha edad.</w:t>
      </w:r>
    </w:p>
    <w:p w:rsidR="00E23B86" w:rsidRDefault="00BA7C13">
      <w:pPr>
        <w:spacing w:after="153" w:line="251" w:lineRule="auto"/>
        <w:ind w:left="355" w:right="573" w:hanging="10"/>
        <w:jc w:val="both"/>
      </w:pPr>
      <w:r>
        <w:rPr>
          <w:rFonts w:ascii="Arial" w:eastAsia="Arial" w:hAnsi="Arial" w:cs="Arial"/>
          <w:i/>
        </w:rPr>
        <w:t>2.</w:t>
      </w:r>
      <w:r>
        <w:rPr>
          <w:rFonts w:ascii="Arial" w:eastAsia="Arial" w:hAnsi="Arial" w:cs="Arial"/>
          <w:i/>
        </w:rPr>
        <w:t>3.2. Análisis de los datos de atención a las drogodependencias</w:t>
      </w:r>
    </w:p>
    <w:p w:rsidR="00E23B86" w:rsidRDefault="00BA7C13">
      <w:pPr>
        <w:spacing w:after="111" w:line="251" w:lineRule="auto"/>
        <w:ind w:left="355" w:right="573" w:hanging="10"/>
        <w:jc w:val="both"/>
      </w:pPr>
      <w:r>
        <w:rPr>
          <w:rFonts w:ascii="Arial" w:eastAsia="Arial" w:hAnsi="Arial" w:cs="Arial"/>
          <w:i/>
        </w:rPr>
        <w:t>Datos de la Unidad de Prevención Municipal</w:t>
      </w:r>
    </w:p>
    <w:p w:rsidR="00E23B86" w:rsidRDefault="00BA7C13">
      <w:pPr>
        <w:spacing w:after="111" w:line="251" w:lineRule="auto"/>
        <w:ind w:left="355" w:right="573" w:hanging="10"/>
        <w:jc w:val="both"/>
      </w:pPr>
      <w:r>
        <w:rPr>
          <w:rFonts w:ascii="Arial" w:eastAsia="Arial" w:hAnsi="Arial" w:cs="Arial"/>
          <w:i/>
        </w:rPr>
        <w:t xml:space="preserve">El año de mayores atenciones fue en 2013, a partir del cual se fue reduciendo hasta el 2017, donde aumentó mínimamente. </w:t>
      </w:r>
    </w:p>
    <w:p w:rsidR="00E23B86" w:rsidRDefault="00BA7C13">
      <w:pPr>
        <w:spacing w:after="111" w:line="251" w:lineRule="auto"/>
        <w:ind w:left="355" w:right="573" w:hanging="10"/>
        <w:jc w:val="both"/>
      </w:pPr>
      <w:r>
        <w:rPr>
          <w:rFonts w:ascii="Arial" w:eastAsia="Arial" w:hAnsi="Arial" w:cs="Arial"/>
          <w:i/>
        </w:rPr>
        <w:t>Según el tipo de droga, en ge</w:t>
      </w:r>
      <w:r>
        <w:rPr>
          <w:rFonts w:ascii="Arial" w:eastAsia="Arial" w:hAnsi="Arial" w:cs="Arial"/>
          <w:i/>
        </w:rPr>
        <w:t>neral en 2013 la mayor atención fue por el cannabis, mientras que poco a poco el perfil que se impone de 2015 en adelante es el de policonsumo. También cabe destacar que en 2017 se detectaron casos de atención a ludopatías.</w:t>
      </w:r>
    </w:p>
    <w:p w:rsidR="00E23B86" w:rsidRDefault="00BA7C13">
      <w:pPr>
        <w:spacing w:after="111" w:line="251" w:lineRule="auto"/>
        <w:ind w:left="355" w:right="573" w:hanging="10"/>
        <w:jc w:val="both"/>
      </w:pPr>
      <w:r>
        <w:rPr>
          <w:rFonts w:ascii="Arial" w:eastAsia="Arial" w:hAnsi="Arial" w:cs="Arial"/>
          <w:i/>
        </w:rPr>
        <w:t>Según el sexo, la gran mayoría d</w:t>
      </w:r>
      <w:r>
        <w:rPr>
          <w:rFonts w:ascii="Arial" w:eastAsia="Arial" w:hAnsi="Arial" w:cs="Arial"/>
          <w:i/>
        </w:rPr>
        <w:t>e las personas atendidas son hombres en todo el periodo analizado.</w:t>
      </w:r>
    </w:p>
    <w:p w:rsidR="00E23B86" w:rsidRDefault="00BA7C13">
      <w:pPr>
        <w:spacing w:after="111" w:line="251" w:lineRule="auto"/>
        <w:ind w:left="355" w:right="573" w:hanging="10"/>
        <w:jc w:val="both"/>
      </w:pPr>
      <w:r>
        <w:rPr>
          <w:rFonts w:ascii="Arial" w:eastAsia="Arial" w:hAnsi="Arial" w:cs="Arial"/>
          <w:i/>
        </w:rPr>
        <w:t>Respecto a la edad, en 2013 la mayor parte son personas de 18 a 30 años, mientras que, en 2014, 2015 y 2017 la mayor parte son de entre 31 y 40 años, sobresaliendo la gran diferencia por ed</w:t>
      </w:r>
      <w:r>
        <w:rPr>
          <w:rFonts w:ascii="Arial" w:eastAsia="Arial" w:hAnsi="Arial" w:cs="Arial"/>
          <w:i/>
        </w:rPr>
        <w:t>ad en ese último año, donde la gran mayoría son personas de 31 a 40 años, muy por encima del resto de intervalos de edad.</w:t>
      </w:r>
    </w:p>
    <w:p w:rsidR="00E23B86" w:rsidRDefault="00BA7C13">
      <w:pPr>
        <w:spacing w:after="111" w:line="251" w:lineRule="auto"/>
        <w:ind w:left="355" w:right="573" w:hanging="10"/>
        <w:jc w:val="both"/>
      </w:pPr>
      <w:r>
        <w:rPr>
          <w:rFonts w:ascii="Arial" w:eastAsia="Arial" w:hAnsi="Arial" w:cs="Arial"/>
          <w:i/>
        </w:rPr>
        <w:t>Datos de los Recursos de Atención a las Drogodependencias</w:t>
      </w:r>
    </w:p>
    <w:p w:rsidR="00E23B86" w:rsidRDefault="00BA7C13">
      <w:pPr>
        <w:spacing w:after="111" w:line="251" w:lineRule="auto"/>
        <w:ind w:left="355" w:right="573" w:hanging="10"/>
        <w:jc w:val="both"/>
      </w:pPr>
      <w:r>
        <w:rPr>
          <w:rFonts w:ascii="Arial" w:eastAsia="Arial" w:hAnsi="Arial" w:cs="Arial"/>
          <w:i/>
        </w:rPr>
        <w:t>En este apartado se muestran los datos ofrecidos por las diferentes entidade</w:t>
      </w:r>
      <w:r>
        <w:rPr>
          <w:rFonts w:ascii="Arial" w:eastAsia="Arial" w:hAnsi="Arial" w:cs="Arial"/>
          <w:i/>
        </w:rPr>
        <w:t>s autorizadas al tratamiento de población con algún tipo de adicción a sustancias como la Asociación San Miguel, Proyecto Hombre y Proyecto Drago. Es necesario tener en cuenta, que se ha tratado de homogeneizar las medidas, pero no ha sido posible en mucho</w:t>
      </w:r>
      <w:r>
        <w:rPr>
          <w:rFonts w:ascii="Arial" w:eastAsia="Arial" w:hAnsi="Arial" w:cs="Arial"/>
          <w:i/>
        </w:rPr>
        <w:t>s casos, por lo que se presentan datos comparables entre sí (por ello, a veces se suprimen años, ya que no se sabe el número total al estar el porcentaje y no el número absoluto).</w:t>
      </w:r>
    </w:p>
    <w:p w:rsidR="00E23B86" w:rsidRDefault="00BA7C13">
      <w:pPr>
        <w:spacing w:after="111" w:line="251" w:lineRule="auto"/>
        <w:ind w:left="355" w:right="573" w:hanging="10"/>
        <w:jc w:val="both"/>
      </w:pPr>
      <w:r>
        <w:rPr>
          <w:rFonts w:ascii="Arial" w:eastAsia="Arial" w:hAnsi="Arial" w:cs="Arial"/>
          <w:i/>
        </w:rPr>
        <w:t>Respecto al periodo analizado, el año en el que más se atendió a personas co</w:t>
      </w:r>
      <w:r>
        <w:rPr>
          <w:rFonts w:ascii="Arial" w:eastAsia="Arial" w:hAnsi="Arial" w:cs="Arial"/>
          <w:i/>
        </w:rPr>
        <w:t xml:space="preserve">n problemáticas de adicciones a drogas de Candelaria fue en 2014, si bien disminuyó en 2015 y aumentó en 2016 y 2017. La entidad que más personas atendió fue San Miguel en la mayor parte de las anualidades, seguida por Proyecto Hombre y Proyecto Drago. </w:t>
      </w:r>
    </w:p>
    <w:p w:rsidR="00E23B86" w:rsidRDefault="00BA7C13">
      <w:pPr>
        <w:spacing w:after="111" w:line="251" w:lineRule="auto"/>
        <w:ind w:left="355" w:right="573" w:hanging="10"/>
        <w:jc w:val="both"/>
      </w:pPr>
      <w:r>
        <w:rPr>
          <w:rFonts w:ascii="Arial" w:eastAsia="Arial" w:hAnsi="Arial" w:cs="Arial"/>
          <w:i/>
        </w:rPr>
        <w:t>Re</w:t>
      </w:r>
      <w:r>
        <w:rPr>
          <w:rFonts w:ascii="Arial" w:eastAsia="Arial" w:hAnsi="Arial" w:cs="Arial"/>
          <w:i/>
        </w:rPr>
        <w:t>specto al perfil general de la persona usuaria de la UAD San Miguel, la sustancia consumida por la mayor parte de los/as atendidos/as en 2016 y 2017 fue por heroína, seguida del alcohol, cannabis y cocaína. Además, la mayor parte son hombres y, por edades,</w:t>
      </w:r>
      <w:r>
        <w:rPr>
          <w:rFonts w:ascii="Arial" w:eastAsia="Arial" w:hAnsi="Arial" w:cs="Arial"/>
          <w:i/>
        </w:rPr>
        <w:t xml:space="preserve"> el grupo mayoritario en 2016 y 2017 es de 31 a 40 años, seguido de los de 41 a 50 y 51 a 60.</w:t>
      </w:r>
    </w:p>
    <w:p w:rsidR="00E23B86" w:rsidRDefault="00BA7C13">
      <w:pPr>
        <w:spacing w:after="111" w:line="251" w:lineRule="auto"/>
        <w:ind w:left="355" w:right="573" w:hanging="10"/>
        <w:jc w:val="both"/>
      </w:pPr>
      <w:r>
        <w:rPr>
          <w:rFonts w:ascii="Arial" w:eastAsia="Arial" w:hAnsi="Arial" w:cs="Arial"/>
          <w:i/>
        </w:rPr>
        <w:t>En lo referido a Proyecto Hombre, la mayor parte de las personas que atienden son por cocaína y cannabis y, según sexo, la mayor parte son hombres. Por otro lado, según edad, la mayor parte son personas de 51 a 60 años.</w:t>
      </w:r>
    </w:p>
    <w:p w:rsidR="00E23B86" w:rsidRDefault="00BA7C13">
      <w:pPr>
        <w:spacing w:after="111" w:line="251" w:lineRule="auto"/>
        <w:ind w:left="355" w:right="573" w:hanging="10"/>
        <w:jc w:val="both"/>
      </w:pPr>
      <w:r>
        <w:rPr>
          <w:rFonts w:ascii="Arial" w:eastAsia="Arial" w:hAnsi="Arial" w:cs="Arial"/>
          <w:i/>
        </w:rPr>
        <w:t xml:space="preserve">Respecto a la atención del Proyecto </w:t>
      </w:r>
      <w:r>
        <w:rPr>
          <w:rFonts w:ascii="Arial" w:eastAsia="Arial" w:hAnsi="Arial" w:cs="Arial"/>
          <w:i/>
        </w:rPr>
        <w:t>Drago, la totalidad de personas atendidas son por adicción al alcohol, siendo fundamentalmente hombres en 2016 y 2017 y con más de 51 años.</w:t>
      </w:r>
    </w:p>
    <w:p w:rsidR="00E23B86" w:rsidRDefault="00BA7C13">
      <w:pPr>
        <w:spacing w:after="8" w:line="251" w:lineRule="auto"/>
        <w:ind w:left="355" w:right="573" w:hanging="10"/>
        <w:jc w:val="both"/>
      </w:pPr>
      <w:r>
        <w:rPr>
          <w:rFonts w:ascii="Arial" w:eastAsia="Arial" w:hAnsi="Arial" w:cs="Arial"/>
          <w:i/>
        </w:rPr>
        <w:t>Datos sobre Atención Farmacéutica</w:t>
      </w:r>
    </w:p>
    <w:p w:rsidR="00E23B86" w:rsidRDefault="00BA7C13">
      <w:pPr>
        <w:spacing w:after="243" w:line="251" w:lineRule="auto"/>
        <w:ind w:left="355" w:right="573" w:hanging="10"/>
        <w:jc w:val="both"/>
      </w:pPr>
      <w:r>
        <w:rPr>
          <w:rFonts w:ascii="Arial" w:eastAsia="Arial" w:hAnsi="Arial" w:cs="Arial"/>
          <w:i/>
        </w:rPr>
        <w:t xml:space="preserve">Respecto a los datos de atención farmacéutica en Candelaria, exceptuando el 2012, </w:t>
      </w:r>
      <w:r>
        <w:rPr>
          <w:rFonts w:ascii="Arial" w:eastAsia="Arial" w:hAnsi="Arial" w:cs="Arial"/>
          <w:i/>
        </w:rPr>
        <w:t>en general las atenciones por drogodependencias fueron entre 11 y 15 personas por año.</w:t>
      </w:r>
    </w:p>
    <w:p w:rsidR="00E23B86" w:rsidRDefault="00BA7C13">
      <w:pPr>
        <w:spacing w:after="8" w:line="251" w:lineRule="auto"/>
        <w:ind w:left="355" w:right="573" w:hanging="10"/>
        <w:jc w:val="both"/>
      </w:pPr>
      <w:r>
        <w:rPr>
          <w:rFonts w:ascii="Arial" w:eastAsia="Arial" w:hAnsi="Arial" w:cs="Arial"/>
          <w:i/>
        </w:rPr>
        <w:t xml:space="preserve">Datos sobre seguridad ciudadana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272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6319" name="Group 51631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697" name="Rectangle 2969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698" name="Rectangle 2969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w:t>
                              </w:r>
                              <w:r>
                                <w:rPr>
                                  <w:rFonts w:ascii="Arial" w:eastAsia="Arial" w:hAnsi="Arial" w:cs="Arial"/>
                                  <w:sz w:val="12"/>
                                </w:rPr>
                                <w:t xml:space="preserve">te desde la plataforma esPublico Gestiona | Página 163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6319" style="width:12.7031pt;height:280.35pt;position:absolute;mso-position-horizontal-relative:page;mso-position-horizontal:absolute;margin-left:681.958pt;mso-position-vertical-relative:page;margin-top:531.65pt;" coordsize="1613,35604">
                <v:rect id="Rectangle 2969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69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163 de 391 </w:t>
                        </w:r>
                      </w:p>
                    </w:txbxContent>
                  </v:textbox>
                </v:rect>
                <w10:wrap type="square"/>
              </v:group>
            </w:pict>
          </mc:Fallback>
        </mc:AlternateContent>
      </w:r>
      <w:r>
        <w:rPr>
          <w:rFonts w:ascii="Arial" w:eastAsia="Arial" w:hAnsi="Arial" w:cs="Arial"/>
          <w:i/>
        </w:rPr>
        <w:t>La mayor parte de las sanciones interpuestas por la Guardia Civil son a hombres en todas las anualidades, excepto en 2014. Según la edad, la mayor parte de las sanciones fueron a personas de en</w:t>
      </w:r>
      <w:r>
        <w:rPr>
          <w:rFonts w:ascii="Arial" w:eastAsia="Arial" w:hAnsi="Arial" w:cs="Arial"/>
          <w:i/>
        </w:rPr>
        <w:t>tre 31 y 40 años. Llama la atención la progresiva disminución de las sanciones a las personas de 18 a 30 años, que no hace más que disminuir de 2013 en adelante. Respecto a la sustancia por la cual la Guardia Civil sanciona, la mayor parte es cocaína, segu</w:t>
      </w:r>
      <w:r>
        <w:rPr>
          <w:rFonts w:ascii="Arial" w:eastAsia="Arial" w:hAnsi="Arial" w:cs="Arial"/>
          <w:i/>
        </w:rPr>
        <w:t xml:space="preserve">ida del cannabis, siendo las mayores incautaciones, las de hachís. </w:t>
      </w:r>
    </w:p>
    <w:p w:rsidR="00E23B86" w:rsidRDefault="00BA7C13">
      <w:pPr>
        <w:spacing w:after="111" w:line="251" w:lineRule="auto"/>
        <w:ind w:left="355" w:right="573" w:hanging="10"/>
        <w:jc w:val="both"/>
      </w:pPr>
      <w:r>
        <w:rPr>
          <w:rFonts w:ascii="Arial" w:eastAsia="Arial" w:hAnsi="Arial" w:cs="Arial"/>
          <w:i/>
        </w:rPr>
        <w:t>En cuanto al número de actas realizadas por la Policía Local, se observa que en el año 2016 y 2017 han disminuido las sanciones. Al igual que ocurría con la Guardia Civil, la mayor parte s</w:t>
      </w:r>
      <w:r>
        <w:rPr>
          <w:rFonts w:ascii="Arial" w:eastAsia="Arial" w:hAnsi="Arial" w:cs="Arial"/>
          <w:i/>
        </w:rPr>
        <w:t>on hombres y las mayores incautaciones son por cannabis. Respecto a la edad, las sanciones a menores de edad han aumentado y las realizadas a mayores de edad han disminuido.</w:t>
      </w:r>
    </w:p>
    <w:p w:rsidR="00E23B86" w:rsidRDefault="00BA7C13">
      <w:pPr>
        <w:spacing w:after="111" w:line="251" w:lineRule="auto"/>
        <w:ind w:left="355" w:right="573" w:hanging="10"/>
        <w:jc w:val="both"/>
      </w:pPr>
      <w:r>
        <w:rPr>
          <w:rFonts w:ascii="Arial" w:eastAsia="Arial" w:hAnsi="Arial" w:cs="Arial"/>
          <w:i/>
        </w:rPr>
        <w:t>Por último, los datos de la Policía Canaria, correspondientes al año 2016, indican</w:t>
      </w:r>
      <w:r>
        <w:rPr>
          <w:rFonts w:ascii="Arial" w:eastAsia="Arial" w:hAnsi="Arial" w:cs="Arial"/>
          <w:i/>
        </w:rPr>
        <w:t xml:space="preserve"> que la mayoría de las sanciones son interpuestas a hombres mayores de edad, principalmente por cannabis.</w:t>
      </w:r>
    </w:p>
    <w:p w:rsidR="00E23B86" w:rsidRDefault="00BA7C13">
      <w:pPr>
        <w:spacing w:after="146" w:line="251" w:lineRule="auto"/>
        <w:ind w:left="355" w:right="573" w:hanging="10"/>
        <w:jc w:val="both"/>
      </w:pPr>
      <w:r>
        <w:rPr>
          <w:rFonts w:ascii="Arial" w:eastAsia="Arial" w:hAnsi="Arial" w:cs="Arial"/>
          <w:i/>
        </w:rPr>
        <w:t xml:space="preserve">Datos sobre hábitos saludables de la población escolarizada en el municipio </w:t>
      </w:r>
    </w:p>
    <w:p w:rsidR="00E23B86" w:rsidRDefault="00BA7C13">
      <w:pPr>
        <w:spacing w:after="111" w:line="251" w:lineRule="auto"/>
        <w:ind w:left="355" w:right="573" w:hanging="10"/>
        <w:jc w:val="both"/>
      </w:pPr>
      <w:r>
        <w:rPr>
          <w:rFonts w:ascii="Arial" w:eastAsia="Arial" w:hAnsi="Arial" w:cs="Arial"/>
          <w:i/>
        </w:rPr>
        <w:t>En relación al alumnado de primaria, se observa que los hábitos de vida d</w:t>
      </w:r>
      <w:r>
        <w:rPr>
          <w:rFonts w:ascii="Arial" w:eastAsia="Arial" w:hAnsi="Arial" w:cs="Arial"/>
          <w:i/>
        </w:rPr>
        <w:t>e los y las menores entrevistados/as se encuentran dentro de los parámetros establecidos para un correcto desarrollo y adquisición de un estilo de vida saludable. Asimismo, respecto a las horas de sueño y descanso, la mitad de las niñas y niños entrevistad</w:t>
      </w:r>
      <w:r>
        <w:rPr>
          <w:rFonts w:ascii="Arial" w:eastAsia="Arial" w:hAnsi="Arial" w:cs="Arial"/>
          <w:i/>
        </w:rPr>
        <w:t>os/as sí cumplen con las horas de sueño recomendadas como saludables, mientras que existe un porcentaje significativo de menores que están por debajo, lo que supone consecuencias negativas para su etapa actual de desarrollo, que pueden manifestarse en situ</w:t>
      </w:r>
      <w:r>
        <w:rPr>
          <w:rFonts w:ascii="Arial" w:eastAsia="Arial" w:hAnsi="Arial" w:cs="Arial"/>
          <w:i/>
        </w:rPr>
        <w:t xml:space="preserve">aciones de riesgo psicológicas, biológicas y conductuales, así como en un bajo rendimiento académico. </w:t>
      </w:r>
    </w:p>
    <w:p w:rsidR="00E23B86" w:rsidRDefault="00BA7C13">
      <w:pPr>
        <w:spacing w:after="111" w:line="251" w:lineRule="auto"/>
        <w:ind w:left="355" w:right="573" w:hanging="10"/>
        <w:jc w:val="both"/>
      </w:pPr>
      <w:r>
        <w:rPr>
          <w:rFonts w:ascii="Arial" w:eastAsia="Arial" w:hAnsi="Arial" w:cs="Arial"/>
          <w:i/>
        </w:rPr>
        <w:t>En cuanto a las actividades y estilos de vida, de los datos recogidos sobre ocio activo son positivos, debido a los beneficios que tiene en el desarrollo</w:t>
      </w:r>
      <w:r>
        <w:rPr>
          <w:rFonts w:ascii="Arial" w:eastAsia="Arial" w:hAnsi="Arial" w:cs="Arial"/>
          <w:i/>
        </w:rPr>
        <w:t xml:space="preserve"> y creación de redes sociales y sistemas de apoyo entre el grupo de iguales en su comunidad y el desarrollo de habilidades sociales. Cabe destacar que el uso de las redes sociales y las TIC, pueden provocar tanto consecuencias negativas (una posible adicci</w:t>
      </w:r>
      <w:r>
        <w:rPr>
          <w:rFonts w:ascii="Arial" w:eastAsia="Arial" w:hAnsi="Arial" w:cs="Arial"/>
          <w:i/>
        </w:rPr>
        <w:t>ón a las mismas), como positivas, siendo esta última una forma de inclusión y relación entre iguales. Por esto, es importante la existencia de acciones preventivas y de sensibilización tanto con los y las menores como con los/as progenitores/as de los y la</w:t>
      </w:r>
      <w:r>
        <w:rPr>
          <w:rFonts w:ascii="Arial" w:eastAsia="Arial" w:hAnsi="Arial" w:cs="Arial"/>
          <w:i/>
        </w:rPr>
        <w:t>s mismos/as, para así dotarles de herramientas que eviten posibles adicciones. Por consiguiente, los datos recogidos muestran que estos/as niños y niñas dedican tiempo diariamente a sus tareas escolares, tres o más días a la semana, lo que resulta muy posi</w:t>
      </w:r>
      <w:r>
        <w:rPr>
          <w:rFonts w:ascii="Arial" w:eastAsia="Arial" w:hAnsi="Arial" w:cs="Arial"/>
          <w:i/>
        </w:rPr>
        <w:t>tivo, ya que dichas actividades son beneficiosas para el desarrollo personal y social de los y las mismos/as.</w:t>
      </w:r>
    </w:p>
    <w:p w:rsidR="00E23B86" w:rsidRDefault="00BA7C13">
      <w:pPr>
        <w:spacing w:after="111" w:line="251" w:lineRule="auto"/>
        <w:ind w:left="355" w:right="573" w:hanging="10"/>
        <w:jc w:val="both"/>
      </w:pPr>
      <w:r>
        <w:rPr>
          <w:rFonts w:ascii="Arial" w:eastAsia="Arial" w:hAnsi="Arial" w:cs="Arial"/>
          <w:i/>
        </w:rPr>
        <w:t>Respecto a las situaciones vividas los últimos seis meses, se muestra un alto porcentaje de menores que en los últimos seis meses han tenido senti</w:t>
      </w:r>
      <w:r>
        <w:rPr>
          <w:rFonts w:ascii="Arial" w:eastAsia="Arial" w:hAnsi="Arial" w:cs="Arial"/>
          <w:i/>
        </w:rPr>
        <w:t>mientos de pena, tristeza y angustia por algún acontecimiento vivido. Este dato llama la atención puesto que, en estas edades, lo esperado es que predominen los sentimientos de bienestar, por encima de circunstancias negativas, además, de ser un factor pro</w:t>
      </w:r>
      <w:r>
        <w:rPr>
          <w:rFonts w:ascii="Arial" w:eastAsia="Arial" w:hAnsi="Arial" w:cs="Arial"/>
          <w:i/>
        </w:rPr>
        <w:t xml:space="preserve">tector ante posibles situaciones de riesgo. </w:t>
      </w:r>
    </w:p>
    <w:p w:rsidR="00E23B86" w:rsidRDefault="00BA7C13">
      <w:pPr>
        <w:spacing w:after="111" w:line="251" w:lineRule="auto"/>
        <w:ind w:left="355" w:right="573" w:hanging="10"/>
        <w:jc w:val="both"/>
      </w:pPr>
      <w:r>
        <w:rPr>
          <w:rFonts w:ascii="Arial" w:eastAsia="Arial" w:hAnsi="Arial" w:cs="Arial"/>
          <w:i/>
        </w:rPr>
        <w:t>En lo referente a la información y el conocimiento del alumnado sobre drogas, se destaca que existe concienciación respecto a las adicciones y sus consecuencias, lo que supone un resultado muy positivo en cuanto</w:t>
      </w:r>
      <w:r>
        <w:rPr>
          <w:rFonts w:ascii="Arial" w:eastAsia="Arial" w:hAnsi="Arial" w:cs="Arial"/>
          <w:i/>
        </w:rPr>
        <w:t xml:space="preserve"> a la sensibilización hacia el consumo que tienen.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282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6455" name="Group 51645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761" name="Rectangle 2976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762" name="Rectangle 2976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164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6455" style="width:12.7031pt;height:280.35pt;position:absolute;mso-position-horizontal-relative:page;mso-position-horizontal:absolute;margin-left:681.958pt;mso-position-vertical-relative:page;margin-top:531.65pt;" coordsize="1613,35604">
                <v:rect id="Rectangle 2976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76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164 de 391 </w:t>
                        </w:r>
                      </w:p>
                    </w:txbxContent>
                  </v:textbox>
                </v:rect>
                <w10:wrap type="square"/>
              </v:group>
            </w:pict>
          </mc:Fallback>
        </mc:AlternateContent>
      </w:r>
      <w:r>
        <w:rPr>
          <w:rFonts w:ascii="Arial" w:eastAsia="Arial" w:hAnsi="Arial" w:cs="Arial"/>
          <w:i/>
        </w:rPr>
        <w:t xml:space="preserve">Tras analizar los resultados obtenidos del estudiantado de secundaria, se observa, que, en relación a los hábitos de vida, estas y estos menores entrevistados/as se encuentran dentro de los parámetros establecidos para un correcto desarrollo y adquisición </w:t>
      </w:r>
      <w:r>
        <w:rPr>
          <w:rFonts w:ascii="Arial" w:eastAsia="Arial" w:hAnsi="Arial" w:cs="Arial"/>
          <w:i/>
        </w:rPr>
        <w:t xml:space="preserve">de un estilo de vida saludable. </w:t>
      </w:r>
    </w:p>
    <w:p w:rsidR="00E23B86" w:rsidRDefault="00BA7C13">
      <w:pPr>
        <w:spacing w:after="111" w:line="251" w:lineRule="auto"/>
        <w:ind w:left="355" w:right="573" w:hanging="10"/>
        <w:jc w:val="both"/>
      </w:pPr>
      <w:r>
        <w:rPr>
          <w:rFonts w:ascii="Arial" w:eastAsia="Arial" w:hAnsi="Arial" w:cs="Arial"/>
          <w:i/>
        </w:rPr>
        <w:t>Asimismo, respecto a las horas de sueño, la mayor parte no cumplen con las horas de sueño recomendadas como saludables. Esto supone consecuencias negativas para su etapa actual de desarrollo, que pueden manifestarse en situ</w:t>
      </w:r>
      <w:r>
        <w:rPr>
          <w:rFonts w:ascii="Arial" w:eastAsia="Arial" w:hAnsi="Arial" w:cs="Arial"/>
          <w:i/>
        </w:rPr>
        <w:t xml:space="preserve">aciones de riesgo psicológicas, biológicas y conductuales, produciéndose a su vez un bajo rendimiento académico. </w:t>
      </w:r>
    </w:p>
    <w:p w:rsidR="00E23B86" w:rsidRDefault="00BA7C13">
      <w:pPr>
        <w:spacing w:after="111" w:line="251" w:lineRule="auto"/>
        <w:ind w:left="355" w:right="573" w:hanging="10"/>
        <w:jc w:val="both"/>
      </w:pPr>
      <w:r>
        <w:rPr>
          <w:rFonts w:ascii="Arial" w:eastAsia="Arial" w:hAnsi="Arial" w:cs="Arial"/>
          <w:i/>
        </w:rPr>
        <w:t>En cuanto a las actividades y sus estilos de vida, los datos recogidos sobre ocio activo son positivos, debido a los beneficios que tienen par</w:t>
      </w:r>
      <w:r>
        <w:rPr>
          <w:rFonts w:ascii="Arial" w:eastAsia="Arial" w:hAnsi="Arial" w:cs="Arial"/>
          <w:i/>
        </w:rPr>
        <w:t xml:space="preserve">a el desarrollo, la creación de redes sociales y los sistemas de apoyo dentro de la comunidad a través del contacto con otros/as iguales, que además supone el desarrollo de habilidades sociales. </w:t>
      </w:r>
    </w:p>
    <w:p w:rsidR="00E23B86" w:rsidRDefault="00BA7C13">
      <w:pPr>
        <w:spacing w:after="111" w:line="251" w:lineRule="auto"/>
        <w:ind w:left="355" w:right="573" w:hanging="10"/>
        <w:jc w:val="both"/>
      </w:pPr>
      <w:r>
        <w:rPr>
          <w:rFonts w:ascii="Arial" w:eastAsia="Arial" w:hAnsi="Arial" w:cs="Arial"/>
          <w:i/>
        </w:rPr>
        <w:t xml:space="preserve">Esto es algo que resulta prácticamente imprescindible en la </w:t>
      </w:r>
      <w:r>
        <w:rPr>
          <w:rFonts w:ascii="Arial" w:eastAsia="Arial" w:hAnsi="Arial" w:cs="Arial"/>
          <w:i/>
        </w:rPr>
        <w:t>edad en la que encuentran las personas objeto de este estudio, las opiniones de sus iguales son muy valoradas en esta edad, supone un paso más en la búsqueda de su identidad y según la elección de las amistades que realizan, la presión que pueden sentir po</w:t>
      </w:r>
      <w:r>
        <w:rPr>
          <w:rFonts w:ascii="Arial" w:eastAsia="Arial" w:hAnsi="Arial" w:cs="Arial"/>
          <w:i/>
        </w:rPr>
        <w:t>r sus iguales pueden ser beneficiosas o perjudiciales, por ello es importante que éstos se sientan apoyados/as, orientados/as y se les ayude a encaminar ese proceso de transición hacia la vida adulta de la mejor manera posible.</w:t>
      </w:r>
    </w:p>
    <w:p w:rsidR="00E23B86" w:rsidRDefault="00BA7C13">
      <w:pPr>
        <w:spacing w:after="111" w:line="251" w:lineRule="auto"/>
        <w:ind w:left="355" w:right="573" w:hanging="10"/>
        <w:jc w:val="both"/>
      </w:pPr>
      <w:r>
        <w:rPr>
          <w:rFonts w:ascii="Arial" w:eastAsia="Arial" w:hAnsi="Arial" w:cs="Arial"/>
          <w:i/>
        </w:rPr>
        <w:t xml:space="preserve">Cabe destacar que el uso de </w:t>
      </w:r>
      <w:r>
        <w:rPr>
          <w:rFonts w:ascii="Arial" w:eastAsia="Arial" w:hAnsi="Arial" w:cs="Arial"/>
          <w:i/>
        </w:rPr>
        <w:t>las redes sociales y las TIC, pueden provocar tanto consecuencias negativas, una posible adicción a las mismas, como positivas, siendo esta última una forma de inclusión y relación entre iguales. Por ello, es importante la existencia de acciones preventiva</w:t>
      </w:r>
      <w:r>
        <w:rPr>
          <w:rFonts w:ascii="Arial" w:eastAsia="Arial" w:hAnsi="Arial" w:cs="Arial"/>
          <w:i/>
        </w:rPr>
        <w:t>s y de sensibilización tanto con los y las menores, como con sus progenitores/as, para así dotarles de herramientas que eviten posibles adicciones. Por consiguiente, los datos recogidos muestran que éstos adolescentes dedican tiempo diariamente a sus tarea</w:t>
      </w:r>
      <w:r>
        <w:rPr>
          <w:rFonts w:ascii="Arial" w:eastAsia="Arial" w:hAnsi="Arial" w:cs="Arial"/>
          <w:i/>
        </w:rPr>
        <w:t>s escolares, tres o más días a la semana, lo que resulta muy positivo, ya que dichas actividades son beneficiosas para su desarrollo personal y social.</w:t>
      </w:r>
    </w:p>
    <w:p w:rsidR="00E23B86" w:rsidRDefault="00BA7C13">
      <w:pPr>
        <w:spacing w:after="111" w:line="251" w:lineRule="auto"/>
        <w:ind w:left="355" w:right="573" w:hanging="10"/>
        <w:jc w:val="both"/>
      </w:pPr>
      <w:r>
        <w:rPr>
          <w:rFonts w:ascii="Arial" w:eastAsia="Arial" w:hAnsi="Arial" w:cs="Arial"/>
          <w:i/>
        </w:rPr>
        <w:t xml:space="preserve">Respecto a las situaciones vividas los últimos seis meses, se muestra un alto porcentaje de menores que </w:t>
      </w:r>
      <w:r>
        <w:rPr>
          <w:rFonts w:ascii="Arial" w:eastAsia="Arial" w:hAnsi="Arial" w:cs="Arial"/>
          <w:i/>
        </w:rPr>
        <w:t>en los últimos seis meses han tenido sentimientos de pena, tristeza y angustia por algún acontecimiento vivido. La adolescencia supone un momento de gran incertidumbre para los chicos y las chicas, ya que con estas edades comienza la transición de la infan</w:t>
      </w:r>
      <w:r>
        <w:rPr>
          <w:rFonts w:ascii="Arial" w:eastAsia="Arial" w:hAnsi="Arial" w:cs="Arial"/>
          <w:i/>
        </w:rPr>
        <w:t>cia a la adultez, aumentando sus responsabilidades, algo que suele generar angustia ante los cambios y la toma de decisiones que suele ser decisivo para su futuro. Los chicos y las chicas suelen agobiarse al no saber responder a las dudas que les surgen en</w:t>
      </w:r>
      <w:r>
        <w:rPr>
          <w:rFonts w:ascii="Arial" w:eastAsia="Arial" w:hAnsi="Arial" w:cs="Arial"/>
          <w:i/>
        </w:rPr>
        <w:t xml:space="preserve"> esta etapa, lo que conlleva que se sientan incomprendidos/as, algo que habitualmente se relaciona con conductas rebeldes y sentimientos encontrados, por ello es importante llevar a cabo acciones que ayuden a los y las adolescentes a regular estos sentimie</w:t>
      </w:r>
      <w:r>
        <w:rPr>
          <w:rFonts w:ascii="Arial" w:eastAsia="Arial" w:hAnsi="Arial" w:cs="Arial"/>
          <w:i/>
        </w:rPr>
        <w:t>ntos, para crecer adecuadamente durante esta complicada etapa de su vida.</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292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7374" name="Group 51737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818" name="Rectangle 2981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819" name="Rectangle 2981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w:t>
                              </w:r>
                              <w:r>
                                <w:rPr>
                                  <w:rFonts w:ascii="Arial" w:eastAsia="Arial" w:hAnsi="Arial" w:cs="Arial"/>
                                  <w:sz w:val="12"/>
                                </w:rPr>
                                <w:t xml:space="preserve">ina 165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7374" style="width:12.7031pt;height:280.35pt;position:absolute;mso-position-horizontal-relative:page;mso-position-horizontal:absolute;margin-left:681.958pt;mso-position-vertical-relative:page;margin-top:531.65pt;" coordsize="1613,35604">
                <v:rect id="Rectangle 2981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81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165 de 391 </w:t>
                        </w:r>
                      </w:p>
                    </w:txbxContent>
                  </v:textbox>
                </v:rect>
                <w10:wrap type="square"/>
              </v:group>
            </w:pict>
          </mc:Fallback>
        </mc:AlternateContent>
      </w:r>
      <w:r>
        <w:rPr>
          <w:rFonts w:ascii="Arial" w:eastAsia="Arial" w:hAnsi="Arial" w:cs="Arial"/>
          <w:i/>
        </w:rPr>
        <w:t>Analizando el consumo de drogas, se destaca el significativo porcentaje de aquellos/as jóvenes que han consumido alcohol alguna vez en su vida, lo que supone un gran riesgo, sobre todo, a su corta edad. Este tipo de actividad puede desencad</w:t>
      </w:r>
      <w:r>
        <w:rPr>
          <w:rFonts w:ascii="Arial" w:eastAsia="Arial" w:hAnsi="Arial" w:cs="Arial"/>
          <w:i/>
        </w:rPr>
        <w:t>enar posibles adicciones futuras puesto que, al ser el alcohol una droga legal en España, se normaliza su consumo obviando las graves consecuencias que puede acarrear. Como se menciona a lo largo del estudio, en esta etapa experimentan una serie de cambios</w:t>
      </w:r>
      <w:r>
        <w:rPr>
          <w:rFonts w:ascii="Arial" w:eastAsia="Arial" w:hAnsi="Arial" w:cs="Arial"/>
          <w:i/>
        </w:rPr>
        <w:t xml:space="preserve"> que hacen de ésta un periodo de inseguridad, donde los y las adolescentes tratan de encontrar su sitio dentro de la sociedad, el alcohol se relaciona normalmente con el ocio y la socialización. Por lo tanto, los altos porcentajes de consumo que se observa</w:t>
      </w:r>
      <w:r>
        <w:rPr>
          <w:rFonts w:ascii="Arial" w:eastAsia="Arial" w:hAnsi="Arial" w:cs="Arial"/>
          <w:i/>
        </w:rPr>
        <w:t>n se pueden relacionar con la normalización que tiene nuestra sociedad de esta sustancia y lo arraigada que está en el día a día.</w:t>
      </w:r>
    </w:p>
    <w:p w:rsidR="00E23B86" w:rsidRDefault="00BA7C13">
      <w:pPr>
        <w:spacing w:after="111" w:line="251" w:lineRule="auto"/>
        <w:ind w:left="355" w:right="573" w:hanging="10"/>
        <w:jc w:val="both"/>
      </w:pPr>
      <w:r>
        <w:rPr>
          <w:rFonts w:ascii="Arial" w:eastAsia="Arial" w:hAnsi="Arial" w:cs="Arial"/>
          <w:i/>
        </w:rPr>
        <w:t>Existe un bajo consumo de cannabis y de drogas de diseño, destacando un bajo porcentaje en ambas, pero aun así altamente signi</w:t>
      </w:r>
      <w:r>
        <w:rPr>
          <w:rFonts w:ascii="Arial" w:eastAsia="Arial" w:hAnsi="Arial" w:cs="Arial"/>
          <w:i/>
        </w:rPr>
        <w:t>ficativo debido a la edad del estudiantado entrevistado.</w:t>
      </w:r>
    </w:p>
    <w:p w:rsidR="00E23B86" w:rsidRDefault="00BA7C13">
      <w:pPr>
        <w:spacing w:after="111" w:line="251" w:lineRule="auto"/>
        <w:ind w:left="355" w:right="573" w:hanging="10"/>
        <w:jc w:val="both"/>
      </w:pPr>
      <w:r>
        <w:rPr>
          <w:rFonts w:ascii="Arial" w:eastAsia="Arial" w:hAnsi="Arial" w:cs="Arial"/>
          <w:i/>
        </w:rPr>
        <w:t>El consumo de cannabis, tabaco y alcohol en las personas jóvenes entrevistadas, es sin duda un gran riesgo para su salud, ya que supone un problema grave para su desarrollo debido a la etapa vital en</w:t>
      </w:r>
      <w:r>
        <w:rPr>
          <w:rFonts w:ascii="Arial" w:eastAsia="Arial" w:hAnsi="Arial" w:cs="Arial"/>
          <w:i/>
        </w:rPr>
        <w:t xml:space="preserve"> la que se encuentran. Este tipo de drogas están cada vez más presentes en sus vidas lo que supone un incentivo para una posible adicción futura. Para combatir esto, es preciso que se establezcan políticas de prevención de las drogas y adicciones dentro de</w:t>
      </w:r>
      <w:r>
        <w:rPr>
          <w:rFonts w:ascii="Arial" w:eastAsia="Arial" w:hAnsi="Arial" w:cs="Arial"/>
          <w:i/>
        </w:rPr>
        <w:t xml:space="preserve">l municipio, focalizadas fundamentalmente en estos jóvenes. </w:t>
      </w:r>
    </w:p>
    <w:p w:rsidR="00E23B86" w:rsidRDefault="00BA7C13">
      <w:pPr>
        <w:spacing w:after="817" w:line="251" w:lineRule="auto"/>
        <w:ind w:left="355" w:right="573" w:hanging="10"/>
        <w:jc w:val="both"/>
      </w:pPr>
      <w:r>
        <w:rPr>
          <w:rFonts w:ascii="Arial" w:eastAsia="Arial" w:hAnsi="Arial" w:cs="Arial"/>
          <w:i/>
        </w:rPr>
        <w:t>Cabe destacar que estos/as jóvenes entrevistados/as señalan que consumen drogas con el fin de divertirse. Por ello, es importante que se desarrollen de tal manera que su personalidad les haga ser</w:t>
      </w:r>
      <w:r>
        <w:rPr>
          <w:rFonts w:ascii="Arial" w:eastAsia="Arial" w:hAnsi="Arial" w:cs="Arial"/>
          <w:i/>
        </w:rPr>
        <w:t xml:space="preserve"> capaces de no tener que optar a las drogas para desinhibirse, relacionarse entre sí y divertirse en su día a día. </w:t>
      </w:r>
    </w:p>
    <w:p w:rsidR="00E23B86" w:rsidRDefault="00BA7C13">
      <w:pPr>
        <w:spacing w:after="242" w:line="251" w:lineRule="auto"/>
        <w:ind w:left="355" w:right="573" w:hanging="10"/>
        <w:jc w:val="both"/>
      </w:pPr>
      <w:r>
        <w:rPr>
          <w:rFonts w:ascii="Arial" w:eastAsia="Arial" w:hAnsi="Arial" w:cs="Arial"/>
          <w:i/>
        </w:rPr>
        <w:t xml:space="preserve">2.4. Recomendaciones para el diseño del IV Plan   </w:t>
      </w:r>
    </w:p>
    <w:p w:rsidR="00E23B86" w:rsidRDefault="00BA7C13">
      <w:pPr>
        <w:spacing w:after="147" w:line="251" w:lineRule="auto"/>
        <w:ind w:left="355" w:right="573" w:hanging="10"/>
        <w:jc w:val="both"/>
      </w:pPr>
      <w:r>
        <w:rPr>
          <w:rFonts w:ascii="Arial" w:eastAsia="Arial" w:hAnsi="Arial" w:cs="Arial"/>
          <w:i/>
        </w:rPr>
        <w:t>Tras los datos anteriormente expuestos, se plantean las siguientes recomendaciones a tener en cuenta para el diseño del IV Plan:</w:t>
      </w:r>
    </w:p>
    <w:p w:rsidR="00E23B86" w:rsidRDefault="00BA7C13">
      <w:pPr>
        <w:numPr>
          <w:ilvl w:val="0"/>
          <w:numId w:val="60"/>
        </w:numPr>
        <w:spacing w:after="153" w:line="251" w:lineRule="auto"/>
        <w:ind w:right="573" w:hanging="360"/>
        <w:jc w:val="both"/>
      </w:pPr>
      <w:r>
        <w:rPr>
          <w:rFonts w:ascii="Arial" w:eastAsia="Arial" w:hAnsi="Arial" w:cs="Arial"/>
          <w:i/>
        </w:rPr>
        <w:t>En las estrategias de prevención se debe priorizar el abordaje prioritario de las sustancias psicoactivas legales o ilegales, y</w:t>
      </w:r>
      <w:r>
        <w:rPr>
          <w:rFonts w:ascii="Arial" w:eastAsia="Arial" w:hAnsi="Arial" w:cs="Arial"/>
          <w:i/>
        </w:rPr>
        <w:t xml:space="preserve"> las adicciones comportamentales relacionadas con la ludopatía (juego presencial y online) y videojuegos, y las adicciones comportamentales relacionadas con las Nuevas Tecnologías (Redes Sociales, Internet), así como otras como el sexo y las compras compul</w:t>
      </w:r>
      <w:r>
        <w:rPr>
          <w:rFonts w:ascii="Arial" w:eastAsia="Arial" w:hAnsi="Arial" w:cs="Arial"/>
          <w:i/>
        </w:rPr>
        <w:t xml:space="preserve">sivas. </w:t>
      </w:r>
    </w:p>
    <w:p w:rsidR="00E23B86" w:rsidRDefault="00BA7C13">
      <w:pPr>
        <w:numPr>
          <w:ilvl w:val="0"/>
          <w:numId w:val="60"/>
        </w:numPr>
        <w:spacing w:after="111" w:line="251" w:lineRule="auto"/>
        <w:ind w:right="573" w:hanging="360"/>
        <w:jc w:val="both"/>
      </w:pPr>
      <w:r>
        <w:rPr>
          <w:rFonts w:ascii="Arial" w:eastAsia="Arial" w:hAnsi="Arial" w:cs="Arial"/>
          <w:i/>
        </w:rPr>
        <w:t xml:space="preserve">La prevención debe trabajarse a tres niveles: universal, selectiva e indicada. </w:t>
      </w:r>
    </w:p>
    <w:p w:rsidR="00E23B86" w:rsidRDefault="00BA7C13">
      <w:pPr>
        <w:numPr>
          <w:ilvl w:val="0"/>
          <w:numId w:val="60"/>
        </w:numPr>
        <w:spacing w:after="146" w:line="251" w:lineRule="auto"/>
        <w:ind w:right="573" w:hanging="360"/>
        <w:jc w:val="both"/>
      </w:pPr>
      <w:r>
        <w:rPr>
          <w:rFonts w:ascii="Arial" w:eastAsia="Arial" w:hAnsi="Arial" w:cs="Arial"/>
          <w:i/>
        </w:rPr>
        <w:t xml:space="preserve">Los ámbitos prioritarios de la prevención deben ser el educativo, familiar, laboral, medios de comunicación, Fuerzas y Cuerpos de Seguridad, Hostelería y Restauración, </w:t>
      </w:r>
      <w:r>
        <w:rPr>
          <w:rFonts w:ascii="Arial" w:eastAsia="Arial" w:hAnsi="Arial" w:cs="Arial"/>
          <w:i/>
        </w:rPr>
        <w:t>Sistema Sanitario, y Prevención Ambiental, y dentro de éste, los Contextos y Espacios de Ocio y la Urbanización Saludable.</w:t>
      </w:r>
    </w:p>
    <w:p w:rsidR="00E23B86" w:rsidRDefault="00BA7C13">
      <w:pPr>
        <w:numPr>
          <w:ilvl w:val="0"/>
          <w:numId w:val="60"/>
        </w:numPr>
        <w:spacing w:after="147" w:line="251" w:lineRule="auto"/>
        <w:ind w:right="573" w:hanging="360"/>
        <w:jc w:val="both"/>
      </w:pPr>
      <w:r>
        <w:rPr>
          <w:rFonts w:ascii="Arial" w:eastAsia="Arial" w:hAnsi="Arial" w:cs="Arial"/>
          <w:i/>
        </w:rPr>
        <w:t>En las estrategias de prevención debe incorporarse el enfoque del trabajo comunitario, pues incluye además del ocio y tiempo libre, l</w:t>
      </w:r>
      <w:r>
        <w:rPr>
          <w:rFonts w:ascii="Arial" w:eastAsia="Arial" w:hAnsi="Arial" w:cs="Arial"/>
          <w:i/>
        </w:rPr>
        <w:t>a prevención ambiental, principalmente, en espacios de ocio comunitario (fiestas locales) y de música y baile (festivales musicales, fiestas multitudinarias públicas o privadas), y debe ser complementada con acciones comunitarias de prevención en el ámbito</w:t>
      </w:r>
      <w:r>
        <w:rPr>
          <w:rFonts w:ascii="Arial" w:eastAsia="Arial" w:hAnsi="Arial" w:cs="Arial"/>
          <w:i/>
        </w:rPr>
        <w:t xml:space="preserve"> local, para reducir los problemas asociados al consumo de alcohol, especialmente en menores. </w:t>
      </w:r>
    </w:p>
    <w:p w:rsidR="00E23B86" w:rsidRDefault="00BA7C13">
      <w:pPr>
        <w:numPr>
          <w:ilvl w:val="0"/>
          <w:numId w:val="60"/>
        </w:numPr>
        <w:spacing w:after="147" w:line="250" w:lineRule="auto"/>
        <w:ind w:right="573" w:hanging="360"/>
        <w:jc w:val="both"/>
      </w:pPr>
      <w:r>
        <w:rPr>
          <w:rFonts w:ascii="Arial" w:eastAsia="Arial" w:hAnsi="Arial" w:cs="Arial"/>
          <w:i/>
        </w:rPr>
        <w:t>Es fundamental apostar y apoyar los programas y acciones para la integración social de las personas con problemáticas de adicción a sustancias que puedan incorpo</w:t>
      </w:r>
      <w:r>
        <w:rPr>
          <w:rFonts w:ascii="Arial" w:eastAsia="Arial" w:hAnsi="Arial" w:cs="Arial"/>
          <w:i/>
        </w:rPr>
        <w:t xml:space="preserve">rarse al empleo y a los que no lo pueden debido a su estado de salud y cronificación de su adicción. </w:t>
      </w:r>
    </w:p>
    <w:p w:rsidR="00E23B86" w:rsidRDefault="00BA7C13">
      <w:pPr>
        <w:numPr>
          <w:ilvl w:val="0"/>
          <w:numId w:val="60"/>
        </w:numPr>
        <w:spacing w:after="146" w:line="251" w:lineRule="auto"/>
        <w:ind w:right="573" w:hanging="360"/>
        <w:jc w:val="both"/>
      </w:pPr>
      <w:r>
        <w:rPr>
          <w:noProof/>
        </w:rPr>
        <mc:AlternateContent>
          <mc:Choice Requires="wpg">
            <w:drawing>
              <wp:anchor distT="0" distB="0" distL="114300" distR="114300" simplePos="0" relativeHeight="2518302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7618" name="Group 51761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29886" name="Rectangle 2988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29887" name="Rectangle 2988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166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7618" style="width:12.7031pt;height:280.35pt;position:absolute;mso-position-horizontal-relative:page;mso-position-horizontal:absolute;margin-left:681.958pt;mso-position-vertical-relative:page;margin-top:531.65pt;" coordsize="1613,35604">
                <v:rect id="Rectangle 2988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2988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166 de 391 </w:t>
                        </w:r>
                      </w:p>
                    </w:txbxContent>
                  </v:textbox>
                </v:rect>
                <w10:wrap type="square"/>
              </v:group>
            </w:pict>
          </mc:Fallback>
        </mc:AlternateContent>
      </w:r>
      <w:r>
        <w:rPr>
          <w:rFonts w:ascii="Arial" w:eastAsia="Arial" w:hAnsi="Arial" w:cs="Arial"/>
          <w:i/>
        </w:rPr>
        <w:t>Reforzar el Plan con la formación y sensibilización social a profesionales del municipio, fomentar una concienciación para que las personas o entidades (deportiv</w:t>
      </w:r>
      <w:r>
        <w:rPr>
          <w:rFonts w:ascii="Arial" w:eastAsia="Arial" w:hAnsi="Arial" w:cs="Arial"/>
          <w:i/>
        </w:rPr>
        <w:t xml:space="preserve">as, comunitarias…) sepan que no pueden vender alcohol en eventos deportivos, etc. </w:t>
      </w:r>
    </w:p>
    <w:p w:rsidR="00E23B86" w:rsidRDefault="00BA7C13">
      <w:pPr>
        <w:numPr>
          <w:ilvl w:val="0"/>
          <w:numId w:val="60"/>
        </w:numPr>
        <w:spacing w:after="147" w:line="251" w:lineRule="auto"/>
        <w:ind w:right="573" w:hanging="360"/>
        <w:jc w:val="both"/>
      </w:pPr>
      <w:r>
        <w:rPr>
          <w:rFonts w:ascii="Arial" w:eastAsia="Arial" w:hAnsi="Arial" w:cs="Arial"/>
          <w:i/>
        </w:rPr>
        <w:t>Insistir en la prevención con población menor y adolescente sobre el consumo del riesgo del alcohol y otras sustancias, junto a una baja percepción del riesgo y “normalizaci</w:t>
      </w:r>
      <w:r>
        <w:rPr>
          <w:rFonts w:ascii="Arial" w:eastAsia="Arial" w:hAnsi="Arial" w:cs="Arial"/>
          <w:i/>
        </w:rPr>
        <w:t>ón” social del consumo lúdico de sustancias (alcohol, cannabis, cocaína, nuevas sustancias psicoactivas, etc.). El consumo en la calle, contribuye a ese aspecto de normalización y banalización, a pesar de que el acceso de menores a los juegos de azar (bare</w:t>
      </w:r>
      <w:r>
        <w:rPr>
          <w:rFonts w:ascii="Arial" w:eastAsia="Arial" w:hAnsi="Arial" w:cs="Arial"/>
          <w:i/>
        </w:rPr>
        <w:t>s, salones sin control de acceso, online, etc.) esté regulado.</w:t>
      </w:r>
    </w:p>
    <w:p w:rsidR="00E23B86" w:rsidRDefault="00BA7C13">
      <w:pPr>
        <w:numPr>
          <w:ilvl w:val="0"/>
          <w:numId w:val="60"/>
        </w:numPr>
        <w:spacing w:after="186" w:line="251" w:lineRule="auto"/>
        <w:ind w:right="573" w:hanging="360"/>
        <w:jc w:val="both"/>
      </w:pPr>
      <w:r>
        <w:rPr>
          <w:rFonts w:ascii="Arial" w:eastAsia="Arial" w:hAnsi="Arial" w:cs="Arial"/>
          <w:i/>
        </w:rPr>
        <w:t>Incorporar en las acciones preventivas a las personas de edad avanzada (como colectivo de riesgo) sobre las que no existen datos suficientes, pero sobre las que sabemos que consumen fármacos (p</w:t>
      </w:r>
      <w:r>
        <w:rPr>
          <w:rFonts w:ascii="Arial" w:eastAsia="Arial" w:hAnsi="Arial" w:cs="Arial"/>
          <w:i/>
        </w:rPr>
        <w:t>sicofármacos, entre ellos) de forma más frecuente que el resto de la población.</w:t>
      </w:r>
    </w:p>
    <w:p w:rsidR="00E23B86" w:rsidRDefault="00BA7C13">
      <w:pPr>
        <w:numPr>
          <w:ilvl w:val="0"/>
          <w:numId w:val="60"/>
        </w:numPr>
        <w:spacing w:after="146" w:line="251" w:lineRule="auto"/>
        <w:ind w:right="573" w:hanging="360"/>
        <w:jc w:val="both"/>
      </w:pPr>
      <w:r>
        <w:rPr>
          <w:rFonts w:ascii="Arial" w:eastAsia="Arial" w:hAnsi="Arial" w:cs="Arial"/>
          <w:i/>
        </w:rPr>
        <w:t>Incorporar la perspectiva de género (Ley Orgánica 3/2007, de 22 de marzo, para la igualdad efectiva de mujeres y hombres, art. 20), como marco analítico, desarrollando las herr</w:t>
      </w:r>
      <w:r>
        <w:rPr>
          <w:rFonts w:ascii="Arial" w:eastAsia="Arial" w:hAnsi="Arial" w:cs="Arial"/>
          <w:i/>
        </w:rPr>
        <w:t>amientas necesarias que permitan visibilizar, analizar y hacer frente a la diferente presentación y afectación de las adicciones en las mujeres y poder hacer un mejor diagnóstico de la realidad, e incorporar las necesidades y realidad de las mujeres en tod</w:t>
      </w:r>
      <w:r>
        <w:rPr>
          <w:rFonts w:ascii="Arial" w:eastAsia="Arial" w:hAnsi="Arial" w:cs="Arial"/>
          <w:i/>
        </w:rPr>
        <w:t>as las acciones e intervenciones estratégicas.</w:t>
      </w:r>
    </w:p>
    <w:p w:rsidR="00E23B86" w:rsidRDefault="00BA7C13">
      <w:pPr>
        <w:numPr>
          <w:ilvl w:val="0"/>
          <w:numId w:val="60"/>
        </w:numPr>
        <w:spacing w:after="111" w:line="251" w:lineRule="auto"/>
        <w:ind w:right="573" w:hanging="360"/>
        <w:jc w:val="both"/>
      </w:pPr>
      <w:r>
        <w:rPr>
          <w:rFonts w:ascii="Arial" w:eastAsia="Arial" w:hAnsi="Arial" w:cs="Arial"/>
          <w:i/>
        </w:rPr>
        <w:t>Trabajar las respuestas preventivas adaptándolas a los nuevos contextos y formas de relación en las que se producen los consumos, especialmente las redes sociales, y aprovechar las oportunidades que dichos con</w:t>
      </w:r>
      <w:r>
        <w:rPr>
          <w:rFonts w:ascii="Arial" w:eastAsia="Arial" w:hAnsi="Arial" w:cs="Arial"/>
          <w:i/>
        </w:rPr>
        <w:t>textos ofrecen para la prevención.</w:t>
      </w:r>
    </w:p>
    <w:p w:rsidR="00E23B86" w:rsidRDefault="00BA7C13">
      <w:pPr>
        <w:numPr>
          <w:ilvl w:val="0"/>
          <w:numId w:val="60"/>
        </w:numPr>
        <w:spacing w:after="111" w:line="251" w:lineRule="auto"/>
        <w:ind w:right="573" w:hanging="360"/>
        <w:jc w:val="both"/>
      </w:pPr>
      <w:r>
        <w:rPr>
          <w:noProof/>
        </w:rPr>
        <mc:AlternateContent>
          <mc:Choice Requires="wpg">
            <w:drawing>
              <wp:anchor distT="0" distB="0" distL="114300" distR="114300" simplePos="0" relativeHeight="251831296"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2670" name="Group 60267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004" name="Rectangle 3000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005" name="Rectangle 3000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167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2670" style="width:12.7031pt;height:280.35pt;position:absolute;mso-position-horizontal-relative:page;mso-position-horizontal:absolute;margin-left:681.958pt;mso-position-vertical-relative:page;margin-top:531.65pt;" coordsize="1613,35604">
                <v:rect id="Rectangle 3000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00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167 de 391 </w:t>
                        </w:r>
                      </w:p>
                    </w:txbxContent>
                  </v:textbox>
                </v:rect>
                <w10:wrap type="topAndBottom"/>
              </v:group>
            </w:pict>
          </mc:Fallback>
        </mc:AlternateContent>
      </w:r>
      <w:r>
        <w:rPr>
          <w:rFonts w:ascii="Arial" w:eastAsia="Arial" w:hAnsi="Arial" w:cs="Arial"/>
          <w:i/>
        </w:rPr>
        <w:t xml:space="preserve">Trabajar la prevención </w:t>
      </w:r>
      <w:r>
        <w:rPr>
          <w:rFonts w:ascii="Arial" w:eastAsia="Arial" w:hAnsi="Arial" w:cs="Arial"/>
          <w:i/>
        </w:rPr>
        <w:t>dado el aumento del uso “patológico” de Internet, los medios digitales y las redes sociales, así como por el papel de las nuevas tecnologías como facilitadoras del acceso y potenciadoras de otras conductas adictivas.</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315"/>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3.</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LOS PRINCIPIOS DEL IV PLAN</w:t>
            </w:r>
          </w:p>
        </w:tc>
      </w:tr>
    </w:tbl>
    <w:p w:rsidR="00E23B86" w:rsidRDefault="00BA7C13">
      <w:pPr>
        <w:spacing w:after="1350" w:line="251" w:lineRule="auto"/>
        <w:ind w:left="355" w:right="573" w:hanging="10"/>
        <w:jc w:val="both"/>
      </w:pPr>
      <w:r>
        <w:rPr>
          <w:rFonts w:ascii="Arial" w:eastAsia="Arial" w:hAnsi="Arial" w:cs="Arial"/>
          <w:i/>
        </w:rPr>
        <w:t>Para este IV Plan, se proponen una serie de principios establecidos desde la Estrategia Nacional sobre Adicciones 2017-2024 y desde el Plan de Acción sobre Adicciones 2018-2020.</w:t>
      </w:r>
    </w:p>
    <w:tbl>
      <w:tblPr>
        <w:tblStyle w:val="TableGrid"/>
        <w:tblW w:w="9613" w:type="dxa"/>
        <w:tblInd w:w="-203" w:type="dxa"/>
        <w:tblCellMar>
          <w:top w:w="0" w:type="dxa"/>
          <w:left w:w="0" w:type="dxa"/>
          <w:bottom w:w="0" w:type="dxa"/>
          <w:right w:w="131" w:type="dxa"/>
        </w:tblCellMar>
        <w:tblLook w:val="04A0" w:firstRow="1" w:lastRow="0" w:firstColumn="1" w:lastColumn="0" w:noHBand="0" w:noVBand="1"/>
      </w:tblPr>
      <w:tblGrid>
        <w:gridCol w:w="1"/>
        <w:gridCol w:w="2564"/>
        <w:gridCol w:w="1"/>
        <w:gridCol w:w="456"/>
        <w:gridCol w:w="1"/>
        <w:gridCol w:w="6590"/>
        <w:gridCol w:w="1"/>
      </w:tblGrid>
      <w:tr w:rsidR="00E23B86">
        <w:trPr>
          <w:gridAfter w:val="1"/>
          <w:trHeight w:val="264"/>
        </w:trPr>
        <w:tc>
          <w:tcPr>
            <w:tcW w:w="2565" w:type="dxa"/>
            <w:gridSpan w:val="2"/>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109"/>
              <w:jc w:val="center"/>
            </w:pPr>
            <w:r>
              <w:rPr>
                <w:rFonts w:ascii="Arial" w:eastAsia="Arial" w:hAnsi="Arial" w:cs="Arial"/>
                <w:i/>
              </w:rPr>
              <w:t>Principios</w:t>
            </w:r>
          </w:p>
        </w:tc>
        <w:tc>
          <w:tcPr>
            <w:tcW w:w="457" w:type="dxa"/>
            <w:gridSpan w:val="2"/>
            <w:tcBorders>
              <w:top w:val="single" w:sz="4" w:space="0" w:color="00000A"/>
              <w:left w:val="single" w:sz="5" w:space="0" w:color="00000A"/>
              <w:bottom w:val="single" w:sz="4" w:space="0" w:color="00000A"/>
              <w:right w:val="nil"/>
            </w:tcBorders>
            <w:shd w:val="clear" w:color="auto" w:fill="BFBFBF"/>
          </w:tcPr>
          <w:p w:rsidR="00E23B86" w:rsidRDefault="00E23B86"/>
        </w:tc>
        <w:tc>
          <w:tcPr>
            <w:tcW w:w="6591" w:type="dxa"/>
            <w:gridSpan w:val="2"/>
            <w:tcBorders>
              <w:top w:val="single" w:sz="4" w:space="0" w:color="00000A"/>
              <w:left w:val="nil"/>
              <w:bottom w:val="single" w:sz="4" w:space="0" w:color="00000A"/>
              <w:right w:val="single" w:sz="5" w:space="0" w:color="00000A"/>
            </w:tcBorders>
            <w:shd w:val="clear" w:color="auto" w:fill="BFBFBF"/>
          </w:tcPr>
          <w:p w:rsidR="00E23B86" w:rsidRDefault="00BA7C13">
            <w:pPr>
              <w:spacing w:after="0"/>
              <w:ind w:right="408"/>
              <w:jc w:val="center"/>
            </w:pPr>
            <w:r>
              <w:rPr>
                <w:rFonts w:ascii="Arial" w:eastAsia="Arial" w:hAnsi="Arial" w:cs="Arial"/>
                <w:i/>
              </w:rPr>
              <w:t xml:space="preserve">Énfasis </w:t>
            </w:r>
          </w:p>
        </w:tc>
      </w:tr>
      <w:tr w:rsidR="00E23B86">
        <w:trPr>
          <w:gridAfter w:val="1"/>
          <w:trHeight w:val="1010"/>
        </w:trPr>
        <w:tc>
          <w:tcPr>
            <w:tcW w:w="2565"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50"/>
              <w:jc w:val="center"/>
            </w:pPr>
            <w:r>
              <w:rPr>
                <w:rFonts w:ascii="Arial" w:eastAsia="Arial" w:hAnsi="Arial" w:cs="Arial"/>
                <w:i/>
              </w:rPr>
              <w:t xml:space="preserve">Enfoque integral </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ind w:right="2"/>
              <w:jc w:val="both"/>
            </w:pPr>
            <w:r>
              <w:rPr>
                <w:rFonts w:ascii="Arial" w:eastAsia="Arial" w:hAnsi="Arial" w:cs="Arial"/>
                <w:i/>
              </w:rPr>
              <w:t xml:space="preserve">Por ser las adicciones un fenómeno multicausal, la respuesta debe ser integral, desde equipos profesionales que trabajan desde un enfoque biopsicosocial. </w:t>
            </w:r>
          </w:p>
        </w:tc>
      </w:tr>
      <w:tr w:rsidR="00E23B86">
        <w:trPr>
          <w:gridAfter w:val="1"/>
          <w:trHeight w:val="789"/>
        </w:trPr>
        <w:tc>
          <w:tcPr>
            <w:tcW w:w="2565"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112"/>
              <w:jc w:val="center"/>
            </w:pPr>
            <w:r>
              <w:rPr>
                <w:rFonts w:ascii="Arial" w:eastAsia="Arial" w:hAnsi="Arial" w:cs="Arial"/>
                <w:i/>
              </w:rPr>
              <w:t>Equidad</w:t>
            </w:r>
          </w:p>
        </w:tc>
        <w:tc>
          <w:tcPr>
            <w:tcW w:w="457" w:type="dxa"/>
            <w:gridSpan w:val="2"/>
            <w:tcBorders>
              <w:top w:val="single" w:sz="4" w:space="0" w:color="00000A"/>
              <w:left w:val="single" w:sz="5" w:space="0" w:color="00000A"/>
              <w:bottom w:val="nil"/>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nil"/>
              <w:right w:val="single" w:sz="5" w:space="0" w:color="00000A"/>
            </w:tcBorders>
            <w:vAlign w:val="center"/>
          </w:tcPr>
          <w:p w:rsidR="00E23B86" w:rsidRDefault="00BA7C13">
            <w:pPr>
              <w:spacing w:after="0"/>
              <w:jc w:val="both"/>
            </w:pPr>
            <w:r>
              <w:rPr>
                <w:rFonts w:ascii="Arial" w:eastAsia="Arial" w:hAnsi="Arial" w:cs="Arial"/>
                <w:i/>
              </w:rPr>
              <w:t>Facilidad de acceso a recursos en igualdad de condiciones y sin discriminación a las prestaciones preventivas, asistenciales.</w:t>
            </w:r>
          </w:p>
        </w:tc>
      </w:tr>
      <w:tr w:rsidR="00E23B86">
        <w:trPr>
          <w:gridAfter w:val="1"/>
          <w:trHeight w:val="595"/>
        </w:trPr>
        <w:tc>
          <w:tcPr>
            <w:tcW w:w="2565" w:type="dxa"/>
            <w:gridSpan w:val="2"/>
            <w:tcBorders>
              <w:top w:val="nil"/>
              <w:left w:val="single" w:sz="4"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nil"/>
              <w:left w:val="nil"/>
              <w:bottom w:val="single" w:sz="4" w:space="0" w:color="00000A"/>
              <w:right w:val="single" w:sz="5" w:space="0" w:color="00000A"/>
            </w:tcBorders>
          </w:tcPr>
          <w:p w:rsidR="00E23B86" w:rsidRDefault="00BA7C13">
            <w:pPr>
              <w:spacing w:after="0"/>
              <w:jc w:val="both"/>
            </w:pPr>
            <w:r>
              <w:rPr>
                <w:rFonts w:ascii="Arial" w:eastAsia="Arial" w:hAnsi="Arial" w:cs="Arial"/>
                <w:i/>
              </w:rPr>
              <w:t>Prioridad con grupos sociales más vulnerables o con mayores dificultades para el acceso.</w:t>
            </w:r>
          </w:p>
        </w:tc>
      </w:tr>
      <w:tr w:rsidR="00E23B86">
        <w:trPr>
          <w:gridAfter w:val="1"/>
          <w:trHeight w:val="1010"/>
        </w:trPr>
        <w:tc>
          <w:tcPr>
            <w:tcW w:w="2565"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148"/>
            </w:pPr>
            <w:r>
              <w:rPr>
                <w:rFonts w:ascii="Arial" w:eastAsia="Arial" w:hAnsi="Arial" w:cs="Arial"/>
                <w:i/>
              </w:rPr>
              <w:t>Perspectiva de Género</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ind w:right="3"/>
              <w:jc w:val="both"/>
            </w:pPr>
            <w:r>
              <w:rPr>
                <w:rFonts w:ascii="Arial" w:eastAsia="Arial" w:hAnsi="Arial" w:cs="Arial"/>
                <w:i/>
              </w:rPr>
              <w:t>Se propone perspectiva de género como marco analítico y de acción, así como de forma específica para visibilizar, analizar y hacer frente a las adicciones de las mujeres.</w:t>
            </w:r>
          </w:p>
        </w:tc>
      </w:tr>
      <w:tr w:rsidR="00E23B86">
        <w:trPr>
          <w:gridAfter w:val="1"/>
          <w:trHeight w:val="1262"/>
        </w:trPr>
        <w:tc>
          <w:tcPr>
            <w:tcW w:w="2565"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109"/>
              <w:jc w:val="center"/>
            </w:pPr>
            <w:r>
              <w:rPr>
                <w:rFonts w:ascii="Arial" w:eastAsia="Arial" w:hAnsi="Arial" w:cs="Arial"/>
                <w:i/>
              </w:rPr>
              <w:t>Transparencia</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ind w:right="6"/>
              <w:jc w:val="both"/>
            </w:pPr>
            <w:r>
              <w:rPr>
                <w:rFonts w:ascii="Arial" w:eastAsia="Arial" w:hAnsi="Arial" w:cs="Arial"/>
                <w:i/>
              </w:rPr>
              <w:t xml:space="preserve">Desde el Plan se continuará y mejorará para una mejor publicidad y difusión de los datos, de los resultados de su análisis, de la investigación y evaluación de los resultados y del impacto de las intervenciones. </w:t>
            </w:r>
          </w:p>
        </w:tc>
      </w:tr>
      <w:tr w:rsidR="00E23B86">
        <w:trPr>
          <w:gridAfter w:val="1"/>
          <w:trHeight w:val="1456"/>
        </w:trPr>
        <w:tc>
          <w:tcPr>
            <w:tcW w:w="2565"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111"/>
              <w:jc w:val="center"/>
            </w:pPr>
            <w:r>
              <w:rPr>
                <w:rFonts w:ascii="Arial" w:eastAsia="Arial" w:hAnsi="Arial" w:cs="Arial"/>
                <w:i/>
              </w:rPr>
              <w:t>Evidencia científica</w:t>
            </w:r>
          </w:p>
        </w:tc>
        <w:tc>
          <w:tcPr>
            <w:tcW w:w="457" w:type="dxa"/>
            <w:gridSpan w:val="2"/>
            <w:tcBorders>
              <w:top w:val="single" w:sz="4" w:space="0" w:color="00000A"/>
              <w:left w:val="single" w:sz="5" w:space="0" w:color="00000A"/>
              <w:bottom w:val="nil"/>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nil"/>
              <w:right w:val="single" w:sz="5" w:space="0" w:color="00000A"/>
            </w:tcBorders>
          </w:tcPr>
          <w:p w:rsidR="00E23B86" w:rsidRDefault="00BA7C13">
            <w:pPr>
              <w:spacing w:after="0"/>
              <w:jc w:val="both"/>
            </w:pPr>
            <w:r>
              <w:rPr>
                <w:rFonts w:ascii="Arial" w:eastAsia="Arial" w:hAnsi="Arial" w:cs="Arial"/>
                <w:i/>
              </w:rPr>
              <w:t>Las acciones dirigidas a prevenir y a disminuir la presencia y los daños asociados a las adicciones, están empíricamente contrastadas, científicamente fundadas y eficientes, persiguiendo resultados realistas y cuantificables que puedan ser evaluados, fomen</w:t>
            </w:r>
            <w:r>
              <w:rPr>
                <w:rFonts w:ascii="Arial" w:eastAsia="Arial" w:hAnsi="Arial" w:cs="Arial"/>
                <w:i/>
              </w:rPr>
              <w:t>tando así las buenas prácticas.</w:t>
            </w:r>
          </w:p>
        </w:tc>
      </w:tr>
      <w:tr w:rsidR="00E23B86">
        <w:trPr>
          <w:gridAfter w:val="1"/>
          <w:trHeight w:val="940"/>
        </w:trPr>
        <w:tc>
          <w:tcPr>
            <w:tcW w:w="2565" w:type="dxa"/>
            <w:gridSpan w:val="2"/>
            <w:tcBorders>
              <w:top w:val="nil"/>
              <w:left w:val="single" w:sz="4"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nil"/>
              <w:left w:val="nil"/>
              <w:bottom w:val="single" w:sz="4" w:space="0" w:color="00000A"/>
              <w:right w:val="single" w:sz="5" w:space="0" w:color="00000A"/>
            </w:tcBorders>
          </w:tcPr>
          <w:p w:rsidR="00E23B86" w:rsidRDefault="00BA7C13">
            <w:pPr>
              <w:spacing w:after="0"/>
              <w:ind w:right="2"/>
              <w:jc w:val="both"/>
            </w:pPr>
            <w:r>
              <w:rPr>
                <w:rFonts w:ascii="Arial" w:eastAsia="Arial" w:hAnsi="Arial" w:cs="Arial"/>
                <w:i/>
              </w:rPr>
              <w:t>Las acciones están apoyadas en metodologías de intervención respaldadas por la comunidad profesional y las recomendaciones de las instituciones.</w:t>
            </w:r>
          </w:p>
        </w:tc>
      </w:tr>
      <w:tr w:rsidR="00E23B86">
        <w:trPr>
          <w:gridAfter w:val="1"/>
          <w:trHeight w:val="790"/>
        </w:trPr>
        <w:tc>
          <w:tcPr>
            <w:tcW w:w="2565"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111"/>
              <w:jc w:val="center"/>
            </w:pPr>
            <w:r>
              <w:rPr>
                <w:rFonts w:ascii="Arial" w:eastAsia="Arial" w:hAnsi="Arial" w:cs="Arial"/>
                <w:i/>
              </w:rPr>
              <w:t>Participación</w:t>
            </w:r>
          </w:p>
        </w:tc>
        <w:tc>
          <w:tcPr>
            <w:tcW w:w="457" w:type="dxa"/>
            <w:gridSpan w:val="2"/>
            <w:tcBorders>
              <w:top w:val="single" w:sz="4" w:space="0" w:color="00000A"/>
              <w:left w:val="single" w:sz="5" w:space="0" w:color="00000A"/>
              <w:bottom w:val="nil"/>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nil"/>
              <w:right w:val="single" w:sz="5" w:space="0" w:color="00000A"/>
            </w:tcBorders>
            <w:vAlign w:val="center"/>
          </w:tcPr>
          <w:p w:rsidR="00E23B86" w:rsidRDefault="00BA7C13">
            <w:pPr>
              <w:spacing w:after="0"/>
              <w:jc w:val="both"/>
            </w:pPr>
            <w:r>
              <w:rPr>
                <w:rFonts w:ascii="Arial" w:eastAsia="Arial" w:hAnsi="Arial" w:cs="Arial"/>
                <w:i/>
              </w:rPr>
              <w:t xml:space="preserve">Información y sensibilización de la sociedad en su conjunto, a fin de que se involucre de forma directa en este tema. </w:t>
            </w:r>
          </w:p>
        </w:tc>
      </w:tr>
      <w:tr w:rsidR="00E23B86">
        <w:trPr>
          <w:gridAfter w:val="1"/>
          <w:trHeight w:val="850"/>
        </w:trPr>
        <w:tc>
          <w:tcPr>
            <w:tcW w:w="2565" w:type="dxa"/>
            <w:gridSpan w:val="2"/>
            <w:tcBorders>
              <w:top w:val="nil"/>
              <w:left w:val="single" w:sz="4"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nil"/>
              <w:left w:val="nil"/>
              <w:bottom w:val="single" w:sz="4" w:space="0" w:color="00000A"/>
              <w:right w:val="single" w:sz="5" w:space="0" w:color="00000A"/>
            </w:tcBorders>
          </w:tcPr>
          <w:p w:rsidR="00E23B86" w:rsidRDefault="00BA7C13">
            <w:pPr>
              <w:spacing w:after="0"/>
              <w:ind w:right="3"/>
              <w:jc w:val="both"/>
            </w:pPr>
            <w:r>
              <w:rPr>
                <w:rFonts w:ascii="Arial" w:eastAsia="Arial" w:hAnsi="Arial" w:cs="Arial"/>
                <w:i/>
              </w:rPr>
              <w:t xml:space="preserve">Se trabaja en la identificación, motivación e implicación activa de los grupos poblacionales que se hallan en situaciones de mayor vulnerabilidad. </w:t>
            </w:r>
          </w:p>
        </w:tc>
      </w:tr>
      <w:tr w:rsidR="00E23B86">
        <w:trPr>
          <w:gridBefore w:val="1"/>
          <w:trHeight w:val="1262"/>
        </w:trPr>
        <w:tc>
          <w:tcPr>
            <w:tcW w:w="2565" w:type="dxa"/>
            <w:gridSpan w:val="2"/>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jc w:val="center"/>
            </w:pPr>
            <w:r>
              <w:rPr>
                <w:rFonts w:ascii="Arial" w:eastAsia="Arial" w:hAnsi="Arial" w:cs="Arial"/>
                <w:i/>
              </w:rPr>
              <w:t>Intersectorialidad e interdisciplinariedad</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5"/>
              <w:jc w:val="center"/>
            </w:pPr>
            <w:r>
              <w:rPr>
                <w:rFonts w:ascii="Times New Roman" w:eastAsia="Times New Roman" w:hAnsi="Times New Roman" w:cs="Times New Roman"/>
              </w:rPr>
              <w:t>-</w:t>
            </w:r>
          </w:p>
        </w:tc>
        <w:tc>
          <w:tcPr>
            <w:tcW w:w="659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jc w:val="both"/>
            </w:pPr>
            <w:r>
              <w:rPr>
                <w:rFonts w:ascii="Arial" w:eastAsia="Arial" w:hAnsi="Arial" w:cs="Arial"/>
                <w:i/>
              </w:rPr>
              <w:t xml:space="preserve">Ofrecer un enfoque y un abordaje multifactorial, intersectorial y multidisciplinar, y aspirar a una optimización de esfuerzos y recursos mediante la coordinación y cooperación de los distintos agentes. </w:t>
            </w:r>
          </w:p>
        </w:tc>
      </w:tr>
      <w:tr w:rsidR="00E23B86">
        <w:trPr>
          <w:gridBefore w:val="1"/>
          <w:trHeight w:val="789"/>
        </w:trPr>
        <w:tc>
          <w:tcPr>
            <w:tcW w:w="2565" w:type="dxa"/>
            <w:gridSpan w:val="2"/>
            <w:tcBorders>
              <w:top w:val="single" w:sz="4" w:space="0" w:color="00000A"/>
              <w:left w:val="single" w:sz="5" w:space="0" w:color="00000A"/>
              <w:bottom w:val="nil"/>
              <w:right w:val="single" w:sz="5" w:space="0" w:color="00000A"/>
            </w:tcBorders>
            <w:vAlign w:val="bottom"/>
          </w:tcPr>
          <w:p w:rsidR="00E23B86" w:rsidRDefault="00BA7C13">
            <w:pPr>
              <w:spacing w:after="0"/>
              <w:ind w:left="111"/>
              <w:jc w:val="center"/>
            </w:pPr>
            <w:r>
              <w:rPr>
                <w:rFonts w:ascii="Arial" w:eastAsia="Arial" w:hAnsi="Arial" w:cs="Arial"/>
                <w:i/>
              </w:rPr>
              <w:t>Calidad</w:t>
            </w:r>
          </w:p>
        </w:tc>
        <w:tc>
          <w:tcPr>
            <w:tcW w:w="457" w:type="dxa"/>
            <w:gridSpan w:val="2"/>
            <w:tcBorders>
              <w:top w:val="single" w:sz="4" w:space="0" w:color="00000A"/>
              <w:left w:val="single" w:sz="5" w:space="0" w:color="00000A"/>
              <w:bottom w:val="nil"/>
              <w:right w:val="nil"/>
            </w:tcBorders>
          </w:tcPr>
          <w:p w:rsidR="00E23B86" w:rsidRDefault="00BA7C13">
            <w:pPr>
              <w:spacing w:after="0"/>
              <w:ind w:left="95"/>
              <w:jc w:val="center"/>
            </w:pPr>
            <w:r>
              <w:rPr>
                <w:rFonts w:ascii="Times New Roman" w:eastAsia="Times New Roman" w:hAnsi="Times New Roman" w:cs="Times New Roman"/>
              </w:rPr>
              <w:t>-</w:t>
            </w:r>
          </w:p>
        </w:tc>
        <w:tc>
          <w:tcPr>
            <w:tcW w:w="6591" w:type="dxa"/>
            <w:gridSpan w:val="2"/>
            <w:tcBorders>
              <w:top w:val="single" w:sz="4" w:space="0" w:color="00000A"/>
              <w:left w:val="nil"/>
              <w:bottom w:val="nil"/>
              <w:right w:val="single" w:sz="5" w:space="0" w:color="00000A"/>
            </w:tcBorders>
            <w:vAlign w:val="center"/>
          </w:tcPr>
          <w:p w:rsidR="00E23B86" w:rsidRDefault="00BA7C13">
            <w:pPr>
              <w:spacing w:after="0"/>
              <w:jc w:val="both"/>
            </w:pPr>
            <w:r>
              <w:rPr>
                <w:rFonts w:ascii="Arial" w:eastAsia="Arial" w:hAnsi="Arial" w:cs="Arial"/>
                <w:i/>
              </w:rPr>
              <w:t xml:space="preserve">Garantizar una acción preventiva a las personas directa o indirectamente afectadas por las adicciones. </w:t>
            </w:r>
          </w:p>
        </w:tc>
      </w:tr>
      <w:tr w:rsidR="00E23B86">
        <w:trPr>
          <w:gridBefore w:val="1"/>
          <w:trHeight w:val="595"/>
        </w:trPr>
        <w:tc>
          <w:tcPr>
            <w:tcW w:w="2565" w:type="dxa"/>
            <w:gridSpan w:val="2"/>
            <w:tcBorders>
              <w:top w:val="nil"/>
              <w:left w:val="single" w:sz="5"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5"/>
              <w:jc w:val="center"/>
            </w:pPr>
            <w:r>
              <w:rPr>
                <w:rFonts w:ascii="Times New Roman" w:eastAsia="Times New Roman" w:hAnsi="Times New Roman" w:cs="Times New Roman"/>
              </w:rPr>
              <w:t>-</w:t>
            </w:r>
          </w:p>
        </w:tc>
        <w:tc>
          <w:tcPr>
            <w:tcW w:w="6591" w:type="dxa"/>
            <w:gridSpan w:val="2"/>
            <w:tcBorders>
              <w:top w:val="nil"/>
              <w:left w:val="nil"/>
              <w:bottom w:val="single" w:sz="4" w:space="0" w:color="00000A"/>
              <w:right w:val="single" w:sz="5" w:space="0" w:color="00000A"/>
            </w:tcBorders>
          </w:tcPr>
          <w:p w:rsidR="00E23B86" w:rsidRDefault="00BA7C13">
            <w:pPr>
              <w:spacing w:after="0"/>
            </w:pPr>
            <w:r>
              <w:rPr>
                <w:rFonts w:ascii="Arial" w:eastAsia="Arial" w:hAnsi="Arial" w:cs="Arial"/>
                <w:i/>
              </w:rPr>
              <w:t>Este principio se respalda en el descrito en la “evidencia científica”.</w:t>
            </w:r>
          </w:p>
        </w:tc>
      </w:tr>
      <w:tr w:rsidR="00E23B86">
        <w:trPr>
          <w:gridBefore w:val="1"/>
          <w:trHeight w:val="1539"/>
        </w:trPr>
        <w:tc>
          <w:tcPr>
            <w:tcW w:w="2565" w:type="dxa"/>
            <w:gridSpan w:val="2"/>
            <w:tcBorders>
              <w:top w:val="single" w:sz="4" w:space="0" w:color="00000A"/>
              <w:left w:val="single" w:sz="5" w:space="0" w:color="00000A"/>
              <w:bottom w:val="single" w:sz="4" w:space="0" w:color="00000A"/>
              <w:right w:val="single" w:sz="5" w:space="0" w:color="00000A"/>
            </w:tcBorders>
          </w:tcPr>
          <w:p w:rsidR="00E23B86" w:rsidRDefault="00BA7C13">
            <w:pPr>
              <w:spacing w:after="0"/>
              <w:ind w:left="51"/>
              <w:jc w:val="center"/>
            </w:pPr>
            <w:r>
              <w:rPr>
                <w:rFonts w:ascii="Arial" w:eastAsia="Arial" w:hAnsi="Arial" w:cs="Arial"/>
                <w:i/>
              </w:rPr>
              <w:t>Eficiencia y sostenibilidad</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102"/>
              <w:jc w:val="center"/>
            </w:pPr>
            <w:r>
              <w:rPr>
                <w:rFonts w:ascii="Times New Roman" w:eastAsia="Times New Roman" w:hAnsi="Times New Roman" w:cs="Times New Roman"/>
                <w:sz w:val="24"/>
              </w:rPr>
              <w:t>-</w:t>
            </w:r>
          </w:p>
        </w:tc>
        <w:tc>
          <w:tcPr>
            <w:tcW w:w="659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jc w:val="both"/>
            </w:pPr>
            <w:r>
              <w:rPr>
                <w:rFonts w:ascii="Arial" w:eastAsia="Arial" w:hAnsi="Arial" w:cs="Arial"/>
                <w:i/>
              </w:rPr>
              <w:t>Apostando por una gestión eficiente de los recursos que garanticen la eficacia y la sostenibilidad del sistema y su evaluación; y que permita asegurar la ejecución de las políticas acordadas, mediante la consignación presupuestaria correspondiente.</w:t>
            </w:r>
          </w:p>
        </w:tc>
      </w:tr>
    </w:tbl>
    <w:p w:rsidR="00E23B86" w:rsidRDefault="00BA7C13">
      <w:pPr>
        <w:spacing w:after="111" w:line="251" w:lineRule="auto"/>
        <w:ind w:left="355" w:right="573" w:hanging="10"/>
        <w:jc w:val="both"/>
      </w:pPr>
      <w:r>
        <w:rPr>
          <w:rFonts w:ascii="Arial" w:eastAsia="Arial" w:hAnsi="Arial" w:cs="Arial"/>
          <w:i/>
        </w:rPr>
        <w:t xml:space="preserve">Fuente: Estrategia Nacional sobre Adicciones 2017 – 2024. </w:t>
      </w:r>
    </w:p>
    <w:tbl>
      <w:tblPr>
        <w:tblStyle w:val="TableGrid"/>
        <w:tblW w:w="8483" w:type="dxa"/>
        <w:tblInd w:w="361" w:type="dxa"/>
        <w:tblCellMar>
          <w:top w:w="42" w:type="dxa"/>
          <w:left w:w="0" w:type="dxa"/>
          <w:bottom w:w="0" w:type="dxa"/>
          <w:right w:w="115" w:type="dxa"/>
        </w:tblCellMar>
        <w:tblLook w:val="04A0" w:firstRow="1" w:lastRow="0" w:firstColumn="1" w:lastColumn="0" w:noHBand="0" w:noVBand="1"/>
      </w:tblPr>
      <w:tblGrid>
        <w:gridCol w:w="677"/>
        <w:gridCol w:w="7806"/>
      </w:tblGrid>
      <w:tr w:rsidR="00E23B86">
        <w:trPr>
          <w:trHeight w:val="339"/>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Times New Roman" w:eastAsia="Times New Roman" w:hAnsi="Times New Roman" w:cs="Times New Roman"/>
                <w:sz w:val="24"/>
              </w:rPr>
              <w:t>4.</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CAMPO DE ACTUACIÓN  </w:t>
            </w:r>
          </w:p>
        </w:tc>
      </w:tr>
    </w:tbl>
    <w:p w:rsidR="00E23B86" w:rsidRDefault="00BA7C13">
      <w:pPr>
        <w:spacing w:after="111" w:line="251" w:lineRule="auto"/>
        <w:ind w:left="355" w:right="573" w:hanging="10"/>
        <w:jc w:val="both"/>
      </w:pPr>
      <w:r>
        <w:rPr>
          <w:rFonts w:ascii="Arial" w:eastAsia="Arial" w:hAnsi="Arial" w:cs="Arial"/>
          <w:i/>
        </w:rPr>
        <w:t>Para este IV Plan, y en consonancia con la Estrategia Nacional sobre Adicciones 2017-2024, la prevención y las acciones para la reducción de riesgos se centrarán en las siguientes adicciones:</w:t>
      </w:r>
    </w:p>
    <w:p w:rsidR="00E23B86" w:rsidRDefault="00BA7C13">
      <w:pPr>
        <w:numPr>
          <w:ilvl w:val="3"/>
          <w:numId w:val="62"/>
        </w:numPr>
        <w:spacing w:after="111" w:line="251" w:lineRule="auto"/>
        <w:ind w:right="573" w:hanging="360"/>
        <w:jc w:val="both"/>
      </w:pPr>
      <w:r>
        <w:rPr>
          <w:rFonts w:ascii="Arial" w:eastAsia="Arial" w:hAnsi="Arial" w:cs="Arial"/>
          <w:i/>
        </w:rPr>
        <w:t>Drogas legales: tabaco, alcohol.</w:t>
      </w:r>
    </w:p>
    <w:p w:rsidR="00E23B86" w:rsidRDefault="00BA7C13">
      <w:pPr>
        <w:numPr>
          <w:ilvl w:val="3"/>
          <w:numId w:val="62"/>
        </w:numPr>
        <w:spacing w:after="111" w:line="251" w:lineRule="auto"/>
        <w:ind w:right="573" w:hanging="360"/>
        <w:jc w:val="both"/>
      </w:pPr>
      <w:r>
        <w:rPr>
          <w:rFonts w:ascii="Arial" w:eastAsia="Arial" w:hAnsi="Arial" w:cs="Arial"/>
          <w:i/>
        </w:rPr>
        <w:t>Fármacos de prescripción médica</w:t>
      </w:r>
      <w:r>
        <w:rPr>
          <w:rFonts w:ascii="Arial" w:eastAsia="Arial" w:hAnsi="Arial" w:cs="Arial"/>
          <w:i/>
        </w:rPr>
        <w:t xml:space="preserve"> y otras sustancias con potencial adictivo.</w:t>
      </w:r>
    </w:p>
    <w:p w:rsidR="00E23B86" w:rsidRDefault="00BA7C13">
      <w:pPr>
        <w:numPr>
          <w:ilvl w:val="3"/>
          <w:numId w:val="62"/>
        </w:numPr>
        <w:spacing w:after="111" w:line="251" w:lineRule="auto"/>
        <w:ind w:right="573" w:hanging="360"/>
        <w:jc w:val="both"/>
      </w:pPr>
      <w:r>
        <w:rPr>
          <w:rFonts w:ascii="Arial" w:eastAsia="Arial" w:hAnsi="Arial" w:cs="Arial"/>
          <w:i/>
        </w:rPr>
        <w:t>Drogas ilegales, incluidas las nuevas sustancias psicoactivas.</w:t>
      </w:r>
    </w:p>
    <w:p w:rsidR="00E23B86" w:rsidRDefault="00BA7C13">
      <w:pPr>
        <w:numPr>
          <w:ilvl w:val="3"/>
          <w:numId w:val="62"/>
        </w:numPr>
        <w:spacing w:after="111" w:line="251" w:lineRule="auto"/>
        <w:ind w:right="573" w:hanging="360"/>
        <w:jc w:val="both"/>
      </w:pPr>
      <w:r>
        <w:rPr>
          <w:rFonts w:ascii="Arial" w:eastAsia="Arial" w:hAnsi="Arial" w:cs="Arial"/>
          <w:i/>
        </w:rPr>
        <w:t>Adicciones comportamentales relacionadas con la ludopatía (juego presencial y online) y videojuegos.</w:t>
      </w:r>
    </w:p>
    <w:p w:rsidR="00E23B86" w:rsidRDefault="00BA7C13">
      <w:pPr>
        <w:numPr>
          <w:ilvl w:val="3"/>
          <w:numId w:val="62"/>
        </w:numPr>
        <w:spacing w:after="111" w:line="251" w:lineRule="auto"/>
        <w:ind w:right="573" w:hanging="360"/>
        <w:jc w:val="both"/>
      </w:pPr>
      <w:r>
        <w:rPr>
          <w:noProof/>
        </w:rPr>
        <mc:AlternateContent>
          <mc:Choice Requires="wpg">
            <w:drawing>
              <wp:anchor distT="0" distB="0" distL="114300" distR="114300" simplePos="0" relativeHeight="2518323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7047" name="Group 57704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105" name="Rectangle 3010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w:t>
                              </w: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106" name="Rectangle 3010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168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7047" style="width:12.7031pt;height:280.35pt;position:absolute;mso-position-horizontal-relative:page;mso-position-horizontal:absolute;margin-left:681.958pt;mso-position-vertical-relative:page;margin-top:531.65pt;" coordsize="1613,35604">
                <v:rect id="Rectangle 3010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10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168 de 391 </w:t>
                        </w:r>
                      </w:p>
                    </w:txbxContent>
                  </v:textbox>
                </v:rect>
                <w10:wrap type="square"/>
              </v:group>
            </w:pict>
          </mc:Fallback>
        </mc:AlternateContent>
      </w:r>
      <w:r>
        <w:rPr>
          <w:rFonts w:ascii="Arial" w:eastAsia="Arial" w:hAnsi="Arial" w:cs="Arial"/>
          <w:i/>
        </w:rPr>
        <w:t>Adicciones comportamentales relacionadas con las Tecnologías de la Información y la Comunicación (Redes Sociales, Internet).</w:t>
      </w:r>
    </w:p>
    <w:tbl>
      <w:tblPr>
        <w:tblStyle w:val="TableGrid"/>
        <w:tblW w:w="8483" w:type="dxa"/>
        <w:tblInd w:w="361" w:type="dxa"/>
        <w:tblCellMar>
          <w:top w:w="42" w:type="dxa"/>
          <w:left w:w="0" w:type="dxa"/>
          <w:bottom w:w="0" w:type="dxa"/>
          <w:right w:w="115" w:type="dxa"/>
        </w:tblCellMar>
        <w:tblLook w:val="04A0" w:firstRow="1" w:lastRow="0" w:firstColumn="1" w:lastColumn="0" w:noHBand="0" w:noVBand="1"/>
      </w:tblPr>
      <w:tblGrid>
        <w:gridCol w:w="677"/>
        <w:gridCol w:w="7806"/>
      </w:tblGrid>
      <w:tr w:rsidR="00E23B86">
        <w:trPr>
          <w:trHeight w:val="607"/>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Times New Roman" w:eastAsia="Times New Roman" w:hAnsi="Times New Roman" w:cs="Times New Roman"/>
                <w:sz w:val="24"/>
              </w:rPr>
              <w:t>5.</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META Y OBJETIVOS GENERALES DEL IV PLAN SOBRE ADICCIONES DE CANDELARIA  </w:t>
            </w:r>
          </w:p>
        </w:tc>
      </w:tr>
    </w:tbl>
    <w:p w:rsidR="00E23B86" w:rsidRDefault="00BA7C13">
      <w:pPr>
        <w:spacing w:after="111" w:line="251" w:lineRule="auto"/>
        <w:ind w:left="355" w:right="573" w:hanging="10"/>
        <w:jc w:val="both"/>
      </w:pPr>
      <w:r>
        <w:rPr>
          <w:rFonts w:ascii="Arial" w:eastAsia="Arial" w:hAnsi="Arial" w:cs="Arial"/>
          <w:i/>
        </w:rPr>
        <w:t>La meta principal de este IV Plan de Adicciones es lograr una comunidad saludable, más informada y sensibilizada ante las drogas y otras adicciones, haciendo énfasis en los siguientes objetivos generales según las áreas de actuación.</w:t>
      </w:r>
    </w:p>
    <w:p w:rsidR="00E23B86" w:rsidRDefault="00BA7C13">
      <w:pPr>
        <w:numPr>
          <w:ilvl w:val="2"/>
          <w:numId w:val="61"/>
        </w:numPr>
        <w:spacing w:after="111" w:line="251" w:lineRule="auto"/>
        <w:ind w:right="573" w:hanging="360"/>
        <w:jc w:val="both"/>
      </w:pPr>
      <w:r>
        <w:rPr>
          <w:rFonts w:ascii="Arial" w:eastAsia="Arial" w:hAnsi="Arial" w:cs="Arial"/>
          <w:i/>
        </w:rPr>
        <w:t>Área de prevención y s</w:t>
      </w:r>
      <w:r>
        <w:rPr>
          <w:rFonts w:ascii="Arial" w:eastAsia="Arial" w:hAnsi="Arial" w:cs="Arial"/>
          <w:i/>
        </w:rPr>
        <w:t xml:space="preserve">ensibilización.  </w:t>
      </w:r>
    </w:p>
    <w:p w:rsidR="00E23B86" w:rsidRDefault="00BA7C13">
      <w:pPr>
        <w:spacing w:after="111" w:line="251" w:lineRule="auto"/>
        <w:ind w:left="1082" w:right="573" w:hanging="10"/>
        <w:jc w:val="both"/>
      </w:pPr>
      <w:r>
        <w:rPr>
          <w:rFonts w:ascii="Arial" w:eastAsia="Arial" w:hAnsi="Arial" w:cs="Arial"/>
          <w:i/>
        </w:rPr>
        <w:t>Objetivo general: potenciar acciones encaminadas a reducir los factores de riesgo y potenciar los de protección frente al consumo de drogas y otras adicciones relacionadas con conductas con potencial adictivo.</w:t>
      </w:r>
    </w:p>
    <w:p w:rsidR="00E23B86" w:rsidRDefault="00BA7C13">
      <w:pPr>
        <w:numPr>
          <w:ilvl w:val="2"/>
          <w:numId w:val="61"/>
        </w:numPr>
        <w:spacing w:after="111" w:line="251" w:lineRule="auto"/>
        <w:ind w:right="573" w:hanging="360"/>
        <w:jc w:val="both"/>
      </w:pPr>
      <w:r>
        <w:rPr>
          <w:rFonts w:ascii="Arial" w:eastAsia="Arial" w:hAnsi="Arial" w:cs="Arial"/>
          <w:i/>
        </w:rPr>
        <w:t>Área de incorporación social</w:t>
      </w:r>
      <w:r>
        <w:rPr>
          <w:rFonts w:ascii="Arial" w:eastAsia="Arial" w:hAnsi="Arial" w:cs="Arial"/>
          <w:i/>
        </w:rPr>
        <w:t>.</w:t>
      </w:r>
    </w:p>
    <w:p w:rsidR="00E23B86" w:rsidRDefault="00BA7C13">
      <w:pPr>
        <w:spacing w:after="111" w:line="251" w:lineRule="auto"/>
        <w:ind w:left="1082" w:right="573" w:hanging="10"/>
        <w:jc w:val="both"/>
      </w:pPr>
      <w:r>
        <w:rPr>
          <w:rFonts w:ascii="Arial" w:eastAsia="Arial" w:hAnsi="Arial" w:cs="Arial"/>
          <w:i/>
        </w:rPr>
        <w:t>Objetivo general: promover la coordinación y participación de los distintos agentes sociales de la comunidad y los recursos existentes, en los procesos de incorporación laboral y social de las personas en situación de riesgo o vulnerabilidad.</w:t>
      </w:r>
    </w:p>
    <w:p w:rsidR="00E23B86" w:rsidRDefault="00BA7C13">
      <w:pPr>
        <w:numPr>
          <w:ilvl w:val="2"/>
          <w:numId w:val="61"/>
        </w:numPr>
        <w:spacing w:after="111" w:line="251" w:lineRule="auto"/>
        <w:ind w:right="573" w:hanging="360"/>
        <w:jc w:val="both"/>
      </w:pPr>
      <w:r>
        <w:rPr>
          <w:rFonts w:ascii="Arial" w:eastAsia="Arial" w:hAnsi="Arial" w:cs="Arial"/>
          <w:i/>
        </w:rPr>
        <w:t xml:space="preserve">Área de soporte y apoyo a los procesos de gestión del IV Plan. </w:t>
      </w:r>
    </w:p>
    <w:p w:rsidR="00E23B86" w:rsidRDefault="00BA7C13">
      <w:pPr>
        <w:spacing w:after="111" w:line="251" w:lineRule="auto"/>
        <w:ind w:left="1082" w:right="573" w:hanging="10"/>
        <w:jc w:val="both"/>
      </w:pPr>
      <w:r>
        <w:rPr>
          <w:rFonts w:ascii="Arial" w:eastAsia="Arial" w:hAnsi="Arial" w:cs="Arial"/>
          <w:i/>
        </w:rPr>
        <w:t>Objetivo general: desarrollar los procesos básicos, de recursos y avanzados de gestión a lo largo de la ejecución de las acciones del IV Plan Municipal, para lograr los objetivos buscados en l</w:t>
      </w:r>
      <w:r>
        <w:rPr>
          <w:rFonts w:ascii="Arial" w:eastAsia="Arial" w:hAnsi="Arial" w:cs="Arial"/>
          <w:i/>
        </w:rPr>
        <w:t>as áreas de prevención e incorporación social.</w:t>
      </w:r>
    </w:p>
    <w:tbl>
      <w:tblPr>
        <w:tblStyle w:val="TableGrid"/>
        <w:tblW w:w="8483" w:type="dxa"/>
        <w:tblInd w:w="361" w:type="dxa"/>
        <w:tblCellMar>
          <w:top w:w="42" w:type="dxa"/>
          <w:left w:w="0" w:type="dxa"/>
          <w:bottom w:w="0" w:type="dxa"/>
          <w:right w:w="115" w:type="dxa"/>
        </w:tblCellMar>
        <w:tblLook w:val="04A0" w:firstRow="1" w:lastRow="0" w:firstColumn="1" w:lastColumn="0" w:noHBand="0" w:noVBand="1"/>
      </w:tblPr>
      <w:tblGrid>
        <w:gridCol w:w="677"/>
        <w:gridCol w:w="7806"/>
      </w:tblGrid>
      <w:tr w:rsidR="00E23B86">
        <w:trPr>
          <w:trHeight w:val="339"/>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Times New Roman" w:eastAsia="Times New Roman" w:hAnsi="Times New Roman" w:cs="Times New Roman"/>
                <w:sz w:val="24"/>
              </w:rPr>
              <w:t>6.</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ÁREAS DE ACTUACIÓN </w:t>
            </w:r>
          </w:p>
        </w:tc>
      </w:tr>
    </w:tbl>
    <w:p w:rsidR="00E23B86" w:rsidRDefault="00BA7C13">
      <w:pPr>
        <w:spacing w:after="271" w:line="251" w:lineRule="auto"/>
        <w:ind w:left="355" w:right="573" w:hanging="10"/>
        <w:jc w:val="both"/>
      </w:pPr>
      <w:r>
        <w:rPr>
          <w:rFonts w:ascii="Arial" w:eastAsia="Arial" w:hAnsi="Arial" w:cs="Arial"/>
          <w:i/>
        </w:rPr>
        <w:t>Para abordar la prevención de las drogodependencias y otras adicciones, se trabajará sobre las tres áreas comentadas anteriormente. Dentro de cada una de estas áreas, se especificarán l</w:t>
      </w:r>
      <w:r>
        <w:rPr>
          <w:rFonts w:ascii="Arial" w:eastAsia="Arial" w:hAnsi="Arial" w:cs="Arial"/>
          <w:i/>
        </w:rPr>
        <w:t>as acciones y medidas por ámbitos, entendidos como el sector, contexto o colectivo al que van dirigidas las acciones. Los ámbitos de actuación son los que propone la Estrategia Nacional sobre Adicciones 2017-2024 y son los siguientes: escolar, familiar y c</w:t>
      </w:r>
      <w:r>
        <w:rPr>
          <w:rFonts w:ascii="Arial" w:eastAsia="Arial" w:hAnsi="Arial" w:cs="Arial"/>
          <w:i/>
        </w:rPr>
        <w:t xml:space="preserve">omunitario. </w:t>
      </w:r>
    </w:p>
    <w:p w:rsidR="00E23B86" w:rsidRDefault="00BA7C13">
      <w:pPr>
        <w:spacing w:after="242" w:line="251" w:lineRule="auto"/>
        <w:ind w:left="355" w:right="573" w:hanging="10"/>
        <w:jc w:val="both"/>
      </w:pPr>
      <w:r>
        <w:rPr>
          <w:rFonts w:ascii="Arial" w:eastAsia="Arial" w:hAnsi="Arial" w:cs="Arial"/>
          <w:i/>
        </w:rPr>
        <w:t xml:space="preserve">6.1. ÁREA DE PREVENCIÓN Y SENSIBILIZACIÓN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333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4026" name="Group 52402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172" name="Rectangle 3017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173" name="Rectangle 3017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169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4026" style="width:12.7031pt;height:280.35pt;position:absolute;mso-position-horizontal-relative:page;mso-position-horizontal:absolute;margin-left:681.958pt;mso-position-vertical-relative:page;margin-top:531.65pt;" coordsize="1613,35604">
                <v:rect id="Rectangle 3017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17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169 de 391 </w:t>
                        </w:r>
                      </w:p>
                    </w:txbxContent>
                  </v:textbox>
                </v:rect>
                <w10:wrap type="square"/>
              </v:group>
            </w:pict>
          </mc:Fallback>
        </mc:AlternateContent>
      </w:r>
      <w:r>
        <w:rPr>
          <w:rFonts w:ascii="Arial" w:eastAsia="Arial" w:hAnsi="Arial" w:cs="Arial"/>
          <w:i/>
        </w:rPr>
        <w:t>La prevención y sensibilización entendida como todas aquellas acciones e intervenciones dirigidas a reducir los factores de riesgo (evitar el consumo experimental y esporádico y que éste no se convierta en continuado y provoque daños) y potenciar los facto</w:t>
      </w:r>
      <w:r>
        <w:rPr>
          <w:rFonts w:ascii="Arial" w:eastAsia="Arial" w:hAnsi="Arial" w:cs="Arial"/>
          <w:i/>
        </w:rPr>
        <w:t>res de protección (estilo de vida saludable, ocio y tiempo libre, formación…).</w:t>
      </w:r>
    </w:p>
    <w:p w:rsidR="00E23B86" w:rsidRDefault="00BA7C13">
      <w:pPr>
        <w:spacing w:after="111" w:line="251" w:lineRule="auto"/>
        <w:ind w:left="355" w:right="573" w:hanging="10"/>
        <w:jc w:val="both"/>
      </w:pPr>
      <w:r>
        <w:rPr>
          <w:rFonts w:ascii="Arial" w:eastAsia="Arial" w:hAnsi="Arial" w:cs="Arial"/>
          <w:i/>
        </w:rPr>
        <w:t>Las intervenciones preventivas propuestas se clasifican en tres niveles, en función de la población a las que van dirigidas:</w:t>
      </w:r>
    </w:p>
    <w:p w:rsidR="00E23B86" w:rsidRDefault="00BA7C13">
      <w:pPr>
        <w:numPr>
          <w:ilvl w:val="0"/>
          <w:numId w:val="63"/>
        </w:numPr>
        <w:spacing w:after="482" w:line="251" w:lineRule="auto"/>
        <w:ind w:right="573" w:hanging="360"/>
        <w:jc w:val="both"/>
      </w:pPr>
      <w:r>
        <w:rPr>
          <w:rFonts w:ascii="Arial" w:eastAsia="Arial" w:hAnsi="Arial" w:cs="Arial"/>
          <w:i/>
        </w:rPr>
        <w:t>Universal: acciones dirigidas para toda la población</w:t>
      </w:r>
      <w:r>
        <w:rPr>
          <w:rFonts w:ascii="Arial" w:eastAsia="Arial" w:hAnsi="Arial" w:cs="Arial"/>
          <w:i/>
        </w:rPr>
        <w:t xml:space="preserve"> dentro del ámbito concreto (educativo, laboral, familiar).</w:t>
      </w:r>
    </w:p>
    <w:p w:rsidR="00E23B86" w:rsidRDefault="00BA7C13">
      <w:pPr>
        <w:numPr>
          <w:ilvl w:val="0"/>
          <w:numId w:val="63"/>
        </w:numPr>
        <w:spacing w:after="111" w:line="251" w:lineRule="auto"/>
        <w:ind w:right="573" w:hanging="360"/>
        <w:jc w:val="both"/>
      </w:pPr>
      <w:r>
        <w:rPr>
          <w:rFonts w:ascii="Arial" w:eastAsia="Arial" w:hAnsi="Arial" w:cs="Arial"/>
          <w:i/>
        </w:rPr>
        <w:t>Selectiva: acciones dirigidas a un subgrupo o colectivo que presentan unas características que lo hacen potencial consumidor.</w:t>
      </w:r>
    </w:p>
    <w:p w:rsidR="00E23B86" w:rsidRDefault="00BA7C13">
      <w:pPr>
        <w:numPr>
          <w:ilvl w:val="0"/>
          <w:numId w:val="63"/>
        </w:numPr>
        <w:spacing w:after="149" w:line="251" w:lineRule="auto"/>
        <w:ind w:right="573" w:hanging="360"/>
        <w:jc w:val="both"/>
      </w:pPr>
      <w:r>
        <w:rPr>
          <w:rFonts w:ascii="Arial" w:eastAsia="Arial" w:hAnsi="Arial" w:cs="Arial"/>
          <w:i/>
        </w:rPr>
        <w:t>Indicada: acciones dirigidas a un subgrupo con conductas o problemas y</w:t>
      </w:r>
      <w:r>
        <w:rPr>
          <w:rFonts w:ascii="Arial" w:eastAsia="Arial" w:hAnsi="Arial" w:cs="Arial"/>
          <w:i/>
        </w:rPr>
        <w:t xml:space="preserve">a de consumo de sustancias y donde existe una relación problemática con las adicciones. </w:t>
      </w:r>
    </w:p>
    <w:p w:rsidR="00E23B86" w:rsidRDefault="00BA7C13">
      <w:pPr>
        <w:spacing w:after="111" w:line="251" w:lineRule="auto"/>
        <w:ind w:left="355" w:right="573" w:hanging="10"/>
        <w:jc w:val="both"/>
      </w:pPr>
      <w:r>
        <w:rPr>
          <w:rFonts w:ascii="Arial" w:eastAsia="Arial" w:hAnsi="Arial" w:cs="Arial"/>
          <w:i/>
        </w:rPr>
        <w:t xml:space="preserve">6.1.1. Ámbito Educativo </w:t>
      </w:r>
    </w:p>
    <w:p w:rsidR="00E23B86" w:rsidRDefault="00BA7C13">
      <w:pPr>
        <w:spacing w:after="483" w:line="251" w:lineRule="auto"/>
        <w:ind w:left="355" w:right="573" w:hanging="10"/>
        <w:jc w:val="both"/>
      </w:pPr>
      <w:r>
        <w:rPr>
          <w:rFonts w:ascii="Arial" w:eastAsia="Arial" w:hAnsi="Arial" w:cs="Arial"/>
          <w:i/>
        </w:rPr>
        <w:t xml:space="preserve">Para este ámbito se proponen acciones encaminadas a la prevención del consumo de drogas y otras adicciones en el ámbito educativo formal. Son </w:t>
      </w:r>
      <w:r>
        <w:rPr>
          <w:rFonts w:ascii="Arial" w:eastAsia="Arial" w:hAnsi="Arial" w:cs="Arial"/>
          <w:i/>
        </w:rPr>
        <w:t xml:space="preserve">necesarias estas acciones para prevenir el riesgo y que no suceda el consumo en estas edades tempranas.  Las acciones van dirigidas al estudiantado, profesorado, padres, madres, y/o tutores/as legales.  </w:t>
      </w:r>
    </w:p>
    <w:p w:rsidR="00E23B86" w:rsidRDefault="00BA7C13">
      <w:pPr>
        <w:spacing w:after="111" w:line="251" w:lineRule="auto"/>
        <w:ind w:left="355" w:right="573" w:hanging="10"/>
        <w:jc w:val="both"/>
      </w:pPr>
      <w:r>
        <w:rPr>
          <w:rFonts w:ascii="Arial" w:eastAsia="Arial" w:hAnsi="Arial" w:cs="Arial"/>
          <w:i/>
        </w:rPr>
        <w:t>Objetivo general</w:t>
      </w:r>
    </w:p>
    <w:p w:rsidR="00E23B86" w:rsidRDefault="00BA7C13">
      <w:pPr>
        <w:spacing w:after="213" w:line="251" w:lineRule="auto"/>
        <w:ind w:left="355" w:right="573" w:hanging="10"/>
        <w:jc w:val="both"/>
      </w:pPr>
      <w:r>
        <w:rPr>
          <w:noProof/>
        </w:rPr>
        <mc:AlternateContent>
          <mc:Choice Requires="wpg">
            <w:drawing>
              <wp:anchor distT="0" distB="0" distL="114300" distR="114300" simplePos="0" relativeHeight="2518343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0798" name="Group 60079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269" name="Rectangle 3026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270" name="Rectangle 3027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170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0798" style="width:12.7031pt;height:280.35pt;position:absolute;mso-position-horizontal-relative:page;mso-position-horizontal:absolute;margin-left:681.958pt;mso-position-vertical-relative:page;margin-top:531.65pt;" coordsize="1613,35604">
                <v:rect id="Rectangle 3026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27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170 de 391 </w:t>
                        </w:r>
                      </w:p>
                    </w:txbxContent>
                  </v:textbox>
                </v:rect>
                <w10:wrap type="square"/>
              </v:group>
            </w:pict>
          </mc:Fallback>
        </mc:AlternateContent>
      </w:r>
      <w:r>
        <w:rPr>
          <w:rFonts w:ascii="Arial" w:eastAsia="Arial" w:hAnsi="Arial" w:cs="Arial"/>
          <w:i/>
        </w:rPr>
        <w:t>Llevar a cabo acciones y medidas preventivas en el ámbito esc</w:t>
      </w:r>
      <w:r>
        <w:rPr>
          <w:rFonts w:ascii="Arial" w:eastAsia="Arial" w:hAnsi="Arial" w:cs="Arial"/>
          <w:i/>
        </w:rPr>
        <w:t>olar de manera conjunta entre profesorado, padres/madres/tutores/as y estudiantado, destinadas a reducir los factores de riesgo y potenciar los de protección, frente a las drogas y las nuevas adicciones.</w:t>
      </w:r>
    </w:p>
    <w:tbl>
      <w:tblPr>
        <w:tblStyle w:val="TableGrid"/>
        <w:tblW w:w="9341" w:type="dxa"/>
        <w:tblInd w:w="-67" w:type="dxa"/>
        <w:tblCellMar>
          <w:top w:w="13" w:type="dxa"/>
          <w:left w:w="109" w:type="dxa"/>
          <w:bottom w:w="0" w:type="dxa"/>
          <w:right w:w="132" w:type="dxa"/>
        </w:tblCellMar>
        <w:tblLook w:val="04A0" w:firstRow="1" w:lastRow="0" w:firstColumn="1" w:lastColumn="0" w:noHBand="0" w:noVBand="1"/>
      </w:tblPr>
      <w:tblGrid>
        <w:gridCol w:w="6182"/>
        <w:gridCol w:w="3158"/>
      </w:tblGrid>
      <w:tr w:rsidR="00E23B86">
        <w:trPr>
          <w:trHeight w:val="454"/>
        </w:trPr>
        <w:tc>
          <w:tcPr>
            <w:tcW w:w="6182" w:type="dxa"/>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jc w:val="center"/>
            </w:pPr>
            <w:r>
              <w:rPr>
                <w:rFonts w:ascii="Arial" w:eastAsia="Arial" w:hAnsi="Arial" w:cs="Arial"/>
                <w:i/>
              </w:rPr>
              <w:t>Actuaciones a desarrollar según nivel de prevención</w:t>
            </w:r>
          </w:p>
        </w:tc>
        <w:tc>
          <w:tcPr>
            <w:tcW w:w="3158" w:type="dxa"/>
            <w:tcBorders>
              <w:top w:val="nil"/>
              <w:left w:val="single" w:sz="4" w:space="0" w:color="00000A"/>
              <w:bottom w:val="single" w:sz="4" w:space="0" w:color="00000A"/>
              <w:right w:val="nil"/>
            </w:tcBorders>
          </w:tcPr>
          <w:p w:rsidR="00E23B86" w:rsidRDefault="00E23B86"/>
        </w:tc>
      </w:tr>
      <w:tr w:rsidR="00E23B86">
        <w:trPr>
          <w:trHeight w:val="454"/>
        </w:trPr>
        <w:tc>
          <w:tcPr>
            <w:tcW w:w="9341" w:type="dxa"/>
            <w:gridSpan w:val="2"/>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2"/>
              <w:jc w:val="center"/>
            </w:pPr>
            <w:r>
              <w:rPr>
                <w:rFonts w:ascii="Arial" w:eastAsia="Arial" w:hAnsi="Arial" w:cs="Arial"/>
                <w:i/>
              </w:rPr>
              <w:t>Actuación</w:t>
            </w:r>
          </w:p>
        </w:tc>
      </w:tr>
      <w:tr w:rsidR="00E23B86">
        <w:trPr>
          <w:trHeight w:val="1022"/>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5"/>
              <w:jc w:val="both"/>
            </w:pPr>
            <w:r>
              <w:rPr>
                <w:rFonts w:ascii="Arial" w:eastAsia="Arial" w:hAnsi="Arial" w:cs="Arial"/>
                <w:i/>
              </w:rPr>
              <w:t>Acción E1. Diseño e implementación de programas, proyectos y actividades preventivas dentro del espacio escolar, con la implicación de profesorado, padres, madres y/o tutores/as legales destinados a mejorar la competencia social del estudiantado ante los r</w:t>
            </w:r>
            <w:r>
              <w:rPr>
                <w:rFonts w:ascii="Arial" w:eastAsia="Arial" w:hAnsi="Arial" w:cs="Arial"/>
                <w:i/>
              </w:rPr>
              <w:t xml:space="preserve">iegos de consumo y adicciones. </w:t>
            </w:r>
          </w:p>
        </w:tc>
      </w:tr>
      <w:tr w:rsidR="00E23B86">
        <w:trPr>
          <w:trHeight w:val="768"/>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jc w:val="both"/>
            </w:pPr>
            <w:r>
              <w:rPr>
                <w:rFonts w:ascii="Arial" w:eastAsia="Arial" w:hAnsi="Arial" w:cs="Arial"/>
                <w:i/>
              </w:rPr>
              <w:t>Acción E2. Poner en marcha programas o proyectos de intervención temprana  dirigidos a menores adolescentes, que presentan dentro o fuera  del contexto escolar conductas de riesgo.</w:t>
            </w:r>
          </w:p>
        </w:tc>
      </w:tr>
      <w:tr w:rsidR="00E23B86">
        <w:trPr>
          <w:trHeight w:val="770"/>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9"/>
              <w:jc w:val="both"/>
            </w:pPr>
            <w:r>
              <w:rPr>
                <w:rFonts w:ascii="Arial" w:eastAsia="Arial" w:hAnsi="Arial" w:cs="Arial"/>
                <w:i/>
              </w:rPr>
              <w:t>Acción E3. Ofertar a los centros educativos un proyecto/programa de orientación personalizada, ya sea de manera individual o grupal, dirigido a estudiantes que presentan vulnerabilidad ante riesgo de consumo o  adicciones.</w:t>
            </w:r>
          </w:p>
        </w:tc>
      </w:tr>
      <w:tr w:rsidR="00E23B86">
        <w:trPr>
          <w:trHeight w:val="768"/>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3"/>
              <w:jc w:val="both"/>
            </w:pPr>
            <w:r>
              <w:rPr>
                <w:rFonts w:ascii="Arial" w:eastAsia="Arial" w:hAnsi="Arial" w:cs="Arial"/>
                <w:i/>
              </w:rPr>
              <w:t xml:space="preserve">Acción E4. Llevar a cabo durante el desarrollo del curso académico y en coordinación con profesorado, estudiantado y progenitores/as y/o tutores/as, campañas específicas destinadas al estudiantado, sobre factores de riesgo y protección de la salud. </w:t>
            </w:r>
          </w:p>
        </w:tc>
      </w:tr>
      <w:tr w:rsidR="00E23B86">
        <w:trPr>
          <w:trHeight w:val="770"/>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2"/>
              <w:jc w:val="both"/>
            </w:pPr>
            <w:r>
              <w:rPr>
                <w:rFonts w:ascii="Arial" w:eastAsia="Arial" w:hAnsi="Arial" w:cs="Arial"/>
                <w:i/>
              </w:rPr>
              <w:t>Acció</w:t>
            </w:r>
            <w:r>
              <w:rPr>
                <w:rFonts w:ascii="Arial" w:eastAsia="Arial" w:hAnsi="Arial" w:cs="Arial"/>
                <w:i/>
              </w:rPr>
              <w:t>n E5. Ofertar espacios de encuentro y formación al profesorado, sobre herramientas de detección y actuación ante situaciones de riesgo relacionadas con el consumo de drogas y las adicciones.</w:t>
            </w:r>
          </w:p>
        </w:tc>
      </w:tr>
      <w:tr w:rsidR="00E23B86">
        <w:trPr>
          <w:trHeight w:val="768"/>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4"/>
              <w:jc w:val="both"/>
            </w:pPr>
            <w:r>
              <w:rPr>
                <w:rFonts w:ascii="Arial" w:eastAsia="Arial" w:hAnsi="Arial" w:cs="Arial"/>
                <w:i/>
              </w:rPr>
              <w:t xml:space="preserve">Acción E6.  Prestar un apoyo y asesoramiento al profesorado que </w:t>
            </w:r>
            <w:r>
              <w:rPr>
                <w:rFonts w:ascii="Arial" w:eastAsia="Arial" w:hAnsi="Arial" w:cs="Arial"/>
                <w:i/>
              </w:rPr>
              <w:t xml:space="preserve">participa en las acciones preventivas, para ayudarles a mejorar las actuaciones y aportar nuevas herramientas preventivas. </w:t>
            </w:r>
          </w:p>
        </w:tc>
      </w:tr>
      <w:tr w:rsidR="00E23B86">
        <w:trPr>
          <w:trHeight w:val="1023"/>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1"/>
              <w:jc w:val="both"/>
            </w:pPr>
            <w:r>
              <w:rPr>
                <w:rFonts w:ascii="Arial" w:eastAsia="Arial" w:hAnsi="Arial" w:cs="Arial"/>
                <w:i/>
              </w:rPr>
              <w:t>Acción E7.  Crear un espacio y sistema de coordinación entre equipos docentes de los centros educativos y profesionales externos que intervienen, para evaluar resultados, potenciar la participación, análisis de necesidades y la búsqueda de soluciones viabl</w:t>
            </w:r>
            <w:r>
              <w:rPr>
                <w:rFonts w:ascii="Arial" w:eastAsia="Arial" w:hAnsi="Arial" w:cs="Arial"/>
                <w:i/>
              </w:rPr>
              <w:t xml:space="preserve">es para la prevención de adicciones y promoción de la salud en los centros. </w:t>
            </w:r>
          </w:p>
        </w:tc>
      </w:tr>
    </w:tbl>
    <w:p w:rsidR="00E23B86" w:rsidRDefault="00BA7C13">
      <w:pPr>
        <w:spacing w:after="141"/>
        <w:ind w:left="352"/>
      </w:pPr>
      <w:r>
        <w:rPr>
          <w:rFonts w:ascii="Arial" w:eastAsia="Arial" w:hAnsi="Arial" w:cs="Arial"/>
          <w:i/>
        </w:rPr>
        <w:t xml:space="preserve">   </w:t>
      </w:r>
    </w:p>
    <w:p w:rsidR="00E23B86" w:rsidRDefault="00BA7C13">
      <w:pPr>
        <w:spacing w:after="111" w:line="251" w:lineRule="auto"/>
        <w:ind w:left="355" w:right="573" w:hanging="10"/>
        <w:jc w:val="both"/>
      </w:pPr>
      <w:r>
        <w:rPr>
          <w:rFonts w:ascii="Arial" w:eastAsia="Arial" w:hAnsi="Arial" w:cs="Arial"/>
          <w:i/>
        </w:rPr>
        <w:t xml:space="preserve">6.1.2. Ámbito Familiar </w:t>
      </w:r>
    </w:p>
    <w:p w:rsidR="00E23B86" w:rsidRDefault="00BA7C13">
      <w:pPr>
        <w:spacing w:after="483" w:line="251" w:lineRule="auto"/>
        <w:ind w:left="355" w:right="573" w:hanging="10"/>
        <w:jc w:val="both"/>
      </w:pPr>
      <w:r>
        <w:rPr>
          <w:rFonts w:ascii="Arial" w:eastAsia="Arial" w:hAnsi="Arial" w:cs="Arial"/>
          <w:i/>
        </w:rPr>
        <w:t>La familia es considerada el agente de la socialización primaria y en ella es donde se construye el carácter, personalidad, valores, de los niños y las niñas. La prevención centrada en la familia es clave para promover estilos de vida sana en sus miembros/</w:t>
      </w:r>
      <w:r>
        <w:rPr>
          <w:rFonts w:ascii="Arial" w:eastAsia="Arial" w:hAnsi="Arial" w:cs="Arial"/>
          <w:i/>
        </w:rPr>
        <w:t>as y cumple una función clave en el desarrollo evolutivo de los y las menores. La prevención hacia la familia debe ir encaminada a dotar de recursos a las mismas para que sean agentes de prevención y dotarles de estrategias para hacer frente a las situacio</w:t>
      </w:r>
      <w:r>
        <w:rPr>
          <w:rFonts w:ascii="Arial" w:eastAsia="Arial" w:hAnsi="Arial" w:cs="Arial"/>
          <w:i/>
        </w:rPr>
        <w:t xml:space="preserve">nes de la vida a las que se deberán enfrentar sus hijos/as, y/o algún progenitor/a. </w:t>
      </w:r>
    </w:p>
    <w:p w:rsidR="00E23B86" w:rsidRDefault="00BA7C13">
      <w:pPr>
        <w:spacing w:after="111" w:line="251" w:lineRule="auto"/>
        <w:ind w:left="355" w:right="573" w:hanging="10"/>
        <w:jc w:val="both"/>
      </w:pPr>
      <w:r>
        <w:rPr>
          <w:rFonts w:ascii="Arial" w:eastAsia="Arial" w:hAnsi="Arial" w:cs="Arial"/>
          <w:i/>
        </w:rPr>
        <w:t xml:space="preserve">Objetivo general </w:t>
      </w:r>
    </w:p>
    <w:p w:rsidR="00E23B86" w:rsidRDefault="00BA7C13">
      <w:pPr>
        <w:spacing w:after="409" w:line="251" w:lineRule="auto"/>
        <w:ind w:left="355" w:right="573" w:hanging="10"/>
        <w:jc w:val="both"/>
      </w:pPr>
      <w:r>
        <w:rPr>
          <w:rFonts w:ascii="Arial" w:eastAsia="Arial" w:hAnsi="Arial" w:cs="Arial"/>
          <w:i/>
        </w:rPr>
        <w:t>Potenciar y promover modelos familiares positivos en lo referido a la educación para la salud, además de ofertar programas preventivos para todas las fam</w:t>
      </w:r>
      <w:r>
        <w:rPr>
          <w:rFonts w:ascii="Arial" w:eastAsia="Arial" w:hAnsi="Arial" w:cs="Arial"/>
          <w:i/>
        </w:rPr>
        <w:t xml:space="preserve">ilias, así como para las familias cuyos hijos/as están en riesgo de consumo de drogas u otros comportamientos adictivos. </w:t>
      </w:r>
    </w:p>
    <w:p w:rsidR="00E23B86" w:rsidRDefault="00BA7C13">
      <w:pPr>
        <w:pBdr>
          <w:top w:val="single" w:sz="4" w:space="0" w:color="00000A"/>
          <w:left w:val="single" w:sz="5" w:space="0" w:color="00000A"/>
          <w:bottom w:val="single" w:sz="4" w:space="0" w:color="00000A"/>
          <w:right w:val="single" w:sz="5" w:space="0" w:color="00000A"/>
        </w:pBdr>
        <w:shd w:val="clear" w:color="auto" w:fill="BFBFBF"/>
        <w:spacing w:after="0"/>
        <w:ind w:left="690"/>
      </w:pPr>
      <w:r>
        <w:rPr>
          <w:rFonts w:ascii="Arial" w:eastAsia="Arial" w:hAnsi="Arial" w:cs="Arial"/>
          <w:i/>
        </w:rPr>
        <w:t>Actuaciones a desarrollar según nivel de prevención</w:t>
      </w:r>
    </w:p>
    <w:tbl>
      <w:tblPr>
        <w:tblStyle w:val="TableGrid"/>
        <w:tblW w:w="9606" w:type="dxa"/>
        <w:tblInd w:w="-201" w:type="dxa"/>
        <w:tblCellMar>
          <w:top w:w="13" w:type="dxa"/>
          <w:left w:w="110" w:type="dxa"/>
          <w:bottom w:w="0" w:type="dxa"/>
          <w:right w:w="131" w:type="dxa"/>
        </w:tblCellMar>
        <w:tblLook w:val="04A0" w:firstRow="1" w:lastRow="0" w:firstColumn="1" w:lastColumn="0" w:noHBand="0" w:noVBand="1"/>
      </w:tblPr>
      <w:tblGrid>
        <w:gridCol w:w="9606"/>
      </w:tblGrid>
      <w:tr w:rsidR="00E23B86">
        <w:trPr>
          <w:trHeight w:val="454"/>
        </w:trPr>
        <w:tc>
          <w:tcPr>
            <w:tcW w:w="9606" w:type="dxa"/>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363"/>
              <w:jc w:val="center"/>
            </w:pPr>
            <w:r>
              <w:rPr>
                <w:rFonts w:ascii="Arial" w:eastAsia="Arial" w:hAnsi="Arial" w:cs="Arial"/>
                <w:i/>
              </w:rPr>
              <w:t>Actuación</w:t>
            </w:r>
          </w:p>
        </w:tc>
      </w:tr>
      <w:tr w:rsidR="00E23B86">
        <w:trPr>
          <w:trHeight w:val="1022"/>
        </w:trPr>
        <w:tc>
          <w:tcPr>
            <w:tcW w:w="960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6"/>
              <w:jc w:val="both"/>
            </w:pPr>
            <w:r>
              <w:rPr>
                <w:rFonts w:ascii="Arial" w:eastAsia="Arial" w:hAnsi="Arial" w:cs="Arial"/>
                <w:i/>
              </w:rPr>
              <w:t>Acción F1. Ofertar, a los padres/madres/tutores/as que presentan dificultades relacionadas con el consumo o adicciones de los hijos/as o algún/a progenitor/a o figura educativa, un programa/proyecto de orientación personalizada, ya sea de manera individual</w:t>
            </w:r>
            <w:r>
              <w:rPr>
                <w:rFonts w:ascii="Arial" w:eastAsia="Arial" w:hAnsi="Arial" w:cs="Arial"/>
                <w:i/>
              </w:rPr>
              <w:t xml:space="preserve"> o grupal, para apoyarles y revertir las situaciones de riesgo. </w:t>
            </w:r>
          </w:p>
        </w:tc>
      </w:tr>
      <w:tr w:rsidR="00E23B86">
        <w:trPr>
          <w:trHeight w:val="770"/>
        </w:trPr>
        <w:tc>
          <w:tcPr>
            <w:tcW w:w="960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10"/>
              <w:jc w:val="both"/>
            </w:pPr>
            <w:r>
              <w:rPr>
                <w:rFonts w:ascii="Arial" w:eastAsia="Arial" w:hAnsi="Arial" w:cs="Arial"/>
                <w:i/>
              </w:rPr>
              <w:t>Acción F2. Ofertar espacios de formación y encuentro en el municipio dirigido a padres/madres/tutores/as con el fin de dotarles de herramientas y estrategias educativas que promuevan los fac</w:t>
            </w:r>
            <w:r>
              <w:rPr>
                <w:rFonts w:ascii="Arial" w:eastAsia="Arial" w:hAnsi="Arial" w:cs="Arial"/>
                <w:i/>
              </w:rPr>
              <w:t>tores de protección ante el consumo y adicciones.</w:t>
            </w:r>
          </w:p>
        </w:tc>
      </w:tr>
      <w:tr w:rsidR="00E23B86">
        <w:trPr>
          <w:trHeight w:val="768"/>
        </w:trPr>
        <w:tc>
          <w:tcPr>
            <w:tcW w:w="960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4"/>
              <w:jc w:val="both"/>
            </w:pPr>
            <w:r>
              <w:rPr>
                <w:rFonts w:ascii="Arial" w:eastAsia="Arial" w:hAnsi="Arial" w:cs="Arial"/>
                <w:i/>
              </w:rPr>
              <w:t>Acción F3. Organizar espacios de encuentro e intercambio entre las familias del municipio, mediante la celebración de días internacionales, eventos, actividades comunitarias, con el fin de potenciar las redes de apoyo entre éstas y el intercambio de experi</w:t>
            </w:r>
            <w:r>
              <w:rPr>
                <w:rFonts w:ascii="Arial" w:eastAsia="Arial" w:hAnsi="Arial" w:cs="Arial"/>
                <w:i/>
              </w:rPr>
              <w:t>encias educativas.</w:t>
            </w:r>
          </w:p>
        </w:tc>
      </w:tr>
      <w:tr w:rsidR="00E23B86">
        <w:trPr>
          <w:trHeight w:val="770"/>
        </w:trPr>
        <w:tc>
          <w:tcPr>
            <w:tcW w:w="9606" w:type="dxa"/>
            <w:tcBorders>
              <w:top w:val="single" w:sz="4" w:space="0" w:color="00000A"/>
              <w:left w:val="single" w:sz="4" w:space="0" w:color="00000A"/>
              <w:bottom w:val="single" w:sz="4" w:space="0" w:color="00000A"/>
              <w:right w:val="single" w:sz="4" w:space="0" w:color="00000A"/>
            </w:tcBorders>
          </w:tcPr>
          <w:p w:rsidR="00E23B86" w:rsidRDefault="00BA7C13">
            <w:pPr>
              <w:spacing w:after="0"/>
              <w:ind w:right="7"/>
              <w:jc w:val="both"/>
            </w:pPr>
            <w:r>
              <w:rPr>
                <w:rFonts w:ascii="Arial" w:eastAsia="Arial" w:hAnsi="Arial" w:cs="Arial"/>
                <w:i/>
              </w:rPr>
              <w:t>Acción F4.  Llevar a cabo formación de los/as agentes sociales de la comunidad que intervienen o se relacionan con las familias del municipio con el fin de que sean agentes de prevención y detección de riesgos.</w:t>
            </w:r>
          </w:p>
        </w:tc>
      </w:tr>
      <w:tr w:rsidR="00E23B86">
        <w:trPr>
          <w:trHeight w:val="516"/>
        </w:trPr>
        <w:tc>
          <w:tcPr>
            <w:tcW w:w="9606" w:type="dxa"/>
            <w:tcBorders>
              <w:top w:val="single" w:sz="4" w:space="0" w:color="00000A"/>
              <w:left w:val="single" w:sz="4"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Acción F5. Poner en marc</w:t>
            </w:r>
            <w:r>
              <w:rPr>
                <w:rFonts w:ascii="Arial" w:eastAsia="Arial" w:hAnsi="Arial" w:cs="Arial"/>
                <w:i/>
              </w:rPr>
              <w:t xml:space="preserve">ha protocolos o procedimientos de detección e intervención familiar dirigidos a los/as agentes sociales del municipio con el fin de coordinar las acciones. </w:t>
            </w:r>
          </w:p>
        </w:tc>
      </w:tr>
      <w:tr w:rsidR="00E23B86">
        <w:trPr>
          <w:trHeight w:val="1009"/>
        </w:trPr>
        <w:tc>
          <w:tcPr>
            <w:tcW w:w="9606"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F6. Ofertar un espacio de encuentro para la información y orientación sobre competencias educativas para promover hábitos saludables en progenitores/as y/o tutores/as, de niños/as del ciclo de infantil (0-4 años) (escuela infantil municipal y escuel</w:t>
            </w:r>
            <w:r>
              <w:rPr>
                <w:rFonts w:ascii="Arial" w:eastAsia="Arial" w:hAnsi="Arial" w:cs="Arial"/>
                <w:i/>
              </w:rPr>
              <w:t xml:space="preserve">as privadas). </w:t>
            </w:r>
          </w:p>
        </w:tc>
      </w:tr>
    </w:tbl>
    <w:p w:rsidR="00E23B86" w:rsidRDefault="00BA7C13">
      <w:pPr>
        <w:spacing w:after="111" w:line="251" w:lineRule="auto"/>
        <w:ind w:left="355" w:right="573" w:hanging="10"/>
        <w:jc w:val="both"/>
      </w:pPr>
      <w:r>
        <w:rPr>
          <w:rFonts w:ascii="Arial" w:eastAsia="Arial" w:hAnsi="Arial" w:cs="Arial"/>
          <w:i/>
        </w:rPr>
        <w:t xml:space="preserve">6.1.3. Ámbito Comunitario </w:t>
      </w:r>
    </w:p>
    <w:p w:rsidR="00E23B86" w:rsidRDefault="00BA7C13">
      <w:pPr>
        <w:spacing w:after="111" w:line="251" w:lineRule="auto"/>
        <w:ind w:left="355" w:right="573" w:hanging="10"/>
        <w:jc w:val="both"/>
      </w:pPr>
      <w:r>
        <w:rPr>
          <w:rFonts w:ascii="Arial" w:eastAsia="Arial" w:hAnsi="Arial" w:cs="Arial"/>
          <w:i/>
        </w:rPr>
        <w:t>Nos referimos con comunidad, al escenario donde se dan interacciones, oferta y demanda, uso del espacio público, ocio y tiempo libre, etc. Incluye este ámbito a la ciudadanía, la idiosincrasia de cada zona, realiz</w:t>
      </w:r>
      <w:r>
        <w:rPr>
          <w:rFonts w:ascii="Arial" w:eastAsia="Arial" w:hAnsi="Arial" w:cs="Arial"/>
          <w:i/>
        </w:rPr>
        <w:t>ando intervenciones por barrios, a través de las asociaciones vecinales, juveniles, jóvenes, adultos/as, niños/as, mediadores/as, líderes/esas comunitarios/as, etc.</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353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3611" name="Group 55361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363" name="Rectangle 3036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https://candelaria.sedelectro</w:t>
                              </w:r>
                              <w:r>
                                <w:rPr>
                                  <w:rFonts w:ascii="Arial" w:eastAsia="Arial" w:hAnsi="Arial" w:cs="Arial"/>
                                  <w:sz w:val="12"/>
                                </w:rPr>
                                <w:t xml:space="preserve">nica.es/ </w:t>
                              </w:r>
                            </w:p>
                          </w:txbxContent>
                        </wps:txbx>
                        <wps:bodyPr horzOverflow="overflow" vert="horz" lIns="0" tIns="0" rIns="0" bIns="0" rtlCol="0">
                          <a:noAutofit/>
                        </wps:bodyPr>
                      </wps:wsp>
                      <wps:wsp>
                        <wps:cNvPr id="30364" name="Rectangle 3036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171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3611" style="width:12.7031pt;height:280.35pt;position:absolute;mso-position-horizontal-relative:page;mso-position-horizontal:absolute;margin-left:681.958pt;mso-position-vertical-relative:page;margin-top:531.65pt;" coordsize="1613,35604">
                <v:rect id="Rectangle 3036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36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171 de 391 </w:t>
                        </w:r>
                      </w:p>
                    </w:txbxContent>
                  </v:textbox>
                </v:rect>
                <w10:wrap type="square"/>
              </v:group>
            </w:pict>
          </mc:Fallback>
        </mc:AlternateContent>
      </w:r>
      <w:r>
        <w:rPr>
          <w:rFonts w:ascii="Arial" w:eastAsia="Arial" w:hAnsi="Arial" w:cs="Arial"/>
          <w:i/>
        </w:rPr>
        <w:t>Las acciones deben apoyarse desde las asociaciones y organizaciones juveniles, profesionales, líderes/esas comunitarios/as (educadores/as de calle, animadores/as socioculturales, monitores/as deportivos y de tiempo libre, miembros/as de asociaciones juveni</w:t>
      </w:r>
      <w:r>
        <w:rPr>
          <w:rFonts w:ascii="Arial" w:eastAsia="Arial" w:hAnsi="Arial" w:cs="Arial"/>
          <w:i/>
        </w:rPr>
        <w:t>les, etc.).</w:t>
      </w:r>
    </w:p>
    <w:p w:rsidR="00E23B86" w:rsidRDefault="00BA7C13">
      <w:pPr>
        <w:spacing w:after="111" w:line="251" w:lineRule="auto"/>
        <w:ind w:left="355" w:right="573" w:hanging="10"/>
        <w:jc w:val="both"/>
      </w:pPr>
      <w:r>
        <w:rPr>
          <w:rFonts w:ascii="Arial" w:eastAsia="Arial" w:hAnsi="Arial" w:cs="Arial"/>
          <w:i/>
        </w:rPr>
        <w:t xml:space="preserve">Objetivo general </w:t>
      </w:r>
    </w:p>
    <w:p w:rsidR="00E23B86" w:rsidRDefault="00BA7C13">
      <w:pPr>
        <w:spacing w:after="111" w:line="251" w:lineRule="auto"/>
        <w:ind w:left="355" w:right="573" w:hanging="10"/>
        <w:jc w:val="both"/>
      </w:pPr>
      <w:r>
        <w:rPr>
          <w:rFonts w:ascii="Arial" w:eastAsia="Arial" w:hAnsi="Arial" w:cs="Arial"/>
          <w:i/>
        </w:rPr>
        <w:t>Promover la educación para la salud y prevención de las conductas adictivas tanto para la población residente como agentes sociales municipales, velando por una mejora de la prevención y detección precoz del consumo de sustanc</w:t>
      </w:r>
      <w:r>
        <w:rPr>
          <w:rFonts w:ascii="Arial" w:eastAsia="Arial" w:hAnsi="Arial" w:cs="Arial"/>
          <w:i/>
        </w:rPr>
        <w:t>ias y otras adicciones a través de los/as agentes sociales presentes en el territorio.</w:t>
      </w:r>
    </w:p>
    <w:tbl>
      <w:tblPr>
        <w:tblStyle w:val="TableGrid"/>
        <w:tblW w:w="9624" w:type="dxa"/>
        <w:tblInd w:w="-209" w:type="dxa"/>
        <w:tblCellMar>
          <w:top w:w="0" w:type="dxa"/>
          <w:left w:w="109" w:type="dxa"/>
          <w:bottom w:w="0" w:type="dxa"/>
          <w:right w:w="132" w:type="dxa"/>
        </w:tblCellMar>
        <w:tblLook w:val="04A0" w:firstRow="1" w:lastRow="0" w:firstColumn="1" w:lastColumn="0" w:noHBand="0" w:noVBand="1"/>
      </w:tblPr>
      <w:tblGrid>
        <w:gridCol w:w="1"/>
        <w:gridCol w:w="6564"/>
        <w:gridCol w:w="3060"/>
      </w:tblGrid>
      <w:tr w:rsidR="00E23B86">
        <w:trPr>
          <w:trHeight w:val="454"/>
        </w:trPr>
        <w:tc>
          <w:tcPr>
            <w:tcW w:w="6565" w:type="dxa"/>
            <w:gridSpan w:val="2"/>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794"/>
            </w:pPr>
            <w:r>
              <w:rPr>
                <w:rFonts w:ascii="Arial" w:eastAsia="Arial" w:hAnsi="Arial" w:cs="Arial"/>
                <w:i/>
              </w:rPr>
              <w:t>Actuaciones a desarrollar según nivel de prevención</w:t>
            </w:r>
          </w:p>
        </w:tc>
        <w:tc>
          <w:tcPr>
            <w:tcW w:w="3060" w:type="dxa"/>
            <w:tcBorders>
              <w:top w:val="nil"/>
              <w:left w:val="single" w:sz="5" w:space="0" w:color="00000A"/>
              <w:bottom w:val="single" w:sz="4" w:space="0" w:color="00000A"/>
              <w:right w:val="nil"/>
            </w:tcBorders>
          </w:tcPr>
          <w:p w:rsidR="00E23B86" w:rsidRDefault="00E23B86"/>
        </w:tc>
      </w:tr>
      <w:tr w:rsidR="00E23B86">
        <w:trPr>
          <w:trHeight w:val="454"/>
        </w:trPr>
        <w:tc>
          <w:tcPr>
            <w:tcW w:w="9624" w:type="dxa"/>
            <w:gridSpan w:val="3"/>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366"/>
              <w:jc w:val="center"/>
            </w:pPr>
            <w:r>
              <w:rPr>
                <w:rFonts w:ascii="Arial" w:eastAsia="Arial" w:hAnsi="Arial" w:cs="Arial"/>
                <w:i/>
              </w:rPr>
              <w:t>Actuación</w:t>
            </w:r>
          </w:p>
        </w:tc>
      </w:tr>
      <w:tr w:rsidR="00E23B86">
        <w:trPr>
          <w:trHeight w:val="756"/>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pPr>
            <w:r>
              <w:rPr>
                <w:rFonts w:ascii="Arial" w:eastAsia="Arial" w:hAnsi="Arial" w:cs="Arial"/>
                <w:i/>
              </w:rPr>
              <w:t xml:space="preserve">Acción C1. Poner en marcha programas, proyectos y/o actividades de educación para la salud y prevención de conductas adictivas dirigidas a los/as agentes sociales del municipio.  </w:t>
            </w:r>
          </w:p>
        </w:tc>
      </w:tr>
      <w:tr w:rsidR="00E23B86">
        <w:trPr>
          <w:trHeight w:val="1011"/>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6"/>
              <w:jc w:val="both"/>
            </w:pPr>
            <w:r>
              <w:rPr>
                <w:rFonts w:ascii="Arial" w:eastAsia="Arial" w:hAnsi="Arial" w:cs="Arial"/>
                <w:i/>
              </w:rPr>
              <w:t xml:space="preserve">Acción C2. Ofrecer información y formación a los/as agentes sociales de la </w:t>
            </w:r>
            <w:r>
              <w:rPr>
                <w:rFonts w:ascii="Arial" w:eastAsia="Arial" w:hAnsi="Arial" w:cs="Arial"/>
                <w:i/>
              </w:rPr>
              <w:t xml:space="preserve">comunidad, dando prioridad a quiénes intervienen a través de ocio, cultura, deporte, con menores y adolescentes del municipio y personal propio de la Corporación Local. </w:t>
            </w:r>
          </w:p>
        </w:tc>
      </w:tr>
      <w:tr w:rsidR="00E23B86">
        <w:trPr>
          <w:gridBefore w:val="1"/>
          <w:trHeight w:val="754"/>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C3. Poner en marcha protocolos y procedimientos para la detección precoz y coordinación de las actuaciones con persona en riesgo de consumo o adicciones.</w:t>
            </w:r>
          </w:p>
        </w:tc>
      </w:tr>
      <w:tr w:rsidR="00E23B86">
        <w:trPr>
          <w:gridBefore w:val="1"/>
          <w:trHeight w:val="1010"/>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Acción C4. Llevar a cabo un seguimiento y supervisión de la prevención ambiental municipal (cu</w:t>
            </w:r>
            <w:r>
              <w:rPr>
                <w:rFonts w:ascii="Arial" w:eastAsia="Arial" w:hAnsi="Arial" w:cs="Arial"/>
                <w:i/>
              </w:rPr>
              <w:t>mplimiento de ordenanzas municipales, publicidad de drogas, tiendas y clubes de consumidores/as de derivados cannábicos, espacios de juegos de apuestas, etc.).</w:t>
            </w:r>
          </w:p>
        </w:tc>
      </w:tr>
      <w:tr w:rsidR="00E23B86">
        <w:trPr>
          <w:gridBefore w:val="1"/>
          <w:trHeight w:val="1008"/>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C5. Ofertar o aprovechar los espacios de encuentro de la ciudadanía (espacios de uso compartidos, días de celebración, etc.), para  llevar a cabo educación para la salud y prevención de las adicciones.</w:t>
            </w:r>
          </w:p>
        </w:tc>
      </w:tr>
      <w:tr w:rsidR="00E23B86">
        <w:trPr>
          <w:gridBefore w:val="1"/>
          <w:trHeight w:val="1010"/>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Acción C6. Ofertar al tejido asociativo munici</w:t>
            </w:r>
            <w:r>
              <w:rPr>
                <w:rFonts w:ascii="Arial" w:eastAsia="Arial" w:hAnsi="Arial" w:cs="Arial"/>
                <w:i/>
              </w:rPr>
              <w:t xml:space="preserve">pal (jóvenes, mayores,  vecinos/as, etc.) un catálogo de actividades informativas, de sensibilización y de orientación sobre educación para la salud y prevención de adicciones </w:t>
            </w:r>
          </w:p>
        </w:tc>
      </w:tr>
      <w:tr w:rsidR="00E23B86">
        <w:trPr>
          <w:gridBefore w:val="1"/>
          <w:trHeight w:val="1008"/>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 xml:space="preserve">Acción C7. Llevar a cabo campañas de sensibilización sobre hábitos saludables </w:t>
            </w:r>
            <w:r>
              <w:rPr>
                <w:rFonts w:ascii="Arial" w:eastAsia="Arial" w:hAnsi="Arial" w:cs="Arial"/>
                <w:i/>
              </w:rPr>
              <w:t xml:space="preserve">para toda la comunidad y/o específica por sectores sobre hábitos de vida saludable y prevención de adicciones. </w:t>
            </w:r>
          </w:p>
        </w:tc>
      </w:tr>
      <w:tr w:rsidR="00E23B86">
        <w:trPr>
          <w:gridBefore w:val="1"/>
          <w:trHeight w:val="756"/>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C8.  Crear un espacio virtual interactivo (residentes) dentro de la web institucional, centrado en la promoción de hábitos de vida salud</w:t>
            </w:r>
            <w:r>
              <w:rPr>
                <w:rFonts w:ascii="Arial" w:eastAsia="Arial" w:hAnsi="Arial" w:cs="Arial"/>
                <w:i/>
              </w:rPr>
              <w:t>able y prevención de adicciones.</w:t>
            </w:r>
          </w:p>
        </w:tc>
      </w:tr>
      <w:tr w:rsidR="00E23B86">
        <w:trPr>
          <w:gridBefore w:val="1"/>
          <w:trHeight w:val="1262"/>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right="3"/>
              <w:jc w:val="both"/>
            </w:pPr>
            <w:r>
              <w:rPr>
                <w:rFonts w:ascii="Arial" w:eastAsia="Arial" w:hAnsi="Arial" w:cs="Arial"/>
                <w:i/>
              </w:rPr>
              <w:t>Acción C9. Organizar y poner en marcha actividades de prevención de adicciones y promoción de la salud en eventos y fiestas municipales, dirigidas a sensibilizar, informar y hacer seguimiento de la comprobación de la prevención ambiental (menores y venta d</w:t>
            </w:r>
            <w:r>
              <w:rPr>
                <w:rFonts w:ascii="Arial" w:eastAsia="Arial" w:hAnsi="Arial" w:cs="Arial"/>
                <w:i/>
              </w:rPr>
              <w:t xml:space="preserve">e alcohol, menores y eventos, publicidad, ordenanza municipal de fiestas, etc.). </w:t>
            </w:r>
          </w:p>
        </w:tc>
      </w:tr>
      <w:tr w:rsidR="00E23B86">
        <w:trPr>
          <w:gridBefore w:val="1"/>
          <w:trHeight w:val="1010"/>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right="8"/>
              <w:jc w:val="both"/>
            </w:pPr>
            <w:r>
              <w:rPr>
                <w:rFonts w:ascii="Arial" w:eastAsia="Arial" w:hAnsi="Arial" w:cs="Arial"/>
                <w:i/>
              </w:rPr>
              <w:t>Acción C10. Llevar a cabo acciones en los distintos barrios del municipio educación de calle centrada en la promoción de la participación en la educación para la salud, coor</w:t>
            </w:r>
            <w:r>
              <w:rPr>
                <w:rFonts w:ascii="Arial" w:eastAsia="Arial" w:hAnsi="Arial" w:cs="Arial"/>
                <w:i/>
              </w:rPr>
              <w:t>dinando las mismas  con el tejido asociativo existente.</w:t>
            </w:r>
          </w:p>
        </w:tc>
      </w:tr>
      <w:tr w:rsidR="00E23B86">
        <w:trPr>
          <w:gridBefore w:val="1"/>
          <w:trHeight w:val="1008"/>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Acción C11. Editar material de orientación, información y sensibilización, en formato digital  y papel,  para toda la comunidad o sectores específicos de la población, centrado en hábitos de vida saludable y prevención de adicciones.</w:t>
            </w:r>
          </w:p>
        </w:tc>
      </w:tr>
      <w:tr w:rsidR="00E23B86">
        <w:trPr>
          <w:gridBefore w:val="1"/>
          <w:trHeight w:val="1010"/>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 xml:space="preserve">Acción C12. Llevar a </w:t>
            </w:r>
            <w:r>
              <w:rPr>
                <w:rFonts w:ascii="Arial" w:eastAsia="Arial" w:hAnsi="Arial" w:cs="Arial"/>
                <w:i/>
              </w:rPr>
              <w:t>cabo  campañas de información, sensibilización y orientación al sector servicios del municipio sobre prevención ambiental (cumplimiento de normativas menoresalcohol-tabaco, evitar  mensajes no saludables,  eliminar publicidad  y reclamos sexistas, etc.).</w:t>
            </w:r>
          </w:p>
        </w:tc>
      </w:tr>
      <w:tr w:rsidR="00E23B86">
        <w:trPr>
          <w:gridBefore w:val="1"/>
          <w:trHeight w:val="756"/>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 xml:space="preserve">Acción C13. Realizar, a través del espacio de radio municipal, programas sobre promoción de la salud y prevención de adicciones. </w:t>
            </w:r>
          </w:p>
        </w:tc>
      </w:tr>
      <w:tr w:rsidR="00E23B86">
        <w:trPr>
          <w:gridBefore w:val="1"/>
          <w:trHeight w:val="1263"/>
        </w:trPr>
        <w:tc>
          <w:tcPr>
            <w:tcW w:w="9624"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right="5"/>
              <w:jc w:val="both"/>
            </w:pPr>
            <w:r>
              <w:rPr>
                <w:rFonts w:ascii="Arial" w:eastAsia="Arial" w:hAnsi="Arial" w:cs="Arial"/>
                <w:i/>
              </w:rPr>
              <w:t>Acción C14. Llevar a cabo acciones específicas de prevención de adicciones y promoción de la salud con personas de edad avanzada (como colectivo de riesgo) por no existir datos suficientes, pero sobre las que sabemos que consumen fármacos (psicofármacos, e</w:t>
            </w:r>
            <w:r>
              <w:rPr>
                <w:rFonts w:ascii="Arial" w:eastAsia="Arial" w:hAnsi="Arial" w:cs="Arial"/>
                <w:i/>
              </w:rPr>
              <w:t>ntre ellos) de forma más frecuente que el resto de la población.</w:t>
            </w:r>
          </w:p>
        </w:tc>
      </w:tr>
    </w:tbl>
    <w:p w:rsidR="00E23B86" w:rsidRDefault="00BA7C13">
      <w:pPr>
        <w:spacing w:after="242" w:line="251" w:lineRule="auto"/>
        <w:ind w:left="355" w:right="573" w:hanging="10"/>
        <w:jc w:val="both"/>
      </w:pPr>
      <w:r>
        <w:rPr>
          <w:rFonts w:ascii="Arial" w:eastAsia="Arial" w:hAnsi="Arial" w:cs="Arial"/>
          <w:i/>
        </w:rPr>
        <w:t>6.2. ÁREA DE INSERCIÓN SOCIAL</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364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9944" name="Group 51994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454" name="Rectangle 3045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455" name="Rectangle 3045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172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9944" style="width:12.7031pt;height:280.35pt;position:absolute;mso-position-horizontal-relative:page;mso-position-horizontal:absolute;margin-left:681.958pt;mso-position-vertical-relative:page;margin-top:531.65pt;" coordsize="1613,35604">
                <v:rect id="Rectangle 3045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45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172 de 391 </w:t>
                        </w:r>
                      </w:p>
                    </w:txbxContent>
                  </v:textbox>
                </v:rect>
                <w10:wrap type="square"/>
              </v:group>
            </w:pict>
          </mc:Fallback>
        </mc:AlternateContent>
      </w:r>
      <w:r>
        <w:rPr>
          <w:rFonts w:ascii="Arial" w:eastAsia="Arial" w:hAnsi="Arial" w:cs="Arial"/>
          <w:i/>
        </w:rPr>
        <w:t>La Corporación Local, tiene dentro de sus competencias (Ley 9/1998, de 22 de julio, sobre prevención, asistencia, e inserción social en materia de drogodependenc</w:t>
      </w:r>
      <w:r>
        <w:rPr>
          <w:rFonts w:ascii="Arial" w:eastAsia="Arial" w:hAnsi="Arial" w:cs="Arial"/>
          <w:i/>
        </w:rPr>
        <w:t>ias de la Comunidad Canaria), apoyar en los procesos de incorporación social.</w:t>
      </w:r>
    </w:p>
    <w:p w:rsidR="00E23B86" w:rsidRDefault="00BA7C13">
      <w:pPr>
        <w:spacing w:after="111" w:line="251" w:lineRule="auto"/>
        <w:ind w:left="355" w:right="573" w:hanging="10"/>
        <w:jc w:val="both"/>
      </w:pPr>
      <w:r>
        <w:rPr>
          <w:rFonts w:ascii="Arial" w:eastAsia="Arial" w:hAnsi="Arial" w:cs="Arial"/>
          <w:i/>
        </w:rPr>
        <w:t>Así mismo, la Ley 16/2019 de 2 de mayo de Servicios Sociales de Canarias, en su artículo 4 apartado 5, indica que los Servicios Sociales se dirigen especialmente a prevenir y a c</w:t>
      </w:r>
      <w:r>
        <w:rPr>
          <w:rFonts w:ascii="Arial" w:eastAsia="Arial" w:hAnsi="Arial" w:cs="Arial"/>
          <w:i/>
        </w:rPr>
        <w:t>ompensar el déficit de apoyo social y económico en situaciones de riesgo y exclusión social, promoviendo actitudes y capacidades que faciliten la inclusión de las personas, desde una perspectiva integral y participada. En el apartado 7, se define que los S</w:t>
      </w:r>
      <w:r>
        <w:rPr>
          <w:rFonts w:ascii="Arial" w:eastAsia="Arial" w:hAnsi="Arial" w:cs="Arial"/>
          <w:i/>
        </w:rPr>
        <w:t>ervicios Sociales coordinarán con todos los sistemas que inciden en la calidad de vida, como los de salud, igualdad de género, prevención y protección de las mujeres contra la violencia de género, educativos, culturales, de empleo, de vivienda, urbanístico</w:t>
      </w:r>
      <w:r>
        <w:rPr>
          <w:rFonts w:ascii="Arial" w:eastAsia="Arial" w:hAnsi="Arial" w:cs="Arial"/>
          <w:i/>
        </w:rPr>
        <w:t>s, judiciales, entre otros.</w:t>
      </w:r>
    </w:p>
    <w:p w:rsidR="00E23B86" w:rsidRDefault="00BA7C13">
      <w:pPr>
        <w:spacing w:after="483" w:line="251" w:lineRule="auto"/>
        <w:ind w:left="355" w:right="573" w:hanging="10"/>
        <w:jc w:val="both"/>
      </w:pPr>
      <w:r>
        <w:rPr>
          <w:rFonts w:ascii="Arial" w:eastAsia="Arial" w:hAnsi="Arial" w:cs="Arial"/>
          <w:i/>
        </w:rPr>
        <w:t>También en el apoyo a la inserción, se debe tener en cuenta la Estrategia Canaria de Inclusión Social 2019-2021, que en su eje I (Inclusión Social Activa) desarrolla una serie de objetivos y actuaciones, destinadas a la inserción laboral y el acceso a serv</w:t>
      </w:r>
      <w:r>
        <w:rPr>
          <w:rFonts w:ascii="Arial" w:eastAsia="Arial" w:hAnsi="Arial" w:cs="Arial"/>
          <w:i/>
        </w:rPr>
        <w:t>icios básicos.</w:t>
      </w:r>
    </w:p>
    <w:p w:rsidR="00E23B86" w:rsidRDefault="00BA7C13">
      <w:pPr>
        <w:spacing w:after="111" w:line="251" w:lineRule="auto"/>
        <w:ind w:left="355" w:right="573" w:hanging="10"/>
        <w:jc w:val="both"/>
      </w:pPr>
      <w:r>
        <w:rPr>
          <w:rFonts w:ascii="Arial" w:eastAsia="Arial" w:hAnsi="Arial" w:cs="Arial"/>
          <w:i/>
        </w:rPr>
        <w:t xml:space="preserve">Objetivo general </w:t>
      </w:r>
    </w:p>
    <w:p w:rsidR="00E23B86" w:rsidRDefault="00BA7C13">
      <w:pPr>
        <w:spacing w:after="1378" w:line="251" w:lineRule="auto"/>
        <w:ind w:left="355" w:right="573" w:hanging="10"/>
        <w:jc w:val="both"/>
      </w:pPr>
      <w:r>
        <w:rPr>
          <w:noProof/>
        </w:rPr>
        <mc:AlternateContent>
          <mc:Choice Requires="wpg">
            <w:drawing>
              <wp:anchor distT="0" distB="0" distL="114300" distR="114300" simplePos="0" relativeHeight="2518374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0851" name="Group 57085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529" name="Rectangle 3052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530" name="Rectangle 3053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173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0851" style="width:12.7031pt;height:280.35pt;position:absolute;mso-position-horizontal-relative:page;mso-position-horizontal:absolute;margin-left:681.958pt;mso-position-vertical-relative:page;margin-top:531.65pt;" coordsize="1613,35604">
                <v:rect id="Rectangle 3052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53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173 de 391 </w:t>
                        </w:r>
                      </w:p>
                    </w:txbxContent>
                  </v:textbox>
                </v:rect>
                <w10:wrap type="square"/>
              </v:group>
            </w:pict>
          </mc:Fallback>
        </mc:AlternateContent>
      </w:r>
      <w:r>
        <w:rPr>
          <w:rFonts w:ascii="Arial" w:eastAsia="Arial" w:hAnsi="Arial" w:cs="Arial"/>
          <w:i/>
        </w:rPr>
        <w:t>Potenciar la colaboración</w:t>
      </w:r>
      <w:r>
        <w:rPr>
          <w:rFonts w:ascii="Arial" w:eastAsia="Arial" w:hAnsi="Arial" w:cs="Arial"/>
          <w:i/>
        </w:rPr>
        <w:t xml:space="preserve"> y participación de los recursos y agentes sociales municipales en el apoyo a la población consumidora y su entorno familiar, facilitando la implantación de medidas formativas, laborales y sociales que favorezcan su proceso de incorporación social y labora</w:t>
      </w:r>
      <w:r>
        <w:rPr>
          <w:rFonts w:ascii="Arial" w:eastAsia="Arial" w:hAnsi="Arial" w:cs="Arial"/>
          <w:i/>
        </w:rPr>
        <w:t>l para una adecuada integración social.</w:t>
      </w:r>
    </w:p>
    <w:tbl>
      <w:tblPr>
        <w:tblStyle w:val="TableGrid"/>
        <w:tblW w:w="9624" w:type="dxa"/>
        <w:tblInd w:w="-209" w:type="dxa"/>
        <w:tblCellMar>
          <w:top w:w="13" w:type="dxa"/>
          <w:left w:w="109" w:type="dxa"/>
          <w:bottom w:w="0" w:type="dxa"/>
          <w:right w:w="136" w:type="dxa"/>
        </w:tblCellMar>
        <w:tblLook w:val="04A0" w:firstRow="1" w:lastRow="0" w:firstColumn="1" w:lastColumn="0" w:noHBand="0" w:noVBand="1"/>
      </w:tblPr>
      <w:tblGrid>
        <w:gridCol w:w="6565"/>
        <w:gridCol w:w="3060"/>
      </w:tblGrid>
      <w:tr w:rsidR="00E23B86">
        <w:trPr>
          <w:trHeight w:val="454"/>
        </w:trPr>
        <w:tc>
          <w:tcPr>
            <w:tcW w:w="6565" w:type="dxa"/>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794"/>
            </w:pPr>
            <w:r>
              <w:rPr>
                <w:rFonts w:ascii="Arial" w:eastAsia="Arial" w:hAnsi="Arial" w:cs="Arial"/>
                <w:i/>
              </w:rPr>
              <w:t>Actuaciones a desarrollar según nivel de prevención</w:t>
            </w:r>
          </w:p>
        </w:tc>
        <w:tc>
          <w:tcPr>
            <w:tcW w:w="3060" w:type="dxa"/>
            <w:tcBorders>
              <w:top w:val="nil"/>
              <w:left w:val="single" w:sz="5" w:space="0" w:color="00000A"/>
              <w:bottom w:val="single" w:sz="4" w:space="0" w:color="00000A"/>
              <w:right w:val="nil"/>
            </w:tcBorders>
          </w:tcPr>
          <w:p w:rsidR="00E23B86" w:rsidRDefault="00E23B86"/>
        </w:tc>
      </w:tr>
      <w:tr w:rsidR="00E23B86">
        <w:trPr>
          <w:trHeight w:val="454"/>
        </w:trPr>
        <w:tc>
          <w:tcPr>
            <w:tcW w:w="9624" w:type="dxa"/>
            <w:gridSpan w:val="2"/>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366"/>
              <w:jc w:val="center"/>
            </w:pPr>
            <w:r>
              <w:rPr>
                <w:rFonts w:ascii="Arial" w:eastAsia="Arial" w:hAnsi="Arial" w:cs="Arial"/>
                <w:i/>
              </w:rPr>
              <w:t>Actuación</w:t>
            </w:r>
          </w:p>
        </w:tc>
      </w:tr>
      <w:tr w:rsidR="00E23B86">
        <w:trPr>
          <w:trHeight w:val="1022"/>
        </w:trPr>
        <w:tc>
          <w:tcPr>
            <w:tcW w:w="9624"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ind w:right="2"/>
              <w:jc w:val="both"/>
            </w:pPr>
            <w:r>
              <w:rPr>
                <w:rFonts w:ascii="Arial" w:eastAsia="Arial" w:hAnsi="Arial" w:cs="Arial"/>
                <w:i/>
              </w:rPr>
              <w:t>Acción ISL1. Ofertar un espacio para la atención individualizada a las familias con algún miembro/a con problemas de consumo (mayor o menor de edad), en su proceso de recuperación e integración social y que estén en tratamiento en la red de atención de adi</w:t>
            </w:r>
            <w:r>
              <w:rPr>
                <w:rFonts w:ascii="Arial" w:eastAsia="Arial" w:hAnsi="Arial" w:cs="Arial"/>
                <w:i/>
              </w:rPr>
              <w:t xml:space="preserve">cciones. </w:t>
            </w:r>
          </w:p>
        </w:tc>
      </w:tr>
      <w:tr w:rsidR="00E23B86">
        <w:trPr>
          <w:trHeight w:val="636"/>
        </w:trPr>
        <w:tc>
          <w:tcPr>
            <w:tcW w:w="9624"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i/>
              </w:rPr>
              <w:t xml:space="preserve">Acción ISL2. Diseñar itinerarios de inserción laboral personalizados para las personas y familias en coordinación con los/as agentes sociales y Servicios Sociales y recursos de la comunidad. </w:t>
            </w:r>
          </w:p>
        </w:tc>
      </w:tr>
      <w:tr w:rsidR="00E23B86">
        <w:trPr>
          <w:trHeight w:val="888"/>
        </w:trPr>
        <w:tc>
          <w:tcPr>
            <w:tcW w:w="9624"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 xml:space="preserve">Acción ISL3. Ofertar, desde los Servicios Sociales, el apoyo social y los recursos, prestaciones y otras ayudas técnicas a las personas y familias que precisan apoyo en su proceso de recuperación e inserción social. </w:t>
            </w:r>
          </w:p>
        </w:tc>
      </w:tr>
      <w:tr w:rsidR="00E23B86">
        <w:trPr>
          <w:trHeight w:val="637"/>
        </w:trPr>
        <w:tc>
          <w:tcPr>
            <w:tcW w:w="9624"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 xml:space="preserve">Acción ISL4. Ofertar a las personas con problemas de consumo y sus familias, los recursos de ocio, culturales, deportivos, etc, como parte del apoyo en su proceso de inserción. </w:t>
            </w:r>
          </w:p>
        </w:tc>
      </w:tr>
    </w:tbl>
    <w:p w:rsidR="00E23B86" w:rsidRDefault="00BA7C13">
      <w:pPr>
        <w:spacing w:after="290"/>
        <w:ind w:left="352"/>
      </w:pPr>
      <w:r>
        <w:rPr>
          <w:rFonts w:ascii="Arial" w:eastAsia="Arial" w:hAnsi="Arial" w:cs="Arial"/>
          <w:i/>
        </w:rPr>
        <w:t xml:space="preserve"> </w:t>
      </w:r>
    </w:p>
    <w:p w:rsidR="00E23B86" w:rsidRDefault="00BA7C13">
      <w:pPr>
        <w:tabs>
          <w:tab w:val="center" w:pos="532"/>
          <w:tab w:val="center" w:pos="2634"/>
        </w:tabs>
        <w:spacing w:after="232" w:line="251" w:lineRule="auto"/>
      </w:pPr>
      <w:r>
        <w:tab/>
      </w:r>
      <w:r>
        <w:rPr>
          <w:rFonts w:ascii="Times New Roman" w:eastAsia="Times New Roman" w:hAnsi="Times New Roman" w:cs="Times New Roman"/>
          <w:sz w:val="24"/>
        </w:rPr>
        <w:t>6.3.</w:t>
      </w:r>
      <w:r>
        <w:rPr>
          <w:rFonts w:ascii="Times New Roman" w:eastAsia="Times New Roman" w:hAnsi="Times New Roman" w:cs="Times New Roman"/>
          <w:sz w:val="24"/>
        </w:rPr>
        <w:tab/>
      </w:r>
      <w:r>
        <w:rPr>
          <w:rFonts w:ascii="Arial" w:eastAsia="Arial" w:hAnsi="Arial" w:cs="Arial"/>
          <w:i/>
        </w:rPr>
        <w:t xml:space="preserve">ÁREA DE SOPORTE Y APOYO </w:t>
      </w:r>
    </w:p>
    <w:p w:rsidR="00E23B86" w:rsidRDefault="00BA7C13">
      <w:pPr>
        <w:spacing w:after="111" w:line="251" w:lineRule="auto"/>
        <w:ind w:left="355" w:right="573" w:hanging="10"/>
        <w:jc w:val="both"/>
      </w:pPr>
      <w:r>
        <w:rPr>
          <w:rFonts w:ascii="Arial" w:eastAsia="Arial" w:hAnsi="Arial" w:cs="Arial"/>
          <w:i/>
        </w:rPr>
        <w:t>El área de soporte y apoyo es clave en los p</w:t>
      </w:r>
      <w:r>
        <w:rPr>
          <w:rFonts w:ascii="Arial" w:eastAsia="Arial" w:hAnsi="Arial" w:cs="Arial"/>
          <w:i/>
        </w:rPr>
        <w:t xml:space="preserve">rocesos de gestión y las acciones van encaminadas a facilitar la implementación y ejecución del IV Plan Municipal. </w:t>
      </w:r>
    </w:p>
    <w:p w:rsidR="00E23B86" w:rsidRDefault="00BA7C13">
      <w:pPr>
        <w:spacing w:after="111" w:line="251" w:lineRule="auto"/>
        <w:ind w:left="355" w:right="573" w:hanging="10"/>
        <w:jc w:val="both"/>
      </w:pPr>
      <w:r>
        <w:rPr>
          <w:rFonts w:ascii="Arial" w:eastAsia="Arial" w:hAnsi="Arial" w:cs="Arial"/>
          <w:i/>
        </w:rPr>
        <w:t>Objetivo general</w:t>
      </w:r>
    </w:p>
    <w:p w:rsidR="00E23B86" w:rsidRDefault="00BA7C13">
      <w:pPr>
        <w:spacing w:after="0" w:line="251" w:lineRule="auto"/>
        <w:ind w:left="355" w:right="573" w:hanging="10"/>
        <w:jc w:val="both"/>
      </w:pPr>
      <w:r>
        <w:rPr>
          <w:rFonts w:ascii="Arial" w:eastAsia="Arial" w:hAnsi="Arial" w:cs="Arial"/>
          <w:i/>
        </w:rPr>
        <w:t>Desarrollar y ejecutar por parte del equipo del IV Plan, los procesos básicos de gestión (investigación, evaluación, planif</w:t>
      </w:r>
      <w:r>
        <w:rPr>
          <w:rFonts w:ascii="Arial" w:eastAsia="Arial" w:hAnsi="Arial" w:cs="Arial"/>
          <w:i/>
        </w:rPr>
        <w:t>icación e interlocución (coordinación) interna y externa), los procesos de gestión de recursos (recursos humanos, materiales, económicos y metodológicos necesarios), y los procesos avanzados de gestión</w:t>
      </w:r>
    </w:p>
    <w:p w:rsidR="00E23B86" w:rsidRDefault="00BA7C13">
      <w:pPr>
        <w:spacing w:after="232" w:line="251" w:lineRule="auto"/>
        <w:ind w:left="355" w:right="573" w:hanging="10"/>
        <w:jc w:val="both"/>
      </w:pPr>
      <w:r>
        <w:rPr>
          <w:noProof/>
        </w:rPr>
        <mc:AlternateContent>
          <mc:Choice Requires="wpg">
            <w:drawing>
              <wp:anchor distT="0" distB="0" distL="114300" distR="114300" simplePos="0" relativeHeight="2518384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6567" name="Group 53656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612" name="Rectangle 3061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613" name="Rectangle 3061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174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6567" style="width:12.7031pt;height:280.35pt;position:absolute;mso-position-horizontal-relative:page;mso-position-horizontal:absolute;margin-left:681.958pt;mso-position-vertical-relative:page;margin-top:531.65pt;" coordsize="1613,35604">
                <v:rect id="Rectangle 3061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61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174 de 391 </w:t>
                        </w:r>
                      </w:p>
                    </w:txbxContent>
                  </v:textbox>
                </v:rect>
                <w10:wrap type="square"/>
              </v:group>
            </w:pict>
          </mc:Fallback>
        </mc:AlternateContent>
      </w:r>
      <w:r>
        <w:rPr>
          <w:rFonts w:ascii="Arial" w:eastAsia="Arial" w:hAnsi="Arial" w:cs="Arial"/>
          <w:i/>
        </w:rPr>
        <w:t xml:space="preserve">(calidad, marketing social, participación, etc.,). </w:t>
      </w:r>
    </w:p>
    <w:tbl>
      <w:tblPr>
        <w:tblStyle w:val="TableGrid"/>
        <w:tblW w:w="8611" w:type="dxa"/>
        <w:tblInd w:w="297" w:type="dxa"/>
        <w:tblCellMar>
          <w:top w:w="13" w:type="dxa"/>
          <w:left w:w="109" w:type="dxa"/>
          <w:bottom w:w="0" w:type="dxa"/>
          <w:right w:w="131" w:type="dxa"/>
        </w:tblCellMar>
        <w:tblLook w:val="04A0" w:firstRow="1" w:lastRow="0" w:firstColumn="1" w:lastColumn="0" w:noHBand="0" w:noVBand="1"/>
      </w:tblPr>
      <w:tblGrid>
        <w:gridCol w:w="66"/>
        <w:gridCol w:w="677"/>
        <w:gridCol w:w="7806"/>
        <w:gridCol w:w="62"/>
      </w:tblGrid>
      <w:tr w:rsidR="00E23B86">
        <w:trPr>
          <w:trHeight w:val="384"/>
        </w:trPr>
        <w:tc>
          <w:tcPr>
            <w:tcW w:w="8611" w:type="dxa"/>
            <w:gridSpan w:val="4"/>
            <w:tcBorders>
              <w:top w:val="single" w:sz="4" w:space="0" w:color="00000A"/>
              <w:left w:val="single" w:sz="5" w:space="0" w:color="00000A"/>
              <w:bottom w:val="single" w:sz="4" w:space="0" w:color="00000A"/>
              <w:right w:val="single" w:sz="4" w:space="0" w:color="00000A"/>
            </w:tcBorders>
            <w:shd w:val="clear" w:color="auto" w:fill="BFBFBF"/>
          </w:tcPr>
          <w:p w:rsidR="00E23B86" w:rsidRDefault="00BA7C13">
            <w:pPr>
              <w:spacing w:after="0"/>
              <w:jc w:val="center"/>
            </w:pPr>
            <w:r>
              <w:rPr>
                <w:rFonts w:ascii="Arial" w:eastAsia="Arial" w:hAnsi="Arial" w:cs="Arial"/>
                <w:i/>
              </w:rPr>
              <w:t>Actuacion</w:t>
            </w:r>
            <w:r>
              <w:rPr>
                <w:rFonts w:ascii="Arial" w:eastAsia="Arial" w:hAnsi="Arial" w:cs="Arial"/>
                <w:i/>
              </w:rPr>
              <w:t>es a desarrollar</w:t>
            </w:r>
          </w:p>
        </w:tc>
      </w:tr>
      <w:tr w:rsidR="00E23B86">
        <w:trPr>
          <w:trHeight w:val="1262"/>
        </w:trPr>
        <w:tc>
          <w:tcPr>
            <w:tcW w:w="8611" w:type="dxa"/>
            <w:gridSpan w:val="4"/>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SA1: Promover la participación activa en la comisión mixta municipal de coordinación, y las comisiones de trabajo específico, de todos los recursos de la comunidad y agentes implicados/as, como espacio  de coordinación, planificaci</w:t>
            </w:r>
            <w:r>
              <w:rPr>
                <w:rFonts w:ascii="Arial" w:eastAsia="Arial" w:hAnsi="Arial" w:cs="Arial"/>
                <w:i/>
              </w:rPr>
              <w:t>ón, evaluación y toma de decisiones.</w:t>
            </w:r>
          </w:p>
        </w:tc>
      </w:tr>
      <w:tr w:rsidR="00E23B86">
        <w:trPr>
          <w:trHeight w:val="888"/>
        </w:trPr>
        <w:tc>
          <w:tcPr>
            <w:tcW w:w="8611" w:type="dxa"/>
            <w:gridSpan w:val="4"/>
            <w:tcBorders>
              <w:top w:val="single" w:sz="4" w:space="0" w:color="00000A"/>
              <w:left w:val="single" w:sz="5" w:space="0" w:color="00000A"/>
              <w:bottom w:val="single" w:sz="4" w:space="0" w:color="00000A"/>
              <w:right w:val="single" w:sz="4" w:space="0" w:color="00000A"/>
            </w:tcBorders>
          </w:tcPr>
          <w:p w:rsidR="00E23B86" w:rsidRDefault="00BA7C13">
            <w:pPr>
              <w:spacing w:after="0"/>
              <w:ind w:right="11"/>
              <w:jc w:val="both"/>
            </w:pPr>
            <w:r>
              <w:rPr>
                <w:rFonts w:ascii="Arial" w:eastAsia="Arial" w:hAnsi="Arial" w:cs="Arial"/>
                <w:i/>
              </w:rPr>
              <w:t xml:space="preserve">Acción SA2. Difundir y comunicar de una forma adecuada este IV Plan Municipal, a todos los recursos implicados, facilitando el lenguaje y la transmisión de información, así como emplear los soportes adecuados. </w:t>
            </w:r>
          </w:p>
        </w:tc>
      </w:tr>
      <w:tr w:rsidR="00E23B86">
        <w:trPr>
          <w:trHeight w:val="890"/>
        </w:trPr>
        <w:tc>
          <w:tcPr>
            <w:tcW w:w="8611" w:type="dxa"/>
            <w:gridSpan w:val="4"/>
            <w:tcBorders>
              <w:top w:val="single" w:sz="4" w:space="0" w:color="00000A"/>
              <w:left w:val="single" w:sz="5" w:space="0" w:color="00000A"/>
              <w:bottom w:val="single" w:sz="4" w:space="0" w:color="00000A"/>
              <w:right w:val="single" w:sz="4" w:space="0" w:color="00000A"/>
            </w:tcBorders>
          </w:tcPr>
          <w:p w:rsidR="00E23B86" w:rsidRDefault="00BA7C13">
            <w:pPr>
              <w:spacing w:after="0"/>
              <w:ind w:right="2"/>
              <w:jc w:val="both"/>
            </w:pPr>
            <w:r>
              <w:rPr>
                <w:rFonts w:ascii="Arial" w:eastAsia="Arial" w:hAnsi="Arial" w:cs="Arial"/>
                <w:i/>
              </w:rPr>
              <w:t>Acción SA3. Llevar a cabo estudios, análisis de necesidades e investigaciones, con el fin de conocer en todo momento la realidad social en el ámbito de promoción de la salud, empleando, si es necesario, recursos externos al Ayuntamiento.</w:t>
            </w:r>
          </w:p>
        </w:tc>
      </w:tr>
      <w:tr w:rsidR="00E23B86">
        <w:trPr>
          <w:trHeight w:val="889"/>
        </w:trPr>
        <w:tc>
          <w:tcPr>
            <w:tcW w:w="8611" w:type="dxa"/>
            <w:gridSpan w:val="4"/>
            <w:tcBorders>
              <w:top w:val="single" w:sz="4" w:space="0" w:color="00000A"/>
              <w:left w:val="single" w:sz="5" w:space="0" w:color="00000A"/>
              <w:bottom w:val="single" w:sz="4" w:space="0" w:color="00000A"/>
              <w:right w:val="single" w:sz="4" w:space="0" w:color="00000A"/>
            </w:tcBorders>
          </w:tcPr>
          <w:p w:rsidR="00E23B86" w:rsidRDefault="00BA7C13">
            <w:pPr>
              <w:spacing w:after="0"/>
              <w:ind w:right="8"/>
              <w:jc w:val="both"/>
            </w:pPr>
            <w:r>
              <w:rPr>
                <w:rFonts w:ascii="Arial" w:eastAsia="Arial" w:hAnsi="Arial" w:cs="Arial"/>
                <w:i/>
              </w:rPr>
              <w:t>Acción SA4. Promo</w:t>
            </w:r>
            <w:r>
              <w:rPr>
                <w:rFonts w:ascii="Arial" w:eastAsia="Arial" w:hAnsi="Arial" w:cs="Arial"/>
                <w:i/>
              </w:rPr>
              <w:t xml:space="preserve">ver la organización y realización de acciones formativas, dirigidas al personal implicado en el ámbito de las adicciones, procurando que dichas acciones formativas, estén avaladas por algún organismo oficial. </w:t>
            </w:r>
          </w:p>
        </w:tc>
      </w:tr>
      <w:tr w:rsidR="00E23B86">
        <w:tblPrEx>
          <w:tblCellMar>
            <w:top w:w="39" w:type="dxa"/>
            <w:left w:w="0" w:type="dxa"/>
            <w:right w:w="115" w:type="dxa"/>
          </w:tblCellMar>
        </w:tblPrEx>
        <w:trPr>
          <w:gridBefore w:val="1"/>
          <w:gridAfter w:val="1"/>
          <w:wBefore w:w="66" w:type="dxa"/>
          <w:wAfter w:w="62" w:type="dxa"/>
          <w:trHeight w:val="315"/>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7.</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COORDINACIÓN DE LAS ACTUACIONES DEL IV PLAN</w:t>
            </w:r>
          </w:p>
        </w:tc>
      </w:tr>
    </w:tbl>
    <w:p w:rsidR="00E23B86" w:rsidRDefault="00BA7C13">
      <w:pPr>
        <w:spacing w:after="144" w:line="251" w:lineRule="auto"/>
        <w:ind w:left="355" w:right="573" w:hanging="10"/>
        <w:jc w:val="both"/>
      </w:pPr>
      <w:r>
        <w:rPr>
          <w:rFonts w:ascii="Arial" w:eastAsia="Arial" w:hAnsi="Arial" w:cs="Arial"/>
          <w:i/>
        </w:rPr>
        <w:t xml:space="preserve">La coordinación del IV Plan es la clave para su ejecución y el logro de resultados, para que ésta sea operativa se propone la coordinación a dos niveles: </w:t>
      </w:r>
    </w:p>
    <w:p w:rsidR="00E23B86" w:rsidRDefault="00BA7C13">
      <w:pPr>
        <w:numPr>
          <w:ilvl w:val="0"/>
          <w:numId w:val="64"/>
        </w:numPr>
        <w:spacing w:after="162" w:line="251" w:lineRule="auto"/>
        <w:ind w:right="573" w:hanging="360"/>
        <w:jc w:val="both"/>
      </w:pPr>
      <w:r>
        <w:rPr>
          <w:rFonts w:ascii="Arial" w:eastAsia="Arial" w:hAnsi="Arial" w:cs="Arial"/>
          <w:i/>
        </w:rPr>
        <w:t>Coordinación interna o institucional: Se desarrollará entre responsables políticos/as y personal técnico de la Concejalía de Servicios Sociales y otras Concejalías.</w:t>
      </w:r>
    </w:p>
    <w:p w:rsidR="00E23B86" w:rsidRDefault="00BA7C13">
      <w:pPr>
        <w:numPr>
          <w:ilvl w:val="0"/>
          <w:numId w:val="64"/>
        </w:numPr>
        <w:spacing w:after="163" w:line="251" w:lineRule="auto"/>
        <w:ind w:right="573" w:hanging="360"/>
        <w:jc w:val="both"/>
      </w:pPr>
      <w:r>
        <w:rPr>
          <w:rFonts w:ascii="Arial" w:eastAsia="Arial" w:hAnsi="Arial" w:cs="Arial"/>
          <w:i/>
        </w:rPr>
        <w:t>Coordinación externa o de participación social. Se realizará con otras instituciones de car</w:t>
      </w:r>
      <w:r>
        <w:rPr>
          <w:rFonts w:ascii="Arial" w:eastAsia="Arial" w:hAnsi="Arial" w:cs="Arial"/>
          <w:i/>
        </w:rPr>
        <w:t xml:space="preserve">ácter público o privado, que tengan competencias en materia de adicciones. </w:t>
      </w:r>
    </w:p>
    <w:p w:rsidR="00E23B86" w:rsidRDefault="00BA7C13">
      <w:pPr>
        <w:spacing w:after="111" w:line="251" w:lineRule="auto"/>
        <w:ind w:left="355" w:right="573" w:hanging="10"/>
        <w:jc w:val="both"/>
      </w:pPr>
      <w:r>
        <w:rPr>
          <w:rFonts w:ascii="Arial" w:eastAsia="Arial" w:hAnsi="Arial" w:cs="Arial"/>
          <w:i/>
        </w:rPr>
        <w:t xml:space="preserve">Para lleva a la práctica dicha coordinación, es preciso la creación de dos comisiones: </w:t>
      </w:r>
    </w:p>
    <w:p w:rsidR="00E23B86" w:rsidRDefault="00BA7C13">
      <w:pPr>
        <w:spacing w:after="3" w:line="265" w:lineRule="auto"/>
        <w:ind w:left="10" w:right="583" w:hanging="10"/>
        <w:jc w:val="right"/>
      </w:pPr>
      <w:r>
        <w:rPr>
          <w:rFonts w:ascii="Arial" w:eastAsia="Arial" w:hAnsi="Arial" w:cs="Arial"/>
          <w:i/>
        </w:rPr>
        <w:t>1. La Comisión Municipal de Prevención de Adicciones de Candelaria</w:t>
      </w:r>
    </w:p>
    <w:p w:rsidR="00E23B86" w:rsidRDefault="00BA7C13">
      <w:pPr>
        <w:spacing w:after="111" w:line="251" w:lineRule="auto"/>
        <w:ind w:left="1082" w:right="573" w:hanging="10"/>
        <w:jc w:val="both"/>
      </w:pPr>
      <w:r>
        <w:rPr>
          <w:rFonts w:ascii="Arial" w:eastAsia="Arial" w:hAnsi="Arial" w:cs="Arial"/>
          <w:i/>
        </w:rPr>
        <w:t xml:space="preserve">(coordinación interna). </w:t>
      </w:r>
    </w:p>
    <w:p w:rsidR="00E23B86" w:rsidRDefault="00BA7C13">
      <w:pPr>
        <w:spacing w:after="0" w:line="505" w:lineRule="auto"/>
        <w:ind w:left="345" w:right="1648" w:firstLine="360"/>
        <w:jc w:val="both"/>
      </w:pPr>
      <w:r>
        <w:rPr>
          <w:rFonts w:ascii="Arial" w:eastAsia="Arial" w:hAnsi="Arial" w:cs="Arial"/>
          <w:i/>
        </w:rPr>
        <w:t>1. La Comisión Mixta de Prevención de Adicciones de Candelaria. 7.1. Comisión Municipal de Prevención de Adicciones de Candelaria</w:t>
      </w:r>
    </w:p>
    <w:p w:rsidR="00E23B86" w:rsidRDefault="00BA7C13">
      <w:pPr>
        <w:spacing w:after="144" w:line="251" w:lineRule="auto"/>
        <w:ind w:left="355" w:right="573" w:hanging="10"/>
        <w:jc w:val="both"/>
      </w:pPr>
      <w:r>
        <w:rPr>
          <w:rFonts w:ascii="Arial" w:eastAsia="Arial" w:hAnsi="Arial" w:cs="Arial"/>
          <w:i/>
        </w:rPr>
        <w:t xml:space="preserve">Sus integrantes serán: </w:t>
      </w:r>
    </w:p>
    <w:p w:rsidR="00E23B86" w:rsidRDefault="00BA7C13">
      <w:pPr>
        <w:numPr>
          <w:ilvl w:val="0"/>
          <w:numId w:val="65"/>
        </w:numPr>
        <w:spacing w:after="111" w:line="251" w:lineRule="auto"/>
        <w:ind w:right="573" w:hanging="360"/>
        <w:jc w:val="both"/>
      </w:pPr>
      <w:r>
        <w:rPr>
          <w:rFonts w:ascii="Arial" w:eastAsia="Arial" w:hAnsi="Arial" w:cs="Arial"/>
          <w:i/>
        </w:rPr>
        <w:t>Quien ostente la Alcaldía o Presidencia del Ayuntamiento, o Concejalía en quien delegue, que ostentará</w:t>
      </w:r>
      <w:r>
        <w:rPr>
          <w:rFonts w:ascii="Arial" w:eastAsia="Arial" w:hAnsi="Arial" w:cs="Arial"/>
          <w:i/>
        </w:rPr>
        <w:t xml:space="preserve"> la Presidencia de la Comisión.</w:t>
      </w:r>
    </w:p>
    <w:p w:rsidR="00E23B86" w:rsidRDefault="00BA7C13">
      <w:pPr>
        <w:numPr>
          <w:ilvl w:val="0"/>
          <w:numId w:val="65"/>
        </w:numPr>
        <w:spacing w:after="146" w:line="251" w:lineRule="auto"/>
        <w:ind w:right="573" w:hanging="360"/>
        <w:jc w:val="both"/>
      </w:pPr>
      <w:r>
        <w:rPr>
          <w:rFonts w:ascii="Arial" w:eastAsia="Arial" w:hAnsi="Arial" w:cs="Arial"/>
          <w:i/>
        </w:rPr>
        <w:t>La persona que ostente la Concejalía con competencias en prevención de adicciones/drogodependencias.</w:t>
      </w:r>
    </w:p>
    <w:p w:rsidR="00E23B86" w:rsidRDefault="00BA7C13">
      <w:pPr>
        <w:numPr>
          <w:ilvl w:val="0"/>
          <w:numId w:val="65"/>
        </w:numPr>
        <w:spacing w:after="111" w:line="251" w:lineRule="auto"/>
        <w:ind w:right="573" w:hanging="360"/>
        <w:jc w:val="both"/>
      </w:pPr>
      <w:r>
        <w:rPr>
          <w:rFonts w:ascii="Arial" w:eastAsia="Arial" w:hAnsi="Arial" w:cs="Arial"/>
          <w:i/>
        </w:rPr>
        <w:t>Representantes de los grupos políticos municipales.</w:t>
      </w:r>
    </w:p>
    <w:p w:rsidR="00E23B86" w:rsidRDefault="00BA7C13">
      <w:pPr>
        <w:numPr>
          <w:ilvl w:val="0"/>
          <w:numId w:val="65"/>
        </w:numPr>
        <w:spacing w:after="111" w:line="251" w:lineRule="auto"/>
        <w:ind w:right="573" w:hanging="360"/>
        <w:jc w:val="both"/>
      </w:pPr>
      <w:r>
        <w:rPr>
          <w:rFonts w:ascii="Arial" w:eastAsia="Arial" w:hAnsi="Arial" w:cs="Arial"/>
          <w:i/>
        </w:rPr>
        <w:t>Personal de Secretaría del Ayuntamiento o funcionariado en quien delegue, que asumirá las funciones derivadas de la Secretaría de la Comisión Municipal.</w:t>
      </w:r>
    </w:p>
    <w:p w:rsidR="00E23B86" w:rsidRDefault="00BA7C13">
      <w:pPr>
        <w:spacing w:after="147" w:line="251" w:lineRule="auto"/>
        <w:ind w:left="355" w:right="573" w:hanging="10"/>
        <w:jc w:val="both"/>
      </w:pPr>
      <w:r>
        <w:rPr>
          <w:rFonts w:ascii="Arial" w:eastAsia="Arial" w:hAnsi="Arial" w:cs="Arial"/>
          <w:i/>
        </w:rPr>
        <w:t>Esta Comisión estará asistida en la celebración de sus reuniones periódicas por el/la Técnico/a Municip</w:t>
      </w:r>
      <w:r>
        <w:rPr>
          <w:rFonts w:ascii="Arial" w:eastAsia="Arial" w:hAnsi="Arial" w:cs="Arial"/>
          <w:i/>
        </w:rPr>
        <w:t>al en Prevención de Adicciones. Se reunirá con una periodicidad anual y sus funciones serán:</w:t>
      </w:r>
    </w:p>
    <w:p w:rsidR="00E23B86" w:rsidRDefault="00BA7C13">
      <w:pPr>
        <w:numPr>
          <w:ilvl w:val="0"/>
          <w:numId w:val="65"/>
        </w:numPr>
        <w:spacing w:after="145" w:line="251" w:lineRule="auto"/>
        <w:ind w:right="573" w:hanging="360"/>
        <w:jc w:val="both"/>
      </w:pPr>
      <w:r>
        <w:rPr>
          <w:rFonts w:ascii="Arial" w:eastAsia="Arial" w:hAnsi="Arial" w:cs="Arial"/>
          <w:i/>
        </w:rPr>
        <w:t>Definir y aprobar anualmente las líneas de actuación prioritarias del Plan Municipal.</w:t>
      </w:r>
    </w:p>
    <w:p w:rsidR="00E23B86" w:rsidRDefault="00BA7C13">
      <w:pPr>
        <w:numPr>
          <w:ilvl w:val="0"/>
          <w:numId w:val="65"/>
        </w:numPr>
        <w:spacing w:after="0" w:line="513" w:lineRule="auto"/>
        <w:ind w:right="573" w:hanging="360"/>
        <w:jc w:val="both"/>
      </w:pPr>
      <w:r>
        <w:rPr>
          <w:rFonts w:ascii="Arial" w:eastAsia="Arial" w:hAnsi="Arial" w:cs="Arial"/>
          <w:i/>
        </w:rPr>
        <w:t xml:space="preserve">Aprobar las líneas de trabajo y realizar el seguimiento. 7.2. Comisión Mixta </w:t>
      </w:r>
      <w:r>
        <w:rPr>
          <w:rFonts w:ascii="Arial" w:eastAsia="Arial" w:hAnsi="Arial" w:cs="Arial"/>
          <w:i/>
        </w:rPr>
        <w:t>de Prevención de Adicciones de Candelaria</w:t>
      </w:r>
    </w:p>
    <w:p w:rsidR="00E23B86" w:rsidRDefault="00BA7C13">
      <w:pPr>
        <w:spacing w:after="144" w:line="251" w:lineRule="auto"/>
        <w:ind w:left="355" w:right="573" w:hanging="10"/>
        <w:jc w:val="both"/>
      </w:pPr>
      <w:r>
        <w:rPr>
          <w:rFonts w:ascii="Arial" w:eastAsia="Arial" w:hAnsi="Arial" w:cs="Arial"/>
          <w:i/>
        </w:rPr>
        <w:t xml:space="preserve">Sus integrantes serán: </w:t>
      </w:r>
    </w:p>
    <w:p w:rsidR="00E23B86" w:rsidRDefault="00BA7C13">
      <w:pPr>
        <w:numPr>
          <w:ilvl w:val="0"/>
          <w:numId w:val="65"/>
        </w:numPr>
        <w:spacing w:after="111" w:line="251" w:lineRule="auto"/>
        <w:ind w:right="573" w:hanging="360"/>
        <w:jc w:val="both"/>
      </w:pPr>
      <w:r>
        <w:rPr>
          <w:rFonts w:ascii="Arial" w:eastAsia="Arial" w:hAnsi="Arial" w:cs="Arial"/>
          <w:i/>
        </w:rPr>
        <w:t>La persona que ostente la Concejalía con competencias en adicciones.</w:t>
      </w:r>
    </w:p>
    <w:p w:rsidR="00E23B86" w:rsidRDefault="00BA7C13">
      <w:pPr>
        <w:numPr>
          <w:ilvl w:val="0"/>
          <w:numId w:val="65"/>
        </w:numPr>
        <w:spacing w:after="111" w:line="251" w:lineRule="auto"/>
        <w:ind w:right="573" w:hanging="360"/>
        <w:jc w:val="both"/>
      </w:pPr>
      <w:r>
        <w:rPr>
          <w:rFonts w:ascii="Arial" w:eastAsia="Arial" w:hAnsi="Arial" w:cs="Arial"/>
          <w:i/>
        </w:rPr>
        <w:t>Representantes de los grupos políticos municipales.</w:t>
      </w:r>
    </w:p>
    <w:p w:rsidR="00E23B86" w:rsidRDefault="00BA7C13">
      <w:pPr>
        <w:numPr>
          <w:ilvl w:val="0"/>
          <w:numId w:val="65"/>
        </w:numPr>
        <w:spacing w:after="145" w:line="251" w:lineRule="auto"/>
        <w:ind w:right="573" w:hanging="360"/>
        <w:jc w:val="both"/>
      </w:pPr>
      <w:r>
        <w:rPr>
          <w:noProof/>
        </w:rPr>
        <mc:AlternateContent>
          <mc:Choice Requires="wpg">
            <w:drawing>
              <wp:anchor distT="0" distB="0" distL="114300" distR="114300" simplePos="0" relativeHeight="2518394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18270" name="Group 51827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684" name="Rectangle 3068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30685" name="Rectangle 3068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175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18270" style="width:12.7031pt;height:280.35pt;position:absolute;mso-position-horizontal-relative:page;mso-position-horizontal:absolute;margin-left:681.958pt;mso-position-vertical-relative:page;margin-top:531.65pt;" coordsize="1613,35604">
                <v:rect id="Rectangle 3068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68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175 de 391 </w:t>
                        </w:r>
                      </w:p>
                    </w:txbxContent>
                  </v:textbox>
                </v:rect>
                <w10:wrap type="square"/>
              </v:group>
            </w:pict>
          </mc:Fallback>
        </mc:AlternateContent>
      </w:r>
      <w:r>
        <w:rPr>
          <w:rFonts w:ascii="Arial" w:eastAsia="Arial" w:hAnsi="Arial" w:cs="Arial"/>
          <w:i/>
        </w:rPr>
        <w:t>Los/las técnicos/as municipales de las Áreas del Ayuntamiento adscritas al Plan Municipal en Prevención de Adicciones.</w:t>
      </w:r>
    </w:p>
    <w:p w:rsidR="00E23B86" w:rsidRDefault="00BA7C13">
      <w:pPr>
        <w:numPr>
          <w:ilvl w:val="0"/>
          <w:numId w:val="65"/>
        </w:numPr>
        <w:spacing w:after="111" w:line="251" w:lineRule="auto"/>
        <w:ind w:right="573" w:hanging="360"/>
        <w:jc w:val="both"/>
      </w:pPr>
      <w:r>
        <w:rPr>
          <w:rFonts w:ascii="Arial" w:eastAsia="Arial" w:hAnsi="Arial" w:cs="Arial"/>
          <w:i/>
        </w:rPr>
        <w:t>Los/las representantes de los recursos institucionales del municipio.</w:t>
      </w:r>
    </w:p>
    <w:p w:rsidR="00E23B86" w:rsidRDefault="00BA7C13">
      <w:pPr>
        <w:numPr>
          <w:ilvl w:val="0"/>
          <w:numId w:val="65"/>
        </w:numPr>
        <w:spacing w:after="111" w:line="251" w:lineRule="auto"/>
        <w:ind w:right="573" w:hanging="360"/>
        <w:jc w:val="both"/>
      </w:pPr>
      <w:r>
        <w:rPr>
          <w:rFonts w:ascii="Arial" w:eastAsia="Arial" w:hAnsi="Arial" w:cs="Arial"/>
          <w:i/>
        </w:rPr>
        <w:t>Los/las representantes de las asociaciones y entidades ciudadanas.</w:t>
      </w:r>
    </w:p>
    <w:p w:rsidR="00E23B86" w:rsidRDefault="00BA7C13">
      <w:pPr>
        <w:numPr>
          <w:ilvl w:val="0"/>
          <w:numId w:val="65"/>
        </w:numPr>
        <w:spacing w:after="111" w:line="251" w:lineRule="auto"/>
        <w:ind w:right="573" w:hanging="360"/>
        <w:jc w:val="both"/>
      </w:pPr>
      <w:r>
        <w:rPr>
          <w:rFonts w:ascii="Arial" w:eastAsia="Arial" w:hAnsi="Arial" w:cs="Arial"/>
          <w:i/>
        </w:rPr>
        <w:t>El/la técnico/a municipal en Prevención de Adicciones que actuará como Secretario/a de la Comisión.</w:t>
      </w:r>
    </w:p>
    <w:p w:rsidR="00E23B86" w:rsidRDefault="00BA7C13">
      <w:pPr>
        <w:spacing w:after="147" w:line="251" w:lineRule="auto"/>
        <w:ind w:left="355" w:right="573" w:hanging="10"/>
        <w:jc w:val="both"/>
      </w:pPr>
      <w:r>
        <w:rPr>
          <w:rFonts w:ascii="Arial" w:eastAsia="Arial" w:hAnsi="Arial" w:cs="Arial"/>
          <w:i/>
        </w:rPr>
        <w:t xml:space="preserve">La periodicidad de </w:t>
      </w:r>
      <w:r>
        <w:rPr>
          <w:rFonts w:ascii="Arial" w:eastAsia="Arial" w:hAnsi="Arial" w:cs="Arial"/>
          <w:i/>
        </w:rPr>
        <w:t>las reuniones de la Comisión Mixta se establecerá según la necesidad de las mismas, y las funciones serán:</w:t>
      </w:r>
    </w:p>
    <w:p w:rsidR="00E23B86" w:rsidRDefault="00BA7C13">
      <w:pPr>
        <w:numPr>
          <w:ilvl w:val="0"/>
          <w:numId w:val="65"/>
        </w:numPr>
        <w:spacing w:after="111" w:line="251" w:lineRule="auto"/>
        <w:ind w:right="573" w:hanging="360"/>
        <w:jc w:val="both"/>
      </w:pPr>
      <w:r>
        <w:rPr>
          <w:rFonts w:ascii="Arial" w:eastAsia="Arial" w:hAnsi="Arial" w:cs="Arial"/>
          <w:i/>
        </w:rPr>
        <w:t>El seguimiento y evaluación del Plan.</w:t>
      </w:r>
    </w:p>
    <w:p w:rsidR="00E23B86" w:rsidRDefault="00BA7C13">
      <w:pPr>
        <w:numPr>
          <w:ilvl w:val="0"/>
          <w:numId w:val="65"/>
        </w:numPr>
        <w:spacing w:after="111" w:line="251" w:lineRule="auto"/>
        <w:ind w:right="573" w:hanging="360"/>
        <w:jc w:val="both"/>
      </w:pPr>
      <w:r>
        <w:rPr>
          <w:rFonts w:ascii="Arial" w:eastAsia="Arial" w:hAnsi="Arial" w:cs="Arial"/>
          <w:i/>
        </w:rPr>
        <w:t>Establecer las líneas de actuación.</w:t>
      </w:r>
    </w:p>
    <w:p w:rsidR="00E23B86" w:rsidRDefault="00BA7C13">
      <w:pPr>
        <w:numPr>
          <w:ilvl w:val="0"/>
          <w:numId w:val="65"/>
        </w:numPr>
        <w:spacing w:after="111" w:line="251" w:lineRule="auto"/>
        <w:ind w:right="573" w:hanging="360"/>
        <w:jc w:val="both"/>
      </w:pPr>
      <w:r>
        <w:rPr>
          <w:rFonts w:ascii="Arial" w:eastAsia="Arial" w:hAnsi="Arial" w:cs="Arial"/>
          <w:i/>
        </w:rPr>
        <w:t>Coordinar las actuaciones y programas en Adicciones de las distintas instit</w:t>
      </w:r>
      <w:r>
        <w:rPr>
          <w:rFonts w:ascii="Arial" w:eastAsia="Arial" w:hAnsi="Arial" w:cs="Arial"/>
          <w:i/>
        </w:rPr>
        <w:t>uciones, entidades y grupos sociales.</w:t>
      </w:r>
    </w:p>
    <w:p w:rsidR="00E23B86" w:rsidRDefault="00BA7C13">
      <w:pPr>
        <w:spacing w:after="146" w:line="251" w:lineRule="auto"/>
        <w:ind w:left="355" w:right="573" w:hanging="10"/>
        <w:jc w:val="both"/>
      </w:pPr>
      <w:r>
        <w:rPr>
          <w:rFonts w:ascii="Arial" w:eastAsia="Arial" w:hAnsi="Arial" w:cs="Arial"/>
          <w:i/>
        </w:rPr>
        <w:t xml:space="preserve">Esta comisión podrá operativizarse en grupos de trabajo sobre la base de los ámbitos de intervención ya señalados (educativo, familiar, laboral y de ocio y tiempo libre), estableciéndose las reuniones según cada grupo </w:t>
      </w:r>
      <w:r>
        <w:rPr>
          <w:rFonts w:ascii="Arial" w:eastAsia="Arial" w:hAnsi="Arial" w:cs="Arial"/>
          <w:i/>
        </w:rPr>
        <w:t>de trabajo y tendrán como funciones proponer y elevar a la Comisión Mixta las siguientes cuestiones:</w:t>
      </w:r>
    </w:p>
    <w:p w:rsidR="00E23B86" w:rsidRDefault="00BA7C13">
      <w:pPr>
        <w:numPr>
          <w:ilvl w:val="0"/>
          <w:numId w:val="65"/>
        </w:numPr>
        <w:spacing w:after="111" w:line="251" w:lineRule="auto"/>
        <w:ind w:right="573" w:hanging="360"/>
        <w:jc w:val="both"/>
      </w:pPr>
      <w:r>
        <w:rPr>
          <w:rFonts w:ascii="Arial" w:eastAsia="Arial" w:hAnsi="Arial" w:cs="Arial"/>
          <w:i/>
        </w:rPr>
        <w:t>Nuevas propuestas de intervención.</w:t>
      </w:r>
    </w:p>
    <w:p w:rsidR="00E23B86" w:rsidRDefault="00BA7C13">
      <w:pPr>
        <w:numPr>
          <w:ilvl w:val="0"/>
          <w:numId w:val="65"/>
        </w:numPr>
        <w:spacing w:after="111" w:line="251" w:lineRule="auto"/>
        <w:ind w:right="573" w:hanging="360"/>
        <w:jc w:val="both"/>
      </w:pPr>
      <w:r>
        <w:rPr>
          <w:rFonts w:ascii="Arial" w:eastAsia="Arial" w:hAnsi="Arial" w:cs="Arial"/>
          <w:i/>
        </w:rPr>
        <w:t xml:space="preserve">La elaboración de diagnósticos y exposición de necesidades. </w:t>
      </w:r>
    </w:p>
    <w:p w:rsidR="00E23B86" w:rsidRDefault="00BA7C13">
      <w:pPr>
        <w:numPr>
          <w:ilvl w:val="0"/>
          <w:numId w:val="65"/>
        </w:numPr>
        <w:spacing w:after="111" w:line="251" w:lineRule="auto"/>
        <w:ind w:right="573" w:hanging="360"/>
        <w:jc w:val="both"/>
      </w:pPr>
      <w:r>
        <w:rPr>
          <w:rFonts w:ascii="Arial" w:eastAsia="Arial" w:hAnsi="Arial" w:cs="Arial"/>
          <w:i/>
        </w:rPr>
        <w:t>Estudios e Investigaciones.</w:t>
      </w:r>
    </w:p>
    <w:p w:rsidR="00E23B86" w:rsidRDefault="00BA7C13">
      <w:pPr>
        <w:numPr>
          <w:ilvl w:val="0"/>
          <w:numId w:val="65"/>
        </w:numPr>
        <w:spacing w:after="111" w:line="251" w:lineRule="auto"/>
        <w:ind w:right="573" w:hanging="360"/>
        <w:jc w:val="both"/>
      </w:pPr>
      <w:r>
        <w:rPr>
          <w:rFonts w:ascii="Arial" w:eastAsia="Arial" w:hAnsi="Arial" w:cs="Arial"/>
          <w:i/>
        </w:rPr>
        <w:t>Seguimiento y evaluación de las</w:t>
      </w:r>
      <w:r>
        <w:rPr>
          <w:rFonts w:ascii="Arial" w:eastAsia="Arial" w:hAnsi="Arial" w:cs="Arial"/>
          <w:i/>
        </w:rPr>
        <w:t xml:space="preserve"> intervenciones llevadas en cada ámbito. </w:t>
      </w:r>
    </w:p>
    <w:tbl>
      <w:tblPr>
        <w:tblStyle w:val="TableGrid"/>
        <w:tblW w:w="8483" w:type="dxa"/>
        <w:tblInd w:w="361" w:type="dxa"/>
        <w:tblCellMar>
          <w:top w:w="42" w:type="dxa"/>
          <w:left w:w="0" w:type="dxa"/>
          <w:bottom w:w="0" w:type="dxa"/>
          <w:right w:w="115" w:type="dxa"/>
        </w:tblCellMar>
        <w:tblLook w:val="04A0" w:firstRow="1" w:lastRow="0" w:firstColumn="1" w:lastColumn="0" w:noHBand="0" w:noVBand="1"/>
      </w:tblPr>
      <w:tblGrid>
        <w:gridCol w:w="677"/>
        <w:gridCol w:w="7806"/>
      </w:tblGrid>
      <w:tr w:rsidR="00E23B86">
        <w:trPr>
          <w:trHeight w:val="339"/>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Times New Roman" w:eastAsia="Times New Roman" w:hAnsi="Times New Roman" w:cs="Times New Roman"/>
                <w:sz w:val="24"/>
              </w:rPr>
              <w:t>8.</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RECURSOS DEL IV PLAN  </w:t>
            </w:r>
          </w:p>
        </w:tc>
      </w:tr>
    </w:tbl>
    <w:p w:rsidR="00E23B86" w:rsidRDefault="00BA7C13">
      <w:pPr>
        <w:spacing w:after="111" w:line="251" w:lineRule="auto"/>
        <w:ind w:left="355" w:right="573" w:hanging="10"/>
        <w:jc w:val="both"/>
      </w:pPr>
      <w:r>
        <w:rPr>
          <w:rFonts w:ascii="Arial" w:eastAsia="Arial" w:hAnsi="Arial" w:cs="Arial"/>
          <w:i/>
        </w:rPr>
        <w:t>Para la implementación y ejecución del IV Plan Municipal de Prevención de Adicciones (2019-2023) del municipio de Candelaria, se dispondrá de los recursos ya existentes y se adjudicarán los recursos necesarios para desarrollar las medidas.</w:t>
      </w:r>
    </w:p>
    <w:p w:rsidR="00E23B86" w:rsidRDefault="00BA7C13">
      <w:pPr>
        <w:spacing w:after="111" w:line="251" w:lineRule="auto"/>
        <w:ind w:left="355" w:right="573" w:hanging="10"/>
        <w:jc w:val="both"/>
      </w:pPr>
      <w:r>
        <w:rPr>
          <w:rFonts w:ascii="Arial" w:eastAsia="Arial" w:hAnsi="Arial" w:cs="Arial"/>
          <w:i/>
        </w:rPr>
        <w:t>Como recursos re</w:t>
      </w:r>
      <w:r>
        <w:rPr>
          <w:rFonts w:ascii="Arial" w:eastAsia="Arial" w:hAnsi="Arial" w:cs="Arial"/>
          <w:i/>
        </w:rPr>
        <w:t>lacionados con el Plan que ya existen (sin dedicación exclusiva, responsables de otras áreas y funciones):</w:t>
      </w:r>
    </w:p>
    <w:p w:rsidR="00E23B86" w:rsidRDefault="00BA7C13">
      <w:pPr>
        <w:numPr>
          <w:ilvl w:val="1"/>
          <w:numId w:val="65"/>
        </w:numPr>
        <w:spacing w:after="167" w:line="251" w:lineRule="auto"/>
        <w:ind w:right="573" w:hanging="360"/>
        <w:jc w:val="both"/>
      </w:pPr>
      <w:r>
        <w:rPr>
          <w:rFonts w:ascii="Arial" w:eastAsia="Arial" w:hAnsi="Arial" w:cs="Arial"/>
          <w:i/>
        </w:rPr>
        <w:t>1 Trabajadora Social (responsable del Plan)</w:t>
      </w:r>
    </w:p>
    <w:p w:rsidR="00E23B86" w:rsidRDefault="00BA7C13">
      <w:pPr>
        <w:numPr>
          <w:ilvl w:val="1"/>
          <w:numId w:val="65"/>
        </w:numPr>
        <w:spacing w:after="169" w:line="251" w:lineRule="auto"/>
        <w:ind w:right="573" w:hanging="360"/>
        <w:jc w:val="both"/>
      </w:pPr>
      <w:r>
        <w:rPr>
          <w:rFonts w:ascii="Arial" w:eastAsia="Arial" w:hAnsi="Arial" w:cs="Arial"/>
          <w:i/>
        </w:rPr>
        <w:t xml:space="preserve">1 Pedagoga </w:t>
      </w:r>
    </w:p>
    <w:p w:rsidR="00E23B86" w:rsidRDefault="00BA7C13">
      <w:pPr>
        <w:numPr>
          <w:ilvl w:val="1"/>
          <w:numId w:val="65"/>
        </w:numPr>
        <w:spacing w:after="595" w:line="251" w:lineRule="auto"/>
        <w:ind w:right="573" w:hanging="360"/>
        <w:jc w:val="both"/>
      </w:pPr>
      <w:r>
        <w:rPr>
          <w:rFonts w:ascii="Arial" w:eastAsia="Arial" w:hAnsi="Arial" w:cs="Arial"/>
          <w:i/>
        </w:rPr>
        <w:t xml:space="preserve">1 Trabajadora Social   </w:t>
      </w:r>
    </w:p>
    <w:p w:rsidR="00E23B86" w:rsidRDefault="00BA7C13">
      <w:pPr>
        <w:spacing w:after="163" w:line="251" w:lineRule="auto"/>
        <w:ind w:left="355" w:right="573" w:hanging="10"/>
        <w:jc w:val="both"/>
      </w:pPr>
      <w:r>
        <w:rPr>
          <w:rFonts w:ascii="Arial" w:eastAsia="Arial" w:hAnsi="Arial" w:cs="Arial"/>
          <w:i/>
        </w:rPr>
        <w:t>Como recursos relacionados con el Plan, que no existen y sería necesa</w:t>
      </w:r>
      <w:r>
        <w:rPr>
          <w:rFonts w:ascii="Arial" w:eastAsia="Arial" w:hAnsi="Arial" w:cs="Arial"/>
          <w:i/>
        </w:rPr>
        <w:t>rio implementar:</w:t>
      </w:r>
    </w:p>
    <w:p w:rsidR="00E23B86" w:rsidRDefault="00BA7C13">
      <w:pPr>
        <w:numPr>
          <w:ilvl w:val="1"/>
          <w:numId w:val="65"/>
        </w:numPr>
        <w:spacing w:after="169" w:line="251" w:lineRule="auto"/>
        <w:ind w:right="573" w:hanging="360"/>
        <w:jc w:val="both"/>
      </w:pPr>
      <w:r>
        <w:rPr>
          <w:rFonts w:ascii="Arial" w:eastAsia="Arial" w:hAnsi="Arial" w:cs="Arial"/>
          <w:i/>
        </w:rPr>
        <w:t>Educadores/as de calle para trabajar en los barrios.</w:t>
      </w:r>
    </w:p>
    <w:p w:rsidR="00E23B86" w:rsidRDefault="00BA7C13">
      <w:pPr>
        <w:numPr>
          <w:ilvl w:val="1"/>
          <w:numId w:val="65"/>
        </w:numPr>
        <w:spacing w:after="163" w:line="251" w:lineRule="auto"/>
        <w:ind w:right="573" w:hanging="360"/>
        <w:jc w:val="both"/>
      </w:pPr>
      <w:r>
        <w:rPr>
          <w:rFonts w:ascii="Arial" w:eastAsia="Arial" w:hAnsi="Arial" w:cs="Arial"/>
          <w:i/>
        </w:rPr>
        <w:t>Equipo de expertos con perfiles de trabajadores/as sociales, Psicólogos/as y expertos/as en familia para ofertar servicios de atención temprana, asesoramiento, etc.</w:t>
      </w:r>
    </w:p>
    <w:p w:rsidR="00E23B86" w:rsidRDefault="00BA7C13">
      <w:pPr>
        <w:numPr>
          <w:ilvl w:val="1"/>
          <w:numId w:val="65"/>
        </w:numPr>
        <w:spacing w:after="162" w:line="251" w:lineRule="auto"/>
        <w:ind w:right="573" w:hanging="360"/>
        <w:jc w:val="both"/>
      </w:pPr>
      <w:r>
        <w:rPr>
          <w:rFonts w:ascii="Arial" w:eastAsia="Arial" w:hAnsi="Arial" w:cs="Arial"/>
          <w:i/>
        </w:rPr>
        <w:t>Experto/a en redes sociales para gestionar la prevención desde un ámbito virtual.</w:t>
      </w:r>
    </w:p>
    <w:p w:rsidR="00E23B86" w:rsidRDefault="00BA7C13">
      <w:pPr>
        <w:numPr>
          <w:ilvl w:val="1"/>
          <w:numId w:val="65"/>
        </w:numPr>
        <w:spacing w:after="162" w:line="251" w:lineRule="auto"/>
        <w:ind w:right="573" w:hanging="360"/>
        <w:jc w:val="both"/>
      </w:pPr>
      <w:r>
        <w:rPr>
          <w:noProof/>
        </w:rPr>
        <mc:AlternateContent>
          <mc:Choice Requires="wpg">
            <w:drawing>
              <wp:anchor distT="0" distB="0" distL="114300" distR="114300" simplePos="0" relativeHeight="2518405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1096" name="Group 54109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758" name="Rectangle 3075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759" name="Rectangle 3075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w:t>
                              </w:r>
                              <w:r>
                                <w:rPr>
                                  <w:rFonts w:ascii="Arial" w:eastAsia="Arial" w:hAnsi="Arial" w:cs="Arial"/>
                                  <w:sz w:val="12"/>
                                </w:rPr>
                                <w:t xml:space="preserve">na | Página 176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1096" style="width:12.7031pt;height:280.35pt;position:absolute;mso-position-horizontal-relative:page;mso-position-horizontal:absolute;margin-left:681.958pt;mso-position-vertical-relative:page;margin-top:531.65pt;" coordsize="1613,35604">
                <v:rect id="Rectangle 3075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75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176 de 391 </w:t>
                        </w:r>
                      </w:p>
                    </w:txbxContent>
                  </v:textbox>
                </v:rect>
                <w10:wrap type="square"/>
              </v:group>
            </w:pict>
          </mc:Fallback>
        </mc:AlternateContent>
      </w:r>
      <w:r>
        <w:rPr>
          <w:rFonts w:ascii="Arial" w:eastAsia="Arial" w:hAnsi="Arial" w:cs="Arial"/>
          <w:i/>
        </w:rPr>
        <w:t>Contratación de servicios para asesorar, evaluar e investigar sobre prevención de adicciones.</w:t>
      </w:r>
    </w:p>
    <w:p w:rsidR="00E23B86" w:rsidRDefault="00BA7C13">
      <w:pPr>
        <w:numPr>
          <w:ilvl w:val="1"/>
          <w:numId w:val="65"/>
        </w:numPr>
        <w:spacing w:after="590" w:line="251" w:lineRule="auto"/>
        <w:ind w:right="573" w:hanging="360"/>
        <w:jc w:val="both"/>
      </w:pPr>
      <w:r>
        <w:rPr>
          <w:rFonts w:ascii="Arial" w:eastAsia="Arial" w:hAnsi="Arial" w:cs="Arial"/>
          <w:i/>
        </w:rPr>
        <w:t>Recursos presupuestarios para contratar servicios de publicidad, edición de folletos, cursos, talleres, charlas, etc. en el ámbito comunit</w:t>
      </w:r>
      <w:r>
        <w:rPr>
          <w:rFonts w:ascii="Arial" w:eastAsia="Arial" w:hAnsi="Arial" w:cs="Arial"/>
          <w:i/>
        </w:rPr>
        <w:t>ario y educativo.</w:t>
      </w:r>
    </w:p>
    <w:p w:rsidR="00E23B86" w:rsidRDefault="00BA7C13">
      <w:pPr>
        <w:spacing w:after="111" w:line="251" w:lineRule="auto"/>
        <w:ind w:left="355" w:right="573" w:hanging="10"/>
        <w:jc w:val="both"/>
      </w:pPr>
      <w:r>
        <w:rPr>
          <w:rFonts w:ascii="Arial" w:eastAsia="Arial" w:hAnsi="Arial" w:cs="Arial"/>
          <w:i/>
        </w:rPr>
        <w:t>El Ayuntamiento de Candelaria cuanta con la aplicación presupuestaria 23100.22616 correspondiente a la Unidad de Prevención, Absentismo y Drogodependencias, así como la aplicación 23100.48002 de Prevención y Reinserción del Plan Concertad</w:t>
      </w:r>
      <w:r>
        <w:rPr>
          <w:rFonts w:ascii="Arial" w:eastAsia="Arial" w:hAnsi="Arial" w:cs="Arial"/>
          <w:i/>
        </w:rPr>
        <w:t xml:space="preserve">o de Prestaciones Básicas de los Servicios Sociales Municipales. </w:t>
      </w:r>
    </w:p>
    <w:p w:rsidR="00E23B86" w:rsidRDefault="00BA7C13">
      <w:pPr>
        <w:spacing w:after="111" w:line="251" w:lineRule="auto"/>
        <w:ind w:left="355" w:right="573" w:hanging="10"/>
        <w:jc w:val="both"/>
      </w:pPr>
      <w:r>
        <w:rPr>
          <w:rFonts w:ascii="Arial" w:eastAsia="Arial" w:hAnsi="Arial" w:cs="Arial"/>
          <w:i/>
        </w:rPr>
        <w:t xml:space="preserve">Así mismo, deberá dotar de los recursos materiales necesarios para el desarrollo de las actuaciones de dicho Plan. </w:t>
      </w:r>
    </w:p>
    <w:tbl>
      <w:tblPr>
        <w:tblStyle w:val="TableGrid"/>
        <w:tblW w:w="8483" w:type="dxa"/>
        <w:tblInd w:w="361" w:type="dxa"/>
        <w:tblCellMar>
          <w:top w:w="42" w:type="dxa"/>
          <w:left w:w="0" w:type="dxa"/>
          <w:bottom w:w="0" w:type="dxa"/>
          <w:right w:w="115" w:type="dxa"/>
        </w:tblCellMar>
        <w:tblLook w:val="04A0" w:firstRow="1" w:lastRow="0" w:firstColumn="1" w:lastColumn="0" w:noHBand="0" w:noVBand="1"/>
      </w:tblPr>
      <w:tblGrid>
        <w:gridCol w:w="677"/>
        <w:gridCol w:w="7806"/>
      </w:tblGrid>
      <w:tr w:rsidR="00E23B86">
        <w:trPr>
          <w:trHeight w:val="339"/>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Times New Roman" w:eastAsia="Times New Roman" w:hAnsi="Times New Roman" w:cs="Times New Roman"/>
                <w:sz w:val="24"/>
              </w:rPr>
              <w:t>9.</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EVALUACIÓN Y SEGUIMIENTO DEL PLAN </w:t>
            </w:r>
          </w:p>
        </w:tc>
      </w:tr>
    </w:tbl>
    <w:p w:rsidR="00E23B86" w:rsidRDefault="00BA7C13">
      <w:pPr>
        <w:spacing w:after="111" w:line="251" w:lineRule="auto"/>
        <w:ind w:left="355" w:right="573" w:hanging="10"/>
        <w:jc w:val="both"/>
      </w:pPr>
      <w:r>
        <w:rPr>
          <w:rFonts w:ascii="Arial" w:eastAsia="Arial" w:hAnsi="Arial" w:cs="Arial"/>
          <w:i/>
        </w:rPr>
        <w:t xml:space="preserve">El IV Plan Municipal de Prevención de Drogodependencias y otras Adicciones (20192023) del municipio de Candelaria, precisa de un sistema de evaluación y seguimiento que garantice el logro de los objetivos marcados. </w:t>
      </w:r>
    </w:p>
    <w:p w:rsidR="00E23B86" w:rsidRDefault="00BA7C13">
      <w:pPr>
        <w:spacing w:after="144" w:line="251" w:lineRule="auto"/>
        <w:ind w:left="355" w:right="573" w:hanging="10"/>
        <w:jc w:val="both"/>
      </w:pPr>
      <w:r>
        <w:rPr>
          <w:rFonts w:ascii="Arial" w:eastAsia="Arial" w:hAnsi="Arial" w:cs="Arial"/>
          <w:i/>
        </w:rPr>
        <w:t xml:space="preserve">Los objetivos de la evaluación serán: </w:t>
      </w:r>
    </w:p>
    <w:p w:rsidR="00E23B86" w:rsidRDefault="00BA7C13">
      <w:pPr>
        <w:numPr>
          <w:ilvl w:val="0"/>
          <w:numId w:val="65"/>
        </w:numPr>
        <w:spacing w:after="111" w:line="251" w:lineRule="auto"/>
        <w:ind w:right="573" w:hanging="360"/>
        <w:jc w:val="both"/>
      </w:pPr>
      <w:r>
        <w:rPr>
          <w:rFonts w:ascii="Arial" w:eastAsia="Arial" w:hAnsi="Arial" w:cs="Arial"/>
          <w:i/>
        </w:rPr>
        <w:t>E</w:t>
      </w:r>
      <w:r>
        <w:rPr>
          <w:rFonts w:ascii="Arial" w:eastAsia="Arial" w:hAnsi="Arial" w:cs="Arial"/>
          <w:i/>
        </w:rPr>
        <w:t>valuar la ejecución de las acciones de las distintas estrategias del Plan Municipal tanto en su diseño, proceso, resultados e impacto.</w:t>
      </w:r>
    </w:p>
    <w:p w:rsidR="00E23B86" w:rsidRDefault="00BA7C13">
      <w:pPr>
        <w:numPr>
          <w:ilvl w:val="0"/>
          <w:numId w:val="65"/>
        </w:numPr>
        <w:spacing w:after="111" w:line="251" w:lineRule="auto"/>
        <w:ind w:right="573" w:hanging="360"/>
        <w:jc w:val="both"/>
      </w:pPr>
      <w:r>
        <w:rPr>
          <w:rFonts w:ascii="Arial" w:eastAsia="Arial" w:hAnsi="Arial" w:cs="Arial"/>
          <w:i/>
        </w:rPr>
        <w:t>Hacer partícipes del proceso evaluativo a los/as técnicos/as, agentes sociales participantes y a la población.</w:t>
      </w:r>
    </w:p>
    <w:p w:rsidR="00E23B86" w:rsidRDefault="00BA7C13">
      <w:pPr>
        <w:spacing w:after="147" w:line="251" w:lineRule="auto"/>
        <w:ind w:left="355" w:right="573" w:hanging="10"/>
        <w:jc w:val="both"/>
      </w:pPr>
      <w:r>
        <w:rPr>
          <w:rFonts w:ascii="Arial" w:eastAsia="Arial" w:hAnsi="Arial" w:cs="Arial"/>
          <w:i/>
        </w:rPr>
        <w:t>Como proce</w:t>
      </w:r>
      <w:r>
        <w:rPr>
          <w:rFonts w:ascii="Arial" w:eastAsia="Arial" w:hAnsi="Arial" w:cs="Arial"/>
          <w:i/>
        </w:rPr>
        <w:t>dimiento para evaluar y hacer un seguimiento del mismo se tendrán en cuenta los siguientes aspectos:</w:t>
      </w:r>
    </w:p>
    <w:p w:rsidR="00E23B86" w:rsidRDefault="00BA7C13">
      <w:pPr>
        <w:numPr>
          <w:ilvl w:val="0"/>
          <w:numId w:val="65"/>
        </w:numPr>
        <w:spacing w:after="145" w:line="251" w:lineRule="auto"/>
        <w:ind w:right="573" w:hanging="360"/>
        <w:jc w:val="both"/>
      </w:pPr>
      <w:r>
        <w:rPr>
          <w:rFonts w:ascii="Arial" w:eastAsia="Arial" w:hAnsi="Arial" w:cs="Arial"/>
          <w:i/>
        </w:rPr>
        <w:t>Comprobación de los indicadores de las medidas, acciones y actividades de la Planificación.</w:t>
      </w:r>
    </w:p>
    <w:p w:rsidR="00E23B86" w:rsidRDefault="00BA7C13">
      <w:pPr>
        <w:numPr>
          <w:ilvl w:val="0"/>
          <w:numId w:val="65"/>
        </w:numPr>
        <w:spacing w:after="111" w:line="251" w:lineRule="auto"/>
        <w:ind w:right="573" w:hanging="360"/>
        <w:jc w:val="both"/>
      </w:pPr>
      <w:r>
        <w:rPr>
          <w:rFonts w:ascii="Arial" w:eastAsia="Arial" w:hAnsi="Arial" w:cs="Arial"/>
          <w:i/>
        </w:rPr>
        <w:t>Evaluación externa de los resultados de la evaluación.</w:t>
      </w:r>
    </w:p>
    <w:p w:rsidR="00E23B86" w:rsidRDefault="00BA7C13">
      <w:pPr>
        <w:numPr>
          <w:ilvl w:val="0"/>
          <w:numId w:val="65"/>
        </w:numPr>
        <w:spacing w:after="111" w:line="251" w:lineRule="auto"/>
        <w:ind w:right="573" w:hanging="360"/>
        <w:jc w:val="both"/>
      </w:pPr>
      <w:r>
        <w:rPr>
          <w:rFonts w:ascii="Arial" w:eastAsia="Arial" w:hAnsi="Arial" w:cs="Arial"/>
          <w:i/>
        </w:rPr>
        <w:t>Presentación de informe anual ante la Comisión Municipal y Comisión Mixta órganos de control y seguimiento del IV Plan Municipal en Drogodependencias y otras Adicciones.</w:t>
      </w:r>
    </w:p>
    <w:p w:rsidR="00E23B86" w:rsidRDefault="00BA7C13">
      <w:pPr>
        <w:spacing w:after="157" w:line="251" w:lineRule="auto"/>
        <w:ind w:left="355" w:right="573" w:hanging="10"/>
        <w:jc w:val="both"/>
      </w:pPr>
      <w:r>
        <w:rPr>
          <w:rFonts w:ascii="Arial" w:eastAsia="Arial" w:hAnsi="Arial" w:cs="Arial"/>
          <w:i/>
        </w:rPr>
        <w:t>A continuación, se recogen los indicadores de evaluación a tener en cuenta para la eva</w:t>
      </w:r>
      <w:r>
        <w:rPr>
          <w:rFonts w:ascii="Arial" w:eastAsia="Arial" w:hAnsi="Arial" w:cs="Arial"/>
          <w:i/>
        </w:rPr>
        <w:t xml:space="preserve">luación del proceso y resultados del IV Plan Municipal y que concreta en: </w:t>
      </w:r>
      <w:r>
        <w:rPr>
          <w:rFonts w:ascii="Segoe UI Symbol" w:eastAsia="Segoe UI Symbol" w:hAnsi="Segoe UI Symbol" w:cs="Segoe UI Symbol"/>
        </w:rPr>
        <w:t xml:space="preserve"> </w:t>
      </w:r>
      <w:r>
        <w:rPr>
          <w:rFonts w:ascii="Arial" w:eastAsia="Arial" w:hAnsi="Arial" w:cs="Arial"/>
          <w:i/>
        </w:rPr>
        <w:t xml:space="preserve">Grado de cobertura de población con las acciones preventivas. </w:t>
      </w:r>
    </w:p>
    <w:p w:rsidR="00E23B86" w:rsidRDefault="00BA7C13">
      <w:pPr>
        <w:numPr>
          <w:ilvl w:val="0"/>
          <w:numId w:val="66"/>
        </w:numPr>
        <w:spacing w:after="166" w:line="251" w:lineRule="auto"/>
        <w:ind w:right="573" w:hanging="360"/>
        <w:jc w:val="both"/>
      </w:pPr>
      <w:r>
        <w:rPr>
          <w:rFonts w:ascii="Arial" w:eastAsia="Arial" w:hAnsi="Arial" w:cs="Arial"/>
          <w:i/>
        </w:rPr>
        <w:t xml:space="preserve">Tipología de las acciones preventivas ejecutadas. </w:t>
      </w:r>
    </w:p>
    <w:p w:rsidR="00E23B86" w:rsidRDefault="00BA7C13">
      <w:pPr>
        <w:numPr>
          <w:ilvl w:val="0"/>
          <w:numId w:val="66"/>
        </w:numPr>
        <w:spacing w:after="166" w:line="251" w:lineRule="auto"/>
        <w:ind w:right="573" w:hanging="360"/>
        <w:jc w:val="both"/>
      </w:pPr>
      <w:r>
        <w:rPr>
          <w:rFonts w:ascii="Arial" w:eastAsia="Arial" w:hAnsi="Arial" w:cs="Arial"/>
          <w:i/>
        </w:rPr>
        <w:t>Beneficiarios/as de las acciones (perfil).</w:t>
      </w:r>
    </w:p>
    <w:p w:rsidR="00E23B86" w:rsidRDefault="00BA7C13">
      <w:pPr>
        <w:numPr>
          <w:ilvl w:val="0"/>
          <w:numId w:val="66"/>
        </w:numPr>
        <w:spacing w:after="166" w:line="251" w:lineRule="auto"/>
        <w:ind w:right="573" w:hanging="360"/>
        <w:jc w:val="both"/>
      </w:pPr>
      <w:r>
        <w:rPr>
          <w:rFonts w:ascii="Arial" w:eastAsia="Arial" w:hAnsi="Arial" w:cs="Arial"/>
          <w:i/>
        </w:rPr>
        <w:t>Participación, coordina</w:t>
      </w:r>
      <w:r>
        <w:rPr>
          <w:rFonts w:ascii="Arial" w:eastAsia="Arial" w:hAnsi="Arial" w:cs="Arial"/>
          <w:i/>
        </w:rPr>
        <w:t>ción y diseño de actuaciones conjuntas.</w:t>
      </w:r>
    </w:p>
    <w:p w:rsidR="00E23B86" w:rsidRDefault="00BA7C13">
      <w:pPr>
        <w:numPr>
          <w:ilvl w:val="0"/>
          <w:numId w:val="66"/>
        </w:numPr>
        <w:spacing w:after="166" w:line="251" w:lineRule="auto"/>
        <w:ind w:right="573" w:hanging="360"/>
        <w:jc w:val="both"/>
      </w:pPr>
      <w:r>
        <w:rPr>
          <w:rFonts w:ascii="Arial" w:eastAsia="Arial" w:hAnsi="Arial" w:cs="Arial"/>
          <w:i/>
        </w:rPr>
        <w:t xml:space="preserve">Procesos básicos, de recursos y avanzados de gestión llevados a cabo. </w:t>
      </w:r>
    </w:p>
    <w:p w:rsidR="00E23B86" w:rsidRDefault="00BA7C13">
      <w:pPr>
        <w:numPr>
          <w:ilvl w:val="0"/>
          <w:numId w:val="66"/>
        </w:numPr>
        <w:spacing w:after="166" w:line="251" w:lineRule="auto"/>
        <w:ind w:right="573" w:hanging="360"/>
        <w:jc w:val="both"/>
      </w:pPr>
      <w:r>
        <w:rPr>
          <w:noProof/>
        </w:rPr>
        <mc:AlternateContent>
          <mc:Choice Requires="wpg">
            <w:drawing>
              <wp:anchor distT="0" distB="0" distL="114300" distR="114300" simplePos="0" relativeHeight="2518415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0488" name="Group 52048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829" name="Rectangle 3082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830" name="Rectangle 3083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w:t>
                              </w:r>
                              <w:r>
                                <w:rPr>
                                  <w:rFonts w:ascii="Arial" w:eastAsia="Arial" w:hAnsi="Arial" w:cs="Arial"/>
                                  <w:sz w:val="12"/>
                                </w:rPr>
                                <w:t xml:space="preserve">a plataforma esPublico Gestiona | Página 177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0488" style="width:12.7031pt;height:280.35pt;position:absolute;mso-position-horizontal-relative:page;mso-position-horizontal:absolute;margin-left:681.958pt;mso-position-vertical-relative:page;margin-top:531.65pt;" coordsize="1613,35604">
                <v:rect id="Rectangle 3082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83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177 de 391 </w:t>
                        </w:r>
                      </w:p>
                    </w:txbxContent>
                  </v:textbox>
                </v:rect>
                <w10:wrap type="square"/>
              </v:group>
            </w:pict>
          </mc:Fallback>
        </mc:AlternateContent>
      </w:r>
      <w:r>
        <w:rPr>
          <w:rFonts w:ascii="Arial" w:eastAsia="Arial" w:hAnsi="Arial" w:cs="Arial"/>
          <w:i/>
        </w:rPr>
        <w:t xml:space="preserve">Valoración de las acciones por parte de los/as participantes. </w:t>
      </w:r>
    </w:p>
    <w:p w:rsidR="00E23B86" w:rsidRDefault="00BA7C13">
      <w:pPr>
        <w:numPr>
          <w:ilvl w:val="0"/>
          <w:numId w:val="66"/>
        </w:numPr>
        <w:spacing w:after="166" w:line="251" w:lineRule="auto"/>
        <w:ind w:right="573" w:hanging="360"/>
        <w:jc w:val="both"/>
      </w:pPr>
      <w:r>
        <w:rPr>
          <w:rFonts w:ascii="Arial" w:eastAsia="Arial" w:hAnsi="Arial" w:cs="Arial"/>
          <w:i/>
        </w:rPr>
        <w:t>Nuevas propuestas y acciones y tipología.</w:t>
      </w:r>
    </w:p>
    <w:p w:rsidR="00E23B86" w:rsidRDefault="00BA7C13">
      <w:pPr>
        <w:numPr>
          <w:ilvl w:val="0"/>
          <w:numId w:val="66"/>
        </w:numPr>
        <w:spacing w:after="198" w:line="251" w:lineRule="auto"/>
        <w:ind w:right="573" w:hanging="360"/>
        <w:jc w:val="both"/>
      </w:pPr>
      <w:r>
        <w:rPr>
          <w:rFonts w:ascii="Arial" w:eastAsia="Arial" w:hAnsi="Arial" w:cs="Arial"/>
          <w:i/>
        </w:rPr>
        <w:t>Comprobación de cambios o mejorías de indicadores epidemiológicos en el ámbito municipal.</w:t>
      </w:r>
    </w:p>
    <w:p w:rsidR="00E23B86" w:rsidRDefault="00BA7C13">
      <w:pPr>
        <w:numPr>
          <w:ilvl w:val="0"/>
          <w:numId w:val="66"/>
        </w:numPr>
        <w:spacing w:after="502" w:line="251" w:lineRule="auto"/>
        <w:ind w:right="573" w:hanging="360"/>
        <w:jc w:val="both"/>
      </w:pPr>
      <w:r>
        <w:rPr>
          <w:rFonts w:ascii="Arial" w:eastAsia="Arial" w:hAnsi="Arial" w:cs="Arial"/>
          <w:i/>
        </w:rPr>
        <w:t>Número de acciones diseñadas que han sido ejecutadas.”</w:t>
      </w:r>
    </w:p>
    <w:p w:rsidR="00E23B86" w:rsidRDefault="00BA7C13">
      <w:pPr>
        <w:spacing w:after="8" w:line="251" w:lineRule="auto"/>
        <w:ind w:left="355" w:right="573" w:hanging="10"/>
        <w:jc w:val="both"/>
      </w:pPr>
      <w:r>
        <w:rPr>
          <w:rFonts w:ascii="Arial" w:eastAsia="Arial" w:hAnsi="Arial" w:cs="Arial"/>
          <w:i/>
        </w:rPr>
        <w:t>Tercero.- Consta en el expediente informe de las Técnicas de la Concejalía de</w:t>
      </w:r>
    </w:p>
    <w:p w:rsidR="00E23B86" w:rsidRDefault="00BA7C13">
      <w:pPr>
        <w:spacing w:after="111" w:line="251" w:lineRule="auto"/>
        <w:ind w:left="355" w:right="573" w:hanging="10"/>
        <w:jc w:val="both"/>
      </w:pPr>
      <w:r>
        <w:rPr>
          <w:rFonts w:ascii="Arial" w:eastAsia="Arial" w:hAnsi="Arial" w:cs="Arial"/>
          <w:i/>
        </w:rPr>
        <w:t>Servicios Sociales Doña María Begoña Rodríguez Pérez –Pedagoga- y Doña Jessica Castillo Betancor –Trabajadora Social-, de f</w:t>
      </w:r>
      <w:r>
        <w:rPr>
          <w:rFonts w:ascii="Arial" w:eastAsia="Arial" w:hAnsi="Arial" w:cs="Arial"/>
          <w:i/>
        </w:rPr>
        <w:t>echa 10 de diciembre de 2019, del siguiente tenor literal:</w:t>
      </w:r>
    </w:p>
    <w:p w:rsidR="00E23B86" w:rsidRDefault="00BA7C13">
      <w:pPr>
        <w:spacing w:after="749" w:line="251" w:lineRule="auto"/>
        <w:ind w:left="355" w:right="573" w:hanging="10"/>
        <w:jc w:val="both"/>
      </w:pPr>
      <w:r>
        <w:rPr>
          <w:rFonts w:ascii="Arial" w:eastAsia="Arial" w:hAnsi="Arial" w:cs="Arial"/>
          <w:i/>
        </w:rPr>
        <w:t>“Con el objeto de proceder a la aprobación del IV Plan Municipal de Prevención de Adicciones de Candelaria 2019 – 2023, las técnicos de la Concejalía de Servicios Sociales; Mª Begoña Rodríguez Pére</w:t>
      </w:r>
      <w:r>
        <w:rPr>
          <w:rFonts w:ascii="Arial" w:eastAsia="Arial" w:hAnsi="Arial" w:cs="Arial"/>
          <w:i/>
        </w:rPr>
        <w:t>z (pedagoga) y Jessica Castillo Betancor (Trabajadora Social nº 578) emiten el siguiente Informe:</w:t>
      </w:r>
    </w:p>
    <w:p w:rsidR="00E23B86" w:rsidRDefault="00BA7C13">
      <w:pPr>
        <w:spacing w:after="240" w:line="251" w:lineRule="auto"/>
        <w:ind w:left="355" w:right="573" w:hanging="10"/>
        <w:jc w:val="both"/>
      </w:pPr>
      <w:r>
        <w:rPr>
          <w:rFonts w:ascii="Arial" w:eastAsia="Arial" w:hAnsi="Arial" w:cs="Arial"/>
          <w:i/>
        </w:rPr>
        <w:t>1.- CONTEXTO</w:t>
      </w:r>
    </w:p>
    <w:p w:rsidR="00E23B86" w:rsidRDefault="00BA7C13">
      <w:pPr>
        <w:spacing w:after="111" w:line="251" w:lineRule="auto"/>
        <w:ind w:left="355" w:right="573" w:hanging="10"/>
        <w:jc w:val="both"/>
      </w:pPr>
      <w:r>
        <w:rPr>
          <w:rFonts w:ascii="Arial" w:eastAsia="Arial" w:hAnsi="Arial" w:cs="Arial"/>
          <w:i/>
        </w:rPr>
        <w:t xml:space="preserve">El IV Plan Municipal de Prevención de Adicciones (2019-2023) del municipio de Candelaria, es el documento marco donde se concretan las medidas y </w:t>
      </w:r>
      <w:r>
        <w:rPr>
          <w:rFonts w:ascii="Arial" w:eastAsia="Arial" w:hAnsi="Arial" w:cs="Arial"/>
          <w:i/>
        </w:rPr>
        <w:t>acciones para los próximos años en materia de promoción de la salud y prevención de las drogodependencias y otras adicciones en este municipio.</w:t>
      </w:r>
    </w:p>
    <w:p w:rsidR="00E23B86" w:rsidRDefault="00BA7C13">
      <w:pPr>
        <w:spacing w:after="243" w:line="251" w:lineRule="auto"/>
        <w:ind w:left="355" w:right="573" w:hanging="10"/>
        <w:jc w:val="both"/>
      </w:pPr>
      <w:r>
        <w:rPr>
          <w:rFonts w:ascii="Arial" w:eastAsia="Arial" w:hAnsi="Arial" w:cs="Arial"/>
          <w:i/>
        </w:rPr>
        <w:t>En dicho documento, se establecen las acciones a desarrollar correspondiendo a las distintas áreas de intervenci</w:t>
      </w:r>
      <w:r>
        <w:rPr>
          <w:rFonts w:ascii="Arial" w:eastAsia="Arial" w:hAnsi="Arial" w:cs="Arial"/>
          <w:i/>
        </w:rPr>
        <w:t xml:space="preserve">ón y en coordinación con los/las agentes involucrados/as. </w:t>
      </w:r>
    </w:p>
    <w:p w:rsidR="00E23B86" w:rsidRDefault="00BA7C13">
      <w:pPr>
        <w:spacing w:after="243" w:line="251" w:lineRule="auto"/>
        <w:ind w:left="355" w:right="573" w:hanging="10"/>
        <w:jc w:val="both"/>
      </w:pPr>
      <w:r>
        <w:rPr>
          <w:rFonts w:ascii="Arial" w:eastAsia="Arial" w:hAnsi="Arial" w:cs="Arial"/>
          <w:i/>
        </w:rPr>
        <w:t>Para ello, se ha tenido en cuenta las aportaciones de los distintos recursos implicados en el trabajo en materia de prevención, así como la red de recursos de atención y fuerzas de seguridad local,</w:t>
      </w:r>
      <w:r>
        <w:rPr>
          <w:rFonts w:ascii="Arial" w:eastAsia="Arial" w:hAnsi="Arial" w:cs="Arial"/>
          <w:i/>
        </w:rPr>
        <w:t xml:space="preserve"> que han aportado desde su área de intervención, la información necesaria a la hora de redactar el presente documento. </w:t>
      </w:r>
    </w:p>
    <w:p w:rsidR="00E23B86" w:rsidRDefault="00BA7C13">
      <w:pPr>
        <w:spacing w:after="243" w:line="251" w:lineRule="auto"/>
        <w:ind w:left="355" w:right="573" w:hanging="10"/>
        <w:jc w:val="both"/>
      </w:pPr>
      <w:r>
        <w:rPr>
          <w:rFonts w:ascii="Arial" w:eastAsia="Arial" w:hAnsi="Arial" w:cs="Arial"/>
          <w:i/>
        </w:rPr>
        <w:t>Todo ello, con el objeto de promover la promoción de la salud y los hábitos de vida saludable como medidas de prevención.</w:t>
      </w:r>
    </w:p>
    <w:p w:rsidR="00E23B86" w:rsidRDefault="00BA7C13">
      <w:pPr>
        <w:spacing w:after="8" w:line="251" w:lineRule="auto"/>
        <w:ind w:left="355" w:right="573" w:hanging="10"/>
        <w:jc w:val="both"/>
      </w:pPr>
      <w:r>
        <w:rPr>
          <w:rFonts w:ascii="Arial" w:eastAsia="Arial" w:hAnsi="Arial" w:cs="Arial"/>
          <w:i/>
        </w:rPr>
        <w:t>2.- FUNDAMENTA</w:t>
      </w:r>
      <w:r>
        <w:rPr>
          <w:rFonts w:ascii="Arial" w:eastAsia="Arial" w:hAnsi="Arial" w:cs="Arial"/>
          <w:i/>
        </w:rPr>
        <w:t>CIÓN</w:t>
      </w:r>
    </w:p>
    <w:p w:rsidR="00E23B86" w:rsidRDefault="00BA7C13">
      <w:pPr>
        <w:spacing w:after="243" w:line="251" w:lineRule="auto"/>
        <w:ind w:left="355" w:right="573" w:hanging="10"/>
        <w:jc w:val="both"/>
      </w:pPr>
      <w:r>
        <w:rPr>
          <w:rFonts w:ascii="Arial" w:eastAsia="Arial" w:hAnsi="Arial" w:cs="Arial"/>
          <w:i/>
        </w:rPr>
        <w:t>La Ley 9/1998, de 22 de julio, sobre Prevención, Asistencia, e Inserción social en materia de drogodependencias de la Comunidad Autónoma de Canarias, determina las competencias atribuidas en materia de drogodependencias a los municipios, dependiendo d</w:t>
      </w:r>
      <w:r>
        <w:rPr>
          <w:rFonts w:ascii="Arial" w:eastAsia="Arial" w:hAnsi="Arial" w:cs="Arial"/>
          <w:i/>
        </w:rPr>
        <w:t xml:space="preserve">el número de habitantes de los mismos, e indica en su artículo 34 aquellas que le son atribuídas a las Corporaciones Locales que tengan población superior a los 20.000 habitantes. </w:t>
      </w:r>
    </w:p>
    <w:p w:rsidR="00E23B86" w:rsidRDefault="00BA7C13">
      <w:pPr>
        <w:spacing w:after="8" w:line="251" w:lineRule="auto"/>
        <w:ind w:left="355" w:right="573" w:hanging="10"/>
        <w:jc w:val="both"/>
      </w:pPr>
      <w:r>
        <w:rPr>
          <w:rFonts w:ascii="Arial" w:eastAsia="Arial" w:hAnsi="Arial" w:cs="Arial"/>
          <w:i/>
        </w:rPr>
        <w:t>Las competencias atribuidas en la Ley a los municipios canarios son las sig</w:t>
      </w:r>
      <w:r>
        <w:rPr>
          <w:rFonts w:ascii="Arial" w:eastAsia="Arial" w:hAnsi="Arial" w:cs="Arial"/>
          <w:i/>
        </w:rPr>
        <w:t>uientes:</w:t>
      </w:r>
    </w:p>
    <w:p w:rsidR="00E23B86" w:rsidRDefault="00BA7C13">
      <w:pPr>
        <w:numPr>
          <w:ilvl w:val="0"/>
          <w:numId w:val="67"/>
        </w:numPr>
        <w:spacing w:after="0" w:line="251" w:lineRule="auto"/>
        <w:ind w:right="573" w:hanging="404"/>
        <w:jc w:val="both"/>
      </w:pPr>
      <w:r>
        <w:rPr>
          <w:rFonts w:ascii="Arial" w:eastAsia="Arial" w:hAnsi="Arial" w:cs="Arial"/>
          <w:i/>
        </w:rPr>
        <w:t>El establecimiento de los criterios que regulan la localización, distancia y características que deberán reunir los establecimientos de suministro y venta de bebidas alcohólicas.</w:t>
      </w:r>
    </w:p>
    <w:p w:rsidR="00E23B86" w:rsidRDefault="00BA7C13">
      <w:pPr>
        <w:numPr>
          <w:ilvl w:val="0"/>
          <w:numId w:val="67"/>
        </w:numPr>
        <w:spacing w:after="0" w:line="251" w:lineRule="auto"/>
        <w:ind w:right="573" w:hanging="404"/>
        <w:jc w:val="both"/>
      </w:pPr>
      <w:r>
        <w:rPr>
          <w:rFonts w:ascii="Arial" w:eastAsia="Arial" w:hAnsi="Arial" w:cs="Arial"/>
          <w:i/>
        </w:rPr>
        <w:t>El otorgamiento de la autorización de apertura a locales o lugares de suministro y venta de bebidas alcohólicas.</w:t>
      </w:r>
    </w:p>
    <w:p w:rsidR="00E23B86" w:rsidRDefault="00BA7C13">
      <w:pPr>
        <w:numPr>
          <w:ilvl w:val="0"/>
          <w:numId w:val="67"/>
        </w:numPr>
        <w:spacing w:after="0" w:line="251" w:lineRule="auto"/>
        <w:ind w:right="573" w:hanging="404"/>
        <w:jc w:val="both"/>
      </w:pPr>
      <w:r>
        <w:rPr>
          <w:noProof/>
        </w:rPr>
        <mc:AlternateContent>
          <mc:Choice Requires="wpg">
            <w:drawing>
              <wp:anchor distT="0" distB="0" distL="114300" distR="114300" simplePos="0" relativeHeight="2518425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0867" name="Group 52086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904" name="Rectangle 3090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905" name="Rectangle 3090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178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0867" style="width:12.7031pt;height:280.35pt;position:absolute;mso-position-horizontal-relative:page;mso-position-horizontal:absolute;margin-left:681.958pt;mso-position-vertical-relative:page;margin-top:531.65pt;" coordsize="1613,35604">
                <v:rect id="Rectangle 3090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90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178 de 391 </w:t>
                        </w:r>
                      </w:p>
                    </w:txbxContent>
                  </v:textbox>
                </v:rect>
                <w10:wrap type="square"/>
              </v:group>
            </w:pict>
          </mc:Fallback>
        </mc:AlternateContent>
      </w:r>
      <w:r>
        <w:rPr>
          <w:rFonts w:ascii="Arial" w:eastAsia="Arial" w:hAnsi="Arial" w:cs="Arial"/>
          <w:i/>
        </w:rPr>
        <w:t>Velar, en el marco de sus competencias, por el cumplimiento de las diferentes medidas de control que se establecen en el título III de esta ley.</w:t>
      </w:r>
    </w:p>
    <w:p w:rsidR="00E23B86" w:rsidRDefault="00BA7C13">
      <w:pPr>
        <w:numPr>
          <w:ilvl w:val="0"/>
          <w:numId w:val="67"/>
        </w:numPr>
        <w:spacing w:after="242" w:line="251" w:lineRule="auto"/>
        <w:ind w:right="573" w:hanging="404"/>
        <w:jc w:val="both"/>
      </w:pPr>
      <w:r>
        <w:rPr>
          <w:rFonts w:ascii="Arial" w:eastAsia="Arial" w:hAnsi="Arial" w:cs="Arial"/>
          <w:i/>
        </w:rPr>
        <w:t xml:space="preserve">La colaboración </w:t>
      </w:r>
      <w:r>
        <w:rPr>
          <w:rFonts w:ascii="Arial" w:eastAsia="Arial" w:hAnsi="Arial" w:cs="Arial"/>
          <w:i/>
        </w:rPr>
        <w:t>con los sistemas educativo y sanitario en materia de educación para la salud.</w:t>
      </w:r>
    </w:p>
    <w:p w:rsidR="00E23B86" w:rsidRDefault="00BA7C13">
      <w:pPr>
        <w:spacing w:after="0" w:line="251" w:lineRule="auto"/>
        <w:ind w:left="355" w:right="573" w:hanging="10"/>
        <w:jc w:val="both"/>
      </w:pPr>
      <w:r>
        <w:rPr>
          <w:rFonts w:ascii="Arial" w:eastAsia="Arial" w:hAnsi="Arial" w:cs="Arial"/>
          <w:i/>
        </w:rPr>
        <w:t>Además de las señaladas en el punto anterior, los municipios de más de 20.000 habitantes tienen las siguientes competencias y responsabilidades mínimas:</w:t>
      </w:r>
    </w:p>
    <w:p w:rsidR="00E23B86" w:rsidRDefault="00BA7C13">
      <w:pPr>
        <w:numPr>
          <w:ilvl w:val="0"/>
          <w:numId w:val="68"/>
        </w:numPr>
        <w:spacing w:after="0" w:line="251" w:lineRule="auto"/>
        <w:ind w:right="573" w:hanging="360"/>
        <w:jc w:val="both"/>
      </w:pPr>
      <w:r>
        <w:rPr>
          <w:rFonts w:ascii="Arial" w:eastAsia="Arial" w:hAnsi="Arial" w:cs="Arial"/>
          <w:i/>
        </w:rPr>
        <w:t>La aprobación de Planes M</w:t>
      </w:r>
      <w:r>
        <w:rPr>
          <w:rFonts w:ascii="Arial" w:eastAsia="Arial" w:hAnsi="Arial" w:cs="Arial"/>
          <w:i/>
        </w:rPr>
        <w:t>unicipales sobre Drogas, elaborados en coordinación y de acuerdo con los criterios y directrices del Plan Canario sobre Drogas, que incluyan programas de prevención e integración social, así como de información, orientación y motivación de drogodependiente</w:t>
      </w:r>
      <w:r>
        <w:rPr>
          <w:rFonts w:ascii="Arial" w:eastAsia="Arial" w:hAnsi="Arial" w:cs="Arial"/>
          <w:i/>
        </w:rPr>
        <w:t>s a través de los centros de servicios sociales.</w:t>
      </w:r>
    </w:p>
    <w:p w:rsidR="00E23B86" w:rsidRDefault="00BA7C13">
      <w:pPr>
        <w:numPr>
          <w:ilvl w:val="0"/>
          <w:numId w:val="68"/>
        </w:numPr>
        <w:spacing w:after="0" w:line="251" w:lineRule="auto"/>
        <w:ind w:right="573" w:hanging="360"/>
        <w:jc w:val="both"/>
      </w:pPr>
      <w:r>
        <w:rPr>
          <w:rFonts w:ascii="Arial" w:eastAsia="Arial" w:hAnsi="Arial" w:cs="Arial"/>
          <w:i/>
        </w:rPr>
        <w:t>La coordinación de los programas de prevención e integración social que se desarrollen exclusivamente en el ámbito de su municipio.</w:t>
      </w:r>
    </w:p>
    <w:p w:rsidR="00E23B86" w:rsidRDefault="00BA7C13">
      <w:pPr>
        <w:numPr>
          <w:ilvl w:val="0"/>
          <w:numId w:val="68"/>
        </w:numPr>
        <w:spacing w:after="0" w:line="251" w:lineRule="auto"/>
        <w:ind w:right="573" w:hanging="360"/>
        <w:jc w:val="both"/>
      </w:pPr>
      <w:r>
        <w:rPr>
          <w:rFonts w:ascii="Arial" w:eastAsia="Arial" w:hAnsi="Arial" w:cs="Arial"/>
          <w:i/>
        </w:rPr>
        <w:t>El apoyo a las asociaciones y entidades que en el municipio desarrollen act</w:t>
      </w:r>
      <w:r>
        <w:rPr>
          <w:rFonts w:ascii="Arial" w:eastAsia="Arial" w:hAnsi="Arial" w:cs="Arial"/>
          <w:i/>
        </w:rPr>
        <w:t>ividades previstas en el Plan Canario sobre Drogas.</w:t>
      </w:r>
    </w:p>
    <w:p w:rsidR="00E23B86" w:rsidRDefault="00BA7C13">
      <w:pPr>
        <w:numPr>
          <w:ilvl w:val="0"/>
          <w:numId w:val="69"/>
        </w:numPr>
        <w:spacing w:after="8" w:line="251" w:lineRule="auto"/>
        <w:ind w:right="573" w:hanging="404"/>
        <w:jc w:val="both"/>
      </w:pPr>
      <w:r>
        <w:rPr>
          <w:rFonts w:ascii="Arial" w:eastAsia="Arial" w:hAnsi="Arial" w:cs="Arial"/>
          <w:i/>
        </w:rPr>
        <w:t>La formación en materia de drogas del personal propio.</w:t>
      </w:r>
    </w:p>
    <w:p w:rsidR="00E23B86" w:rsidRDefault="00BA7C13">
      <w:pPr>
        <w:numPr>
          <w:ilvl w:val="0"/>
          <w:numId w:val="69"/>
        </w:numPr>
        <w:spacing w:after="247" w:line="251" w:lineRule="auto"/>
        <w:ind w:right="573" w:hanging="404"/>
        <w:jc w:val="both"/>
      </w:pPr>
      <w:r>
        <w:rPr>
          <w:rFonts w:ascii="Arial" w:eastAsia="Arial" w:hAnsi="Arial" w:cs="Arial"/>
          <w:i/>
        </w:rPr>
        <w:t>La promoción de la participación social en esta materia en su ámbito territorial.</w:t>
      </w:r>
    </w:p>
    <w:p w:rsidR="00E23B86" w:rsidRDefault="00BA7C13">
      <w:pPr>
        <w:spacing w:after="111" w:line="251" w:lineRule="auto"/>
        <w:ind w:left="355" w:right="573" w:hanging="10"/>
        <w:jc w:val="both"/>
      </w:pPr>
      <w:r>
        <w:rPr>
          <w:rFonts w:ascii="Arial" w:eastAsia="Arial" w:hAnsi="Arial" w:cs="Arial"/>
          <w:i/>
        </w:rPr>
        <w:t>Además, según la Ley 16/2019 de 2 de mayo de Servicios Sociales de Canarias, en su artículo 4, apartado 5, indica que éstos “se dirigen especialmente a prevenir y a compensar el déficit de apoyo social y económico en situaciones de riesgo y exclusión socia</w:t>
      </w:r>
      <w:r>
        <w:rPr>
          <w:rFonts w:ascii="Arial" w:eastAsia="Arial" w:hAnsi="Arial" w:cs="Arial"/>
          <w:i/>
        </w:rPr>
        <w:t>l, promoviendo actitudes y capacidades que faciliten la inclusión de las personas, desde una perspectiva integral y participada”. Asimismo, en el apartado 7, define que “los servicios sociales se coordinarán con todos los sistemas que inciden en la calidad</w:t>
      </w:r>
      <w:r>
        <w:rPr>
          <w:rFonts w:ascii="Arial" w:eastAsia="Arial" w:hAnsi="Arial" w:cs="Arial"/>
          <w:i/>
        </w:rPr>
        <w:t xml:space="preserve"> de vida, como los de salud, igualdad de género, prevención y protección de las mujeres contra la violencia de género, educativos, culturales, de empleo, de vivienda, urbanísticos, judiciales, entre otros”.</w:t>
      </w:r>
    </w:p>
    <w:p w:rsidR="00E23B86" w:rsidRDefault="00BA7C13">
      <w:pPr>
        <w:spacing w:after="8" w:line="251" w:lineRule="auto"/>
        <w:ind w:left="355" w:right="573" w:hanging="10"/>
        <w:jc w:val="both"/>
      </w:pPr>
      <w:r>
        <w:rPr>
          <w:rFonts w:ascii="Arial" w:eastAsia="Arial" w:hAnsi="Arial" w:cs="Arial"/>
          <w:i/>
        </w:rPr>
        <w:t>3.- SITUACIÓN MUNICIPAL REFERENTE AL ÁREA DE DROG</w:t>
      </w:r>
      <w:r>
        <w:rPr>
          <w:rFonts w:ascii="Arial" w:eastAsia="Arial" w:hAnsi="Arial" w:cs="Arial"/>
          <w:i/>
        </w:rPr>
        <w:t>ODEPENDENCIAS</w:t>
      </w:r>
    </w:p>
    <w:p w:rsidR="00E23B86" w:rsidRDefault="00BA7C13">
      <w:pPr>
        <w:spacing w:after="243" w:line="251" w:lineRule="auto"/>
        <w:ind w:left="355" w:right="573" w:hanging="10"/>
        <w:jc w:val="both"/>
      </w:pPr>
      <w:r>
        <w:rPr>
          <w:rFonts w:ascii="Arial" w:eastAsia="Arial" w:hAnsi="Arial" w:cs="Arial"/>
          <w:i/>
        </w:rPr>
        <w:t xml:space="preserve">El Ayuntamiento de Candelaria, inicia su labor preventiva en materia de prevención de drogodependencias desde el año 2002, con la creación de la Unidad de Prevención Municipal de Drogodependencias. Es en ese año, cuando se inician programas, </w:t>
      </w:r>
      <w:r>
        <w:rPr>
          <w:rFonts w:ascii="Arial" w:eastAsia="Arial" w:hAnsi="Arial" w:cs="Arial"/>
          <w:i/>
        </w:rPr>
        <w:t>proyectos y actividades relacionados con dicha labor preventiva. Sin embargo, no estaban enmarcadas dentro de un Plan. Por ello, se realiza el I Plan Municipal de Drogodependencias de Candelaria, un plan con vigencia desde el año 2003 hasta el año 2006, en</w:t>
      </w:r>
      <w:r>
        <w:rPr>
          <w:rFonts w:ascii="Arial" w:eastAsia="Arial" w:hAnsi="Arial" w:cs="Arial"/>
          <w:i/>
        </w:rPr>
        <w:t xml:space="preserve"> el que se contaba con una serie de estrategias; preventiva, de incorporación social, asistencial y transversal, así como los correspondientes ámbitos de actuación; laboral, comunitario, familiar y educativo. Dicho Plan se ejecutó aún cuando este municipio</w:t>
      </w:r>
      <w:r>
        <w:rPr>
          <w:rFonts w:ascii="Arial" w:eastAsia="Arial" w:hAnsi="Arial" w:cs="Arial"/>
          <w:i/>
        </w:rPr>
        <w:t xml:space="preserve"> no tenía la obligatoriedad de llevarlo a cabo, dado que contaba con 18.882 habitantes a fecha 31 de diciembre de 2002. </w:t>
      </w:r>
    </w:p>
    <w:p w:rsidR="00E23B86" w:rsidRDefault="00BA7C13">
      <w:pPr>
        <w:spacing w:after="243" w:line="251" w:lineRule="auto"/>
        <w:ind w:left="355" w:right="573" w:hanging="10"/>
        <w:jc w:val="both"/>
      </w:pPr>
      <w:r>
        <w:rPr>
          <w:rFonts w:ascii="Arial" w:eastAsia="Arial" w:hAnsi="Arial" w:cs="Arial"/>
          <w:i/>
        </w:rPr>
        <w:t>El II Plan Municipal de Drogodependencias de Candelaria 2007 – 2010, preveía la oportuna revisión, una vez que se produjera la de la Es</w:t>
      </w:r>
      <w:r>
        <w:rPr>
          <w:rFonts w:ascii="Arial" w:eastAsia="Arial" w:hAnsi="Arial" w:cs="Arial"/>
          <w:i/>
        </w:rPr>
        <w:t>trategia Nacional sobre Drogas y el correspondiente II Plan Canario sobre Drogas, estimada para diciembre del año 2008. Asimismo, continuaba con el trabajo que se venía desarrollando en materia preventiva desde el Plan anterior, y evaluaba los resultados d</w:t>
      </w:r>
      <w:r>
        <w:rPr>
          <w:rFonts w:ascii="Arial" w:eastAsia="Arial" w:hAnsi="Arial" w:cs="Arial"/>
          <w:i/>
        </w:rPr>
        <w:t>el I Plan, manteniendo la misma identificación de estrategias y ámbitos de actuación. Se concluía, por dicha evaluación externa, que de las acciones planteadas en el I Plan, se habían llevado a cabo un 71,43% de las mismas, considerándose que era un alto p</w:t>
      </w:r>
      <w:r>
        <w:rPr>
          <w:rFonts w:ascii="Arial" w:eastAsia="Arial" w:hAnsi="Arial" w:cs="Arial"/>
          <w:i/>
        </w:rPr>
        <w:t xml:space="preserve">orcentaje de efectividad, máxime si se tenía en cuenta, la no obligatoriedad del mismo durante ese período. </w:t>
      </w:r>
    </w:p>
    <w:p w:rsidR="00E23B86" w:rsidRDefault="00BA7C13">
      <w:pPr>
        <w:spacing w:after="243" w:line="251" w:lineRule="auto"/>
        <w:ind w:left="355" w:right="573" w:hanging="10"/>
        <w:jc w:val="both"/>
      </w:pPr>
      <w:r>
        <w:rPr>
          <w:noProof/>
        </w:rPr>
        <mc:AlternateContent>
          <mc:Choice Requires="wpg">
            <w:drawing>
              <wp:anchor distT="0" distB="0" distL="114300" distR="114300" simplePos="0" relativeHeight="2518435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0762" name="Group 52076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0962" name="Rectangle 3096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0963" name="Rectangle 3096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w:t>
                              </w:r>
                              <w:r>
                                <w:rPr>
                                  <w:rFonts w:ascii="Arial" w:eastAsia="Arial" w:hAnsi="Arial" w:cs="Arial"/>
                                  <w:sz w:val="12"/>
                                </w:rPr>
                                <w:t xml:space="preserve">plataforma esPublico Gestiona | Página 179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0762" style="width:12.7031pt;height:280.35pt;position:absolute;mso-position-horizontal-relative:page;mso-position-horizontal:absolute;margin-left:681.958pt;mso-position-vertical-relative:page;margin-top:531.65pt;" coordsize="1613,35604">
                <v:rect id="Rectangle 3096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096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179 de 391 </w:t>
                        </w:r>
                      </w:p>
                    </w:txbxContent>
                  </v:textbox>
                </v:rect>
                <w10:wrap type="square"/>
              </v:group>
            </w:pict>
          </mc:Fallback>
        </mc:AlternateContent>
      </w:r>
      <w:r>
        <w:rPr>
          <w:rFonts w:ascii="Arial" w:eastAsia="Arial" w:hAnsi="Arial" w:cs="Arial"/>
          <w:i/>
        </w:rPr>
        <w:t>El III Plan Municipal de Drogodependencias 2011 – 2017, desarrolla asimismo las acciones de tres estrategias, según recomendación de la propia Dirección General de Atención a las Drogodependencias del Gobi</w:t>
      </w:r>
      <w:r>
        <w:rPr>
          <w:rFonts w:ascii="Arial" w:eastAsia="Arial" w:hAnsi="Arial" w:cs="Arial"/>
          <w:i/>
        </w:rPr>
        <w:t xml:space="preserve">erno de Canarias, y en este sentido, se acuerda la preventiva, de incorporación social y transversal. Define las acciones a desarrollar durante este período y en los distintos ámbitos, y acordó la posibilidad de revisión en el año 2014, teniendo en cuenta </w:t>
      </w:r>
      <w:r>
        <w:rPr>
          <w:rFonts w:ascii="Arial" w:eastAsia="Arial" w:hAnsi="Arial" w:cs="Arial"/>
          <w:i/>
        </w:rPr>
        <w:t>que el III Plan Canario sobre Drogas la tendría que realizar en el año 2013.</w:t>
      </w:r>
    </w:p>
    <w:p w:rsidR="00E23B86" w:rsidRDefault="00BA7C13">
      <w:pPr>
        <w:spacing w:after="243" w:line="251" w:lineRule="auto"/>
        <w:ind w:left="355" w:right="573" w:hanging="10"/>
        <w:jc w:val="both"/>
      </w:pPr>
      <w:r>
        <w:rPr>
          <w:rFonts w:ascii="Arial" w:eastAsia="Arial" w:hAnsi="Arial" w:cs="Arial"/>
          <w:i/>
        </w:rPr>
        <w:t>Se adjunta en el III Plan, la evaluación externa del II, y se recoge “Que de las acciones de las estrategias preventivas y de incorporación social se han ejecutado 87,5 % de las a</w:t>
      </w:r>
      <w:r>
        <w:rPr>
          <w:rFonts w:ascii="Arial" w:eastAsia="Arial" w:hAnsi="Arial" w:cs="Arial"/>
          <w:i/>
        </w:rPr>
        <w:t>cciones de la estrategia preventiva y 100% de las acciones de la estrategia de incorporación social (…)”. Asimismo, destaca el que en “las dos estrategias del Plan; la asistencial y la transversal, el logro alcanzado de ejecución alcanza el 75% de las acci</w:t>
      </w:r>
      <w:r>
        <w:rPr>
          <w:rFonts w:ascii="Arial" w:eastAsia="Arial" w:hAnsi="Arial" w:cs="Arial"/>
          <w:i/>
        </w:rPr>
        <w:t>ones, lo que indica un alto alcance”.</w:t>
      </w:r>
    </w:p>
    <w:p w:rsidR="00E23B86" w:rsidRDefault="00BA7C13">
      <w:pPr>
        <w:spacing w:after="243" w:line="251" w:lineRule="auto"/>
        <w:ind w:left="355" w:right="573" w:hanging="10"/>
        <w:jc w:val="both"/>
      </w:pPr>
      <w:r>
        <w:rPr>
          <w:rFonts w:ascii="Arial" w:eastAsia="Arial" w:hAnsi="Arial" w:cs="Arial"/>
          <w:i/>
        </w:rPr>
        <w:t>Se concluye que “El II Plan Municipal de Prevención de Drogodependencias 2007 – 2010, puede valorarse como exitoso, al constatarse el alto grado del logro de acciones en los distintos ámbitos del mismo. La forma de lle</w:t>
      </w:r>
      <w:r>
        <w:rPr>
          <w:rFonts w:ascii="Arial" w:eastAsia="Arial" w:hAnsi="Arial" w:cs="Arial"/>
          <w:i/>
        </w:rPr>
        <w:t>var a cabo los procesos básicos de gestión (planificación, interlocución y evaluación), han sido la clave principal de su éxito”.</w:t>
      </w:r>
    </w:p>
    <w:p w:rsidR="00E23B86" w:rsidRDefault="00BA7C13">
      <w:pPr>
        <w:spacing w:after="8" w:line="251" w:lineRule="auto"/>
        <w:ind w:left="355" w:right="573" w:hanging="10"/>
        <w:jc w:val="both"/>
      </w:pPr>
      <w:r>
        <w:rPr>
          <w:rFonts w:ascii="Arial" w:eastAsia="Arial" w:hAnsi="Arial" w:cs="Arial"/>
          <w:i/>
        </w:rPr>
        <w:t>4.- PROPUESTA DE APROBACIÓN DEL PLAN</w:t>
      </w:r>
    </w:p>
    <w:p w:rsidR="00E23B86" w:rsidRDefault="00BA7C13">
      <w:pPr>
        <w:spacing w:after="111" w:line="251" w:lineRule="auto"/>
        <w:ind w:left="355" w:right="573" w:hanging="10"/>
        <w:jc w:val="both"/>
      </w:pPr>
      <w:r>
        <w:rPr>
          <w:rFonts w:ascii="Arial" w:eastAsia="Arial" w:hAnsi="Arial" w:cs="Arial"/>
          <w:i/>
        </w:rPr>
        <w:t xml:space="preserve">El documento que se adjunta, denominado IV Plan Municipal de Prevención de Adicciones de </w:t>
      </w:r>
      <w:r>
        <w:rPr>
          <w:rFonts w:ascii="Arial" w:eastAsia="Arial" w:hAnsi="Arial" w:cs="Arial"/>
          <w:i/>
        </w:rPr>
        <w:t>Candelaria (2019-2023), es un instrumento de trabajo técnico que define las políticas sociales públicas de prevención de adicciones, a llevar a cabo en el municipio de Candelaria.</w:t>
      </w:r>
    </w:p>
    <w:p w:rsidR="00E23B86" w:rsidRDefault="00BA7C13">
      <w:pPr>
        <w:spacing w:after="243" w:line="251" w:lineRule="auto"/>
        <w:ind w:left="355" w:right="573" w:hanging="10"/>
        <w:jc w:val="both"/>
      </w:pPr>
      <w:r>
        <w:rPr>
          <w:rFonts w:ascii="Arial" w:eastAsia="Arial" w:hAnsi="Arial" w:cs="Arial"/>
          <w:i/>
        </w:rPr>
        <w:t>Dicho Plan Municipal será el referente de planificación-acción para los próx</w:t>
      </w:r>
      <w:r>
        <w:rPr>
          <w:rFonts w:ascii="Arial" w:eastAsia="Arial" w:hAnsi="Arial" w:cs="Arial"/>
          <w:i/>
        </w:rPr>
        <w:t>imos años en el municipio, siendo un documento que deberá ser evaluado en su proceso para ir ajustando las acciones y medidas a las necesidades de la población, así como la implementación o puesta en marcha de nuevas acciones que se detecten mediante la ev</w:t>
      </w:r>
      <w:r>
        <w:rPr>
          <w:rFonts w:ascii="Arial" w:eastAsia="Arial" w:hAnsi="Arial" w:cs="Arial"/>
          <w:i/>
        </w:rPr>
        <w:t>aluación e investigación continua.</w:t>
      </w:r>
    </w:p>
    <w:p w:rsidR="00E23B86" w:rsidRDefault="00BA7C13">
      <w:pPr>
        <w:spacing w:after="0" w:line="251" w:lineRule="auto"/>
        <w:ind w:left="355" w:right="573" w:hanging="10"/>
        <w:jc w:val="both"/>
      </w:pPr>
      <w:r>
        <w:rPr>
          <w:rFonts w:ascii="Arial" w:eastAsia="Arial" w:hAnsi="Arial" w:cs="Arial"/>
          <w:i/>
        </w:rPr>
        <w:t>El documento se ha estructurado en nueve apartados. El apartado primero recoge y explica las competencias de la Corporación Local en materia de prevención e inserción social. En el apartado segundo, se desarrolla el análisis de la problemática y aproximaci</w:t>
      </w:r>
      <w:r>
        <w:rPr>
          <w:rFonts w:ascii="Arial" w:eastAsia="Arial" w:hAnsi="Arial" w:cs="Arial"/>
          <w:i/>
        </w:rPr>
        <w:t xml:space="preserve">ón epidemiológica y contextual del riesgo de adicciones en el ámbito municipal. En el tercer apartado, se recogen los principios sobre los que se sustenta el IV Plan Municipal y definidos desde la Estrategia Nacional sobre Adicciones 20172024 y el Plan de </w:t>
      </w:r>
      <w:r>
        <w:rPr>
          <w:rFonts w:ascii="Arial" w:eastAsia="Arial" w:hAnsi="Arial" w:cs="Arial"/>
          <w:i/>
        </w:rPr>
        <w:t xml:space="preserve">Acción sobre Adicciones 2018-2020. En el cuarto apartado, se describe el campo de actuación del IV Plan, mientras que, en el quinto, se recoge la meta del IV Plan y los objetivos generales por áreas, respectivamente. </w:t>
      </w:r>
    </w:p>
    <w:p w:rsidR="00E23B86" w:rsidRDefault="00BA7C13">
      <w:pPr>
        <w:spacing w:after="0" w:line="251" w:lineRule="auto"/>
        <w:ind w:left="355" w:right="573" w:hanging="10"/>
        <w:jc w:val="both"/>
      </w:pPr>
      <w:r>
        <w:rPr>
          <w:rFonts w:ascii="Arial" w:eastAsia="Arial" w:hAnsi="Arial" w:cs="Arial"/>
          <w:i/>
        </w:rPr>
        <w:t>En el apartado sexto, se describen las</w:t>
      </w:r>
      <w:r>
        <w:rPr>
          <w:rFonts w:ascii="Arial" w:eastAsia="Arial" w:hAnsi="Arial" w:cs="Arial"/>
          <w:i/>
        </w:rPr>
        <w:t xml:space="preserve"> acciones para cada una de las tres áreas de actuación y sus ámbitos o sectores prioritarios, donde se han diseñado un total de 35 acciones, Área de prevención y sensibilización, Área de Inserción Social y Área de Soporte y Apoyo.</w:t>
      </w:r>
    </w:p>
    <w:p w:rsidR="00E23B86" w:rsidRDefault="00BA7C13">
      <w:pPr>
        <w:spacing w:after="363" w:line="251" w:lineRule="auto"/>
        <w:ind w:left="355" w:right="573" w:hanging="10"/>
        <w:jc w:val="both"/>
      </w:pPr>
      <w:r>
        <w:rPr>
          <w:rFonts w:ascii="Arial" w:eastAsia="Arial" w:hAnsi="Arial" w:cs="Arial"/>
          <w:i/>
        </w:rPr>
        <w:t>En los tres últimos apart</w:t>
      </w:r>
      <w:r>
        <w:rPr>
          <w:rFonts w:ascii="Arial" w:eastAsia="Arial" w:hAnsi="Arial" w:cs="Arial"/>
          <w:i/>
        </w:rPr>
        <w:t>ados se recoge el sistema de coordinación y organización del IV Plan (apartado séptimo), así como la descripción de los recursos a emplear (apartado octavo) y los mecanismos de evaluación del IV Plan (apartado noveno).”</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446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1538" name="Group 52153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023" name="Rectangle 3102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w:t>
                              </w:r>
                              <w:r>
                                <w:rPr>
                                  <w:rFonts w:ascii="Arial" w:eastAsia="Arial" w:hAnsi="Arial" w:cs="Arial"/>
                                  <w:sz w:val="12"/>
                                </w:rPr>
                                <w:t xml:space="preserve">ZC2N3FZWC | Verificación: https://candelaria.sedelectronica.es/ </w:t>
                              </w:r>
                            </w:p>
                          </w:txbxContent>
                        </wps:txbx>
                        <wps:bodyPr horzOverflow="overflow" vert="horz" lIns="0" tIns="0" rIns="0" bIns="0" rtlCol="0">
                          <a:noAutofit/>
                        </wps:bodyPr>
                      </wps:wsp>
                      <wps:wsp>
                        <wps:cNvPr id="31024" name="Rectangle 3102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1538" style="width:12.7031pt;height:280.35pt;position:absolute;mso-position-horizontal-relative:page;mso-position-horizontal:absolute;margin-left:681.958pt;mso-position-vertical-relative:page;margin-top:531.65pt;" coordsize="1613,35604">
                <v:rect id="Rectangle 3102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02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180 de 391 </w:t>
                        </w:r>
                      </w:p>
                    </w:txbxContent>
                  </v:textbox>
                </v:rect>
                <w10:wrap type="square"/>
              </v:group>
            </w:pict>
          </mc:Fallback>
        </mc:AlternateContent>
      </w:r>
      <w:r>
        <w:rPr>
          <w:rFonts w:ascii="Arial" w:eastAsia="Arial" w:hAnsi="Arial" w:cs="Arial"/>
          <w:i/>
        </w:rPr>
        <w:t>Cuarto.- El IV Plan Municipal de Prevención de Adicciones de Candelaria estuvo expuesto a cons</w:t>
      </w:r>
      <w:r>
        <w:rPr>
          <w:rFonts w:ascii="Arial" w:eastAsia="Arial" w:hAnsi="Arial" w:cs="Arial"/>
          <w:i/>
        </w:rPr>
        <w:t>ulta pública previa desde el día 23 de enero hasta el 6 de febrero de 2020 sin que se hayan presentado sugerencias u objeciones al mismo durante el tiempo de exposición.</w:t>
      </w:r>
    </w:p>
    <w:p w:rsidR="00E23B86" w:rsidRDefault="00BA7C13">
      <w:pPr>
        <w:spacing w:after="111" w:line="251" w:lineRule="auto"/>
        <w:ind w:left="355" w:right="573" w:hanging="10"/>
        <w:jc w:val="both"/>
      </w:pPr>
      <w:r>
        <w:rPr>
          <w:rFonts w:ascii="Arial" w:eastAsia="Arial" w:hAnsi="Arial" w:cs="Arial"/>
          <w:i/>
        </w:rPr>
        <w:t>Consta informe de fecha 10 de febrero de 2020 del Departamento de Información y Atenci</w:t>
      </w:r>
      <w:r>
        <w:rPr>
          <w:rFonts w:ascii="Arial" w:eastAsia="Arial" w:hAnsi="Arial" w:cs="Arial"/>
          <w:i/>
        </w:rPr>
        <w:t>ón a la Ciudadanía en el que se dispone que “Consultado el registro de entrada del Ayuntamiento, en relación al IV Plan Municipal de Prevención de Adicciones 20192023 desde el 23 de enero hasta el 6 de febrero de 2020 no constan presentados escritos en rel</w:t>
      </w:r>
      <w:r>
        <w:rPr>
          <w:rFonts w:ascii="Arial" w:eastAsia="Arial" w:hAnsi="Arial" w:cs="Arial"/>
          <w:i/>
        </w:rPr>
        <w:t>ación al mismo”</w:t>
      </w:r>
    </w:p>
    <w:p w:rsidR="00E23B86" w:rsidRDefault="00BA7C13">
      <w:pPr>
        <w:spacing w:after="1336" w:line="251" w:lineRule="auto"/>
        <w:ind w:left="355" w:right="573" w:hanging="10"/>
        <w:jc w:val="both"/>
      </w:pPr>
      <w:r>
        <w:rPr>
          <w:rFonts w:ascii="Arial" w:eastAsia="Arial" w:hAnsi="Arial" w:cs="Arial"/>
          <w:i/>
        </w:rPr>
        <w:t>Consta informe de fecha 13 de febrero de 2020, de la Técnica del Servicio de Drogodependencias e Inserción de Servicios Sociales, doña María Begoña Rodríguez Pérez en el que se pone de manifiesto en relación a la publicación en la sede elec</w:t>
      </w:r>
      <w:r>
        <w:rPr>
          <w:rFonts w:ascii="Arial" w:eastAsia="Arial" w:hAnsi="Arial" w:cs="Arial"/>
          <w:i/>
        </w:rPr>
        <w:t>trónica que “Tras el plazo otorgado para tal fin, se ha recibido un total de 7 visitas. No se han remitido comentarios al respecto del proyecto y se han marcado un total de 0 “me gusta” y 0 “no me gusta”.</w:t>
      </w:r>
    </w:p>
    <w:p w:rsidR="00E23B86" w:rsidRDefault="00BA7C13">
      <w:pPr>
        <w:spacing w:after="482" w:line="249" w:lineRule="auto"/>
        <w:ind w:left="336" w:right="611" w:hanging="10"/>
        <w:jc w:val="center"/>
      </w:pPr>
      <w:r>
        <w:rPr>
          <w:rFonts w:ascii="Arial" w:eastAsia="Arial" w:hAnsi="Arial" w:cs="Arial"/>
          <w:i/>
        </w:rPr>
        <w:t xml:space="preserve">FUNDAMENTOS DE DERECHO </w:t>
      </w:r>
    </w:p>
    <w:p w:rsidR="00E23B86" w:rsidRDefault="00BA7C13">
      <w:pPr>
        <w:spacing w:after="111" w:line="251" w:lineRule="auto"/>
        <w:ind w:left="345" w:right="573" w:firstLine="360"/>
        <w:jc w:val="both"/>
      </w:pPr>
      <w:r>
        <w:rPr>
          <w:rFonts w:ascii="Arial" w:eastAsia="Arial" w:hAnsi="Arial" w:cs="Arial"/>
          <w:i/>
        </w:rPr>
        <w:t>I.- Es de aplicación el rég</w:t>
      </w:r>
      <w:r>
        <w:rPr>
          <w:rFonts w:ascii="Arial" w:eastAsia="Arial" w:hAnsi="Arial" w:cs="Arial"/>
          <w:i/>
        </w:rPr>
        <w:t>imen jurídico de los procedimientos de aprobación de los reglamentos y ordenanzas que es el siguiente:</w:t>
      </w:r>
    </w:p>
    <w:p w:rsidR="00E23B86" w:rsidRDefault="00BA7C13">
      <w:pPr>
        <w:spacing w:after="111" w:line="251" w:lineRule="auto"/>
        <w:ind w:left="722" w:right="573" w:hanging="10"/>
        <w:jc w:val="both"/>
      </w:pPr>
      <w:r>
        <w:rPr>
          <w:rFonts w:ascii="Arial" w:eastAsia="Arial" w:hAnsi="Arial" w:cs="Arial"/>
          <w:i/>
        </w:rPr>
        <w:t xml:space="preserve">Artículo 133 de la Ley 39/2015, de 1 de octubre: </w:t>
      </w:r>
    </w:p>
    <w:p w:rsidR="00E23B86" w:rsidRDefault="00BA7C13">
      <w:pPr>
        <w:spacing w:after="111" w:line="251" w:lineRule="auto"/>
        <w:ind w:left="345" w:right="573" w:firstLine="360"/>
        <w:jc w:val="both"/>
      </w:pPr>
      <w:r>
        <w:rPr>
          <w:rFonts w:ascii="Arial" w:eastAsia="Arial" w:hAnsi="Arial" w:cs="Arial"/>
          <w:i/>
        </w:rPr>
        <w:t>Participación de los ciudadanos en el procedimiento de elaboración de normas con rango de Ley y reglamentos.</w:t>
      </w:r>
    </w:p>
    <w:p w:rsidR="00E23B86" w:rsidRDefault="00BA7C13">
      <w:pPr>
        <w:spacing w:after="0" w:line="251" w:lineRule="auto"/>
        <w:ind w:left="345" w:right="573" w:firstLine="356"/>
        <w:jc w:val="both"/>
      </w:pPr>
      <w:r>
        <w:rPr>
          <w:rFonts w:ascii="Arial" w:eastAsia="Arial" w:hAnsi="Arial" w:cs="Arial"/>
          <w:i/>
        </w:rPr>
        <w:t>1. Con carácter previo a la elaboración del proyecto o anteproyecto de ley o de reglamento, se sustanciará una consulta pública, a través del porta</w:t>
      </w:r>
      <w:r>
        <w:rPr>
          <w:rFonts w:ascii="Arial" w:eastAsia="Arial" w:hAnsi="Arial" w:cs="Arial"/>
          <w:i/>
        </w:rPr>
        <w:t>l web de la Administración competente en la que se recabará la opinión de los sujetos y de las organizaciones más representativas potencialmente afectados por la futura norma acerca de:</w:t>
      </w:r>
    </w:p>
    <w:p w:rsidR="00E23B86" w:rsidRDefault="00BA7C13">
      <w:pPr>
        <w:numPr>
          <w:ilvl w:val="0"/>
          <w:numId w:val="70"/>
        </w:numPr>
        <w:spacing w:after="8" w:line="251" w:lineRule="auto"/>
        <w:ind w:right="573" w:hanging="256"/>
        <w:jc w:val="both"/>
      </w:pPr>
      <w:r>
        <w:rPr>
          <w:rFonts w:ascii="Arial" w:eastAsia="Arial" w:hAnsi="Arial" w:cs="Arial"/>
          <w:i/>
        </w:rPr>
        <w:t>Los problemas que se pretenden solucionar con la iniciativa.</w:t>
      </w:r>
    </w:p>
    <w:p w:rsidR="00E23B86" w:rsidRDefault="00BA7C13">
      <w:pPr>
        <w:numPr>
          <w:ilvl w:val="0"/>
          <w:numId w:val="70"/>
        </w:numPr>
        <w:spacing w:after="8" w:line="251" w:lineRule="auto"/>
        <w:ind w:right="573" w:hanging="256"/>
        <w:jc w:val="both"/>
      </w:pPr>
      <w:r>
        <w:rPr>
          <w:rFonts w:ascii="Arial" w:eastAsia="Arial" w:hAnsi="Arial" w:cs="Arial"/>
          <w:i/>
        </w:rPr>
        <w:t>La necesi</w:t>
      </w:r>
      <w:r>
        <w:rPr>
          <w:rFonts w:ascii="Arial" w:eastAsia="Arial" w:hAnsi="Arial" w:cs="Arial"/>
          <w:i/>
        </w:rPr>
        <w:t>dad y oportunidad de su aprobación.</w:t>
      </w:r>
    </w:p>
    <w:p w:rsidR="00E23B86" w:rsidRDefault="00BA7C13">
      <w:pPr>
        <w:numPr>
          <w:ilvl w:val="0"/>
          <w:numId w:val="70"/>
        </w:numPr>
        <w:spacing w:after="8" w:line="251" w:lineRule="auto"/>
        <w:ind w:right="573" w:hanging="256"/>
        <w:jc w:val="both"/>
      </w:pPr>
      <w:r>
        <w:rPr>
          <w:rFonts w:ascii="Arial" w:eastAsia="Arial" w:hAnsi="Arial" w:cs="Arial"/>
          <w:i/>
        </w:rPr>
        <w:t>Los objetivos de la norma.</w:t>
      </w:r>
    </w:p>
    <w:p w:rsidR="00E23B86" w:rsidRDefault="00BA7C13">
      <w:pPr>
        <w:numPr>
          <w:ilvl w:val="0"/>
          <w:numId w:val="70"/>
        </w:numPr>
        <w:spacing w:after="166" w:line="251" w:lineRule="auto"/>
        <w:ind w:right="573" w:hanging="256"/>
        <w:jc w:val="both"/>
      </w:pPr>
      <w:r>
        <w:rPr>
          <w:rFonts w:ascii="Arial" w:eastAsia="Arial" w:hAnsi="Arial" w:cs="Arial"/>
          <w:i/>
        </w:rPr>
        <w:t>Las posibles soluciones alternativas regulatorias y no regulatorias.</w:t>
      </w:r>
    </w:p>
    <w:p w:rsidR="00E23B86" w:rsidRDefault="00BA7C13">
      <w:pPr>
        <w:spacing w:after="169" w:line="251" w:lineRule="auto"/>
        <w:ind w:left="345" w:right="573" w:firstLine="360"/>
        <w:jc w:val="both"/>
      </w:pPr>
      <w:r>
        <w:rPr>
          <w:rFonts w:ascii="Arial" w:eastAsia="Arial" w:hAnsi="Arial" w:cs="Arial"/>
          <w:i/>
        </w:rPr>
        <w:t>Artículo 49 de la Ley 7/1985, de 2 de abril, reguladora de las Bases del Régimen Local:</w:t>
      </w:r>
    </w:p>
    <w:p w:rsidR="00E23B86" w:rsidRDefault="00BA7C13">
      <w:pPr>
        <w:spacing w:after="348" w:line="251" w:lineRule="auto"/>
        <w:ind w:left="718" w:right="573" w:hanging="10"/>
        <w:jc w:val="both"/>
      </w:pPr>
      <w:r>
        <w:rPr>
          <w:rFonts w:ascii="Arial" w:eastAsia="Arial" w:hAnsi="Arial" w:cs="Arial"/>
          <w:i/>
        </w:rPr>
        <w:t>La aprobación de las Ordenanzas locales se ajustará al siguiente procedimiento:</w:t>
      </w:r>
    </w:p>
    <w:p w:rsidR="00E23B86" w:rsidRDefault="00BA7C13">
      <w:pPr>
        <w:numPr>
          <w:ilvl w:val="0"/>
          <w:numId w:val="71"/>
        </w:numPr>
        <w:spacing w:after="166" w:line="251" w:lineRule="auto"/>
        <w:ind w:right="573" w:hanging="278"/>
        <w:jc w:val="both"/>
      </w:pPr>
      <w:r>
        <w:rPr>
          <w:rFonts w:ascii="Arial" w:eastAsia="Arial" w:hAnsi="Arial" w:cs="Arial"/>
          <w:i/>
        </w:rPr>
        <w:t>Aprobación inicial por el Pleno.</w:t>
      </w:r>
    </w:p>
    <w:p w:rsidR="00E23B86" w:rsidRDefault="00BA7C13">
      <w:pPr>
        <w:numPr>
          <w:ilvl w:val="0"/>
          <w:numId w:val="71"/>
        </w:numPr>
        <w:spacing w:after="8" w:line="251" w:lineRule="auto"/>
        <w:ind w:right="573" w:hanging="278"/>
        <w:jc w:val="both"/>
      </w:pPr>
      <w:r>
        <w:rPr>
          <w:rFonts w:ascii="Arial" w:eastAsia="Arial" w:hAnsi="Arial" w:cs="Arial"/>
          <w:i/>
        </w:rPr>
        <w:t>Información pública y audiencia a los interesados por el plazo mínimo de treinta</w:t>
      </w:r>
    </w:p>
    <w:p w:rsidR="00E23B86" w:rsidRDefault="00BA7C13">
      <w:pPr>
        <w:spacing w:after="166" w:line="251" w:lineRule="auto"/>
        <w:ind w:left="355" w:right="573" w:hanging="10"/>
        <w:jc w:val="both"/>
      </w:pPr>
      <w:r>
        <w:rPr>
          <w:rFonts w:ascii="Arial" w:eastAsia="Arial" w:hAnsi="Arial" w:cs="Arial"/>
          <w:i/>
        </w:rPr>
        <w:t>días para la presentación de reclamaciones y sugerencias.</w:t>
      </w:r>
    </w:p>
    <w:p w:rsidR="00E23B86" w:rsidRDefault="00BA7C13">
      <w:pPr>
        <w:numPr>
          <w:ilvl w:val="0"/>
          <w:numId w:val="71"/>
        </w:numPr>
        <w:spacing w:after="8" w:line="251" w:lineRule="auto"/>
        <w:ind w:right="573" w:hanging="278"/>
        <w:jc w:val="both"/>
      </w:pPr>
      <w:r>
        <w:rPr>
          <w:rFonts w:ascii="Arial" w:eastAsia="Arial" w:hAnsi="Arial" w:cs="Arial"/>
          <w:i/>
        </w:rPr>
        <w:t>Resolución de todas las reclamaciones y sugerencias presentadas dentro del</w:t>
      </w:r>
    </w:p>
    <w:p w:rsidR="00E23B86" w:rsidRDefault="00BA7C13">
      <w:pPr>
        <w:spacing w:after="166" w:line="251" w:lineRule="auto"/>
        <w:ind w:left="355" w:right="573" w:hanging="10"/>
        <w:jc w:val="both"/>
      </w:pPr>
      <w:r>
        <w:rPr>
          <w:noProof/>
        </w:rPr>
        <mc:AlternateContent>
          <mc:Choice Requires="wpg">
            <w:drawing>
              <wp:anchor distT="0" distB="0" distL="114300" distR="114300" simplePos="0" relativeHeight="2518456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2524" name="Group 52252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091" name="Rectangle 3109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1092" name="Rectangle 3109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w:t>
                              </w:r>
                              <w:r>
                                <w:rPr>
                                  <w:rFonts w:ascii="Arial" w:eastAsia="Arial" w:hAnsi="Arial" w:cs="Arial"/>
                                  <w:sz w:val="12"/>
                                </w:rPr>
                                <w:t xml:space="preserve">gina 181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2524" style="width:12.7031pt;height:280.35pt;position:absolute;mso-position-horizontal-relative:page;mso-position-horizontal:absolute;margin-left:681.958pt;mso-position-vertical-relative:page;margin-top:531.65pt;" coordsize="1613,35604">
                <v:rect id="Rectangle 3109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09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181 de 391 </w:t>
                        </w:r>
                      </w:p>
                    </w:txbxContent>
                  </v:textbox>
                </v:rect>
                <w10:wrap type="square"/>
              </v:group>
            </w:pict>
          </mc:Fallback>
        </mc:AlternateContent>
      </w:r>
      <w:r>
        <w:rPr>
          <w:rFonts w:ascii="Arial" w:eastAsia="Arial" w:hAnsi="Arial" w:cs="Arial"/>
          <w:i/>
        </w:rPr>
        <w:t>plazo y aprobación definitiva por el Pleno.</w:t>
      </w:r>
    </w:p>
    <w:p w:rsidR="00E23B86" w:rsidRDefault="00BA7C13">
      <w:pPr>
        <w:spacing w:after="363" w:line="251" w:lineRule="auto"/>
        <w:ind w:left="345" w:right="573" w:firstLine="356"/>
        <w:jc w:val="both"/>
      </w:pPr>
      <w:r>
        <w:rPr>
          <w:rFonts w:ascii="Arial" w:eastAsia="Arial" w:hAnsi="Arial" w:cs="Arial"/>
          <w:i/>
        </w:rPr>
        <w:t>En el caso de que no se hubiera presentado ninguna reclamación o sugerencia, se entenderá definitivamente adoptado el acuerdo hasta entonces provisional.</w:t>
      </w:r>
    </w:p>
    <w:p w:rsidR="00E23B86" w:rsidRDefault="00BA7C13">
      <w:pPr>
        <w:spacing w:after="363" w:line="251" w:lineRule="auto"/>
        <w:ind w:left="345" w:right="573" w:firstLine="360"/>
        <w:jc w:val="both"/>
      </w:pPr>
      <w:r>
        <w:rPr>
          <w:rFonts w:ascii="Arial" w:eastAsia="Arial" w:hAnsi="Arial" w:cs="Arial"/>
          <w:i/>
        </w:rPr>
        <w:t>Segundo.- Es de aplicación la normativa a</w:t>
      </w:r>
      <w:r>
        <w:rPr>
          <w:rFonts w:ascii="Arial" w:eastAsia="Arial" w:hAnsi="Arial" w:cs="Arial"/>
          <w:i/>
        </w:rPr>
        <w:t xml:space="preserve">utonómica que regulan los Servicios Sociales y la Prevención, Asistencia e Inserción Social en materia de Drogodependencia. </w:t>
      </w:r>
    </w:p>
    <w:p w:rsidR="00E23B86" w:rsidRDefault="00BA7C13">
      <w:pPr>
        <w:pBdr>
          <w:bottom w:val="single" w:sz="6" w:space="0" w:color="CCCCCC"/>
        </w:pBdr>
        <w:shd w:val="clear" w:color="auto" w:fill="F9F9F9"/>
        <w:spacing w:after="595"/>
        <w:ind w:left="352"/>
      </w:pPr>
      <w:r>
        <w:rPr>
          <w:rFonts w:ascii="Arial" w:eastAsia="Arial" w:hAnsi="Arial" w:cs="Arial"/>
          <w:b/>
          <w:i/>
        </w:rPr>
        <w:t>Ley 16/2019, de 2 de mayo, de Servicios Sociales de Canarias.</w:t>
      </w:r>
    </w:p>
    <w:p w:rsidR="00E23B86" w:rsidRDefault="00BA7C13">
      <w:pPr>
        <w:numPr>
          <w:ilvl w:val="0"/>
          <w:numId w:val="72"/>
        </w:numPr>
        <w:spacing w:after="169" w:line="248" w:lineRule="auto"/>
        <w:ind w:right="573" w:hanging="126"/>
        <w:jc w:val="both"/>
      </w:pPr>
      <w:r>
        <w:rPr>
          <w:rFonts w:ascii="Arial" w:eastAsia="Arial" w:hAnsi="Arial" w:cs="Arial"/>
        </w:rPr>
        <w:t>Artículo 4 relativo al sistema público de servicios sociales.</w:t>
      </w:r>
    </w:p>
    <w:p w:rsidR="00E23B86" w:rsidRDefault="00BA7C13">
      <w:pPr>
        <w:spacing w:after="169" w:line="251" w:lineRule="auto"/>
        <w:ind w:left="345" w:right="573" w:firstLine="360"/>
        <w:jc w:val="both"/>
      </w:pPr>
      <w:r>
        <w:rPr>
          <w:rFonts w:ascii="Arial" w:eastAsia="Arial" w:hAnsi="Arial" w:cs="Arial"/>
          <w:i/>
        </w:rPr>
        <w:t>“1. El sistema público de servicios sociales de Canarias está integrado por el conjunto de recursos, equipamientos, proyectos, programas y prestaciones de titularidad pública y privada destinado al cumplimiento de los objetivos establecidos en esta ley.</w:t>
      </w:r>
    </w:p>
    <w:p w:rsidR="00E23B86" w:rsidRDefault="00BA7C13">
      <w:pPr>
        <w:numPr>
          <w:ilvl w:val="1"/>
          <w:numId w:val="72"/>
        </w:numPr>
        <w:spacing w:after="171" w:line="251" w:lineRule="auto"/>
        <w:ind w:right="573" w:firstLine="360"/>
        <w:jc w:val="both"/>
      </w:pPr>
      <w:r>
        <w:rPr>
          <w:rFonts w:ascii="Arial" w:eastAsia="Arial" w:hAnsi="Arial" w:cs="Arial"/>
          <w:i/>
        </w:rPr>
        <w:t>Lo</w:t>
      </w:r>
      <w:r>
        <w:rPr>
          <w:rFonts w:ascii="Arial" w:eastAsia="Arial" w:hAnsi="Arial" w:cs="Arial"/>
          <w:i/>
        </w:rPr>
        <w:t>s poderes públicos garantizarán y velarán por que los servicios socialescumplan su finalidad de asegurar el derecho a las personas a vivir dignamente durante todas las etapas de la vida.</w:t>
      </w:r>
    </w:p>
    <w:p w:rsidR="00E23B86" w:rsidRDefault="00BA7C13">
      <w:pPr>
        <w:numPr>
          <w:ilvl w:val="1"/>
          <w:numId w:val="72"/>
        </w:numPr>
        <w:spacing w:after="111" w:line="251" w:lineRule="auto"/>
        <w:ind w:right="573" w:firstLine="360"/>
        <w:jc w:val="both"/>
      </w:pPr>
      <w:r>
        <w:rPr>
          <w:rFonts w:ascii="Arial" w:eastAsia="Arial" w:hAnsi="Arial" w:cs="Arial"/>
          <w:i/>
        </w:rPr>
        <w:t>Los servicios sociales se dirigen especialmente a prevenir y compensa</w:t>
      </w:r>
      <w:r>
        <w:rPr>
          <w:rFonts w:ascii="Arial" w:eastAsia="Arial" w:hAnsi="Arial" w:cs="Arial"/>
          <w:i/>
        </w:rPr>
        <w:t>r eldéficit de apoyo social y económico en situaciones de riesgo y exclusión social, promoviendo actitudes y capacidades que faciliten la inclusión de las personas, desde una perspectiva integral y participada.</w:t>
      </w:r>
    </w:p>
    <w:p w:rsidR="00E23B86" w:rsidRDefault="00BA7C13">
      <w:pPr>
        <w:spacing w:after="581" w:line="251" w:lineRule="auto"/>
        <w:ind w:left="345" w:right="573" w:firstLine="360"/>
        <w:jc w:val="both"/>
      </w:pPr>
      <w:r>
        <w:rPr>
          <w:rFonts w:ascii="Arial" w:eastAsia="Arial" w:hAnsi="Arial" w:cs="Arial"/>
          <w:i/>
        </w:rPr>
        <w:t xml:space="preserve">7. Los servicios sociales se coordinarán con </w:t>
      </w:r>
      <w:r>
        <w:rPr>
          <w:rFonts w:ascii="Arial" w:eastAsia="Arial" w:hAnsi="Arial" w:cs="Arial"/>
          <w:i/>
        </w:rPr>
        <w:t>todos los sistemas que inciden en la calidad de vida, como los de salud, igualdad de género, prevención y protección de las mujeres contra la violencia de género, educativos, culturales, de empleo, de vivienda, urbanísticos, judiciales, entre otros.”</w:t>
      </w:r>
    </w:p>
    <w:p w:rsidR="00E23B86" w:rsidRDefault="00BA7C13">
      <w:pPr>
        <w:numPr>
          <w:ilvl w:val="0"/>
          <w:numId w:val="72"/>
        </w:numPr>
        <w:spacing w:after="144" w:line="251" w:lineRule="auto"/>
        <w:ind w:right="573" w:hanging="126"/>
        <w:jc w:val="both"/>
      </w:pPr>
      <w:r>
        <w:rPr>
          <w:rFonts w:ascii="Arial" w:eastAsia="Arial" w:hAnsi="Arial" w:cs="Arial"/>
          <w:i/>
        </w:rPr>
        <w:t>Artíc</w:t>
      </w:r>
      <w:r>
        <w:rPr>
          <w:rFonts w:ascii="Arial" w:eastAsia="Arial" w:hAnsi="Arial" w:cs="Arial"/>
          <w:i/>
        </w:rPr>
        <w:t>ulo 6 Objetivos del sistema público de servicios sociales</w:t>
      </w:r>
    </w:p>
    <w:p w:rsidR="00E23B86" w:rsidRDefault="00BA7C13">
      <w:pPr>
        <w:spacing w:after="152" w:line="248" w:lineRule="auto"/>
        <w:ind w:left="352" w:right="14"/>
        <w:jc w:val="both"/>
      </w:pPr>
      <w:r>
        <w:rPr>
          <w:rFonts w:ascii="Arial" w:eastAsia="Arial" w:hAnsi="Arial" w:cs="Arial"/>
          <w:i/>
          <w:color w:val="222222"/>
        </w:rPr>
        <w:t>“La actuación de los poderes públicos canarios en materia de servicios sociales persigue los objetivos siguientes:</w:t>
      </w:r>
    </w:p>
    <w:p w:rsidR="00E23B86" w:rsidRDefault="00BA7C13">
      <w:pPr>
        <w:numPr>
          <w:ilvl w:val="1"/>
          <w:numId w:val="73"/>
        </w:numPr>
        <w:spacing w:after="3" w:line="248" w:lineRule="auto"/>
        <w:ind w:right="577" w:hanging="360"/>
        <w:jc w:val="both"/>
      </w:pPr>
      <w:r>
        <w:rPr>
          <w:rFonts w:ascii="Arial" w:eastAsia="Arial" w:hAnsi="Arial" w:cs="Arial"/>
          <w:i/>
          <w:color w:val="222222"/>
        </w:rPr>
        <w:t xml:space="preserve">a) </w:t>
      </w:r>
      <w:r>
        <w:rPr>
          <w:rFonts w:ascii="Arial" w:eastAsia="Arial" w:hAnsi="Arial" w:cs="Arial"/>
          <w:i/>
          <w:color w:val="222222"/>
        </w:rPr>
        <w:t>Mejorar la calidad de vida y promover la normalización, la participación y la inclusión social, económica, laboral, cultural y educativa y de salud de todas las personas.</w:t>
      </w:r>
    </w:p>
    <w:p w:rsidR="00E23B86" w:rsidRDefault="00BA7C13">
      <w:pPr>
        <w:numPr>
          <w:ilvl w:val="1"/>
          <w:numId w:val="73"/>
        </w:numPr>
        <w:spacing w:after="3" w:line="248" w:lineRule="auto"/>
        <w:ind w:right="577" w:hanging="360"/>
        <w:jc w:val="both"/>
      </w:pPr>
      <w:r>
        <w:rPr>
          <w:rFonts w:ascii="Arial" w:eastAsia="Arial" w:hAnsi="Arial" w:cs="Arial"/>
          <w:i/>
          <w:color w:val="222222"/>
        </w:rPr>
        <w:t>b) Detectar a través del análisis continuo de la realidad social situaciones de neces</w:t>
      </w:r>
      <w:r>
        <w:rPr>
          <w:rFonts w:ascii="Arial" w:eastAsia="Arial" w:hAnsi="Arial" w:cs="Arial"/>
          <w:i/>
          <w:color w:val="222222"/>
        </w:rPr>
        <w:t>idad de la población, así como elaborar la estrategia más adecuada a fin de favorecer el bienestar social y mejorar la calidad de vida.</w:t>
      </w:r>
    </w:p>
    <w:p w:rsidR="00E23B86" w:rsidRDefault="00BA7C13">
      <w:pPr>
        <w:numPr>
          <w:ilvl w:val="1"/>
          <w:numId w:val="73"/>
        </w:numPr>
        <w:spacing w:after="3" w:line="248" w:lineRule="auto"/>
        <w:ind w:right="577" w:hanging="360"/>
        <w:jc w:val="both"/>
      </w:pPr>
      <w:r>
        <w:rPr>
          <w:rFonts w:ascii="Arial" w:eastAsia="Arial" w:hAnsi="Arial" w:cs="Arial"/>
          <w:i/>
          <w:color w:val="222222"/>
        </w:rPr>
        <w:t xml:space="preserve">e) Prevenir, detectar y atender las situaciones de vulnerabilidad social de las personas y los grupos. </w:t>
      </w:r>
    </w:p>
    <w:p w:rsidR="00E23B86" w:rsidRDefault="00BA7C13">
      <w:pPr>
        <w:numPr>
          <w:ilvl w:val="1"/>
          <w:numId w:val="73"/>
        </w:numPr>
        <w:spacing w:after="3" w:line="248" w:lineRule="auto"/>
        <w:ind w:right="577" w:hanging="360"/>
        <w:jc w:val="both"/>
      </w:pPr>
      <w:r>
        <w:rPr>
          <w:rFonts w:ascii="Arial" w:eastAsia="Arial" w:hAnsi="Arial" w:cs="Arial"/>
          <w:i/>
          <w:color w:val="222222"/>
        </w:rPr>
        <w:t xml:space="preserve">j) Favorecer la </w:t>
      </w:r>
      <w:r>
        <w:rPr>
          <w:rFonts w:ascii="Arial" w:eastAsia="Arial" w:hAnsi="Arial" w:cs="Arial"/>
          <w:i/>
          <w:color w:val="222222"/>
        </w:rPr>
        <w:t>igualdad efectiva de las personas, eliminando discriminaciones por razón de sexo, orientación sexual o identidad de género, de discapacidad, de edad, de origen o por cualquier otra razón o circunstancia personal o social, e impulsando políticas de inclusió</w:t>
      </w:r>
      <w:r>
        <w:rPr>
          <w:rFonts w:ascii="Arial" w:eastAsia="Arial" w:hAnsi="Arial" w:cs="Arial"/>
          <w:i/>
          <w:color w:val="222222"/>
        </w:rPr>
        <w:t>n social.</w:t>
      </w:r>
    </w:p>
    <w:p w:rsidR="00E23B86" w:rsidRDefault="00BA7C13">
      <w:pPr>
        <w:numPr>
          <w:ilvl w:val="1"/>
          <w:numId w:val="73"/>
        </w:numPr>
        <w:spacing w:after="3" w:line="248" w:lineRule="auto"/>
        <w:ind w:right="577" w:hanging="360"/>
        <w:jc w:val="both"/>
      </w:pPr>
      <w:r>
        <w:rPr>
          <w:rFonts w:ascii="Arial" w:eastAsia="Arial" w:hAnsi="Arial" w:cs="Arial"/>
          <w:i/>
          <w:color w:val="222222"/>
        </w:rPr>
        <w:t>k) Velar por el respeto de los principios éticos de la intervención social y socioeducativa, impulsando, entre otras, políticas de inclusión laboral para las personas con cualquier tipo de discapacidad.</w:t>
      </w:r>
    </w:p>
    <w:p w:rsidR="00E23B86" w:rsidRDefault="00BA7C13">
      <w:pPr>
        <w:numPr>
          <w:ilvl w:val="1"/>
          <w:numId w:val="73"/>
        </w:numPr>
        <w:spacing w:after="3" w:line="248" w:lineRule="auto"/>
        <w:ind w:right="577" w:hanging="360"/>
        <w:jc w:val="both"/>
      </w:pPr>
      <w:r>
        <w:rPr>
          <w:noProof/>
        </w:rPr>
        <mc:AlternateContent>
          <mc:Choice Requires="wpg">
            <w:drawing>
              <wp:anchor distT="0" distB="0" distL="114300" distR="114300" simplePos="0" relativeHeight="2518466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3089" name="Group 52308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205" name="Rectangle 3120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t>
                              </w:r>
                              <w:r>
                                <w:rPr>
                                  <w:rFonts w:ascii="Arial" w:eastAsia="Arial" w:hAnsi="Arial" w:cs="Arial"/>
                                  <w:sz w:val="12"/>
                                </w:rPr>
                                <w:t xml:space="preserve">WC | Verificación: https://candelaria.sedelectronica.es/ </w:t>
                              </w:r>
                            </w:p>
                          </w:txbxContent>
                        </wps:txbx>
                        <wps:bodyPr horzOverflow="overflow" vert="horz" lIns="0" tIns="0" rIns="0" bIns="0" rtlCol="0">
                          <a:noAutofit/>
                        </wps:bodyPr>
                      </wps:wsp>
                      <wps:wsp>
                        <wps:cNvPr id="31206" name="Rectangle 3120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3089" style="width:12.7031pt;height:280.35pt;position:absolute;mso-position-horizontal-relative:page;mso-position-horizontal:absolute;margin-left:681.958pt;mso-position-vertical-relative:page;margin-top:531.65pt;" coordsize="1613,35604">
                <v:rect id="Rectangle 3120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20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182 de 391 </w:t>
                        </w:r>
                      </w:p>
                    </w:txbxContent>
                  </v:textbox>
                </v:rect>
                <w10:wrap type="square"/>
              </v:group>
            </w:pict>
          </mc:Fallback>
        </mc:AlternateContent>
      </w:r>
      <w:r>
        <w:rPr>
          <w:rFonts w:ascii="Arial" w:eastAsia="Arial" w:hAnsi="Arial" w:cs="Arial"/>
          <w:i/>
          <w:color w:val="222222"/>
        </w:rPr>
        <w:t>l) Prevenir, detectar y atender las situaciones de desprotección infantil para la defensa efectiva de</w:t>
      </w:r>
      <w:r>
        <w:rPr>
          <w:rFonts w:ascii="Arial" w:eastAsia="Arial" w:hAnsi="Arial" w:cs="Arial"/>
          <w:i/>
          <w:color w:val="222222"/>
        </w:rPr>
        <w:t xml:space="preserve"> los derechos de la infancia y de la adolescencia.</w:t>
      </w:r>
    </w:p>
    <w:p w:rsidR="00E23B86" w:rsidRDefault="00BA7C13">
      <w:pPr>
        <w:numPr>
          <w:ilvl w:val="1"/>
          <w:numId w:val="73"/>
        </w:numPr>
        <w:spacing w:after="366" w:line="248" w:lineRule="auto"/>
        <w:ind w:right="577" w:hanging="360"/>
        <w:jc w:val="both"/>
      </w:pPr>
      <w:r>
        <w:rPr>
          <w:rFonts w:ascii="Arial" w:eastAsia="Arial" w:hAnsi="Arial" w:cs="Arial"/>
          <w:i/>
          <w:color w:val="222222"/>
        </w:rPr>
        <w:t>m) Prevenir, detectar y atender situaciones de desprotección de las personas mayores, promocionando su bienestar y favoreciendo la inserción y cohesión social de este colectivo.”</w:t>
      </w:r>
    </w:p>
    <w:p w:rsidR="00E23B86" w:rsidRDefault="00BA7C13">
      <w:pPr>
        <w:numPr>
          <w:ilvl w:val="0"/>
          <w:numId w:val="72"/>
        </w:numPr>
        <w:spacing w:after="144" w:line="251" w:lineRule="auto"/>
        <w:ind w:right="573" w:hanging="126"/>
        <w:jc w:val="both"/>
      </w:pPr>
      <w:r>
        <w:rPr>
          <w:rFonts w:ascii="Arial" w:eastAsia="Arial" w:hAnsi="Arial" w:cs="Arial"/>
          <w:i/>
        </w:rPr>
        <w:t>Artículo 18 Prestaciones d</w:t>
      </w:r>
      <w:r>
        <w:rPr>
          <w:rFonts w:ascii="Arial" w:eastAsia="Arial" w:hAnsi="Arial" w:cs="Arial"/>
          <w:i/>
        </w:rPr>
        <w:t>el sistema público de servicios sociales</w:t>
      </w:r>
    </w:p>
    <w:p w:rsidR="00E23B86" w:rsidRDefault="00BA7C13">
      <w:pPr>
        <w:spacing w:after="562" w:line="248" w:lineRule="auto"/>
        <w:ind w:left="352" w:right="576"/>
        <w:jc w:val="both"/>
      </w:pPr>
      <w:r>
        <w:rPr>
          <w:rFonts w:ascii="Arial" w:eastAsia="Arial" w:hAnsi="Arial" w:cs="Arial"/>
          <w:i/>
          <w:color w:val="222222"/>
        </w:rPr>
        <w:t>“1. Son prestaciones del sistema público de servicios sociales aquellas actuaciones, intervenciones técnicas, programas, proyectos, ayudas económicas y tecnológicas, recursos y medios de atención destinados a cubrir</w:t>
      </w:r>
      <w:r>
        <w:rPr>
          <w:rFonts w:ascii="Arial" w:eastAsia="Arial" w:hAnsi="Arial" w:cs="Arial"/>
          <w:i/>
          <w:color w:val="222222"/>
        </w:rPr>
        <w:t xml:space="preserve"> las necesidades de las personas usuarias y a contribuir a la inclusión social de las mismas.</w:t>
      </w:r>
    </w:p>
    <w:p w:rsidR="00E23B86" w:rsidRDefault="00BA7C13">
      <w:pPr>
        <w:spacing w:after="562" w:line="248" w:lineRule="auto"/>
        <w:ind w:left="352" w:right="578"/>
        <w:jc w:val="both"/>
      </w:pPr>
      <w:r>
        <w:rPr>
          <w:rFonts w:ascii="Arial" w:eastAsia="Arial" w:hAnsi="Arial" w:cs="Arial"/>
          <w:i/>
          <w:color w:val="222222"/>
        </w:rPr>
        <w:t>2. Dichas prestaciones podrán ser de servicios, económicas o tecnológicas. Las prestaciones de servicios y económicas se podrán combinar entre sí para la consecuc</w:t>
      </w:r>
      <w:r>
        <w:rPr>
          <w:rFonts w:ascii="Arial" w:eastAsia="Arial" w:hAnsi="Arial" w:cs="Arial"/>
          <w:i/>
          <w:color w:val="222222"/>
        </w:rPr>
        <w:t>ión de los objetivos establecidos en el programa de intervención social de la persona usuaria, siempre dentro de los límites de compatibilidad establecidos reglamentariamente.”</w:t>
      </w:r>
    </w:p>
    <w:p w:rsidR="00E23B86" w:rsidRDefault="00BA7C13">
      <w:pPr>
        <w:spacing w:after="144" w:line="251" w:lineRule="auto"/>
        <w:ind w:left="355" w:right="573" w:hanging="10"/>
        <w:jc w:val="both"/>
      </w:pPr>
      <w:r>
        <w:rPr>
          <w:rFonts w:ascii="Arial" w:eastAsia="Arial" w:hAnsi="Arial" w:cs="Arial"/>
          <w:i/>
          <w:color w:val="4C6F99"/>
        </w:rPr>
        <w:t xml:space="preserve">- </w:t>
      </w:r>
      <w:r>
        <w:rPr>
          <w:rFonts w:ascii="Arial" w:eastAsia="Arial" w:hAnsi="Arial" w:cs="Arial"/>
          <w:i/>
        </w:rPr>
        <w:t>Artículo 20 Servicios del sistema público de servicios sociales</w:t>
      </w:r>
    </w:p>
    <w:p w:rsidR="00E23B86" w:rsidRDefault="00BA7C13">
      <w:pPr>
        <w:spacing w:after="149" w:line="248" w:lineRule="auto"/>
        <w:ind w:left="352" w:right="575"/>
        <w:jc w:val="both"/>
      </w:pPr>
      <w:r>
        <w:rPr>
          <w:rFonts w:ascii="Arial" w:eastAsia="Arial" w:hAnsi="Arial" w:cs="Arial"/>
          <w:i/>
          <w:color w:val="222222"/>
        </w:rPr>
        <w:t xml:space="preserve">“1. </w:t>
      </w:r>
      <w:r>
        <w:rPr>
          <w:rFonts w:ascii="Arial" w:eastAsia="Arial" w:hAnsi="Arial" w:cs="Arial"/>
          <w:i/>
          <w:color w:val="222222"/>
        </w:rPr>
        <w:t>Son servicios el conjunto de las actuaciones realizadas por profesionales, ya sea directamente o a través de medios tecnológicos, dirigidas a la prevención, diagnóstico, seguimiento, valoración, intervención, protección, promoción de la autonomía personal,</w:t>
      </w:r>
      <w:r>
        <w:rPr>
          <w:rFonts w:ascii="Arial" w:eastAsia="Arial" w:hAnsi="Arial" w:cs="Arial"/>
          <w:i/>
          <w:color w:val="222222"/>
        </w:rPr>
        <w:t xml:space="preserve"> acompañamiento social, mediación e inclusión social, mediante actuaciones a las personas, unidades de convivencia, grupos y comunidades.</w:t>
      </w:r>
    </w:p>
    <w:p w:rsidR="00E23B86" w:rsidRDefault="00BA7C13">
      <w:pPr>
        <w:spacing w:after="154" w:line="248" w:lineRule="auto"/>
        <w:ind w:left="352" w:right="589"/>
        <w:jc w:val="both"/>
      </w:pPr>
      <w:r>
        <w:rPr>
          <w:rFonts w:ascii="Arial" w:eastAsia="Arial" w:hAnsi="Arial" w:cs="Arial"/>
          <w:i/>
          <w:color w:val="222222"/>
        </w:rPr>
        <w:t>3. Los servicios del sistema público de servicios sociales de Canarias serán, al menos, las siguientes, en los término</w:t>
      </w:r>
      <w:r>
        <w:rPr>
          <w:rFonts w:ascii="Arial" w:eastAsia="Arial" w:hAnsi="Arial" w:cs="Arial"/>
          <w:i/>
          <w:color w:val="222222"/>
        </w:rPr>
        <w:t>s que se recojan en el catálogo de servicios y prestaciones:</w:t>
      </w:r>
    </w:p>
    <w:p w:rsidR="00E23B86" w:rsidRDefault="00BA7C13">
      <w:pPr>
        <w:numPr>
          <w:ilvl w:val="0"/>
          <w:numId w:val="74"/>
        </w:numPr>
        <w:spacing w:after="94" w:line="248" w:lineRule="auto"/>
        <w:ind w:right="577" w:hanging="360"/>
        <w:jc w:val="both"/>
      </w:pPr>
      <w:r>
        <w:rPr>
          <w:rFonts w:ascii="Arial" w:eastAsia="Arial" w:hAnsi="Arial" w:cs="Arial"/>
          <w:i/>
          <w:color w:val="222222"/>
        </w:rPr>
        <w:t>a) Información: servicio que posibilita a las personas, familias y grupos acceder en tiempo y forma a un conocimiento adecuado y suficiente sobre los derechos, servicios y prestaciones que pueden</w:t>
      </w:r>
      <w:r>
        <w:rPr>
          <w:rFonts w:ascii="Arial" w:eastAsia="Arial" w:hAnsi="Arial" w:cs="Arial"/>
          <w:i/>
          <w:color w:val="222222"/>
        </w:rPr>
        <w:t xml:space="preserve"> favorecer su inclusión social, autonomía y bienestar social, garantizando una información veraz, accesible y facilitada en términos comprensibles.</w:t>
      </w:r>
    </w:p>
    <w:p w:rsidR="00E23B86" w:rsidRDefault="00BA7C13">
      <w:pPr>
        <w:numPr>
          <w:ilvl w:val="0"/>
          <w:numId w:val="74"/>
        </w:numPr>
        <w:spacing w:after="80" w:line="248" w:lineRule="auto"/>
        <w:ind w:right="577" w:hanging="360"/>
        <w:jc w:val="both"/>
      </w:pPr>
      <w:r>
        <w:rPr>
          <w:rFonts w:ascii="Arial" w:eastAsia="Arial" w:hAnsi="Arial" w:cs="Arial"/>
          <w:i/>
          <w:color w:val="222222"/>
        </w:rPr>
        <w:t>b) Valoración, que incluirá:</w:t>
      </w:r>
    </w:p>
    <w:p w:rsidR="00E23B86" w:rsidRDefault="00BA7C13">
      <w:pPr>
        <w:numPr>
          <w:ilvl w:val="1"/>
          <w:numId w:val="74"/>
        </w:numPr>
        <w:spacing w:after="94" w:line="248" w:lineRule="auto"/>
        <w:ind w:right="577" w:hanging="360"/>
        <w:jc w:val="both"/>
      </w:pPr>
      <w:r>
        <w:rPr>
          <w:rFonts w:ascii="Arial" w:eastAsia="Arial" w:hAnsi="Arial" w:cs="Arial"/>
          <w:i/>
          <w:color w:val="222222"/>
        </w:rPr>
        <w:t>- Valoración inicial: consiste en la identificación básica, desde una perspecti</w:t>
      </w:r>
      <w:r>
        <w:rPr>
          <w:rFonts w:ascii="Arial" w:eastAsia="Arial" w:hAnsi="Arial" w:cs="Arial"/>
          <w:i/>
          <w:color w:val="222222"/>
        </w:rPr>
        <w:t>va integral, de las necesidades y capacidades de las personas, las familias y su entorno, al objeto de constatar si procede una intervención del sistema público de servicios sociales y, en su caso, remitir a las personas usuarias a una valoración especiali</w:t>
      </w:r>
      <w:r>
        <w:rPr>
          <w:rFonts w:ascii="Arial" w:eastAsia="Arial" w:hAnsi="Arial" w:cs="Arial"/>
          <w:i/>
          <w:color w:val="222222"/>
        </w:rPr>
        <w:t>zada.</w:t>
      </w:r>
    </w:p>
    <w:p w:rsidR="00E23B86" w:rsidRDefault="00BA7C13">
      <w:pPr>
        <w:numPr>
          <w:ilvl w:val="1"/>
          <w:numId w:val="74"/>
        </w:numPr>
        <w:spacing w:after="91" w:line="248" w:lineRule="auto"/>
        <w:ind w:right="577" w:hanging="360"/>
        <w:jc w:val="both"/>
      </w:pPr>
      <w:r>
        <w:rPr>
          <w:rFonts w:ascii="Arial" w:eastAsia="Arial" w:hAnsi="Arial" w:cs="Arial"/>
          <w:i/>
          <w:color w:val="222222"/>
        </w:rPr>
        <w:t>- Valoración especializada: es una valoración que incluye la baremación de las situaciones de dependencia, discapacidad, exclusión y desprotección. La misma podrá ser social, psicosocial, sociosanitaria o socioeducativa.</w:t>
      </w:r>
    </w:p>
    <w:p w:rsidR="00E23B86" w:rsidRDefault="00BA7C13">
      <w:pPr>
        <w:numPr>
          <w:ilvl w:val="1"/>
          <w:numId w:val="74"/>
        </w:numPr>
        <w:spacing w:after="92" w:line="248" w:lineRule="auto"/>
        <w:ind w:right="577" w:hanging="360"/>
        <w:jc w:val="both"/>
      </w:pPr>
      <w:r>
        <w:rPr>
          <w:noProof/>
        </w:rPr>
        <mc:AlternateContent>
          <mc:Choice Requires="wpg">
            <w:drawing>
              <wp:anchor distT="0" distB="0" distL="114300" distR="114300" simplePos="0" relativeHeight="2518476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3194" name="Group 52319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315" name="Rectangle 3131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1316" name="Rectangle 3131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3194" style="width:12.7031pt;height:280.35pt;position:absolute;mso-position-horizontal-relative:page;mso-position-horizontal:absolute;margin-left:681.958pt;mso-position-vertical-relative:page;margin-top:531.65pt;" coordsize="1613,35604">
                <v:rect id="Rectangle 3131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31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183 de 391 </w:t>
                        </w:r>
                      </w:p>
                    </w:txbxContent>
                  </v:textbox>
                </v:rect>
                <w10:wrap type="square"/>
              </v:group>
            </w:pict>
          </mc:Fallback>
        </mc:AlternateContent>
      </w:r>
      <w:r>
        <w:rPr>
          <w:rFonts w:ascii="Arial" w:eastAsia="Arial" w:hAnsi="Arial" w:cs="Arial"/>
          <w:i/>
          <w:color w:val="222222"/>
        </w:rPr>
        <w:t>- Valoración de seguimiento: servicio que conlleva la realiza</w:t>
      </w:r>
      <w:r>
        <w:rPr>
          <w:rFonts w:ascii="Arial" w:eastAsia="Arial" w:hAnsi="Arial" w:cs="Arial"/>
          <w:i/>
          <w:color w:val="222222"/>
        </w:rPr>
        <w:t>ción de evaluaciones periódicas del plan de atención personalizada.</w:t>
      </w:r>
    </w:p>
    <w:p w:rsidR="00E23B86" w:rsidRDefault="00BA7C13">
      <w:pPr>
        <w:numPr>
          <w:ilvl w:val="0"/>
          <w:numId w:val="74"/>
        </w:numPr>
        <w:spacing w:after="94" w:line="248" w:lineRule="auto"/>
        <w:ind w:right="577" w:hanging="360"/>
        <w:jc w:val="both"/>
      </w:pPr>
      <w:r>
        <w:rPr>
          <w:rFonts w:ascii="Arial" w:eastAsia="Arial" w:hAnsi="Arial" w:cs="Arial"/>
          <w:i/>
          <w:color w:val="222222"/>
        </w:rPr>
        <w:t>c) Diagnóstico social: consiste en la descripción y valoración profesional de las necesidades sociales y capacidades que presentan las personas, familias y grupos que solicitan la atención</w:t>
      </w:r>
      <w:r>
        <w:rPr>
          <w:rFonts w:ascii="Arial" w:eastAsia="Arial" w:hAnsi="Arial" w:cs="Arial"/>
          <w:i/>
          <w:color w:val="222222"/>
        </w:rPr>
        <w:t xml:space="preserve"> del sistema público de servicios sociales, al objeto de determinar la intervención adecuada en el marco de un plan de atención personalizada.</w:t>
      </w:r>
    </w:p>
    <w:p w:rsidR="00E23B86" w:rsidRDefault="00BA7C13">
      <w:pPr>
        <w:numPr>
          <w:ilvl w:val="0"/>
          <w:numId w:val="74"/>
        </w:numPr>
        <w:spacing w:after="94" w:line="248" w:lineRule="auto"/>
        <w:ind w:right="577" w:hanging="360"/>
        <w:jc w:val="both"/>
      </w:pPr>
      <w:r>
        <w:rPr>
          <w:rFonts w:ascii="Arial" w:eastAsia="Arial" w:hAnsi="Arial" w:cs="Arial"/>
          <w:i/>
          <w:color w:val="222222"/>
        </w:rPr>
        <w:t>d) Orientación y seguimiento: conjunto de acciones profesionales orientadas a dar a conocer derechos y recursos s</w:t>
      </w:r>
      <w:r>
        <w:rPr>
          <w:rFonts w:ascii="Arial" w:eastAsia="Arial" w:hAnsi="Arial" w:cs="Arial"/>
          <w:i/>
          <w:color w:val="222222"/>
        </w:rPr>
        <w:t>ociales que permitan a la persona la toma de decisiones y su participación en la elaboración del plan de atención personalizada.</w:t>
      </w:r>
    </w:p>
    <w:p w:rsidR="00E23B86" w:rsidRDefault="00BA7C13">
      <w:pPr>
        <w:numPr>
          <w:ilvl w:val="0"/>
          <w:numId w:val="74"/>
        </w:numPr>
        <w:spacing w:after="448" w:line="248" w:lineRule="auto"/>
        <w:ind w:right="577" w:hanging="360"/>
        <w:jc w:val="both"/>
      </w:pPr>
      <w:r>
        <w:rPr>
          <w:rFonts w:ascii="Arial" w:eastAsia="Arial" w:hAnsi="Arial" w:cs="Arial"/>
          <w:i/>
          <w:color w:val="222222"/>
        </w:rPr>
        <w:t xml:space="preserve">e) Acompañamiento social: prestación en virtud de la cual la persona participa, en interacción con un profesional cualificado, </w:t>
      </w:r>
      <w:r>
        <w:rPr>
          <w:rFonts w:ascii="Arial" w:eastAsia="Arial" w:hAnsi="Arial" w:cs="Arial"/>
          <w:i/>
          <w:color w:val="222222"/>
        </w:rPr>
        <w:t>en una relación de ayuda que contribuye a mejorar su desenvolvimiento autónomo e integración social. Se incluye dentro de este servicio la acción tutorial, la supervisión y el apoyo social, entre otros.</w:t>
      </w:r>
    </w:p>
    <w:p w:rsidR="00E23B86" w:rsidRDefault="00BA7C13">
      <w:pPr>
        <w:numPr>
          <w:ilvl w:val="0"/>
          <w:numId w:val="74"/>
        </w:numPr>
        <w:spacing w:after="332" w:line="248" w:lineRule="auto"/>
        <w:ind w:right="577" w:hanging="360"/>
        <w:jc w:val="both"/>
      </w:pPr>
      <w:r>
        <w:rPr>
          <w:rFonts w:ascii="Arial" w:eastAsia="Arial" w:hAnsi="Arial" w:cs="Arial"/>
          <w:i/>
          <w:color w:val="222222"/>
        </w:rPr>
        <w:t>j) Intervención, que comprenderá:</w:t>
      </w:r>
    </w:p>
    <w:p w:rsidR="00E23B86" w:rsidRDefault="00BA7C13">
      <w:pPr>
        <w:numPr>
          <w:ilvl w:val="1"/>
          <w:numId w:val="74"/>
        </w:numPr>
        <w:spacing w:after="3" w:line="248" w:lineRule="auto"/>
        <w:ind w:right="577" w:hanging="360"/>
        <w:jc w:val="both"/>
      </w:pPr>
      <w:r>
        <w:rPr>
          <w:rFonts w:ascii="Arial" w:eastAsia="Arial" w:hAnsi="Arial" w:cs="Arial"/>
          <w:i/>
          <w:color w:val="222222"/>
        </w:rPr>
        <w:t>- Intervención y ap</w:t>
      </w:r>
      <w:r>
        <w:rPr>
          <w:rFonts w:ascii="Arial" w:eastAsia="Arial" w:hAnsi="Arial" w:cs="Arial"/>
          <w:i/>
          <w:color w:val="222222"/>
        </w:rPr>
        <w:t>oyo familiar: conjunto de actuaciones profesionales dirigidas a facilitar la convivencia y la inclusión social de las familias, abordando situaciones de crisis, riesgo o vulnerabilidad familiar. Se incluye dentro de este servicio, entre otros, el asesorami</w:t>
      </w:r>
      <w:r>
        <w:rPr>
          <w:rFonts w:ascii="Arial" w:eastAsia="Arial" w:hAnsi="Arial" w:cs="Arial"/>
          <w:i/>
          <w:color w:val="222222"/>
        </w:rPr>
        <w:t>ento, intermediación arrendaticia, bancaria, inmobiliaria y tramitación de prestaciones económicas.</w:t>
      </w:r>
    </w:p>
    <w:p w:rsidR="00E23B86" w:rsidRDefault="00BA7C13">
      <w:pPr>
        <w:numPr>
          <w:ilvl w:val="1"/>
          <w:numId w:val="74"/>
        </w:numPr>
        <w:spacing w:after="93" w:line="248" w:lineRule="auto"/>
        <w:ind w:right="577" w:hanging="360"/>
        <w:jc w:val="both"/>
      </w:pPr>
      <w:r>
        <w:rPr>
          <w:rFonts w:ascii="Arial" w:eastAsia="Arial" w:hAnsi="Arial" w:cs="Arial"/>
          <w:i/>
          <w:color w:val="222222"/>
        </w:rPr>
        <w:t>- Intervención sociofamiliar: conjunto de actuaciones profesionales de ayuda psicoeducativa y social para el tratamiento y resolución de las necesidades soc</w:t>
      </w:r>
      <w:r>
        <w:rPr>
          <w:rFonts w:ascii="Arial" w:eastAsia="Arial" w:hAnsi="Arial" w:cs="Arial"/>
          <w:i/>
          <w:color w:val="222222"/>
        </w:rPr>
        <w:t>iales, educativas y familiares de las personas, las familias o grupos de población y su entorno.</w:t>
      </w:r>
    </w:p>
    <w:p w:rsidR="00E23B86" w:rsidRDefault="00BA7C13">
      <w:pPr>
        <w:numPr>
          <w:ilvl w:val="1"/>
          <w:numId w:val="74"/>
        </w:numPr>
        <w:spacing w:after="94" w:line="248" w:lineRule="auto"/>
        <w:ind w:right="577" w:hanging="360"/>
        <w:jc w:val="both"/>
      </w:pPr>
      <w:r>
        <w:rPr>
          <w:rFonts w:ascii="Arial" w:eastAsia="Arial" w:hAnsi="Arial" w:cs="Arial"/>
          <w:i/>
          <w:color w:val="222222"/>
        </w:rPr>
        <w:t>- Prevención e intervención sociocomunitaria e inclusión social: conjunto de actuaciones profesionales orientadas a la prevención de las situaciones de exclusi</w:t>
      </w:r>
      <w:r>
        <w:rPr>
          <w:rFonts w:ascii="Arial" w:eastAsia="Arial" w:hAnsi="Arial" w:cs="Arial"/>
          <w:i/>
          <w:color w:val="222222"/>
        </w:rPr>
        <w:t>ón social, la dinamización comunitaria y la búsqueda de respuestas colectivas a las necesidades sociales, así como la transformación social de estas zonas desde unos objetivos comunes entre todas las partes implicadas para el logro de la cohesión social.</w:t>
      </w:r>
    </w:p>
    <w:p w:rsidR="00E23B86" w:rsidRDefault="00BA7C13">
      <w:pPr>
        <w:numPr>
          <w:ilvl w:val="1"/>
          <w:numId w:val="74"/>
        </w:numPr>
        <w:spacing w:after="92" w:line="248" w:lineRule="auto"/>
        <w:ind w:right="577" w:hanging="360"/>
        <w:jc w:val="both"/>
      </w:pPr>
      <w:r>
        <w:rPr>
          <w:rFonts w:ascii="Arial" w:eastAsia="Arial" w:hAnsi="Arial" w:cs="Arial"/>
          <w:i/>
          <w:color w:val="222222"/>
        </w:rPr>
        <w:t>-</w:t>
      </w:r>
      <w:r>
        <w:rPr>
          <w:rFonts w:ascii="Arial" w:eastAsia="Arial" w:hAnsi="Arial" w:cs="Arial"/>
          <w:i/>
          <w:color w:val="222222"/>
        </w:rPr>
        <w:t xml:space="preserve"> Intervención socioeducativa y psicosocial: conjunto de actuaciones profesionales que implican el establecimiento de un proceso a través del cual las personas usuarias adquieren conocimientos, actitudes, hábitos o capacidades útiles para su desenvolvimient</w:t>
      </w:r>
      <w:r>
        <w:rPr>
          <w:rFonts w:ascii="Arial" w:eastAsia="Arial" w:hAnsi="Arial" w:cs="Arial"/>
          <w:i/>
          <w:color w:val="222222"/>
        </w:rPr>
        <w:t>o autónomo e integración social. Se incluyen dentro de estos servicios la intervención social, estimulativa o rehabilitadora, psicológica, ocupacional, educativa, psicosocial, la mediación familiar y la intermediación y mediación social.</w:t>
      </w:r>
    </w:p>
    <w:p w:rsidR="00E23B86" w:rsidRDefault="00BA7C13">
      <w:pPr>
        <w:numPr>
          <w:ilvl w:val="1"/>
          <w:numId w:val="74"/>
        </w:numPr>
        <w:spacing w:after="93" w:line="248" w:lineRule="auto"/>
        <w:ind w:right="577" w:hanging="360"/>
        <w:jc w:val="both"/>
      </w:pPr>
      <w:r>
        <w:rPr>
          <w:rFonts w:ascii="Arial" w:eastAsia="Arial" w:hAnsi="Arial" w:cs="Arial"/>
          <w:i/>
          <w:color w:val="222222"/>
        </w:rPr>
        <w:t xml:space="preserve">- </w:t>
      </w:r>
      <w:r>
        <w:rPr>
          <w:rFonts w:ascii="Arial" w:eastAsia="Arial" w:hAnsi="Arial" w:cs="Arial"/>
          <w:i/>
          <w:color w:val="222222"/>
        </w:rPr>
        <w:t>Intervención sociosanitaria: conjunto de actuaciones profesionales orientadas a dar respuesta a situaciones de necesidad compleja que requieren de intervención de naturaleza mixta, social y sanitaria, de forma simultánea, o también secuencial, en todo caso</w:t>
      </w:r>
      <w:r>
        <w:rPr>
          <w:rFonts w:ascii="Arial" w:eastAsia="Arial" w:hAnsi="Arial" w:cs="Arial"/>
          <w:i/>
          <w:color w:val="222222"/>
        </w:rPr>
        <w:t xml:space="preserve"> complementaria y estrechamente articulada. </w:t>
      </w:r>
    </w:p>
    <w:p w:rsidR="00E23B86" w:rsidRDefault="00BA7C13">
      <w:pPr>
        <w:numPr>
          <w:ilvl w:val="0"/>
          <w:numId w:val="74"/>
        </w:numPr>
        <w:spacing w:after="366" w:line="248" w:lineRule="auto"/>
        <w:ind w:right="577" w:hanging="360"/>
        <w:jc w:val="both"/>
      </w:pPr>
      <w:r>
        <w:rPr>
          <w:noProof/>
        </w:rPr>
        <mc:AlternateContent>
          <mc:Choice Requires="wpg">
            <w:drawing>
              <wp:anchor distT="0" distB="0" distL="114300" distR="114300" simplePos="0" relativeHeight="2518487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3417" name="Group 52341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412" name="Rectangle 3141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1413" name="Rectangle 3141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3417" style="width:12.7031pt;height:280.35pt;position:absolute;mso-position-horizontal-relative:page;mso-position-horizontal:absolute;margin-left:681.958pt;mso-position-vertical-relative:page;margin-top:531.65pt;" coordsize="1613,35604">
                <v:rect id="Rectangle 3141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41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184 de 391 </w:t>
                        </w:r>
                      </w:p>
                    </w:txbxContent>
                  </v:textbox>
                </v:rect>
                <w10:wrap type="square"/>
              </v:group>
            </w:pict>
          </mc:Fallback>
        </mc:AlternateContent>
      </w:r>
      <w:r>
        <w:rPr>
          <w:rFonts w:ascii="Arial" w:eastAsia="Arial" w:hAnsi="Arial" w:cs="Arial"/>
          <w:i/>
          <w:color w:val="222222"/>
        </w:rPr>
        <w:t>o) Servicio d</w:t>
      </w:r>
      <w:r>
        <w:rPr>
          <w:rFonts w:ascii="Arial" w:eastAsia="Arial" w:hAnsi="Arial" w:cs="Arial"/>
          <w:i/>
          <w:color w:val="222222"/>
        </w:rPr>
        <w:t>e atención a la infancia y adolescencia: es el conjunto de actuaciones profesionales encaminadas a la promoción del bienestar personal y social de los niños y las niñas y la adolescencia y de actuaciones de prevención, atención, protección, reparación y pa</w:t>
      </w:r>
      <w:r>
        <w:rPr>
          <w:rFonts w:ascii="Arial" w:eastAsia="Arial" w:hAnsi="Arial" w:cs="Arial"/>
          <w:i/>
          <w:color w:val="222222"/>
        </w:rPr>
        <w:t>rticipación dirigidas a estas personas con el fin de garantizar el ejercicio de sus derechos, la asunción de sus responsabilidades y la consecución de su desarrollo integral”</w:t>
      </w:r>
    </w:p>
    <w:p w:rsidR="00E23B86" w:rsidRDefault="00BA7C13">
      <w:pPr>
        <w:numPr>
          <w:ilvl w:val="0"/>
          <w:numId w:val="75"/>
        </w:numPr>
        <w:spacing w:after="144" w:line="251" w:lineRule="auto"/>
        <w:ind w:right="573" w:hanging="126"/>
        <w:jc w:val="both"/>
      </w:pPr>
      <w:r>
        <w:rPr>
          <w:rFonts w:ascii="Arial" w:eastAsia="Arial" w:hAnsi="Arial" w:cs="Arial"/>
          <w:i/>
        </w:rPr>
        <w:t>Artículo 50 Competencias de los municipios</w:t>
      </w:r>
    </w:p>
    <w:p w:rsidR="00E23B86" w:rsidRDefault="00BA7C13">
      <w:pPr>
        <w:spacing w:after="151" w:line="248" w:lineRule="auto"/>
        <w:ind w:left="352" w:right="14"/>
        <w:jc w:val="both"/>
      </w:pPr>
      <w:r>
        <w:rPr>
          <w:rFonts w:ascii="Arial" w:eastAsia="Arial" w:hAnsi="Arial" w:cs="Arial"/>
          <w:i/>
          <w:color w:val="222222"/>
        </w:rPr>
        <w:t>“Corresponden a los municipios las sig</w:t>
      </w:r>
      <w:r>
        <w:rPr>
          <w:rFonts w:ascii="Arial" w:eastAsia="Arial" w:hAnsi="Arial" w:cs="Arial"/>
          <w:i/>
          <w:color w:val="222222"/>
        </w:rPr>
        <w:t>uientes competencias propias:</w:t>
      </w:r>
    </w:p>
    <w:p w:rsidR="00E23B86" w:rsidRDefault="00BA7C13">
      <w:pPr>
        <w:numPr>
          <w:ilvl w:val="1"/>
          <w:numId w:val="75"/>
        </w:numPr>
        <w:spacing w:after="3" w:line="248" w:lineRule="auto"/>
        <w:ind w:right="14" w:hanging="360"/>
        <w:jc w:val="both"/>
      </w:pPr>
      <w:r>
        <w:rPr>
          <w:rFonts w:ascii="Arial" w:eastAsia="Arial" w:hAnsi="Arial" w:cs="Arial"/>
          <w:i/>
          <w:color w:val="222222"/>
        </w:rPr>
        <w:t>a) Crear, organizar y gestionar los servicios sociales de atención primaria y comunitaria previstos en la presente ley y su normativa de desarrollo.</w:t>
      </w:r>
    </w:p>
    <w:p w:rsidR="00E23B86" w:rsidRDefault="00BA7C13">
      <w:pPr>
        <w:numPr>
          <w:ilvl w:val="1"/>
          <w:numId w:val="75"/>
        </w:numPr>
        <w:spacing w:after="304" w:line="248" w:lineRule="auto"/>
        <w:ind w:right="14" w:hanging="360"/>
        <w:jc w:val="both"/>
      </w:pPr>
      <w:r>
        <w:rPr>
          <w:rFonts w:ascii="Arial" w:eastAsia="Arial" w:hAnsi="Arial" w:cs="Arial"/>
          <w:i/>
          <w:color w:val="222222"/>
        </w:rPr>
        <w:t>b) Ejercer la potestad reglamentaria para la organización y prestación de los</w:t>
      </w:r>
      <w:r>
        <w:rPr>
          <w:rFonts w:ascii="Arial" w:eastAsia="Arial" w:hAnsi="Arial" w:cs="Arial"/>
          <w:i/>
          <w:color w:val="222222"/>
        </w:rPr>
        <w:t xml:space="preserve"> servicios propios, en los términos previstos en la normativa vigente.</w:t>
      </w:r>
    </w:p>
    <w:p w:rsidR="00E23B86" w:rsidRDefault="00BA7C13">
      <w:pPr>
        <w:numPr>
          <w:ilvl w:val="1"/>
          <w:numId w:val="75"/>
        </w:numPr>
        <w:spacing w:after="3" w:line="248" w:lineRule="auto"/>
        <w:ind w:right="14" w:hanging="360"/>
        <w:jc w:val="both"/>
      </w:pPr>
      <w:r>
        <w:rPr>
          <w:rFonts w:ascii="Arial" w:eastAsia="Arial" w:hAnsi="Arial" w:cs="Arial"/>
          <w:i/>
          <w:color w:val="222222"/>
        </w:rPr>
        <w:t>c) La planificación de los servicios y prestaciones que sean de su competencia en su ámbito territorial, de acuerdo con lo establecido en el plan estratégico de servicios sociales de la</w:t>
      </w:r>
      <w:r>
        <w:rPr>
          <w:rFonts w:ascii="Arial" w:eastAsia="Arial" w:hAnsi="Arial" w:cs="Arial"/>
          <w:i/>
          <w:color w:val="222222"/>
        </w:rPr>
        <w:t xml:space="preserve"> Comunidad Autónoma de Canarias, en la planificación insular y, en su caso, en los planes sectoriales y especiales de ámbito autonómico o insular, en los términos establecidos en la presente ley y en las disposiciones que la desarrollan.</w:t>
      </w:r>
    </w:p>
    <w:p w:rsidR="00E23B86" w:rsidRDefault="00BA7C13">
      <w:pPr>
        <w:numPr>
          <w:ilvl w:val="1"/>
          <w:numId w:val="75"/>
        </w:numPr>
        <w:spacing w:after="725" w:line="248" w:lineRule="auto"/>
        <w:ind w:right="14" w:hanging="360"/>
        <w:jc w:val="both"/>
      </w:pPr>
      <w:r>
        <w:rPr>
          <w:rFonts w:ascii="Arial" w:eastAsia="Arial" w:hAnsi="Arial" w:cs="Arial"/>
          <w:i/>
          <w:color w:val="222222"/>
        </w:rPr>
        <w:t xml:space="preserve">g) </w:t>
      </w:r>
      <w:r>
        <w:rPr>
          <w:rFonts w:ascii="Arial" w:eastAsia="Arial" w:hAnsi="Arial" w:cs="Arial"/>
          <w:i/>
          <w:color w:val="222222"/>
        </w:rPr>
        <w:t>Definir las áreas básicas de servicios sociales de su ámbito territorial.</w:t>
      </w:r>
      <w:r>
        <w:rPr>
          <w:rFonts w:ascii="Arial" w:eastAsia="Arial" w:hAnsi="Arial" w:cs="Arial"/>
          <w:i/>
        </w:rPr>
        <w:t>”</w:t>
      </w:r>
    </w:p>
    <w:p w:rsidR="00E23B86" w:rsidRDefault="00BA7C13">
      <w:pPr>
        <w:spacing w:after="480" w:line="251" w:lineRule="auto"/>
        <w:ind w:left="355" w:right="573" w:hanging="10"/>
        <w:jc w:val="both"/>
      </w:pPr>
      <w:r>
        <w:rPr>
          <w:rFonts w:ascii="Arial" w:eastAsia="Arial" w:hAnsi="Arial" w:cs="Arial"/>
          <w:i/>
        </w:rPr>
        <w:t>Ley 9/1998, de 22 de julio, sobre prevención, asistencia, e inserción social en materia de drogodependencias.</w:t>
      </w:r>
    </w:p>
    <w:p w:rsidR="00E23B86" w:rsidRDefault="00BA7C13">
      <w:pPr>
        <w:spacing w:after="518" w:line="251" w:lineRule="auto"/>
        <w:ind w:left="355" w:right="573" w:hanging="10"/>
        <w:jc w:val="both"/>
      </w:pPr>
      <w:r>
        <w:rPr>
          <w:rFonts w:ascii="Arial" w:eastAsia="Arial" w:hAnsi="Arial" w:cs="Arial"/>
          <w:i/>
        </w:rPr>
        <w:t>Plan Canario sobre Drogas</w:t>
      </w:r>
    </w:p>
    <w:p w:rsidR="00E23B86" w:rsidRDefault="00BA7C13">
      <w:pPr>
        <w:numPr>
          <w:ilvl w:val="0"/>
          <w:numId w:val="75"/>
        </w:numPr>
        <w:spacing w:after="146" w:line="251" w:lineRule="auto"/>
        <w:ind w:right="573" w:hanging="126"/>
        <w:jc w:val="both"/>
      </w:pPr>
      <w:r>
        <w:rPr>
          <w:rFonts w:ascii="Arial" w:eastAsia="Arial" w:hAnsi="Arial" w:cs="Arial"/>
          <w:i/>
        </w:rPr>
        <w:t>Artículo 24 Naturaleza y características</w:t>
      </w:r>
    </w:p>
    <w:p w:rsidR="00E23B86" w:rsidRDefault="00BA7C13">
      <w:pPr>
        <w:spacing w:after="150" w:line="248" w:lineRule="auto"/>
        <w:ind w:left="352" w:right="589"/>
        <w:jc w:val="both"/>
      </w:pPr>
      <w:r>
        <w:rPr>
          <w:rFonts w:ascii="Arial" w:eastAsia="Arial" w:hAnsi="Arial" w:cs="Arial"/>
          <w:i/>
          <w:color w:val="222222"/>
        </w:rPr>
        <w:t xml:space="preserve">“1. </w:t>
      </w:r>
      <w:r>
        <w:rPr>
          <w:rFonts w:ascii="Arial" w:eastAsia="Arial" w:hAnsi="Arial" w:cs="Arial"/>
          <w:i/>
          <w:color w:val="222222"/>
        </w:rPr>
        <w:t>El Plan Canario sobre Drogas se configura como el instrumento para la planificación y ordenación de las actuaciones que en materia de drogas se lleven a cabo en la Comunidad Autónoma de Canarias.</w:t>
      </w:r>
    </w:p>
    <w:p w:rsidR="00E23B86" w:rsidRDefault="00BA7C13">
      <w:pPr>
        <w:numPr>
          <w:ilvl w:val="0"/>
          <w:numId w:val="76"/>
        </w:numPr>
        <w:spacing w:after="152" w:line="248" w:lineRule="auto"/>
        <w:ind w:right="299"/>
        <w:jc w:val="both"/>
      </w:pPr>
      <w:r>
        <w:rPr>
          <w:rFonts w:ascii="Arial" w:eastAsia="Arial" w:hAnsi="Arial" w:cs="Arial"/>
          <w:i/>
          <w:color w:val="222222"/>
        </w:rPr>
        <w:t xml:space="preserve">El Plan Canario sobre Drogas será vinculante para todas las </w:t>
      </w:r>
      <w:r>
        <w:rPr>
          <w:rFonts w:ascii="Arial" w:eastAsia="Arial" w:hAnsi="Arial" w:cs="Arial"/>
          <w:i/>
          <w:color w:val="222222"/>
        </w:rPr>
        <w:t>Administraciones Públicas y entidades privadas e instituciones que desarrollen actuaciones en materia de drogas.</w:t>
      </w:r>
    </w:p>
    <w:p w:rsidR="00E23B86" w:rsidRDefault="00BA7C13">
      <w:pPr>
        <w:numPr>
          <w:ilvl w:val="0"/>
          <w:numId w:val="76"/>
        </w:numPr>
        <w:spacing w:after="559" w:line="248" w:lineRule="auto"/>
        <w:ind w:right="299"/>
        <w:jc w:val="both"/>
      </w:pPr>
      <w:r>
        <w:rPr>
          <w:rFonts w:ascii="Arial" w:eastAsia="Arial" w:hAnsi="Arial" w:cs="Arial"/>
          <w:i/>
          <w:color w:val="222222"/>
        </w:rPr>
        <w:t>La vigencia temporal será la fijada en el propio Plan”.</w:t>
      </w:r>
    </w:p>
    <w:p w:rsidR="00E23B86" w:rsidRDefault="00BA7C13">
      <w:pPr>
        <w:spacing w:after="144" w:line="251" w:lineRule="auto"/>
        <w:ind w:left="355" w:right="573" w:hanging="10"/>
        <w:jc w:val="both"/>
      </w:pPr>
      <w:r>
        <w:rPr>
          <w:rFonts w:ascii="Arial" w:eastAsia="Arial" w:hAnsi="Arial" w:cs="Arial"/>
          <w:i/>
        </w:rPr>
        <w:t>- Artículo 25 Contenido del Plan</w:t>
      </w:r>
    </w:p>
    <w:p w:rsidR="00E23B86" w:rsidRDefault="00BA7C13">
      <w:pPr>
        <w:spacing w:after="152" w:line="248" w:lineRule="auto"/>
        <w:ind w:left="352" w:right="14"/>
        <w:jc w:val="both"/>
      </w:pPr>
      <w:r>
        <w:rPr>
          <w:rFonts w:ascii="Arial" w:eastAsia="Arial" w:hAnsi="Arial" w:cs="Arial"/>
          <w:i/>
          <w:color w:val="222222"/>
        </w:rPr>
        <w:t xml:space="preserve">“1. </w:t>
      </w:r>
      <w:r>
        <w:rPr>
          <w:rFonts w:ascii="Arial" w:eastAsia="Arial" w:hAnsi="Arial" w:cs="Arial"/>
          <w:i/>
          <w:color w:val="222222"/>
        </w:rPr>
        <w:t>El Plan Canario sobre Drogas contemplará en su redacción, al menos, los siguientes extremos:</w:t>
      </w:r>
    </w:p>
    <w:p w:rsidR="00E23B86" w:rsidRDefault="00BA7C13">
      <w:pPr>
        <w:numPr>
          <w:ilvl w:val="0"/>
          <w:numId w:val="77"/>
        </w:numPr>
        <w:spacing w:after="93" w:line="248" w:lineRule="auto"/>
        <w:ind w:right="14" w:hanging="360"/>
        <w:jc w:val="both"/>
      </w:pPr>
      <w:r>
        <w:rPr>
          <w:rFonts w:ascii="Arial" w:eastAsia="Arial" w:hAnsi="Arial" w:cs="Arial"/>
          <w:i/>
          <w:color w:val="222222"/>
        </w:rPr>
        <w:t>a) Análisis de la problemática y aproximación epidemiológica al consumo de drogas en Canarias.</w:t>
      </w:r>
    </w:p>
    <w:p w:rsidR="00E23B86" w:rsidRDefault="00BA7C13">
      <w:pPr>
        <w:numPr>
          <w:ilvl w:val="0"/>
          <w:numId w:val="77"/>
        </w:numPr>
        <w:spacing w:after="81" w:line="248" w:lineRule="auto"/>
        <w:ind w:right="14" w:hanging="360"/>
        <w:jc w:val="both"/>
      </w:pPr>
      <w:r>
        <w:rPr>
          <w:noProof/>
        </w:rPr>
        <mc:AlternateContent>
          <mc:Choice Requires="wpg">
            <w:drawing>
              <wp:anchor distT="0" distB="0" distL="114300" distR="114300" simplePos="0" relativeHeight="2518497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3422" name="Group 52342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531" name="Rectangle 3153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31532" name="Rectangle 3153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3422" style="width:12.7031pt;height:280.35pt;position:absolute;mso-position-horizontal-relative:page;mso-position-horizontal:absolute;margin-left:681.958pt;mso-position-vertical-relative:page;margin-top:531.65pt;" coordsize="1613,35604">
                <v:rect id="Rectangle 3153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53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185 de 391 </w:t>
                        </w:r>
                      </w:p>
                    </w:txbxContent>
                  </v:textbox>
                </v:rect>
                <w10:wrap type="square"/>
              </v:group>
            </w:pict>
          </mc:Fallback>
        </mc:AlternateContent>
      </w:r>
      <w:r>
        <w:rPr>
          <w:rFonts w:ascii="Arial" w:eastAsia="Arial" w:hAnsi="Arial" w:cs="Arial"/>
          <w:i/>
          <w:color w:val="222222"/>
        </w:rPr>
        <w:t>b) Objetivos generales y objetivos específicos por áreas de intervención.</w:t>
      </w:r>
    </w:p>
    <w:p w:rsidR="00E23B86" w:rsidRDefault="00BA7C13">
      <w:pPr>
        <w:numPr>
          <w:ilvl w:val="0"/>
          <w:numId w:val="77"/>
        </w:numPr>
        <w:spacing w:after="79" w:line="248" w:lineRule="auto"/>
        <w:ind w:right="14" w:hanging="360"/>
        <w:jc w:val="both"/>
      </w:pPr>
      <w:r>
        <w:rPr>
          <w:rFonts w:ascii="Arial" w:eastAsia="Arial" w:hAnsi="Arial" w:cs="Arial"/>
          <w:i/>
          <w:color w:val="222222"/>
        </w:rPr>
        <w:t>c) Criterios básicos de actuación.</w:t>
      </w:r>
    </w:p>
    <w:p w:rsidR="00E23B86" w:rsidRDefault="00BA7C13">
      <w:pPr>
        <w:numPr>
          <w:ilvl w:val="0"/>
          <w:numId w:val="77"/>
        </w:numPr>
        <w:spacing w:after="81" w:line="248" w:lineRule="auto"/>
        <w:ind w:right="14" w:hanging="360"/>
        <w:jc w:val="both"/>
      </w:pPr>
      <w:r>
        <w:rPr>
          <w:rFonts w:ascii="Arial" w:eastAsia="Arial" w:hAnsi="Arial" w:cs="Arial"/>
          <w:i/>
          <w:color w:val="222222"/>
        </w:rPr>
        <w:t>d) Programas de a</w:t>
      </w:r>
      <w:r>
        <w:rPr>
          <w:rFonts w:ascii="Arial" w:eastAsia="Arial" w:hAnsi="Arial" w:cs="Arial"/>
          <w:i/>
          <w:color w:val="222222"/>
        </w:rPr>
        <w:t>ctuaciones.</w:t>
      </w:r>
    </w:p>
    <w:p w:rsidR="00E23B86" w:rsidRDefault="00BA7C13">
      <w:pPr>
        <w:numPr>
          <w:ilvl w:val="0"/>
          <w:numId w:val="77"/>
        </w:numPr>
        <w:spacing w:after="96" w:line="248" w:lineRule="auto"/>
        <w:ind w:right="14" w:hanging="360"/>
        <w:jc w:val="both"/>
      </w:pPr>
      <w:r>
        <w:rPr>
          <w:rFonts w:ascii="Arial" w:eastAsia="Arial" w:hAnsi="Arial" w:cs="Arial"/>
          <w:i/>
          <w:color w:val="222222"/>
        </w:rPr>
        <w:t>e) Responsabilidades y funciones de las Administraciones Públicas, entidades privadas e instituciones.</w:t>
      </w:r>
    </w:p>
    <w:p w:rsidR="00E23B86" w:rsidRDefault="00BA7C13">
      <w:pPr>
        <w:numPr>
          <w:ilvl w:val="0"/>
          <w:numId w:val="77"/>
        </w:numPr>
        <w:spacing w:after="79" w:line="248" w:lineRule="auto"/>
        <w:ind w:right="14" w:hanging="360"/>
        <w:jc w:val="both"/>
      </w:pPr>
      <w:r>
        <w:rPr>
          <w:rFonts w:ascii="Arial" w:eastAsia="Arial" w:hAnsi="Arial" w:cs="Arial"/>
          <w:i/>
          <w:color w:val="222222"/>
        </w:rPr>
        <w:t>f) Descripción del circuito terapéutico y de los niveles de intervención.</w:t>
      </w:r>
    </w:p>
    <w:p w:rsidR="00E23B86" w:rsidRDefault="00BA7C13">
      <w:pPr>
        <w:numPr>
          <w:ilvl w:val="0"/>
          <w:numId w:val="77"/>
        </w:numPr>
        <w:spacing w:after="308" w:line="323" w:lineRule="auto"/>
        <w:ind w:right="14" w:hanging="360"/>
        <w:jc w:val="both"/>
      </w:pPr>
      <w:r>
        <w:rPr>
          <w:rFonts w:ascii="Arial" w:eastAsia="Arial" w:hAnsi="Arial" w:cs="Arial"/>
          <w:i/>
          <w:color w:val="222222"/>
        </w:rPr>
        <w:t xml:space="preserve">g) Recursos necesarios para alcanzar los objetivos del Plan. </w:t>
      </w:r>
      <w:r>
        <w:rPr>
          <w:rFonts w:ascii="Segoe UI Symbol" w:eastAsia="Segoe UI Symbol" w:hAnsi="Segoe UI Symbol" w:cs="Segoe UI Symbol"/>
          <w:sz w:val="20"/>
        </w:rPr>
        <w:t xml:space="preserve"> </w:t>
      </w:r>
      <w:r>
        <w:rPr>
          <w:rFonts w:ascii="Arial" w:eastAsia="Arial" w:hAnsi="Arial" w:cs="Arial"/>
          <w:i/>
          <w:color w:val="222222"/>
        </w:rPr>
        <w:t>h) M</w:t>
      </w:r>
      <w:r>
        <w:rPr>
          <w:rFonts w:ascii="Arial" w:eastAsia="Arial" w:hAnsi="Arial" w:cs="Arial"/>
          <w:i/>
          <w:color w:val="222222"/>
        </w:rPr>
        <w:t>ecanismos de evaluación.</w:t>
      </w:r>
    </w:p>
    <w:p w:rsidR="00E23B86" w:rsidRDefault="00BA7C13">
      <w:pPr>
        <w:spacing w:after="532" w:line="238" w:lineRule="auto"/>
        <w:ind w:left="362" w:right="546" w:hanging="10"/>
      </w:pPr>
      <w:r>
        <w:rPr>
          <w:rFonts w:ascii="Arial" w:eastAsia="Arial" w:hAnsi="Arial" w:cs="Arial"/>
          <w:i/>
          <w:color w:val="222222"/>
        </w:rPr>
        <w:t xml:space="preserve">2. </w:t>
      </w:r>
      <w:r>
        <w:rPr>
          <w:rFonts w:ascii="Arial" w:eastAsia="Arial" w:hAnsi="Arial" w:cs="Arial"/>
          <w:i/>
          <w:color w:val="222222"/>
        </w:rPr>
        <w:t>El Plan Canario sobre Drogas deberá precisar de forma cuantitativa y cualitativa, en la medida de las posibilidades técnicas y de la eficiencia, sus objetivos, prioridades y estrategias, de modo que pueda medirse su impacto y evaluar sus resultados.”</w:t>
      </w:r>
    </w:p>
    <w:p w:rsidR="00E23B86" w:rsidRDefault="00BA7C13">
      <w:pPr>
        <w:spacing w:after="144" w:line="251" w:lineRule="auto"/>
        <w:ind w:left="355" w:right="573" w:hanging="10"/>
        <w:jc w:val="both"/>
      </w:pPr>
      <w:r>
        <w:rPr>
          <w:rFonts w:ascii="Arial" w:eastAsia="Arial" w:hAnsi="Arial" w:cs="Arial"/>
          <w:i/>
        </w:rPr>
        <w:t>- Art</w:t>
      </w:r>
      <w:r>
        <w:rPr>
          <w:rFonts w:ascii="Arial" w:eastAsia="Arial" w:hAnsi="Arial" w:cs="Arial"/>
          <w:i/>
        </w:rPr>
        <w:t>ículo 34 Competencias de los municipios</w:t>
      </w:r>
    </w:p>
    <w:p w:rsidR="00E23B86" w:rsidRDefault="00BA7C13">
      <w:pPr>
        <w:spacing w:after="152" w:line="248" w:lineRule="auto"/>
        <w:ind w:left="352" w:right="14"/>
        <w:jc w:val="both"/>
      </w:pPr>
      <w:r>
        <w:rPr>
          <w:rFonts w:ascii="Arial" w:eastAsia="Arial" w:hAnsi="Arial" w:cs="Arial"/>
          <w:i/>
          <w:color w:val="222222"/>
        </w:rPr>
        <w:t>“1. Sin perjuicio de las demás competencias que el ordenamiento vigente les atribuye, corresponde a los municipios de Canarias en su ámbito territorial:</w:t>
      </w:r>
    </w:p>
    <w:p w:rsidR="00E23B86" w:rsidRDefault="00BA7C13">
      <w:pPr>
        <w:numPr>
          <w:ilvl w:val="0"/>
          <w:numId w:val="78"/>
        </w:numPr>
        <w:spacing w:after="96" w:line="248" w:lineRule="auto"/>
        <w:ind w:right="14" w:hanging="360"/>
        <w:jc w:val="both"/>
      </w:pPr>
      <w:r>
        <w:rPr>
          <w:rFonts w:ascii="Arial" w:eastAsia="Arial" w:hAnsi="Arial" w:cs="Arial"/>
          <w:i/>
          <w:color w:val="222222"/>
        </w:rPr>
        <w:t>a) El establecimiento de los criterios que regulan la localizac</w:t>
      </w:r>
      <w:r>
        <w:rPr>
          <w:rFonts w:ascii="Arial" w:eastAsia="Arial" w:hAnsi="Arial" w:cs="Arial"/>
          <w:i/>
          <w:color w:val="222222"/>
        </w:rPr>
        <w:t>ión, distancia y características que deberán reunir los establecimientos de suministro y venta de bebidas alcohólicas.</w:t>
      </w:r>
    </w:p>
    <w:p w:rsidR="00E23B86" w:rsidRDefault="00BA7C13">
      <w:pPr>
        <w:numPr>
          <w:ilvl w:val="0"/>
          <w:numId w:val="78"/>
        </w:numPr>
        <w:spacing w:after="3" w:line="248" w:lineRule="auto"/>
        <w:ind w:right="14" w:hanging="360"/>
        <w:jc w:val="both"/>
      </w:pPr>
      <w:r>
        <w:rPr>
          <w:rFonts w:ascii="Arial" w:eastAsia="Arial" w:hAnsi="Arial" w:cs="Arial"/>
          <w:i/>
          <w:color w:val="222222"/>
        </w:rPr>
        <w:t>b) El otorgamiento de la autorización de apertura a locales o lugares de suministro y venta de bebidas alcohólicas.</w:t>
      </w:r>
    </w:p>
    <w:p w:rsidR="00E23B86" w:rsidRDefault="00BA7C13">
      <w:pPr>
        <w:numPr>
          <w:ilvl w:val="0"/>
          <w:numId w:val="78"/>
        </w:numPr>
        <w:spacing w:after="93" w:line="248" w:lineRule="auto"/>
        <w:ind w:right="14" w:hanging="360"/>
        <w:jc w:val="both"/>
      </w:pPr>
      <w:r>
        <w:rPr>
          <w:rFonts w:ascii="Arial" w:eastAsia="Arial" w:hAnsi="Arial" w:cs="Arial"/>
          <w:i/>
          <w:color w:val="222222"/>
        </w:rPr>
        <w:t>c) Velar, en el marco</w:t>
      </w:r>
      <w:r>
        <w:rPr>
          <w:rFonts w:ascii="Arial" w:eastAsia="Arial" w:hAnsi="Arial" w:cs="Arial"/>
          <w:i/>
          <w:color w:val="222222"/>
        </w:rPr>
        <w:t xml:space="preserve"> de sus competencias, por el cumplimiento de las diferentes medidas de control que se establecen en el título III de esta ley.</w:t>
      </w:r>
    </w:p>
    <w:p w:rsidR="00E23B86" w:rsidRDefault="00BA7C13">
      <w:pPr>
        <w:numPr>
          <w:ilvl w:val="0"/>
          <w:numId w:val="78"/>
        </w:numPr>
        <w:spacing w:after="345" w:line="248" w:lineRule="auto"/>
        <w:ind w:right="14" w:hanging="360"/>
        <w:jc w:val="both"/>
      </w:pPr>
      <w:r>
        <w:rPr>
          <w:rFonts w:ascii="Arial" w:eastAsia="Arial" w:hAnsi="Arial" w:cs="Arial"/>
          <w:i/>
          <w:color w:val="222222"/>
        </w:rPr>
        <w:t>d) La colaboración con los sistemas educativo y sanitario en materia de educación para la salud.</w:t>
      </w:r>
    </w:p>
    <w:p w:rsidR="00E23B86" w:rsidRDefault="00BA7C13">
      <w:pPr>
        <w:spacing w:after="154" w:line="248" w:lineRule="auto"/>
        <w:ind w:left="352" w:right="14"/>
        <w:jc w:val="both"/>
      </w:pPr>
      <w:r>
        <w:rPr>
          <w:rFonts w:ascii="Arial" w:eastAsia="Arial" w:hAnsi="Arial" w:cs="Arial"/>
          <w:i/>
          <w:color w:val="222222"/>
        </w:rPr>
        <w:t>2. Además de las señaladas en el</w:t>
      </w:r>
      <w:r>
        <w:rPr>
          <w:rFonts w:ascii="Arial" w:eastAsia="Arial" w:hAnsi="Arial" w:cs="Arial"/>
          <w:i/>
          <w:color w:val="222222"/>
        </w:rPr>
        <w:t xml:space="preserve"> punto anterior, los municipios de más de 20.000 habitantes tienen las siguientes competencias y responsabilidades mínimas:</w:t>
      </w:r>
    </w:p>
    <w:p w:rsidR="00E23B86" w:rsidRDefault="00BA7C13">
      <w:pPr>
        <w:numPr>
          <w:ilvl w:val="0"/>
          <w:numId w:val="79"/>
        </w:numPr>
        <w:spacing w:after="94" w:line="248" w:lineRule="auto"/>
        <w:ind w:right="14" w:hanging="360"/>
        <w:jc w:val="both"/>
      </w:pPr>
      <w:r>
        <w:rPr>
          <w:rFonts w:ascii="Arial" w:eastAsia="Arial" w:hAnsi="Arial" w:cs="Arial"/>
          <w:i/>
          <w:color w:val="222222"/>
        </w:rPr>
        <w:t xml:space="preserve">a) </w:t>
      </w:r>
      <w:r>
        <w:rPr>
          <w:rFonts w:ascii="Arial" w:eastAsia="Arial" w:hAnsi="Arial" w:cs="Arial"/>
          <w:i/>
          <w:color w:val="222222"/>
        </w:rPr>
        <w:t>La aprobación de Planes Municipales sobre Drogas, elaborados en coordinación y de acuerdo con los criterios y directrices del Plan Canario sobre Drogas, que incluyan programas de prevención e integración social, así como de información, orientación y motiv</w:t>
      </w:r>
      <w:r>
        <w:rPr>
          <w:rFonts w:ascii="Arial" w:eastAsia="Arial" w:hAnsi="Arial" w:cs="Arial"/>
          <w:i/>
          <w:color w:val="222222"/>
        </w:rPr>
        <w:t>ación de drogodependientes a través de los centros de servicios sociales.</w:t>
      </w:r>
    </w:p>
    <w:p w:rsidR="00E23B86" w:rsidRDefault="00BA7C13">
      <w:pPr>
        <w:numPr>
          <w:ilvl w:val="0"/>
          <w:numId w:val="79"/>
        </w:numPr>
        <w:spacing w:after="93" w:line="248" w:lineRule="auto"/>
        <w:ind w:right="14" w:hanging="360"/>
        <w:jc w:val="both"/>
      </w:pPr>
      <w:r>
        <w:rPr>
          <w:rFonts w:ascii="Arial" w:eastAsia="Arial" w:hAnsi="Arial" w:cs="Arial"/>
          <w:i/>
          <w:color w:val="222222"/>
        </w:rPr>
        <w:t>b) La coordinación de los programas de prevención e integración social que se desarrollen exclusivamente en el ámbito de su municipio.</w:t>
      </w:r>
    </w:p>
    <w:p w:rsidR="00E23B86" w:rsidRDefault="00BA7C13">
      <w:pPr>
        <w:numPr>
          <w:ilvl w:val="0"/>
          <w:numId w:val="79"/>
        </w:numPr>
        <w:spacing w:after="93" w:line="248" w:lineRule="auto"/>
        <w:ind w:right="14" w:hanging="360"/>
        <w:jc w:val="both"/>
      </w:pPr>
      <w:r>
        <w:rPr>
          <w:rFonts w:ascii="Arial" w:eastAsia="Arial" w:hAnsi="Arial" w:cs="Arial"/>
          <w:i/>
          <w:color w:val="222222"/>
        </w:rPr>
        <w:t xml:space="preserve">c) El apoyo a las asociaciones y entidades que </w:t>
      </w:r>
      <w:r>
        <w:rPr>
          <w:rFonts w:ascii="Arial" w:eastAsia="Arial" w:hAnsi="Arial" w:cs="Arial"/>
          <w:i/>
          <w:color w:val="222222"/>
        </w:rPr>
        <w:t>en el municipio desarrollen actividades previstas en el Plan Canario sobre Drogas.</w:t>
      </w:r>
    </w:p>
    <w:p w:rsidR="00E23B86" w:rsidRDefault="00BA7C13">
      <w:pPr>
        <w:numPr>
          <w:ilvl w:val="0"/>
          <w:numId w:val="79"/>
        </w:numPr>
        <w:spacing w:after="81" w:line="248" w:lineRule="auto"/>
        <w:ind w:right="14" w:hanging="360"/>
        <w:jc w:val="both"/>
      </w:pPr>
      <w:r>
        <w:rPr>
          <w:rFonts w:ascii="Arial" w:eastAsia="Arial" w:hAnsi="Arial" w:cs="Arial"/>
          <w:i/>
          <w:color w:val="222222"/>
        </w:rPr>
        <w:t>d) La formación en materia de drogas del personal propio.</w:t>
      </w:r>
    </w:p>
    <w:p w:rsidR="00E23B86" w:rsidRDefault="00BA7C13">
      <w:pPr>
        <w:numPr>
          <w:ilvl w:val="0"/>
          <w:numId w:val="79"/>
        </w:numPr>
        <w:spacing w:after="3" w:line="248" w:lineRule="auto"/>
        <w:ind w:right="14" w:hanging="360"/>
        <w:jc w:val="both"/>
      </w:pPr>
      <w:r>
        <w:rPr>
          <w:rFonts w:ascii="Arial" w:eastAsia="Arial" w:hAnsi="Arial" w:cs="Arial"/>
          <w:i/>
          <w:color w:val="222222"/>
        </w:rPr>
        <w:t>e) La promoción de la participación social en esta materia en su ámbito territorial.”</w:t>
      </w:r>
    </w:p>
    <w:p w:rsidR="00E23B86" w:rsidRDefault="00BA7C13">
      <w:pPr>
        <w:spacing w:after="99"/>
        <w:ind w:left="352"/>
      </w:pPr>
      <w:r>
        <w:rPr>
          <w:rFonts w:ascii="Arial" w:eastAsia="Arial" w:hAnsi="Arial" w:cs="Arial"/>
          <w:i/>
        </w:rPr>
        <w:t xml:space="preserve"> </w:t>
      </w:r>
    </w:p>
    <w:p w:rsidR="00E23B86" w:rsidRDefault="00BA7C13">
      <w:pPr>
        <w:spacing w:after="8" w:line="251" w:lineRule="auto"/>
        <w:ind w:left="355" w:right="573" w:hanging="10"/>
        <w:jc w:val="both"/>
      </w:pPr>
      <w:r>
        <w:rPr>
          <w:rFonts w:ascii="Arial" w:eastAsia="Arial" w:hAnsi="Arial" w:cs="Arial"/>
          <w:i/>
        </w:rPr>
        <w:t>Orden de 20 de mayo de 2011</w:t>
      </w:r>
      <w:r>
        <w:rPr>
          <w:rFonts w:ascii="Arial" w:eastAsia="Arial" w:hAnsi="Arial" w:cs="Arial"/>
          <w:i/>
        </w:rPr>
        <w:t>, por la que se dispone la publicación del III Plan</w:t>
      </w:r>
    </w:p>
    <w:p w:rsidR="00E23B86" w:rsidRDefault="00BA7C13">
      <w:pPr>
        <w:spacing w:after="480" w:line="251" w:lineRule="auto"/>
        <w:ind w:left="355" w:right="573" w:hanging="10"/>
        <w:jc w:val="both"/>
      </w:pPr>
      <w:r>
        <w:rPr>
          <w:noProof/>
        </w:rPr>
        <mc:AlternateContent>
          <mc:Choice Requires="wpg">
            <w:drawing>
              <wp:anchor distT="0" distB="0" distL="114300" distR="114300" simplePos="0" relativeHeight="2518507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4215" name="Group 52421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624" name="Rectangle 3162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1625" name="Rectangle 3162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4215" style="width:12.7031pt;height:280.35pt;position:absolute;mso-position-horizontal-relative:page;mso-position-horizontal:absolute;margin-left:681.958pt;mso-position-vertical-relative:page;margin-top:531.65pt;" coordsize="1613,35604">
                <v:rect id="Rectangle 3162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62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186 de 391 </w:t>
                        </w:r>
                      </w:p>
                    </w:txbxContent>
                  </v:textbox>
                </v:rect>
                <w10:wrap type="square"/>
              </v:group>
            </w:pict>
          </mc:Fallback>
        </mc:AlternateContent>
      </w:r>
      <w:r>
        <w:rPr>
          <w:rFonts w:ascii="Arial" w:eastAsia="Arial" w:hAnsi="Arial" w:cs="Arial"/>
          <w:i/>
        </w:rPr>
        <w:t>Canario sobre Drogas (2010-2017)</w:t>
      </w:r>
    </w:p>
    <w:p w:rsidR="00E23B86" w:rsidRDefault="00BA7C13">
      <w:pPr>
        <w:spacing w:after="111" w:line="249" w:lineRule="auto"/>
        <w:ind w:left="336" w:right="589" w:hanging="10"/>
        <w:jc w:val="center"/>
      </w:pPr>
      <w:r>
        <w:rPr>
          <w:rFonts w:ascii="Arial" w:eastAsia="Arial" w:hAnsi="Arial" w:cs="Arial"/>
          <w:i/>
        </w:rPr>
        <w:t xml:space="preserve">PROPUESTA DE RESOLUCIÓN </w:t>
      </w:r>
    </w:p>
    <w:p w:rsidR="00E23B86" w:rsidRDefault="00BA7C13">
      <w:pPr>
        <w:spacing w:after="483" w:line="251" w:lineRule="auto"/>
        <w:ind w:left="345" w:right="573" w:firstLine="360"/>
        <w:jc w:val="both"/>
      </w:pPr>
      <w:r>
        <w:rPr>
          <w:rFonts w:ascii="Arial" w:eastAsia="Arial" w:hAnsi="Arial" w:cs="Arial"/>
          <w:i/>
        </w:rPr>
        <w:t>Primero.- La aprobación inicial del “IV Plan Municipal de Prevención de Adicciones 2019-2023” transcrito a continuación:</w:t>
      </w:r>
    </w:p>
    <w:p w:rsidR="00E23B86" w:rsidRDefault="00BA7C13">
      <w:pPr>
        <w:spacing w:after="111" w:line="249" w:lineRule="auto"/>
        <w:ind w:left="336" w:right="551" w:hanging="10"/>
        <w:jc w:val="center"/>
      </w:pPr>
      <w:r>
        <w:rPr>
          <w:rFonts w:ascii="Arial" w:eastAsia="Arial" w:hAnsi="Arial" w:cs="Arial"/>
          <w:i/>
        </w:rPr>
        <w:t>“IV Plan Municipal de Prevención de Adicciones (2019-2023) del municipio de l</w:t>
      </w:r>
      <w:r>
        <w:rPr>
          <w:rFonts w:ascii="Arial" w:eastAsia="Arial" w:hAnsi="Arial" w:cs="Arial"/>
          <w:i/>
        </w:rPr>
        <w:t>a Villa de Candelaria</w:t>
      </w:r>
    </w:p>
    <w:p w:rsidR="00E23B86" w:rsidRDefault="00BA7C13">
      <w:pPr>
        <w:spacing w:after="182" w:line="251" w:lineRule="auto"/>
        <w:ind w:left="355" w:right="573" w:hanging="10"/>
        <w:jc w:val="both"/>
      </w:pPr>
      <w:r>
        <w:rPr>
          <w:rFonts w:ascii="Arial" w:eastAsia="Arial" w:hAnsi="Arial" w:cs="Arial"/>
          <w:i/>
          <w:u w:val="single" w:color="000000"/>
        </w:rPr>
        <w:t xml:space="preserve">Equipo Técnico Municipal </w:t>
      </w:r>
      <w:r>
        <w:rPr>
          <w:rFonts w:ascii="Segoe UI Symbol" w:eastAsia="Segoe UI Symbol" w:hAnsi="Segoe UI Symbol" w:cs="Segoe UI Symbol"/>
          <w:sz w:val="24"/>
        </w:rPr>
        <w:t xml:space="preserve"> </w:t>
      </w:r>
      <w:r>
        <w:rPr>
          <w:rFonts w:ascii="Arial" w:eastAsia="Arial" w:hAnsi="Arial" w:cs="Arial"/>
          <w:i/>
        </w:rPr>
        <w:t>Jessica Castillo Betancor. Trabajadora Social del Ayuntamiento de Candelaria. Especialista en Elaboración de Planes de Prevención de Drogodependencias y Adicciones.</w:t>
      </w:r>
    </w:p>
    <w:p w:rsidR="00E23B86" w:rsidRDefault="00BA7C13">
      <w:pPr>
        <w:numPr>
          <w:ilvl w:val="0"/>
          <w:numId w:val="80"/>
        </w:numPr>
        <w:spacing w:after="186" w:line="251" w:lineRule="auto"/>
        <w:ind w:right="573" w:hanging="360"/>
        <w:jc w:val="both"/>
      </w:pPr>
      <w:r>
        <w:rPr>
          <w:rFonts w:ascii="Arial" w:eastAsia="Arial" w:hAnsi="Arial" w:cs="Arial"/>
          <w:i/>
        </w:rPr>
        <w:t>Mª Begoña Rodríguez Pérez. Pedagoga del Ayuntamiento de Candelaria. Agente de Desarrollo (Diseño de Proyectos y Elaboración de Planes de Intervención).</w:t>
      </w:r>
    </w:p>
    <w:p w:rsidR="00E23B86" w:rsidRDefault="00BA7C13">
      <w:pPr>
        <w:numPr>
          <w:ilvl w:val="0"/>
          <w:numId w:val="80"/>
        </w:numPr>
        <w:spacing w:after="522" w:line="251" w:lineRule="auto"/>
        <w:ind w:right="573" w:hanging="360"/>
        <w:jc w:val="both"/>
      </w:pPr>
      <w:r>
        <w:rPr>
          <w:rFonts w:ascii="Arial" w:eastAsia="Arial" w:hAnsi="Arial" w:cs="Arial"/>
          <w:i/>
        </w:rPr>
        <w:t>Mª del Carmen Padilla García. Trabajadora Social del Ayuntamiento de Candelaria. Máster Universitario en</w:t>
      </w:r>
      <w:r>
        <w:rPr>
          <w:rFonts w:ascii="Arial" w:eastAsia="Arial" w:hAnsi="Arial" w:cs="Arial"/>
          <w:i/>
        </w:rPr>
        <w:t xml:space="preserve"> Intervención Familiar.</w:t>
      </w:r>
    </w:p>
    <w:p w:rsidR="00E23B86" w:rsidRDefault="00BA7C13">
      <w:pPr>
        <w:spacing w:after="146" w:line="249" w:lineRule="auto"/>
        <w:ind w:left="347" w:hanging="10"/>
      </w:pPr>
      <w:r>
        <w:rPr>
          <w:rFonts w:ascii="Arial" w:eastAsia="Arial" w:hAnsi="Arial" w:cs="Arial"/>
          <w:i/>
          <w:u w:val="single" w:color="000000"/>
        </w:rPr>
        <w:t>Equipo Técnico Externo:</w:t>
      </w:r>
    </w:p>
    <w:p w:rsidR="00E23B86" w:rsidRDefault="00BA7C13">
      <w:pPr>
        <w:numPr>
          <w:ilvl w:val="0"/>
          <w:numId w:val="80"/>
        </w:numPr>
        <w:spacing w:after="111" w:line="251" w:lineRule="auto"/>
        <w:ind w:right="573" w:hanging="360"/>
        <w:jc w:val="both"/>
      </w:pPr>
      <w:r>
        <w:rPr>
          <w:rFonts w:ascii="Arial" w:eastAsia="Arial" w:hAnsi="Arial" w:cs="Arial"/>
          <w:i/>
        </w:rPr>
        <w:t>Josué Gutiérrez Barroso. Profesor del Departamento de Sociología y Antropología de la Universidad de La Laguna. Especialista en análisis de datos.</w:t>
      </w:r>
    </w:p>
    <w:p w:rsidR="00E23B86" w:rsidRDefault="00BA7C13">
      <w:pPr>
        <w:numPr>
          <w:ilvl w:val="0"/>
          <w:numId w:val="80"/>
        </w:numPr>
        <w:spacing w:after="258" w:line="251" w:lineRule="auto"/>
        <w:ind w:right="573" w:hanging="360"/>
        <w:jc w:val="both"/>
      </w:pPr>
      <w:r>
        <w:rPr>
          <w:rFonts w:ascii="Arial" w:eastAsia="Arial" w:hAnsi="Arial" w:cs="Arial"/>
          <w:i/>
        </w:rPr>
        <w:t>Juan Manuel Herrera Hernández. Profesor de la Facultad de Ciencias Sociales de la Comunicación. Departamento de Ciencias de la Comunicación y Trabajo Social. Experto/Máster en Drogodependencias e Intervención Familiar. Diplomado en Sanidad.</w:t>
      </w:r>
    </w:p>
    <w:p w:rsidR="00E23B86" w:rsidRDefault="00BA7C13">
      <w:pPr>
        <w:numPr>
          <w:ilvl w:val="0"/>
          <w:numId w:val="80"/>
        </w:numPr>
        <w:spacing w:after="259" w:line="251" w:lineRule="auto"/>
        <w:ind w:right="573" w:hanging="360"/>
        <w:jc w:val="both"/>
      </w:pPr>
      <w:r>
        <w:rPr>
          <w:rFonts w:ascii="Arial" w:eastAsia="Arial" w:hAnsi="Arial" w:cs="Arial"/>
          <w:i/>
        </w:rPr>
        <w:t xml:space="preserve">Esther Torrado </w:t>
      </w:r>
      <w:r>
        <w:rPr>
          <w:rFonts w:ascii="Arial" w:eastAsia="Arial" w:hAnsi="Arial" w:cs="Arial"/>
          <w:i/>
        </w:rPr>
        <w:t>Martín-Palomino. Profesora del Departamento de Sociología y Antropología de la Universidad de La Laguna. Miembra del Instituto Universitario de Estudios de Mujeres (IUEM)</w:t>
      </w:r>
    </w:p>
    <w:p w:rsidR="00E23B86" w:rsidRDefault="00BA7C13">
      <w:pPr>
        <w:numPr>
          <w:ilvl w:val="0"/>
          <w:numId w:val="80"/>
        </w:numPr>
        <w:spacing w:after="221" w:line="251" w:lineRule="auto"/>
        <w:ind w:right="573" w:hanging="360"/>
        <w:jc w:val="both"/>
      </w:pPr>
      <w:r>
        <w:rPr>
          <w:rFonts w:ascii="Arial" w:eastAsia="Arial" w:hAnsi="Arial" w:cs="Arial"/>
          <w:i/>
        </w:rPr>
        <w:t>Saray Suárez Perera. Trabajadora Social. Especialista en Elaboración de Planes de Pre</w:t>
      </w:r>
      <w:r>
        <w:rPr>
          <w:rFonts w:ascii="Arial" w:eastAsia="Arial" w:hAnsi="Arial" w:cs="Arial"/>
          <w:i/>
        </w:rPr>
        <w:t>vención de Drogodependencias y Adicciones.</w:t>
      </w:r>
    </w:p>
    <w:p w:rsidR="00E23B86" w:rsidRDefault="00BA7C13">
      <w:pPr>
        <w:spacing w:after="186" w:line="249" w:lineRule="auto"/>
        <w:ind w:left="347" w:hanging="10"/>
      </w:pPr>
      <w:r>
        <w:rPr>
          <w:rFonts w:ascii="Arial" w:eastAsia="Arial" w:hAnsi="Arial" w:cs="Arial"/>
          <w:i/>
          <w:u w:val="single" w:color="000000"/>
        </w:rPr>
        <w:t xml:space="preserve">Colaboradores/as  </w:t>
      </w:r>
    </w:p>
    <w:p w:rsidR="00E23B86" w:rsidRDefault="00BA7C13">
      <w:pPr>
        <w:numPr>
          <w:ilvl w:val="0"/>
          <w:numId w:val="80"/>
        </w:numPr>
        <w:spacing w:after="199" w:line="250" w:lineRule="auto"/>
        <w:ind w:right="573" w:hanging="360"/>
        <w:jc w:val="both"/>
      </w:pPr>
      <w:r>
        <w:rPr>
          <w:rFonts w:ascii="Arial" w:eastAsia="Arial" w:hAnsi="Arial" w:cs="Arial"/>
          <w:i/>
        </w:rPr>
        <w:t>Equipo Municipal Especializado en la Atención de Infancia y Familia del Iltre. Ayuntamiento de Candelaria. Concejalía de Servicios Sociales, Igualdad y Sanidad:  Mª de la Sierra Rivera Ruz, Fáti</w:t>
      </w:r>
      <w:r>
        <w:rPr>
          <w:rFonts w:ascii="Arial" w:eastAsia="Arial" w:hAnsi="Arial" w:cs="Arial"/>
          <w:i/>
        </w:rPr>
        <w:t xml:space="preserve">ma León Rodríguez, Alicia Pérez Gómez.  </w:t>
      </w:r>
    </w:p>
    <w:p w:rsidR="00E23B86" w:rsidRDefault="00BA7C13">
      <w:pPr>
        <w:numPr>
          <w:ilvl w:val="0"/>
          <w:numId w:val="80"/>
        </w:numPr>
        <w:spacing w:after="166" w:line="251" w:lineRule="auto"/>
        <w:ind w:right="573" w:hanging="360"/>
        <w:jc w:val="both"/>
      </w:pPr>
      <w:r>
        <w:rPr>
          <w:rFonts w:ascii="Arial" w:eastAsia="Arial" w:hAnsi="Arial" w:cs="Arial"/>
          <w:i/>
        </w:rPr>
        <w:t>C.E.I.P. Igueste; Rosa Mª Ortiz González (Directora).</w:t>
      </w:r>
    </w:p>
    <w:p w:rsidR="00E23B86" w:rsidRDefault="00BA7C13">
      <w:pPr>
        <w:numPr>
          <w:ilvl w:val="0"/>
          <w:numId w:val="80"/>
        </w:numPr>
        <w:spacing w:after="239" w:line="251" w:lineRule="auto"/>
        <w:ind w:right="573" w:hanging="360"/>
        <w:jc w:val="both"/>
      </w:pPr>
      <w:r>
        <w:rPr>
          <w:rFonts w:ascii="Arial" w:eastAsia="Arial" w:hAnsi="Arial" w:cs="Arial"/>
          <w:i/>
        </w:rPr>
        <w:t>C.E.I.P. Punta Larga; Cristina Álvarez Álvarez (Directora), Airam Reyes León (Vicedirector), Victoria José Sánchez García (Jefa de estudios).</w:t>
      </w:r>
    </w:p>
    <w:p w:rsidR="00E23B86" w:rsidRDefault="00BA7C13">
      <w:pPr>
        <w:numPr>
          <w:ilvl w:val="0"/>
          <w:numId w:val="80"/>
        </w:numPr>
        <w:spacing w:after="186" w:line="251" w:lineRule="auto"/>
        <w:ind w:right="573" w:hanging="360"/>
        <w:jc w:val="both"/>
      </w:pPr>
      <w:r>
        <w:rPr>
          <w:rFonts w:ascii="Arial" w:eastAsia="Arial" w:hAnsi="Arial" w:cs="Arial"/>
          <w:i/>
        </w:rPr>
        <w:t>C.E.I.P. Príncipe F</w:t>
      </w:r>
      <w:r>
        <w:rPr>
          <w:rFonts w:ascii="Arial" w:eastAsia="Arial" w:hAnsi="Arial" w:cs="Arial"/>
          <w:i/>
        </w:rPr>
        <w:t>elipe Mª Ángeles Valls Santamaría (Directora).</w:t>
      </w:r>
    </w:p>
    <w:p w:rsidR="00E23B86" w:rsidRDefault="00BA7C13">
      <w:pPr>
        <w:numPr>
          <w:ilvl w:val="0"/>
          <w:numId w:val="80"/>
        </w:numPr>
        <w:spacing w:after="148" w:line="251" w:lineRule="auto"/>
        <w:ind w:right="573" w:hanging="360"/>
        <w:jc w:val="both"/>
      </w:pPr>
      <w:r>
        <w:rPr>
          <w:noProof/>
        </w:rPr>
        <mc:AlternateContent>
          <mc:Choice Requires="wpg">
            <w:drawing>
              <wp:anchor distT="0" distB="0" distL="114300" distR="114300" simplePos="0" relativeHeight="2518517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4607" name="Group 52460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692" name="Rectangle 3169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1693" name="Rectangle 3169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4607" style="width:12.7031pt;height:280.35pt;position:absolute;mso-position-horizontal-relative:page;mso-position-horizontal:absolute;margin-left:681.958pt;mso-position-vertical-relative:page;margin-top:531.65pt;" coordsize="1613,35604">
                <v:rect id="Rectangle 3169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69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187 de 391 </w:t>
                        </w:r>
                      </w:p>
                    </w:txbxContent>
                  </v:textbox>
                </v:rect>
                <w10:wrap type="square"/>
              </v:group>
            </w:pict>
          </mc:Fallback>
        </mc:AlternateContent>
      </w:r>
      <w:r>
        <w:rPr>
          <w:rFonts w:ascii="Arial" w:eastAsia="Arial" w:hAnsi="Arial" w:cs="Arial"/>
          <w:i/>
        </w:rPr>
        <w:t>C.E.I.P. Álvarez de la Rosa Rocío Díaz Bacallado (Directora).</w:t>
      </w:r>
    </w:p>
    <w:p w:rsidR="00E23B86" w:rsidRDefault="00BA7C13">
      <w:pPr>
        <w:numPr>
          <w:ilvl w:val="0"/>
          <w:numId w:val="80"/>
        </w:numPr>
        <w:spacing w:after="166" w:line="251" w:lineRule="auto"/>
        <w:ind w:right="573" w:hanging="360"/>
        <w:jc w:val="both"/>
      </w:pPr>
      <w:r>
        <w:rPr>
          <w:rFonts w:ascii="Arial" w:eastAsia="Arial" w:hAnsi="Arial" w:cs="Arial"/>
          <w:i/>
        </w:rPr>
        <w:t xml:space="preserve">I.E.S. Punta Larga; Rafael González Pérez (Director).  </w:t>
      </w:r>
    </w:p>
    <w:p w:rsidR="00E23B86" w:rsidRDefault="00BA7C13">
      <w:pPr>
        <w:numPr>
          <w:ilvl w:val="0"/>
          <w:numId w:val="80"/>
        </w:numPr>
        <w:spacing w:after="462" w:line="251" w:lineRule="auto"/>
        <w:ind w:right="573" w:hanging="360"/>
        <w:jc w:val="both"/>
      </w:pPr>
      <w:r>
        <w:rPr>
          <w:rFonts w:ascii="Arial" w:eastAsia="Arial" w:hAnsi="Arial" w:cs="Arial"/>
          <w:i/>
        </w:rPr>
        <w:t xml:space="preserve">Grupo  Político: Si se puede; Mª del Carmen González. </w:t>
      </w:r>
    </w:p>
    <w:p w:rsidR="00E23B86" w:rsidRDefault="00BA7C13">
      <w:pPr>
        <w:spacing w:after="111" w:line="251" w:lineRule="auto"/>
        <w:ind w:left="355" w:right="573" w:hanging="10"/>
        <w:jc w:val="both"/>
      </w:pPr>
      <w:r>
        <w:rPr>
          <w:rFonts w:ascii="Arial" w:eastAsia="Arial" w:hAnsi="Arial" w:cs="Arial"/>
          <w:i/>
        </w:rPr>
        <w:t xml:space="preserve">Saludo de la Alcaldesa </w:t>
      </w:r>
    </w:p>
    <w:p w:rsidR="00E23B86" w:rsidRDefault="00BA7C13">
      <w:pPr>
        <w:spacing w:after="142" w:line="251" w:lineRule="auto"/>
        <w:ind w:left="345" w:right="573" w:firstLine="708"/>
        <w:jc w:val="both"/>
      </w:pPr>
      <w:r>
        <w:rPr>
          <w:rFonts w:ascii="Arial" w:eastAsia="Arial" w:hAnsi="Arial" w:cs="Arial"/>
          <w:i/>
        </w:rPr>
        <w:t>Como representante de la Corporación Local me complace pres</w:t>
      </w:r>
      <w:r>
        <w:rPr>
          <w:rFonts w:ascii="Arial" w:eastAsia="Arial" w:hAnsi="Arial" w:cs="Arial"/>
          <w:i/>
        </w:rPr>
        <w:t>entar el IV Plan Municipal de Prevención de Adicciones (2019-2023) del municipio de Candelaria. Este documento define las acciones de política social que se llevarán a cabo en los próximos años en nuestro municipio.</w:t>
      </w:r>
    </w:p>
    <w:p w:rsidR="00E23B86" w:rsidRDefault="00BA7C13">
      <w:pPr>
        <w:spacing w:after="111" w:line="251" w:lineRule="auto"/>
        <w:ind w:left="345" w:right="573" w:firstLine="708"/>
        <w:jc w:val="both"/>
      </w:pPr>
      <w:r>
        <w:rPr>
          <w:rFonts w:ascii="Arial" w:eastAsia="Arial" w:hAnsi="Arial" w:cs="Arial"/>
          <w:i/>
        </w:rPr>
        <w:t xml:space="preserve">En este IV Plan Municipal se cumple con </w:t>
      </w:r>
      <w:r>
        <w:rPr>
          <w:rFonts w:ascii="Arial" w:eastAsia="Arial" w:hAnsi="Arial" w:cs="Arial"/>
          <w:i/>
        </w:rPr>
        <w:t>las obligaciones que establece la Ley 9/1998, de 22 de julio, sobre prevención, asistencia, e inserción social en materia de drogodependencias de la Comunidad Canaria, que define la competencia municipal a dos niveles: la prevención y sensibilización en la</w:t>
      </w:r>
      <w:r>
        <w:rPr>
          <w:rFonts w:ascii="Arial" w:eastAsia="Arial" w:hAnsi="Arial" w:cs="Arial"/>
          <w:i/>
        </w:rPr>
        <w:t xml:space="preserve"> comunidad, y apoyar en los procesos de incorporación social a personas con problemas de drogodependencias. </w:t>
      </w:r>
    </w:p>
    <w:p w:rsidR="00E23B86" w:rsidRDefault="00BA7C13">
      <w:pPr>
        <w:spacing w:after="142" w:line="251" w:lineRule="auto"/>
        <w:ind w:left="345" w:right="573" w:firstLine="708"/>
        <w:jc w:val="both"/>
      </w:pPr>
      <w:r>
        <w:rPr>
          <w:rFonts w:ascii="Arial" w:eastAsia="Arial" w:hAnsi="Arial" w:cs="Arial"/>
          <w:i/>
        </w:rPr>
        <w:t xml:space="preserve">Es significativo que desde el año 2003, se elaborara y aprobara el primer Plan Municipal de Prevención de Drogodependencias y actualmente con este </w:t>
      </w:r>
      <w:r>
        <w:rPr>
          <w:rFonts w:ascii="Arial" w:eastAsia="Arial" w:hAnsi="Arial" w:cs="Arial"/>
          <w:i/>
        </w:rPr>
        <w:t>IV Plan, continuemos con el compromiso de garantizar a la ciudadanía medidas y acciones específicas dirigidas a la promoción de la salud y hábitos saludables en la población y la prevención de las adicciones.</w:t>
      </w:r>
    </w:p>
    <w:p w:rsidR="00E23B86" w:rsidRDefault="00BA7C13">
      <w:pPr>
        <w:spacing w:after="142" w:line="251" w:lineRule="auto"/>
        <w:ind w:left="345" w:right="573" w:firstLine="708"/>
        <w:jc w:val="both"/>
      </w:pPr>
      <w:r>
        <w:rPr>
          <w:rFonts w:ascii="Arial" w:eastAsia="Arial" w:hAnsi="Arial" w:cs="Arial"/>
          <w:i/>
        </w:rPr>
        <w:t>Lograr mejoras en la calidad de la vida municip</w:t>
      </w:r>
      <w:r>
        <w:rPr>
          <w:rFonts w:ascii="Arial" w:eastAsia="Arial" w:hAnsi="Arial" w:cs="Arial"/>
          <w:i/>
        </w:rPr>
        <w:t>al a través de la prevención, conlleva un esfuerzo de todos/as los/as agentes sociales municipales y la implicación de los recursos de la comunidad.  Desde esta corporación que presido, asumimos el compromiso político de apoyar el proceso de implementación</w:t>
      </w:r>
      <w:r>
        <w:rPr>
          <w:rFonts w:ascii="Arial" w:eastAsia="Arial" w:hAnsi="Arial" w:cs="Arial"/>
          <w:i/>
        </w:rPr>
        <w:t xml:space="preserve"> y ejecución del IV Plan para que se logren los objetivos marcados y los resultados esperados.</w:t>
      </w:r>
    </w:p>
    <w:p w:rsidR="00E23B86" w:rsidRDefault="00BA7C13">
      <w:pPr>
        <w:spacing w:after="142" w:line="251" w:lineRule="auto"/>
        <w:ind w:left="345" w:right="573" w:firstLine="708"/>
        <w:jc w:val="both"/>
      </w:pPr>
      <w:r>
        <w:rPr>
          <w:rFonts w:ascii="Arial" w:eastAsia="Arial" w:hAnsi="Arial" w:cs="Arial"/>
          <w:i/>
        </w:rPr>
        <w:t>Deseamos que las medidas y acciones previstas incrementen los factores de protección dentro del municipio, contribuyan a la mejora de la calidad de vida comunitaria y reduzcan los factores de riesgo existentes.</w:t>
      </w:r>
    </w:p>
    <w:p w:rsidR="00E23B86" w:rsidRDefault="00BA7C13">
      <w:pPr>
        <w:spacing w:after="142" w:line="251" w:lineRule="auto"/>
        <w:ind w:left="345" w:right="573" w:firstLine="708"/>
        <w:jc w:val="both"/>
      </w:pPr>
      <w:r>
        <w:rPr>
          <w:rFonts w:ascii="Arial" w:eastAsia="Arial" w:hAnsi="Arial" w:cs="Arial"/>
          <w:i/>
        </w:rPr>
        <w:t>Las acciones y medidas que se contemplan en e</w:t>
      </w:r>
      <w:r>
        <w:rPr>
          <w:rFonts w:ascii="Arial" w:eastAsia="Arial" w:hAnsi="Arial" w:cs="Arial"/>
          <w:i/>
        </w:rPr>
        <w:t>sta planificación no tienen sentido alguno, sin la implicación y participación de la ciudadanía como parte activa del municipio. Es la ciudadanía la verdadera protagonista de la vida comunitaria y por ello, debe ser responsable del cuidado de su salud, est</w:t>
      </w:r>
      <w:r>
        <w:rPr>
          <w:rFonts w:ascii="Arial" w:eastAsia="Arial" w:hAnsi="Arial" w:cs="Arial"/>
          <w:i/>
        </w:rPr>
        <w:t xml:space="preserve">ilo de vida, etc., con todos los apoyos y recursos existentes en la comunidad y concretamente de ésta Corporación Local. </w:t>
      </w:r>
    </w:p>
    <w:p w:rsidR="00E23B86" w:rsidRDefault="00BA7C13">
      <w:pPr>
        <w:spacing w:after="144" w:line="251" w:lineRule="auto"/>
        <w:ind w:left="355" w:right="573" w:hanging="10"/>
        <w:jc w:val="both"/>
      </w:pPr>
      <w:r>
        <w:rPr>
          <w:rFonts w:ascii="Arial" w:eastAsia="Arial" w:hAnsi="Arial" w:cs="Arial"/>
          <w:i/>
        </w:rPr>
        <w:t>La Alcaldesa,</w:t>
      </w:r>
    </w:p>
    <w:p w:rsidR="00E23B86" w:rsidRDefault="00BA7C13">
      <w:pPr>
        <w:spacing w:after="554" w:line="251" w:lineRule="auto"/>
        <w:ind w:left="355" w:right="573" w:hanging="10"/>
        <w:jc w:val="both"/>
      </w:pPr>
      <w:r>
        <w:rPr>
          <w:rFonts w:ascii="Arial" w:eastAsia="Arial" w:hAnsi="Arial" w:cs="Arial"/>
          <w:i/>
        </w:rPr>
        <w:t>Dña. Mª Concepción Brito Núñez</w:t>
      </w:r>
    </w:p>
    <w:p w:rsidR="00E23B86" w:rsidRDefault="00BA7C13">
      <w:pPr>
        <w:spacing w:after="144" w:line="251" w:lineRule="auto"/>
        <w:ind w:left="355" w:right="573" w:hanging="10"/>
        <w:jc w:val="both"/>
      </w:pPr>
      <w:r>
        <w:rPr>
          <w:rFonts w:ascii="Arial" w:eastAsia="Arial" w:hAnsi="Arial" w:cs="Arial"/>
          <w:i/>
        </w:rPr>
        <w:t xml:space="preserve">Saludo de la Concejala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528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4796" name="Group 52479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759" name="Rectangle 3175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w:t>
                              </w:r>
                              <w:r>
                                <w:rPr>
                                  <w:rFonts w:ascii="Arial" w:eastAsia="Arial" w:hAnsi="Arial" w:cs="Arial"/>
                                  <w:sz w:val="12"/>
                                </w:rPr>
                                <w:t xml:space="preserve">tps://candelaria.sedelectronica.es/ </w:t>
                              </w:r>
                            </w:p>
                          </w:txbxContent>
                        </wps:txbx>
                        <wps:bodyPr horzOverflow="overflow" vert="horz" lIns="0" tIns="0" rIns="0" bIns="0" rtlCol="0">
                          <a:noAutofit/>
                        </wps:bodyPr>
                      </wps:wsp>
                      <wps:wsp>
                        <wps:cNvPr id="31760" name="Rectangle 3176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4796" style="width:12.7031pt;height:280.35pt;position:absolute;mso-position-horizontal-relative:page;mso-position-horizontal:absolute;margin-left:681.958pt;mso-position-vertical-relative:page;margin-top:531.65pt;" coordsize="1613,35604">
                <v:rect id="Rectangle 3175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76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188 de 391 </w:t>
                        </w:r>
                      </w:p>
                    </w:txbxContent>
                  </v:textbox>
                </v:rect>
                <w10:wrap type="square"/>
              </v:group>
            </w:pict>
          </mc:Fallback>
        </mc:AlternateContent>
      </w:r>
      <w:r>
        <w:rPr>
          <w:rFonts w:ascii="Arial" w:eastAsia="Arial" w:hAnsi="Arial" w:cs="Arial"/>
          <w:i/>
        </w:rPr>
        <w:t>El IV Plan Municipal de Prevención de Adicciones (2019-2023) del municipio de Candelaria, es el documento marco donde se c</w:t>
      </w:r>
      <w:r>
        <w:rPr>
          <w:rFonts w:ascii="Arial" w:eastAsia="Arial" w:hAnsi="Arial" w:cs="Arial"/>
          <w:i/>
        </w:rPr>
        <w:t>oncretan las medidas y acciones para los próximos años en materia de promoción de la salud y prevención de las drogodependencias y otras adicciones.</w:t>
      </w:r>
    </w:p>
    <w:p w:rsidR="00E23B86" w:rsidRDefault="00BA7C13">
      <w:pPr>
        <w:spacing w:after="111" w:line="251" w:lineRule="auto"/>
        <w:ind w:left="355" w:right="573" w:hanging="10"/>
        <w:jc w:val="both"/>
      </w:pPr>
      <w:r>
        <w:rPr>
          <w:rFonts w:ascii="Arial" w:eastAsia="Arial" w:hAnsi="Arial" w:cs="Arial"/>
          <w:i/>
        </w:rPr>
        <w:t>Como responsable de la Concejalía de Servicios Sociales, Igualdad y Sanidad, se ha visto necesario disponer</w:t>
      </w:r>
      <w:r>
        <w:rPr>
          <w:rFonts w:ascii="Arial" w:eastAsia="Arial" w:hAnsi="Arial" w:cs="Arial"/>
          <w:i/>
        </w:rPr>
        <w:t xml:space="preserve"> de este documento, pues en éste se recogen las acciones a implementar en el municipio, y donde se han tenido en cuenta las particularidades y necesidades municipales, así como las indicaciones de los organismos pertinentes en materia de prevención de adic</w:t>
      </w:r>
      <w:r>
        <w:rPr>
          <w:rFonts w:ascii="Arial" w:eastAsia="Arial" w:hAnsi="Arial" w:cs="Arial"/>
          <w:i/>
        </w:rPr>
        <w:t xml:space="preserve">ciones y apoyo a la inserción social. </w:t>
      </w:r>
    </w:p>
    <w:p w:rsidR="00E23B86" w:rsidRDefault="00BA7C13">
      <w:pPr>
        <w:spacing w:after="111" w:line="251" w:lineRule="auto"/>
        <w:ind w:left="355" w:right="573" w:hanging="10"/>
        <w:jc w:val="both"/>
      </w:pPr>
      <w:r>
        <w:rPr>
          <w:rFonts w:ascii="Arial" w:eastAsia="Arial" w:hAnsi="Arial" w:cs="Arial"/>
          <w:i/>
        </w:rPr>
        <w:t>En este IV Plan, se centra en las drogas y adicciones sobre las que hay que intervenir, los principios que rigen las actuaciones, las áreas de intervención, los objetivos, las acciones, los procedimientos de coordinac</w:t>
      </w:r>
      <w:r>
        <w:rPr>
          <w:rFonts w:ascii="Arial" w:eastAsia="Arial" w:hAnsi="Arial" w:cs="Arial"/>
          <w:i/>
        </w:rPr>
        <w:t>ión, evaluación y los recursos necesarios para su implementación.</w:t>
      </w:r>
    </w:p>
    <w:p w:rsidR="00E23B86" w:rsidRDefault="00BA7C13">
      <w:pPr>
        <w:spacing w:after="111" w:line="251" w:lineRule="auto"/>
        <w:ind w:left="355" w:right="573" w:hanging="10"/>
        <w:jc w:val="both"/>
      </w:pPr>
      <w:r>
        <w:rPr>
          <w:rFonts w:ascii="Arial" w:eastAsia="Arial" w:hAnsi="Arial" w:cs="Arial"/>
          <w:i/>
        </w:rPr>
        <w:t>Esta planificación de la prevención e inserción, se encuadra dentro de los servicios sociales municipales, que según la Ley 16/2019 de 2 de mayo de Servicios Sociales de Canarias, en su artí</w:t>
      </w:r>
      <w:r>
        <w:rPr>
          <w:rFonts w:ascii="Arial" w:eastAsia="Arial" w:hAnsi="Arial" w:cs="Arial"/>
          <w:i/>
        </w:rPr>
        <w:t>culo 4, apartado 5, indica que éstos “se dirigen especialmente a prevenir y a compensar el déficit de apoyo social y económico en situaciones de riesgo y exclusión social, promoviendo actitudes y capacidades que faciliten la inclusión de las personas, desd</w:t>
      </w:r>
      <w:r>
        <w:rPr>
          <w:rFonts w:ascii="Arial" w:eastAsia="Arial" w:hAnsi="Arial" w:cs="Arial"/>
          <w:i/>
        </w:rPr>
        <w:t>e una perspectiva integral y participada”. Así mismo, en el apartado 7, define que “los servicios sociales se coordinarán con todos los sistemas que inciden en la calidad de vida, como los de salud, igualdad de género, prevención y protección de las mujere</w:t>
      </w:r>
      <w:r>
        <w:rPr>
          <w:rFonts w:ascii="Arial" w:eastAsia="Arial" w:hAnsi="Arial" w:cs="Arial"/>
          <w:i/>
        </w:rPr>
        <w:t>s contra la violencia de género, educativos, culturales, de empleo, de vivienda, urbanísticos, judiciales, entre otros”.</w:t>
      </w:r>
    </w:p>
    <w:p w:rsidR="00E23B86" w:rsidRDefault="00BA7C13">
      <w:pPr>
        <w:spacing w:after="111" w:line="251" w:lineRule="auto"/>
        <w:ind w:left="355" w:right="573" w:hanging="10"/>
        <w:jc w:val="both"/>
      </w:pPr>
      <w:r>
        <w:rPr>
          <w:rFonts w:ascii="Arial" w:eastAsia="Arial" w:hAnsi="Arial" w:cs="Arial"/>
          <w:i/>
        </w:rPr>
        <w:t>Como responsable de la concejalía, comparto el reto de todos y todas los/as que formamos parte de la comunidad, en contribuir en la mej</w:t>
      </w:r>
      <w:r>
        <w:rPr>
          <w:rFonts w:ascii="Arial" w:eastAsia="Arial" w:hAnsi="Arial" w:cs="Arial"/>
          <w:i/>
        </w:rPr>
        <w:t>ora de las condiciones de calidad de vida de la población, la promoción de la salud y la prevención de las adicciones en el municipio.</w:t>
      </w:r>
    </w:p>
    <w:p w:rsidR="00E23B86" w:rsidRDefault="00BA7C13">
      <w:pPr>
        <w:spacing w:after="111" w:line="251" w:lineRule="auto"/>
        <w:ind w:left="355" w:right="573" w:hanging="10"/>
        <w:jc w:val="both"/>
      </w:pPr>
      <w:r>
        <w:rPr>
          <w:rFonts w:ascii="Arial" w:eastAsia="Arial" w:hAnsi="Arial" w:cs="Arial"/>
          <w:i/>
        </w:rPr>
        <w:t xml:space="preserve">La Concejala, </w:t>
      </w:r>
    </w:p>
    <w:p w:rsidR="00E23B86" w:rsidRDefault="00BA7C13">
      <w:pPr>
        <w:spacing w:after="480" w:line="251" w:lineRule="auto"/>
        <w:ind w:left="355" w:right="573" w:hanging="10"/>
        <w:jc w:val="both"/>
      </w:pPr>
      <w:r>
        <w:rPr>
          <w:rFonts w:ascii="Arial" w:eastAsia="Arial" w:hAnsi="Arial" w:cs="Arial"/>
          <w:i/>
        </w:rPr>
        <w:t>Olivia C. Pérez Díaz.</w:t>
      </w:r>
    </w:p>
    <w:p w:rsidR="00E23B86" w:rsidRDefault="00BA7C13">
      <w:pPr>
        <w:spacing w:after="111" w:line="251" w:lineRule="auto"/>
        <w:ind w:left="355" w:right="573" w:hanging="10"/>
        <w:jc w:val="both"/>
      </w:pPr>
      <w:r>
        <w:rPr>
          <w:rFonts w:ascii="Arial" w:eastAsia="Arial" w:hAnsi="Arial" w:cs="Arial"/>
          <w:i/>
        </w:rPr>
        <w:t>ÍNDICE</w:t>
      </w:r>
    </w:p>
    <w:p w:rsidR="00E23B86" w:rsidRDefault="00BA7C13">
      <w:pPr>
        <w:spacing w:after="115"/>
        <w:ind w:left="10" w:right="540" w:hanging="10"/>
        <w:jc w:val="right"/>
      </w:pPr>
      <w:r>
        <w:rPr>
          <w:color w:val="000080"/>
          <w:u w:val="single" w:color="000080"/>
        </w:rPr>
        <w:t xml:space="preserve"> 3.- RESULTADO PRESUPUESTARIO  </w:t>
      </w:r>
      <w:r>
        <w:rPr>
          <w:color w:val="000080"/>
          <w:u w:val="single" w:color="000080"/>
        </w:rPr>
        <w:t>.........................................................................................                                                                                                   6</w:t>
      </w:r>
    </w:p>
    <w:p w:rsidR="00E23B86" w:rsidRDefault="00BA7C13">
      <w:pPr>
        <w:spacing w:after="115"/>
        <w:ind w:left="10" w:right="540" w:hanging="10"/>
        <w:jc w:val="right"/>
      </w:pPr>
      <w:r>
        <w:rPr>
          <w:color w:val="000080"/>
          <w:u w:val="single" w:color="000080"/>
        </w:rPr>
        <w:t xml:space="preserve"> REMANENTE DE TESORERIA                             PRESUPUESTO  2</w:t>
      </w:r>
      <w:r>
        <w:rPr>
          <w:color w:val="000080"/>
          <w:u w:val="single" w:color="000080"/>
        </w:rPr>
        <w:t>019 ( Euros )  .............................                               7</w:t>
      </w:r>
    </w:p>
    <w:p w:rsidR="00E23B86" w:rsidRDefault="00BA7C13">
      <w:pPr>
        <w:spacing w:after="109" w:line="249" w:lineRule="auto"/>
        <w:ind w:left="353" w:hanging="8"/>
      </w:pPr>
      <w:r>
        <w:rPr>
          <w:b/>
          <w:color w:val="000080"/>
          <w:u w:val="single" w:color="000080"/>
        </w:rPr>
        <w:t xml:space="preserve"> 2.TOTAL  ..................................................................................................................................                                       </w:t>
      </w:r>
      <w:r>
        <w:rPr>
          <w:b/>
          <w:color w:val="000080"/>
          <w:u w:val="single" w:color="000080"/>
        </w:rPr>
        <w:t xml:space="preserve">                                                                                                                28</w:t>
      </w:r>
    </w:p>
    <w:p w:rsidR="00E23B86" w:rsidRDefault="00BA7C13">
      <w:pPr>
        <w:spacing w:after="115"/>
        <w:ind w:left="10" w:right="540" w:hanging="10"/>
        <w:jc w:val="right"/>
      </w:pPr>
      <w:r>
        <w:rPr>
          <w:color w:val="000080"/>
          <w:u w:val="single" w:color="000080"/>
        </w:rPr>
        <w:t xml:space="preserve"> B) CLASIFICACIÓN POR PROGRAMAS  .....................................................................................                       </w:t>
      </w:r>
      <w:r>
        <w:rPr>
          <w:color w:val="000080"/>
          <w:u w:val="single" w:color="000080"/>
        </w:rPr>
        <w:t xml:space="preserve">                                                                         33</w:t>
      </w:r>
    </w:p>
    <w:p w:rsidR="00E23B86" w:rsidRDefault="00BA7C13">
      <w:pPr>
        <w:spacing w:after="109" w:line="249" w:lineRule="auto"/>
        <w:ind w:left="353" w:right="468" w:hanging="8"/>
      </w:pPr>
      <w:r>
        <w:rPr>
          <w:b/>
          <w:color w:val="000080"/>
          <w:u w:val="single" w:color="000080"/>
        </w:rPr>
        <w:t>Área de Gasto 0: Comprende todos los gastos de intereses y amortización de la deuda pública  y demás operaciones financieras de naturaleza análoga.  ...............................</w:t>
      </w:r>
      <w:r>
        <w:rPr>
          <w:b/>
          <w:color w:val="000080"/>
          <w:u w:val="single" w:color="000080"/>
        </w:rPr>
        <w:t>........................                                                                33</w:t>
      </w:r>
    </w:p>
    <w:p w:rsidR="00E23B86" w:rsidRDefault="00BA7C13">
      <w:pPr>
        <w:spacing w:after="0" w:line="249" w:lineRule="auto"/>
        <w:ind w:left="353" w:right="256" w:hanging="8"/>
      </w:pPr>
      <w:r>
        <w:rPr>
          <w:b/>
          <w:color w:val="000080"/>
          <w:u w:val="single" w:color="000080"/>
        </w:rPr>
        <w:t xml:space="preserve"> Importa un gasto total liquidado de 9.297.373,80 Euros, frente a los 7.752.849,94 Euros en el año 2018, generando un aumento del 19,9 %. Representa el 38,5 % del to</w:t>
      </w:r>
      <w:r>
        <w:rPr>
          <w:b/>
          <w:color w:val="000080"/>
          <w:u w:val="single" w:color="000080"/>
        </w:rPr>
        <w:t xml:space="preserve">tal liquidado en el </w:t>
      </w:r>
    </w:p>
    <w:p w:rsidR="00E23B86" w:rsidRDefault="00BA7C13">
      <w:pPr>
        <w:spacing w:after="9" w:line="249" w:lineRule="auto"/>
        <w:ind w:left="353" w:hanging="8"/>
      </w:pPr>
      <w:r>
        <w:rPr>
          <w:b/>
          <w:color w:val="000080"/>
          <w:u w:val="single" w:color="000080"/>
        </w:rPr>
        <w:t xml:space="preserve">ejercicio 2019, frente al 31,7 % en el 2018. Así destacamos los siguientes subprogramas </w:t>
      </w:r>
    </w:p>
    <w:p w:rsidR="00E23B86" w:rsidRDefault="00BA7C13">
      <w:pPr>
        <w:spacing w:after="109" w:line="249" w:lineRule="auto"/>
        <w:ind w:left="353" w:hanging="8"/>
      </w:pPr>
      <w:r>
        <w:rPr>
          <w:b/>
          <w:color w:val="000080"/>
          <w:u w:val="single" w:color="000080"/>
        </w:rPr>
        <w:t xml:space="preserve"> previstos en el presupuesto:  ..................................................................................................                 </w:t>
      </w:r>
      <w:r>
        <w:rPr>
          <w:b/>
          <w:color w:val="000080"/>
          <w:u w:val="single" w:color="000080"/>
        </w:rPr>
        <w:t xml:space="preserve">                                                                                                 34</w:t>
      </w:r>
    </w:p>
    <w:p w:rsidR="00E23B86" w:rsidRDefault="00BA7C13">
      <w:pPr>
        <w:spacing w:after="0" w:line="249" w:lineRule="auto"/>
        <w:ind w:left="353" w:right="467" w:hanging="8"/>
      </w:pPr>
      <w:r>
        <w:rPr>
          <w:noProof/>
        </w:rPr>
        <mc:AlternateContent>
          <mc:Choice Requires="wpg">
            <w:drawing>
              <wp:anchor distT="0" distB="0" distL="114300" distR="114300" simplePos="0" relativeHeight="2518538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7007" name="Group 52700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1983" name="Rectangle 3198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1984" name="Rectangle 3198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189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7007" style="width:12.7031pt;height:280.35pt;position:absolute;mso-position-horizontal-relative:page;mso-position-horizontal:absolute;margin-left:681.958pt;mso-position-vertical-relative:page;margin-top:531.65pt;" coordsize="1613,35604">
                <v:rect id="Rectangle 3198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198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189 de 391 </w:t>
                        </w:r>
                      </w:p>
                    </w:txbxContent>
                  </v:textbox>
                </v:rect>
                <w10:wrap type="square"/>
              </v:group>
            </w:pict>
          </mc:Fallback>
        </mc:AlternateContent>
      </w:r>
      <w:r>
        <w:rPr>
          <w:b/>
          <w:color w:val="000080"/>
          <w:u w:val="single" w:color="000080"/>
        </w:rPr>
        <w:t>Subprograma 132.00 de Seguridad y Orden Público, sube un 13,4 %, principalmente en el gasto de personal, que sube más de 207.000,00 Euros (de los que 147.000 Eur</w:t>
      </w:r>
      <w:r>
        <w:rPr>
          <w:b/>
          <w:color w:val="000080"/>
          <w:u w:val="single" w:color="000080"/>
        </w:rPr>
        <w:t>os, son de gratificaciones y productividad), compensando la caída en un 29 % del gasto en bienes y servicios corrientes. La inversión sube en 50.468,03 Euros, que fue nula en el 2018. Representa el capítulo de personal el 92,5 % frente al 92,3 % del año an</w:t>
      </w:r>
      <w:r>
        <w:rPr>
          <w:b/>
          <w:color w:val="000080"/>
          <w:u w:val="single" w:color="000080"/>
        </w:rPr>
        <w:t xml:space="preserve">terior en este </w:t>
      </w:r>
    </w:p>
    <w:sdt>
      <w:sdtPr>
        <w:rPr>
          <w:b w:val="0"/>
          <w:color w:val="000000"/>
          <w:u w:val="none"/>
        </w:rPr>
        <w:id w:val="1087346810"/>
        <w:docPartObj>
          <w:docPartGallery w:val="Table of Contents"/>
        </w:docPartObj>
      </w:sdtPr>
      <w:sdtEndPr/>
      <w:sdtContent>
        <w:p w:rsidR="00E23B86" w:rsidRDefault="00BA7C13">
          <w:pPr>
            <w:pStyle w:val="TDC1"/>
            <w:tabs>
              <w:tab w:val="right" w:leader="dot" w:pos="9409"/>
            </w:tabs>
          </w:pPr>
          <w:r>
            <w:fldChar w:fldCharType="begin"/>
          </w:r>
          <w:r>
            <w:instrText xml:space="preserve"> TOC \o "1-2" \h \z \u </w:instrText>
          </w:r>
          <w:r>
            <w:fldChar w:fldCharType="separate"/>
          </w:r>
          <w:hyperlink w:anchor="_Toc626361">
            <w:r>
              <w:t xml:space="preserve"> subprograma</w:t>
            </w:r>
            <w:r>
              <w:tab/>
            </w:r>
            <w:r>
              <w:fldChar w:fldCharType="begin"/>
            </w:r>
            <w:r>
              <w:instrText>PAGEREF _Toc626361 \h</w:instrText>
            </w:r>
            <w:r>
              <w:fldChar w:fldCharType="separate"/>
            </w:r>
            <w:r>
              <w:t>34</w:t>
            </w:r>
            <w:r>
              <w:fldChar w:fldCharType="end"/>
            </w:r>
          </w:hyperlink>
        </w:p>
        <w:p w:rsidR="00E23B86" w:rsidRDefault="00BA7C13">
          <w:pPr>
            <w:pStyle w:val="TDC1"/>
            <w:tabs>
              <w:tab w:val="right" w:leader="dot" w:pos="9409"/>
            </w:tabs>
          </w:pPr>
          <w:hyperlink w:anchor="_Toc626362">
            <w:r>
              <w:t xml:space="preserve"> Representan un 7,75 % respecto del gasto total, </w:t>
            </w:r>
            <w:r>
              <w:t>frente al 6,7 % del ejercicio 2018</w:t>
            </w:r>
            <w:r>
              <w:tab/>
            </w:r>
            <w:r>
              <w:fldChar w:fldCharType="begin"/>
            </w:r>
            <w:r>
              <w:instrText>PAGEREF _Toc626362 \h</w:instrText>
            </w:r>
            <w:r>
              <w:fldChar w:fldCharType="separate"/>
            </w:r>
            <w:r>
              <w:t>34</w:t>
            </w:r>
            <w:r>
              <w:fldChar w:fldCharType="end"/>
            </w:r>
          </w:hyperlink>
        </w:p>
        <w:p w:rsidR="00E23B86" w:rsidRDefault="00BA7C13">
          <w:pPr>
            <w:pStyle w:val="TDC1"/>
            <w:tabs>
              <w:tab w:val="right" w:leader="dot" w:pos="9409"/>
            </w:tabs>
          </w:pPr>
          <w:hyperlink w:anchor="_Toc626363">
            <w:r>
              <w:t xml:space="preserve">Subprograma 135.00 de Protección Civil, que cae un 0,5 %, Sube las inversiones en siete mil euros, </w:t>
            </w:r>
            <w:r>
              <w:t>mientras que el capítulo de gastos bienes corrientes y de servicios, cae un 4 %. Este  capítulo representa el 80,30 % del gasto total</w:t>
            </w:r>
            <w:r>
              <w:tab/>
            </w:r>
            <w:r>
              <w:fldChar w:fldCharType="begin"/>
            </w:r>
            <w:r>
              <w:instrText>PAGEREF _Toc626363 \h</w:instrText>
            </w:r>
            <w:r>
              <w:fldChar w:fldCharType="separate"/>
            </w:r>
            <w:r>
              <w:t>34</w:t>
            </w:r>
            <w:r>
              <w:fldChar w:fldCharType="end"/>
            </w:r>
          </w:hyperlink>
        </w:p>
        <w:p w:rsidR="00E23B86" w:rsidRDefault="00BA7C13">
          <w:pPr>
            <w:pStyle w:val="TDC2"/>
            <w:tabs>
              <w:tab w:val="right" w:leader="dot" w:pos="9409"/>
            </w:tabs>
          </w:pPr>
          <w:hyperlink w:anchor="_Toc626364">
            <w:r>
              <w:t xml:space="preserve"> </w:t>
            </w:r>
            <w:r>
              <w:t>Representan un 1 %, respecto del gasto total, frente al 0,9 %, en el ejercicio anterior</w:t>
            </w:r>
            <w:r>
              <w:tab/>
            </w:r>
            <w:r>
              <w:fldChar w:fldCharType="begin"/>
            </w:r>
            <w:r>
              <w:instrText>PAGEREF _Toc626364 \h</w:instrText>
            </w:r>
            <w:r>
              <w:fldChar w:fldCharType="separate"/>
            </w:r>
            <w:r>
              <w:t>34</w:t>
            </w:r>
            <w:r>
              <w:fldChar w:fldCharType="end"/>
            </w:r>
          </w:hyperlink>
        </w:p>
        <w:p w:rsidR="00E23B86" w:rsidRDefault="00BA7C13">
          <w:pPr>
            <w:pStyle w:val="TDC1"/>
            <w:tabs>
              <w:tab w:val="right" w:leader="dot" w:pos="9409"/>
            </w:tabs>
          </w:pPr>
          <w:hyperlink w:anchor="_Toc626365">
            <w:r>
              <w:t>Subprograma 136.00 de Servicios de Extinción de</w:t>
            </w:r>
            <w:r>
              <w:t xml:space="preserve"> Incendios que recoge las   aportaciones al Consorcio de Incendios. Crece un 0,1 % el gasto de esta subvención respecto el año anterior.  Representan un 0,7 % respecto del gasto total, frente al 0,6 % del ejercicio 2018</w:t>
            </w:r>
            <w:r>
              <w:tab/>
            </w:r>
            <w:r>
              <w:fldChar w:fldCharType="begin"/>
            </w:r>
            <w:r>
              <w:instrText>PAGEREF _Toc626365 \h</w:instrText>
            </w:r>
            <w:r>
              <w:fldChar w:fldCharType="separate"/>
            </w:r>
            <w:r>
              <w:t>34</w:t>
            </w:r>
            <w:r>
              <w:fldChar w:fldCharType="end"/>
            </w:r>
          </w:hyperlink>
        </w:p>
        <w:p w:rsidR="00E23B86" w:rsidRDefault="00BA7C13">
          <w:pPr>
            <w:pStyle w:val="TDC1"/>
            <w:tabs>
              <w:tab w:val="right" w:leader="dot" w:pos="9409"/>
            </w:tabs>
          </w:pPr>
          <w:hyperlink w:anchor="_Toc626366">
            <w:r>
              <w:t xml:space="preserve">Subprograma 151.00 de Urbanismo, que sube un 8,2 %, motivado por la subida del capítulo de inversiones (aumenta un 17 %). Compensa la caída en gastos de transferencias de </w:t>
            </w:r>
            <w:r>
              <w:t xml:space="preserve">capital, </w:t>
            </w:r>
            <w:r>
              <w:tab/>
            </w:r>
            <w:r>
              <w:fldChar w:fldCharType="begin"/>
            </w:r>
            <w:r>
              <w:instrText>PAGEREF _Toc626366 \h</w:instrText>
            </w:r>
            <w:r>
              <w:fldChar w:fldCharType="end"/>
            </w:r>
          </w:hyperlink>
        </w:p>
        <w:p w:rsidR="00E23B86" w:rsidRDefault="00BA7C13">
          <w:pPr>
            <w:pStyle w:val="TDC1"/>
            <w:tabs>
              <w:tab w:val="right" w:leader="dot" w:pos="9409"/>
            </w:tabs>
          </w:pPr>
          <w:hyperlink w:anchor="_Toc626367">
            <w:r>
              <w:t>que fue nula. Representa el 5 % este subprograma, en el gasto total, frente al 4,5 % del gasto  total</w:t>
            </w:r>
            <w:r>
              <w:tab/>
            </w:r>
            <w:r>
              <w:fldChar w:fldCharType="begin"/>
            </w:r>
            <w:r>
              <w:instrText>PAGEREF _Toc626367 \h</w:instrText>
            </w:r>
            <w:r>
              <w:fldChar w:fldCharType="separate"/>
            </w:r>
            <w:r>
              <w:t>34</w:t>
            </w:r>
            <w:r>
              <w:fldChar w:fldCharType="end"/>
            </w:r>
          </w:hyperlink>
        </w:p>
        <w:p w:rsidR="00E23B86" w:rsidRDefault="00BA7C13">
          <w:pPr>
            <w:pStyle w:val="TDC1"/>
            <w:tabs>
              <w:tab w:val="right" w:leader="dot" w:pos="9409"/>
            </w:tabs>
          </w:pPr>
          <w:hyperlink w:anchor="_Toc626368">
            <w:r>
              <w:t>Subprograma 160.00 de Alcantarillado, que recoge las obras de saneamiento y no se ha  realizado gasto alguno, igual que en el año anterior</w:t>
            </w:r>
            <w:r>
              <w:tab/>
            </w:r>
            <w:r>
              <w:fldChar w:fldCharType="begin"/>
            </w:r>
            <w:r>
              <w:instrText>PAGEREF _Toc626368 \</w:instrText>
            </w:r>
            <w:r>
              <w:instrText>h</w:instrText>
            </w:r>
            <w:r>
              <w:fldChar w:fldCharType="separate"/>
            </w:r>
            <w:r>
              <w:t>34</w:t>
            </w:r>
            <w:r>
              <w:fldChar w:fldCharType="end"/>
            </w:r>
          </w:hyperlink>
        </w:p>
        <w:p w:rsidR="00E23B86" w:rsidRDefault="00BA7C13">
          <w:pPr>
            <w:pStyle w:val="TDC1"/>
            <w:tabs>
              <w:tab w:val="right" w:leader="dot" w:pos="9409"/>
            </w:tabs>
          </w:pPr>
          <w:hyperlink w:anchor="_Toc626369">
            <w:r>
              <w:t>Subprograma 161.00 de Abastecimiento de Agua, que refleja los gastos de inversiones en el depósito de agua de Igueste, que aumenta en casi doscientos cuare</w:t>
            </w:r>
            <w:r>
              <w:t xml:space="preserve">nta mil euros. </w:t>
            </w:r>
            <w:r>
              <w:tab/>
            </w:r>
            <w:r>
              <w:fldChar w:fldCharType="begin"/>
            </w:r>
            <w:r>
              <w:instrText>PAGEREF _Toc626369 \h</w:instrText>
            </w:r>
            <w:r>
              <w:fldChar w:fldCharType="end"/>
            </w:r>
          </w:hyperlink>
        </w:p>
        <w:p w:rsidR="00E23B86" w:rsidRDefault="00BA7C13">
          <w:pPr>
            <w:pStyle w:val="TDC1"/>
            <w:tabs>
              <w:tab w:val="right" w:leader="dot" w:pos="9409"/>
            </w:tabs>
          </w:pPr>
          <w:hyperlink w:anchor="_Toc626370">
            <w:r>
              <w:t xml:space="preserve"> Representan un 1,9 % respecto del gasto total, frente al 0,6 % del año anterior</w:t>
            </w:r>
            <w:r>
              <w:tab/>
            </w:r>
            <w:r>
              <w:fldChar w:fldCharType="begin"/>
            </w:r>
            <w:r>
              <w:instrText>PAGEREF _Toc626370 \h</w:instrText>
            </w:r>
            <w:r>
              <w:fldChar w:fldCharType="separate"/>
            </w:r>
            <w:r>
              <w:t>34</w:t>
            </w:r>
            <w:r>
              <w:fldChar w:fldCharType="end"/>
            </w:r>
          </w:hyperlink>
        </w:p>
        <w:p w:rsidR="00E23B86" w:rsidRDefault="00BA7C13">
          <w:pPr>
            <w:pStyle w:val="TDC1"/>
            <w:tabs>
              <w:tab w:val="right" w:leader="dot" w:pos="9409"/>
            </w:tabs>
          </w:pPr>
          <w:hyperlink w:anchor="_Toc626371">
            <w:r>
              <w:t>Subprograma 162.10 de Gestión de Recogida de Residuos, que refleja los gastos de la concesión que gestiona Urbaser SA, relativo a la Limpieza Viaria. Representan un 3,6 %  res</w:t>
            </w:r>
            <w:r>
              <w:t>pecto del gasto total, tres décimas más que en el 2018</w:t>
            </w:r>
            <w:r>
              <w:tab/>
            </w:r>
            <w:r>
              <w:fldChar w:fldCharType="begin"/>
            </w:r>
            <w:r>
              <w:instrText>PAGEREF _Toc626371 \h</w:instrText>
            </w:r>
            <w:r>
              <w:fldChar w:fldCharType="separate"/>
            </w:r>
            <w:r>
              <w:t>34</w:t>
            </w:r>
            <w:r>
              <w:fldChar w:fldCharType="end"/>
            </w:r>
          </w:hyperlink>
        </w:p>
        <w:p w:rsidR="00E23B86" w:rsidRDefault="00BA7C13">
          <w:pPr>
            <w:pStyle w:val="TDC1"/>
            <w:tabs>
              <w:tab w:val="right" w:leader="dot" w:pos="9409"/>
            </w:tabs>
          </w:pPr>
          <w:hyperlink w:anchor="_Toc626372">
            <w:r>
              <w:t>Subprograma 163.00 de Gestión de Recogida de Residuos, que refleja los gastos de la concesión que gestiona Urbaser SA, relativo a la recogida de residuos sólidos urbanos y recogida selectiva y la aportación a Epelcan, por limpieza de edificios. Representan</w:t>
            </w:r>
            <w:r>
              <w:t xml:space="preserve"> un 8,3 %  respecto del gasto total, ocho décimas más que en 2018</w:t>
            </w:r>
            <w:r>
              <w:tab/>
            </w:r>
            <w:r>
              <w:fldChar w:fldCharType="begin"/>
            </w:r>
            <w:r>
              <w:instrText>PAGEREF _Toc626372 \h</w:instrText>
            </w:r>
            <w:r>
              <w:fldChar w:fldCharType="separate"/>
            </w:r>
            <w:r>
              <w:t>34</w:t>
            </w:r>
            <w:r>
              <w:fldChar w:fldCharType="end"/>
            </w:r>
          </w:hyperlink>
        </w:p>
        <w:p w:rsidR="00E23B86" w:rsidRDefault="00BA7C13">
          <w:pPr>
            <w:pStyle w:val="TDC1"/>
            <w:tabs>
              <w:tab w:val="right" w:leader="dot" w:pos="9409"/>
            </w:tabs>
          </w:pPr>
          <w:hyperlink w:anchor="_Toc626373">
            <w:r>
              <w:t xml:space="preserve">Subprograma 164.00 de Cementerios, que sube un 34,9 %, representando </w:t>
            </w:r>
            <w:r>
              <w:t>los gastos de personal, el 69,2 % del gasto de este subprograma, subiendo los gastos corrientes, casi el  doble. Representan un 0,1 % respecto del gasto total, igual que en el año anterior</w:t>
            </w:r>
            <w:r>
              <w:tab/>
            </w:r>
            <w:r>
              <w:fldChar w:fldCharType="begin"/>
            </w:r>
            <w:r>
              <w:instrText>PAGEREF _Toc626373 \h</w:instrText>
            </w:r>
            <w:r>
              <w:fldChar w:fldCharType="separate"/>
            </w:r>
            <w:r>
              <w:t>35</w:t>
            </w:r>
            <w:r>
              <w:fldChar w:fldCharType="end"/>
            </w:r>
          </w:hyperlink>
        </w:p>
        <w:p w:rsidR="00E23B86" w:rsidRDefault="00BA7C13">
          <w:pPr>
            <w:pStyle w:val="TDC1"/>
            <w:tabs>
              <w:tab w:val="right" w:leader="dot" w:pos="9409"/>
            </w:tabs>
          </w:pPr>
          <w:hyperlink w:anchor="_Toc626374">
            <w:r>
              <w:t>Subprograma 165.00 de Alumbrado Público, que cae un 10,5 %, por la menor inversión en alumbrado, al caer un 43 %, mientras que ha subido el consumo en un 4 %. Representan un  1,6 % respecto del gasto t</w:t>
            </w:r>
            <w:r>
              <w:t>otal, frente al 1,7 % del año anterior</w:t>
            </w:r>
            <w:r>
              <w:tab/>
            </w:r>
            <w:r>
              <w:fldChar w:fldCharType="begin"/>
            </w:r>
            <w:r>
              <w:instrText>PAGEREF _Toc626374 \h</w:instrText>
            </w:r>
            <w:r>
              <w:fldChar w:fldCharType="separate"/>
            </w:r>
            <w:r>
              <w:t>35</w:t>
            </w:r>
            <w:r>
              <w:fldChar w:fldCharType="end"/>
            </w:r>
          </w:hyperlink>
        </w:p>
        <w:p w:rsidR="00E23B86" w:rsidRDefault="00BA7C13">
          <w:pPr>
            <w:pStyle w:val="TDC1"/>
            <w:tabs>
              <w:tab w:val="right" w:leader="dot" w:pos="9409"/>
            </w:tabs>
          </w:pPr>
          <w:hyperlink w:anchor="_Toc626375">
            <w:r>
              <w:t xml:space="preserve"> tres euros, refleja gastos corrientes en bienes y servicios por cuarenta y ocho mil Euros</w:t>
            </w:r>
            <w:r>
              <w:tab/>
            </w:r>
            <w:r>
              <w:fldChar w:fldCharType="begin"/>
            </w:r>
            <w:r>
              <w:instrText>PAGE</w:instrText>
            </w:r>
            <w:r>
              <w:instrText>REF _Toc626375 \h</w:instrText>
            </w:r>
            <w:r>
              <w:fldChar w:fldCharType="separate"/>
            </w:r>
            <w:r>
              <w:t>35</w:t>
            </w:r>
            <w:r>
              <w:fldChar w:fldCharType="end"/>
            </w:r>
          </w:hyperlink>
        </w:p>
        <w:p w:rsidR="00E23B86" w:rsidRDefault="00BA7C13">
          <w:pPr>
            <w:pStyle w:val="TDC1"/>
            <w:tabs>
              <w:tab w:val="right" w:leader="dot" w:pos="9409"/>
            </w:tabs>
          </w:pPr>
          <w:hyperlink w:anchor="_Toc626376">
            <w:r>
              <w:t>Subprograma 171.00 de Parques y Jardines, que sube un 5,6 %, por el mayor gasto en inversiones, por importe de ciento setenta y dos mil Eur</w:t>
            </w:r>
            <w:r>
              <w:t>os, que compensa la caída de gastos corrientes y de servicios, que cae un 51 %, representando el capítulo de personal el 43,2 % del gasto en este subprograma y. Representan un 2,3 % respecto del gasto total, frente al 2,1  % del año anterior</w:t>
            </w:r>
            <w:r>
              <w:tab/>
            </w:r>
            <w:r>
              <w:fldChar w:fldCharType="begin"/>
            </w:r>
            <w:r>
              <w:instrText>PAGEREF _Toc62</w:instrText>
            </w:r>
            <w:r>
              <w:instrText>6376 \h</w:instrText>
            </w:r>
            <w:r>
              <w:fldChar w:fldCharType="separate"/>
            </w:r>
            <w:r>
              <w:t>35</w:t>
            </w:r>
            <w:r>
              <w:fldChar w:fldCharType="end"/>
            </w:r>
          </w:hyperlink>
        </w:p>
        <w:p w:rsidR="00E23B86" w:rsidRDefault="00BA7C13">
          <w:pPr>
            <w:pStyle w:val="TDC1"/>
            <w:tabs>
              <w:tab w:val="right" w:leader="dot" w:pos="9409"/>
            </w:tabs>
          </w:pPr>
          <w:hyperlink w:anchor="_Toc626377">
            <w:r>
              <w:t>Área de Gasto 2: Incluye las Actuaciones de Protección y Promoción Social. El total gasto liquidado en esta área de gasto asciende a 4.641.367,35 Eur</w:t>
            </w:r>
            <w:r>
              <w:t>os frente a los 4.102.717,80 Euros de 2018, es decir, que ha habido un incremento del 13 %, representando el 19,2 % del gasto total, frente al 16,8 % del ejercicio 2018. A continuación, destacamos los siguientes  subprogramas:</w:t>
            </w:r>
            <w:r>
              <w:tab/>
            </w:r>
            <w:r>
              <w:fldChar w:fldCharType="begin"/>
            </w:r>
            <w:r>
              <w:instrText>PAGEREF _Toc626377 \h</w:instrText>
            </w:r>
            <w:r>
              <w:fldChar w:fldCharType="separate"/>
            </w:r>
            <w:r>
              <w:t>35</w:t>
            </w:r>
            <w:r>
              <w:fldChar w:fldCharType="end"/>
            </w:r>
          </w:hyperlink>
        </w:p>
        <w:p w:rsidR="00E23B86" w:rsidRDefault="00BA7C13">
          <w:pPr>
            <w:pStyle w:val="TDC1"/>
            <w:tabs>
              <w:tab w:val="right" w:leader="dot" w:pos="9409"/>
            </w:tabs>
          </w:pPr>
          <w:hyperlink w:anchor="_Toc626378">
            <w:r>
              <w:t xml:space="preserve">Subprograma 211.00 de Pensiones, se incrementa el 6,5 % el gasto liquidado. Recoge los emolumentos dejados de recibir por parte de funcionarios que han solicitado </w:t>
            </w:r>
            <w:r>
              <w:t>la jubilación  anticipada. Representan un 0,09 % respecto del gasto total</w:t>
            </w:r>
            <w:r>
              <w:tab/>
            </w:r>
            <w:r>
              <w:fldChar w:fldCharType="begin"/>
            </w:r>
            <w:r>
              <w:instrText>PAGEREF _Toc626378 \h</w:instrText>
            </w:r>
            <w:r>
              <w:fldChar w:fldCharType="separate"/>
            </w:r>
            <w:r>
              <w:t>36</w:t>
            </w:r>
            <w:r>
              <w:fldChar w:fldCharType="end"/>
            </w:r>
          </w:hyperlink>
        </w:p>
        <w:p w:rsidR="00E23B86" w:rsidRDefault="00BA7C13">
          <w:pPr>
            <w:pStyle w:val="TDC1"/>
            <w:tabs>
              <w:tab w:val="right" w:leader="dot" w:pos="9409"/>
            </w:tabs>
          </w:pPr>
          <w:hyperlink w:anchor="_Toc626379">
            <w:r>
              <w:t xml:space="preserve"> en acción social. Representan un 0,2 % respecto del gasto to</w:t>
            </w:r>
            <w:r>
              <w:t>tal, igual que en el 2018</w:t>
            </w:r>
            <w:r>
              <w:tab/>
            </w:r>
            <w:r>
              <w:fldChar w:fldCharType="begin"/>
            </w:r>
            <w:r>
              <w:instrText>PAGEREF _Toc626379 \h</w:instrText>
            </w:r>
            <w:r>
              <w:fldChar w:fldCharType="separate"/>
            </w:r>
            <w:r>
              <w:t>36</w:t>
            </w:r>
            <w:r>
              <w:fldChar w:fldCharType="end"/>
            </w:r>
          </w:hyperlink>
        </w:p>
        <w:p w:rsidR="00E23B86" w:rsidRDefault="00BA7C13">
          <w:pPr>
            <w:pStyle w:val="TDC1"/>
            <w:tabs>
              <w:tab w:val="right" w:leader="dot" w:pos="9409"/>
            </w:tabs>
          </w:pPr>
          <w:hyperlink w:anchor="_Toc626380">
            <w:r>
              <w:t xml:space="preserve"> cae un 7 %. Representan un 8,7 % frente al 8,2 % respecto del gasto total del año anterior</w:t>
            </w:r>
            <w:r>
              <w:tab/>
            </w:r>
            <w:r>
              <w:fldChar w:fldCharType="begin"/>
            </w:r>
            <w:r>
              <w:instrText xml:space="preserve">PAGEREF </w:instrText>
            </w:r>
            <w:r>
              <w:instrText>_Toc626380 \h</w:instrText>
            </w:r>
            <w:r>
              <w:fldChar w:fldCharType="separate"/>
            </w:r>
            <w:r>
              <w:t>36</w:t>
            </w:r>
            <w:r>
              <w:fldChar w:fldCharType="end"/>
            </w:r>
          </w:hyperlink>
        </w:p>
        <w:p w:rsidR="00E23B86" w:rsidRDefault="00BA7C13">
          <w:r>
            <w:fldChar w:fldCharType="end"/>
          </w:r>
        </w:p>
      </w:sdtContent>
    </w:sdt>
    <w:p w:rsidR="00E23B86" w:rsidRDefault="00BA7C13">
      <w:pPr>
        <w:spacing w:after="109" w:line="249" w:lineRule="auto"/>
        <w:ind w:left="353" w:right="216" w:hanging="8"/>
      </w:pPr>
      <w:r>
        <w:rPr>
          <w:b/>
          <w:color w:val="000080"/>
          <w:u w:val="single" w:color="000080"/>
        </w:rPr>
        <w:t xml:space="preserve">Subprograma 170.00 de Medio Ambiente, que se creó en el 2018, con unos gastos de seis mil </w:t>
      </w:r>
    </w:p>
    <w:p w:rsidR="00E23B86" w:rsidRDefault="00BA7C13">
      <w:pPr>
        <w:spacing w:after="109" w:line="249" w:lineRule="auto"/>
        <w:ind w:left="353" w:right="506" w:hanging="8"/>
      </w:pPr>
      <w:r>
        <w:rPr>
          <w:b/>
          <w:color w:val="000080"/>
          <w:u w:val="single" w:color="000080"/>
        </w:rPr>
        <w:t xml:space="preserve">Subprograma 221.00 de Otras Prestaciones a favor de los Empleados, que recoge los gastos de acción social y la aportación municipal al seguro privado, cae un 13 %, por el menor gasto </w:t>
      </w:r>
    </w:p>
    <w:p w:rsidR="00E23B86" w:rsidRDefault="00BA7C13">
      <w:pPr>
        <w:spacing w:after="109" w:line="249" w:lineRule="auto"/>
        <w:ind w:left="353" w:right="446" w:hanging="8"/>
      </w:pPr>
      <w:r>
        <w:rPr>
          <w:b/>
          <w:color w:val="000080"/>
          <w:u w:val="single" w:color="000080"/>
        </w:rPr>
        <w:t xml:space="preserve">Subprograma 231.00 de Servicios Sociales, que sube un 0,8 %, respecto a </w:t>
      </w:r>
      <w:r>
        <w:rPr>
          <w:b/>
          <w:color w:val="000080"/>
          <w:u w:val="single" w:color="000080"/>
        </w:rPr>
        <w:t>los gastos del ejercicio anterior, destacando la subida de los gastos en bienes corrientes y de servicios (14 %); los costes de personal (2,8 %), que compensa la caída de los costes de transferencias, que</w:t>
      </w:r>
    </w:p>
    <w:p w:rsidR="00E23B86" w:rsidRDefault="00BA7C13">
      <w:pPr>
        <w:spacing w:after="0" w:line="249" w:lineRule="auto"/>
        <w:ind w:left="353" w:right="494" w:hanging="8"/>
      </w:pPr>
      <w:r>
        <w:rPr>
          <w:noProof/>
        </w:rPr>
        <mc:AlternateContent>
          <mc:Choice Requires="wpg">
            <w:drawing>
              <wp:anchor distT="0" distB="0" distL="114300" distR="114300" simplePos="0" relativeHeight="2518548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7415" name="Group 52741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2211" name="Rectangle 3221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w:t>
                              </w:r>
                              <w:r>
                                <w:rPr>
                                  <w:rFonts w:ascii="Arial" w:eastAsia="Arial" w:hAnsi="Arial" w:cs="Arial"/>
                                  <w:sz w:val="12"/>
                                </w:rPr>
                                <w:t xml:space="preserve">ificación: https://candelaria.sedelectronica.es/ </w:t>
                              </w:r>
                            </w:p>
                          </w:txbxContent>
                        </wps:txbx>
                        <wps:bodyPr horzOverflow="overflow" vert="horz" lIns="0" tIns="0" rIns="0" bIns="0" rtlCol="0">
                          <a:noAutofit/>
                        </wps:bodyPr>
                      </wps:wsp>
                      <wps:wsp>
                        <wps:cNvPr id="32212" name="Rectangle 3221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7415" style="width:12.7031pt;height:280.35pt;position:absolute;mso-position-horizontal-relative:page;mso-position-horizontal:absolute;margin-left:681.958pt;mso-position-vertical-relative:page;margin-top:531.65pt;" coordsize="1613,35604">
                <v:rect id="Rectangle 3221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221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190 de 391 </w:t>
                        </w:r>
                      </w:p>
                    </w:txbxContent>
                  </v:textbox>
                </v:rect>
                <w10:wrap type="square"/>
              </v:group>
            </w:pict>
          </mc:Fallback>
        </mc:AlternateContent>
      </w:r>
      <w:r>
        <w:rPr>
          <w:b/>
          <w:color w:val="000080"/>
          <w:u w:val="single" w:color="000080"/>
        </w:rPr>
        <w:t xml:space="preserve">Subprograma 231.01 de Mujer, Menor y Familia. Ejecuta un gasto de 78.746 Euros, frente a </w:t>
      </w:r>
    </w:p>
    <w:p w:rsidR="00E23B86" w:rsidRDefault="00BA7C13">
      <w:pPr>
        <w:spacing w:after="0" w:line="249" w:lineRule="auto"/>
        <w:ind w:left="353" w:right="494" w:hanging="8"/>
      </w:pPr>
      <w:r>
        <w:rPr>
          <w:b/>
          <w:color w:val="000080"/>
          <w:u w:val="single" w:color="000080"/>
        </w:rPr>
        <w:t>los casi 62.500 Eur</w:t>
      </w:r>
      <w:r>
        <w:rPr>
          <w:b/>
          <w:color w:val="000080"/>
          <w:u w:val="single" w:color="000080"/>
        </w:rPr>
        <w:t xml:space="preserve">os del año anterior, principalmente en gastos corriente en bienes y </w:t>
      </w:r>
    </w:p>
    <w:p w:rsidR="00E23B86" w:rsidRDefault="00BA7C13">
      <w:pPr>
        <w:spacing w:after="109" w:line="249" w:lineRule="auto"/>
        <w:ind w:left="353" w:hanging="8"/>
      </w:pPr>
      <w:r>
        <w:rPr>
          <w:b/>
          <w:color w:val="000080"/>
          <w:u w:val="single" w:color="000080"/>
        </w:rPr>
        <w:t xml:space="preserve"> servicios. Crece un  26 %. Representa un 0,3 % del gasto total.  ..............................................                                                    36</w:t>
      </w:r>
    </w:p>
    <w:p w:rsidR="00E23B86" w:rsidRDefault="00BA7C13">
      <w:pPr>
        <w:spacing w:after="9" w:line="249" w:lineRule="auto"/>
        <w:ind w:left="353" w:hanging="8"/>
      </w:pPr>
      <w:r>
        <w:rPr>
          <w:b/>
          <w:color w:val="000080"/>
          <w:u w:val="single" w:color="000080"/>
        </w:rPr>
        <w:t>Subprograma 231.02 d</w:t>
      </w:r>
      <w:r>
        <w:rPr>
          <w:b/>
          <w:color w:val="000080"/>
          <w:u w:val="single" w:color="000080"/>
        </w:rPr>
        <w:t xml:space="preserve">e Mayores, crece muy levemente. Representan un gasto de 16.408 </w:t>
      </w:r>
    </w:p>
    <w:p w:rsidR="00E23B86" w:rsidRDefault="00BA7C13">
      <w:pPr>
        <w:spacing w:after="109" w:line="249" w:lineRule="auto"/>
        <w:ind w:left="353" w:hanging="8"/>
      </w:pPr>
      <w:r>
        <w:rPr>
          <w:b/>
          <w:color w:val="000080"/>
          <w:u w:val="single" w:color="000080"/>
        </w:rPr>
        <w:t xml:space="preserve"> Euros.  .....................................................................................................................................                                                  </w:t>
      </w:r>
      <w:r>
        <w:rPr>
          <w:b/>
          <w:color w:val="000080"/>
          <w:u w:val="single" w:color="000080"/>
        </w:rPr>
        <w:t xml:space="preserve">                                                                                                        36</w:t>
      </w:r>
    </w:p>
    <w:p w:rsidR="00E23B86" w:rsidRDefault="00BA7C13">
      <w:pPr>
        <w:spacing w:after="0" w:line="249" w:lineRule="auto"/>
        <w:ind w:left="353" w:right="488" w:hanging="8"/>
      </w:pPr>
      <w:r>
        <w:rPr>
          <w:b/>
          <w:color w:val="000080"/>
          <w:u w:val="single" w:color="000080"/>
        </w:rPr>
        <w:t>Subprograma 241.00 de Fomento del Empleo, que recoge las transferencias corrientes a la sociedad municipal de vivienda y servicios, pero sobre todo los gastos de personal y gastos corrientes vinculados a proyectos subvencionados, que aumenta un 27,5 %, rep</w:t>
      </w:r>
      <w:r>
        <w:rPr>
          <w:b/>
          <w:color w:val="000080"/>
          <w:u w:val="single" w:color="000080"/>
        </w:rPr>
        <w:t xml:space="preserve">resentando los gastos de personal, el 64,7 %, del gasto total, incrementándose este capítulo en un 5,8 %, </w:t>
      </w:r>
    </w:p>
    <w:p w:rsidR="00E23B86" w:rsidRDefault="00BA7C13">
      <w:pPr>
        <w:spacing w:after="9" w:line="249" w:lineRule="auto"/>
        <w:ind w:left="353" w:hanging="8"/>
      </w:pPr>
      <w:r>
        <w:rPr>
          <w:b/>
          <w:color w:val="000080"/>
          <w:u w:val="single" w:color="000080"/>
        </w:rPr>
        <w:t xml:space="preserve">en relación al ejercicio precedente. Representan un 10,2 % respecto del gasto total, frente al </w:t>
      </w:r>
    </w:p>
    <w:p w:rsidR="00E23B86" w:rsidRDefault="00BA7C13">
      <w:pPr>
        <w:spacing w:after="109" w:line="249" w:lineRule="auto"/>
        <w:ind w:left="353" w:hanging="8"/>
      </w:pPr>
      <w:r>
        <w:rPr>
          <w:b/>
          <w:color w:val="000080"/>
          <w:u w:val="single" w:color="000080"/>
        </w:rPr>
        <w:t xml:space="preserve"> 7,9 % del ejercicio 2018.  .........................</w:t>
      </w:r>
      <w:r>
        <w:rPr>
          <w:b/>
          <w:color w:val="000080"/>
          <w:u w:val="single" w:color="000080"/>
        </w:rPr>
        <w:t>................................................................................                                                                                                                         36</w:t>
      </w:r>
    </w:p>
    <w:p w:rsidR="00E23B86" w:rsidRDefault="00BA7C13">
      <w:pPr>
        <w:spacing w:after="0" w:line="249" w:lineRule="auto"/>
        <w:ind w:left="353" w:right="94" w:hanging="8"/>
      </w:pPr>
      <w:r>
        <w:rPr>
          <w:b/>
          <w:color w:val="000080"/>
          <w:u w:val="single" w:color="000080"/>
        </w:rPr>
        <w:t xml:space="preserve">  Área de Gasto 3: Producción de Bienes Públicos de </w:t>
      </w:r>
      <w:r>
        <w:rPr>
          <w:b/>
          <w:color w:val="000080"/>
          <w:u w:val="single" w:color="000080"/>
        </w:rPr>
        <w:t>carácter Preferente, que comprende los gastos relacionados con la sanidad, educación, cultura, ocio y tiempo libre, deporte y todos aquellos que mejoren la calidad de vida, El gasto en esta área importa 2.586.831,84 Euros frente al gasto de  2.827.981,30 E</w:t>
      </w:r>
      <w:r>
        <w:rPr>
          <w:b/>
          <w:color w:val="000080"/>
          <w:u w:val="single" w:color="000080"/>
        </w:rPr>
        <w:t xml:space="preserve">uros en el 2018, esto es, hay una caída del 8,5 % y representa el 10,7 % del gasto total, frente al 11,5 % del gasto total en el ejercicio anterior, </w:t>
      </w:r>
    </w:p>
    <w:p w:rsidR="00E23B86" w:rsidRDefault="00BA7C13">
      <w:pPr>
        <w:spacing w:after="9" w:line="249" w:lineRule="auto"/>
        <w:ind w:left="353" w:hanging="8"/>
      </w:pPr>
      <w:r>
        <w:rPr>
          <w:b/>
          <w:color w:val="000080"/>
          <w:u w:val="single" w:color="000080"/>
        </w:rPr>
        <w:t xml:space="preserve">destacando el gasto en bienes corrientes en un 45,5 % y los gastos de personal, un 25 % y las </w:t>
      </w:r>
    </w:p>
    <w:p w:rsidR="00E23B86" w:rsidRDefault="00BA7C13">
      <w:pPr>
        <w:spacing w:after="109" w:line="249" w:lineRule="auto"/>
        <w:ind w:left="353" w:hanging="8"/>
      </w:pPr>
      <w:r>
        <w:rPr>
          <w:b/>
          <w:color w:val="000080"/>
          <w:u w:val="single" w:color="000080"/>
        </w:rPr>
        <w:t xml:space="preserve"> subvencion</w:t>
      </w:r>
      <w:r>
        <w:rPr>
          <w:b/>
          <w:color w:val="000080"/>
          <w:u w:val="single" w:color="000080"/>
        </w:rPr>
        <w:t>es, el 24,6 %. Destacamos:  ...................................................................................                                                                                                 37</w:t>
      </w:r>
    </w:p>
    <w:p w:rsidR="00E23B86" w:rsidRDefault="00BA7C13">
      <w:pPr>
        <w:spacing w:after="116" w:line="257" w:lineRule="auto"/>
        <w:ind w:left="800" w:hanging="10"/>
      </w:pPr>
      <w:r>
        <w:rPr>
          <w:color w:val="000080"/>
          <w:u w:val="single" w:color="000080"/>
        </w:rPr>
        <w:t xml:space="preserve"> 1.- RESULTADO PRESUPUESTARIO  </w:t>
      </w:r>
      <w:r>
        <w:rPr>
          <w:color w:val="000080"/>
          <w:u w:val="single" w:color="000080"/>
        </w:rPr>
        <w:t>.......................................................................................                                                                                                 66</w:t>
      </w:r>
    </w:p>
    <w:p w:rsidR="00E23B86" w:rsidRDefault="00BA7C13">
      <w:pPr>
        <w:spacing w:after="116" w:line="257" w:lineRule="auto"/>
        <w:ind w:left="580" w:hanging="10"/>
      </w:pPr>
      <w:r>
        <w:rPr>
          <w:color w:val="000080"/>
          <w:u w:val="single" w:color="000080"/>
        </w:rPr>
        <w:t xml:space="preserve"> REMANENTE DE TESORERIA                             PRESUPUESTO  2019</w:t>
      </w:r>
      <w:r>
        <w:rPr>
          <w:color w:val="000080"/>
          <w:u w:val="single" w:color="000080"/>
        </w:rPr>
        <w:t xml:space="preserve"> ( Euros )  ...........................                             67</w:t>
      </w:r>
    </w:p>
    <w:p w:rsidR="00E23B86" w:rsidRDefault="00BA7C13">
      <w:pPr>
        <w:spacing w:after="116" w:line="257" w:lineRule="auto"/>
        <w:ind w:left="582" w:hanging="10"/>
      </w:pPr>
      <w:r>
        <w:rPr>
          <w:color w:val="000080"/>
          <w:u w:val="single" w:color="000080"/>
        </w:rPr>
        <w:t xml:space="preserve">I ............................................................................................................................................                                           </w:t>
      </w:r>
      <w:r>
        <w:rPr>
          <w:color w:val="000080"/>
          <w:u w:val="single" w:color="000080"/>
        </w:rPr>
        <w:t xml:space="preserve">                                                                                                                  102</w:t>
      </w:r>
    </w:p>
    <w:p w:rsidR="00E23B86" w:rsidRDefault="00BA7C13">
      <w:pPr>
        <w:spacing w:after="116" w:line="257" w:lineRule="auto"/>
        <w:ind w:left="800" w:hanging="10"/>
      </w:pPr>
      <w:r>
        <w:rPr>
          <w:color w:val="000080"/>
          <w:u w:val="single" w:color="000080"/>
        </w:rPr>
        <w:t xml:space="preserve"> ACTO DE CALIFICACIÓN  ....................................................................................................               </w:t>
      </w:r>
      <w:r>
        <w:rPr>
          <w:color w:val="000080"/>
          <w:u w:val="single" w:color="000080"/>
        </w:rPr>
        <w:t xml:space="preserve">                                                                                                 102</w:t>
      </w:r>
    </w:p>
    <w:p w:rsidR="00E23B86" w:rsidRDefault="00BA7C13">
      <w:pPr>
        <w:spacing w:after="116" w:line="257" w:lineRule="auto"/>
        <w:ind w:left="582" w:hanging="10"/>
      </w:pPr>
      <w:r>
        <w:rPr>
          <w:color w:val="000080"/>
          <w:u w:val="single" w:color="000080"/>
        </w:rPr>
        <w:t xml:space="preserve">I ............................................................................................................................................             </w:t>
      </w:r>
      <w:r>
        <w:rPr>
          <w:color w:val="000080"/>
          <w:u w:val="single" w:color="000080"/>
        </w:rPr>
        <w:t xml:space="preserve">                                                                                                                                                115</w:t>
      </w:r>
    </w:p>
    <w:p w:rsidR="00E23B86" w:rsidRDefault="00BA7C13">
      <w:pPr>
        <w:spacing w:after="116" w:line="257" w:lineRule="auto"/>
        <w:ind w:left="800" w:hanging="10"/>
      </w:pPr>
      <w:r>
        <w:rPr>
          <w:color w:val="000080"/>
          <w:u w:val="single" w:color="000080"/>
        </w:rPr>
        <w:t xml:space="preserve"> ACTO DE CALIFICACIÓN  .....................................................................................</w:t>
      </w:r>
      <w:r>
        <w:rPr>
          <w:color w:val="000080"/>
          <w:u w:val="single" w:color="000080"/>
        </w:rPr>
        <w:t>...............                                                                                                                115</w:t>
      </w:r>
    </w:p>
    <w:p w:rsidR="00E23B86" w:rsidRDefault="00BA7C13">
      <w:pPr>
        <w:spacing w:after="109" w:line="249" w:lineRule="auto"/>
        <w:ind w:left="353" w:hanging="8"/>
      </w:pPr>
      <w:r>
        <w:rPr>
          <w:b/>
          <w:color w:val="000080"/>
          <w:u w:val="single" w:color="000080"/>
        </w:rPr>
        <w:t xml:space="preserve"> INTRODUCCIÓN    ............................................................................................................</w:t>
      </w:r>
      <w:r>
        <w:rPr>
          <w:b/>
          <w:color w:val="000080"/>
          <w:u w:val="single" w:color="000080"/>
        </w:rPr>
        <w:t>.....                                                                                                                                   158</w:t>
      </w:r>
    </w:p>
    <w:p w:rsidR="00E23B86" w:rsidRDefault="00BA7C13">
      <w:pPr>
        <w:numPr>
          <w:ilvl w:val="0"/>
          <w:numId w:val="81"/>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w:t>
      </w:r>
      <w:r>
        <w:rPr>
          <w:b/>
          <w:color w:val="000080"/>
          <w:u w:val="single" w:color="000080"/>
        </w:rPr>
        <w:t>......................................................................................................                                                                                                                      158</w:t>
      </w:r>
    </w:p>
    <w:p w:rsidR="00E23B86" w:rsidRDefault="00BA7C13">
      <w:pPr>
        <w:numPr>
          <w:ilvl w:val="0"/>
          <w:numId w:val="81"/>
        </w:numPr>
        <w:spacing w:after="9" w:line="249" w:lineRule="auto"/>
        <w:ind w:hanging="220"/>
      </w:pPr>
      <w:r>
        <w:rPr>
          <w:b/>
          <w:color w:val="000080"/>
          <w:u w:val="single" w:color="000080"/>
        </w:rPr>
        <w:t>ANÁLISIS DE LA PROBLEMÁTICA Y AP</w:t>
      </w:r>
      <w:r>
        <w:rPr>
          <w:b/>
          <w:color w:val="000080"/>
          <w:u w:val="single" w:color="000080"/>
        </w:rPr>
        <w:t xml:space="preserve">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159</w:t>
      </w:r>
    </w:p>
    <w:p w:rsidR="00E23B86" w:rsidRDefault="00BA7C13">
      <w:pPr>
        <w:numPr>
          <w:ilvl w:val="1"/>
          <w:numId w:val="81"/>
        </w:numPr>
        <w:spacing w:after="2" w:line="257" w:lineRule="auto"/>
        <w:ind w:hanging="383"/>
      </w:pPr>
      <w:r>
        <w:rPr>
          <w:color w:val="000080"/>
          <w:u w:val="single" w:color="000080"/>
        </w:rPr>
        <w:t>Resultados de la</w:t>
      </w:r>
      <w:r>
        <w:rPr>
          <w:color w:val="000080"/>
          <w:u w:val="single" w:color="000080"/>
        </w:rPr>
        <w:t xml:space="preserve"> evaluación del III Plan Municipal sobre Drogodependencias (2013-2017)</w:t>
      </w:r>
    </w:p>
    <w:p w:rsidR="00E23B86" w:rsidRDefault="00BA7C13">
      <w:pPr>
        <w:spacing w:after="116" w:line="257" w:lineRule="auto"/>
        <w:ind w:left="580" w:hanging="10"/>
      </w:pPr>
      <w:r>
        <w:rPr>
          <w:color w:val="000080"/>
          <w:u w:val="single" w:color="000080"/>
        </w:rPr>
        <w:t xml:space="preserve"> .............................................................................................................................................                                           </w:t>
      </w:r>
      <w:r>
        <w:rPr>
          <w:color w:val="000080"/>
          <w:u w:val="single" w:color="000080"/>
        </w:rPr>
        <w:t xml:space="preserve">                                                                                                                   159</w:t>
      </w:r>
    </w:p>
    <w:p w:rsidR="00E23B86" w:rsidRDefault="00BA7C13">
      <w:pPr>
        <w:numPr>
          <w:ilvl w:val="1"/>
          <w:numId w:val="81"/>
        </w:numPr>
        <w:spacing w:after="2" w:line="257" w:lineRule="auto"/>
        <w:ind w:hanging="383"/>
      </w:pPr>
      <w:r>
        <w:rPr>
          <w:color w:val="000080"/>
          <w:u w:val="single" w:color="000080"/>
        </w:rPr>
        <w:t xml:space="preserve">La prevalencia del consumo en Canarias e indicaciones para la planificación de las </w:t>
      </w:r>
    </w:p>
    <w:p w:rsidR="00E23B86" w:rsidRDefault="00BA7C13">
      <w:pPr>
        <w:spacing w:after="116" w:line="257" w:lineRule="auto"/>
        <w:ind w:left="580" w:hanging="10"/>
      </w:pPr>
      <w:r>
        <w:rPr>
          <w:noProof/>
        </w:rPr>
        <mc:AlternateContent>
          <mc:Choice Requires="wpg">
            <w:drawing>
              <wp:anchor distT="0" distB="0" distL="114300" distR="114300" simplePos="0" relativeHeight="2518558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8904" name="Group 52890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2568" name="Rectangle 3256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w:t>
                              </w:r>
                              <w:r>
                                <w:rPr>
                                  <w:rFonts w:ascii="Arial" w:eastAsia="Arial" w:hAnsi="Arial" w:cs="Arial"/>
                                  <w:sz w:val="12"/>
                                </w:rPr>
                                <w:t xml:space="preserve">icación: https://candelaria.sedelectronica.es/ </w:t>
                              </w:r>
                            </w:p>
                          </w:txbxContent>
                        </wps:txbx>
                        <wps:bodyPr horzOverflow="overflow" vert="horz" lIns="0" tIns="0" rIns="0" bIns="0" rtlCol="0">
                          <a:noAutofit/>
                        </wps:bodyPr>
                      </wps:wsp>
                      <wps:wsp>
                        <wps:cNvPr id="32569" name="Rectangle 3256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8904" style="width:12.7031pt;height:280.35pt;position:absolute;mso-position-horizontal-relative:page;mso-position-horizontal:absolute;margin-left:681.958pt;mso-position-vertical-relative:page;margin-top:531.65pt;" coordsize="1613,35604">
                <v:rect id="Rectangle 3256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256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191 de 391 </w:t>
                        </w:r>
                      </w:p>
                    </w:txbxContent>
                  </v:textbox>
                </v:rect>
                <w10:wrap type="square"/>
              </v:group>
            </w:pict>
          </mc:Fallback>
        </mc:AlternateContent>
      </w:r>
      <w:r>
        <w:rPr>
          <w:color w:val="000080"/>
          <w:u w:val="single" w:color="000080"/>
        </w:rPr>
        <w:t xml:space="preserve"> acciones de prevención e inserción.   ........................................................................</w:t>
      </w:r>
      <w:r>
        <w:rPr>
          <w:color w:val="000080"/>
          <w:u w:val="single" w:color="000080"/>
        </w:rPr>
        <w:t>...........                                                                                             161</w:t>
      </w:r>
    </w:p>
    <w:p w:rsidR="00E23B86" w:rsidRDefault="00BA7C13">
      <w:pPr>
        <w:numPr>
          <w:ilvl w:val="1"/>
          <w:numId w:val="81"/>
        </w:numPr>
        <w:spacing w:after="116" w:line="257" w:lineRule="auto"/>
        <w:ind w:hanging="383"/>
      </w:pPr>
      <w:r>
        <w:rPr>
          <w:color w:val="000080"/>
          <w:u w:val="single" w:color="000080"/>
        </w:rPr>
        <w:t xml:space="preserve">Descripción del contexto municipal    ............................................................................                                  </w:t>
      </w:r>
      <w:r>
        <w:rPr>
          <w:color w:val="000080"/>
          <w:u w:val="single" w:color="000080"/>
        </w:rPr>
        <w:t xml:space="preserve">                                                   162</w:t>
      </w:r>
    </w:p>
    <w:p w:rsidR="00E23B86" w:rsidRDefault="00BA7C13">
      <w:pPr>
        <w:spacing w:after="116" w:line="257" w:lineRule="auto"/>
        <w:ind w:left="800" w:hanging="10"/>
      </w:pPr>
      <w:r>
        <w:rPr>
          <w:color w:val="000080"/>
          <w:u w:val="single" w:color="000080"/>
        </w:rPr>
        <w:t xml:space="preserve"> 2.3.1. Contexto demográfico y laboral  ..............................................................................                                                                                   </w:t>
      </w:r>
      <w:r>
        <w:rPr>
          <w:color w:val="000080"/>
          <w:u w:val="single" w:color="000080"/>
        </w:rPr>
        <w:t xml:space="preserve">    163</w:t>
      </w:r>
    </w:p>
    <w:p w:rsidR="00E23B86" w:rsidRDefault="00BA7C13">
      <w:pPr>
        <w:numPr>
          <w:ilvl w:val="1"/>
          <w:numId w:val="81"/>
        </w:numPr>
        <w:spacing w:after="116" w:line="257" w:lineRule="auto"/>
        <w:ind w:hanging="383"/>
      </w:pPr>
      <w:r>
        <w:rPr>
          <w:color w:val="000080"/>
          <w:u w:val="single" w:color="000080"/>
        </w:rPr>
        <w:t>Recomendaciones para el diseño del IV Plan    ..............................................................                                                                      167</w:t>
      </w:r>
    </w:p>
    <w:p w:rsidR="00E23B86" w:rsidRDefault="00BA7C13">
      <w:pPr>
        <w:spacing w:after="109" w:line="249" w:lineRule="auto"/>
        <w:ind w:left="353" w:hanging="8"/>
      </w:pPr>
      <w:r>
        <w:rPr>
          <w:b/>
          <w:color w:val="000080"/>
          <w:u w:val="single" w:color="000080"/>
        </w:rPr>
        <w:t xml:space="preserve"> 3.LOS PRINCIPIOS DEL IV PLAN  ...................................</w:t>
      </w:r>
      <w:r>
        <w:rPr>
          <w:b/>
          <w:color w:val="000080"/>
          <w:u w:val="single" w:color="000080"/>
        </w:rPr>
        <w:t>.........................................................                                                                                                           168</w:t>
      </w:r>
    </w:p>
    <w:p w:rsidR="00E23B86" w:rsidRDefault="00BA7C13">
      <w:pPr>
        <w:spacing w:after="109" w:line="249" w:lineRule="auto"/>
        <w:ind w:left="353" w:hanging="8"/>
      </w:pPr>
      <w:r>
        <w:rPr>
          <w:b/>
          <w:color w:val="000080"/>
          <w:u w:val="single" w:color="000080"/>
        </w:rPr>
        <w:t xml:space="preserve"> 4.CAMPO DE ACTUACIÓN   ................................................................</w:t>
      </w:r>
      <w:r>
        <w:rPr>
          <w:b/>
          <w:color w:val="000080"/>
          <w:u w:val="single" w:color="000080"/>
        </w:rPr>
        <w:t>...................................                                                                                                                   169</w:t>
      </w:r>
    </w:p>
    <w:p w:rsidR="00E23B86" w:rsidRDefault="00BA7C13">
      <w:pPr>
        <w:spacing w:after="109" w:line="249" w:lineRule="auto"/>
        <w:ind w:left="353" w:hanging="8"/>
      </w:pPr>
      <w:r>
        <w:rPr>
          <w:b/>
          <w:color w:val="000080"/>
          <w:u w:val="single" w:color="000080"/>
        </w:rPr>
        <w:t xml:space="preserve"> 5.META Y OBJETIVOS GENERALES DEL IV PLAN SOBRE ADICCIONES DE CANDELARIA   .........         170</w:t>
      </w:r>
    </w:p>
    <w:p w:rsidR="00E23B86" w:rsidRDefault="00BA7C13">
      <w:pPr>
        <w:spacing w:after="109" w:line="249" w:lineRule="auto"/>
        <w:ind w:left="353" w:hanging="8"/>
      </w:pPr>
      <w:r>
        <w:rPr>
          <w:b/>
          <w:color w:val="000080"/>
          <w:u w:val="single" w:color="000080"/>
        </w:rPr>
        <w:t xml:space="preserve"> </w:t>
      </w:r>
      <w:r>
        <w:rPr>
          <w:b/>
          <w:color w:val="000080"/>
          <w:u w:val="single" w:color="000080"/>
        </w:rPr>
        <w:t>6.ÁREAS DE ACTUACIÓN  .....................................................................................................                                                                                                                      170</w:t>
      </w:r>
    </w:p>
    <w:p w:rsidR="00E23B86" w:rsidRDefault="00BA7C13">
      <w:pPr>
        <w:spacing w:after="116" w:line="257" w:lineRule="auto"/>
        <w:ind w:left="580" w:hanging="10"/>
      </w:pPr>
      <w:r>
        <w:rPr>
          <w:color w:val="000080"/>
          <w:u w:val="single" w:color="000080"/>
        </w:rPr>
        <w:t xml:space="preserve"> 6.1. ÁREA </w:t>
      </w:r>
      <w:r>
        <w:rPr>
          <w:color w:val="000080"/>
          <w:u w:val="single" w:color="000080"/>
        </w:rPr>
        <w:t>DE PREVENCIÓN Y SENSIBILIZACIÓN  ...................................................................                                                                           170</w:t>
      </w:r>
    </w:p>
    <w:p w:rsidR="00E23B86" w:rsidRDefault="00BA7C13">
      <w:pPr>
        <w:numPr>
          <w:ilvl w:val="2"/>
          <w:numId w:val="82"/>
        </w:numPr>
        <w:spacing w:after="116" w:line="257" w:lineRule="auto"/>
        <w:ind w:hanging="551"/>
      </w:pPr>
      <w:r>
        <w:rPr>
          <w:color w:val="000080"/>
          <w:u w:val="single" w:color="000080"/>
        </w:rPr>
        <w:t>Ámbito Educativo  ...........................................................</w:t>
      </w:r>
      <w:r>
        <w:rPr>
          <w:color w:val="000080"/>
          <w:u w:val="single" w:color="000080"/>
        </w:rPr>
        <w:t>........................................                                                                                                               171</w:t>
      </w:r>
    </w:p>
    <w:p w:rsidR="00E23B86" w:rsidRDefault="00BA7C13">
      <w:pPr>
        <w:numPr>
          <w:ilvl w:val="2"/>
          <w:numId w:val="82"/>
        </w:numPr>
        <w:spacing w:after="116" w:line="257" w:lineRule="auto"/>
        <w:ind w:hanging="551"/>
      </w:pPr>
      <w:r>
        <w:rPr>
          <w:color w:val="000080"/>
          <w:u w:val="single" w:color="000080"/>
        </w:rPr>
        <w:t>Ámbito Familiar  ....................................................................................</w:t>
      </w:r>
      <w:r>
        <w:rPr>
          <w:color w:val="000080"/>
          <w:u w:val="single" w:color="000080"/>
        </w:rPr>
        <w:t>..................                                                                                                                  172</w:t>
      </w:r>
    </w:p>
    <w:p w:rsidR="00E23B86" w:rsidRDefault="00BA7C13">
      <w:pPr>
        <w:numPr>
          <w:ilvl w:val="2"/>
          <w:numId w:val="82"/>
        </w:numPr>
        <w:spacing w:after="116" w:line="257" w:lineRule="auto"/>
        <w:ind w:hanging="551"/>
      </w:pPr>
      <w:r>
        <w:rPr>
          <w:color w:val="000080"/>
          <w:u w:val="single" w:color="000080"/>
        </w:rPr>
        <w:t xml:space="preserve">Ámbito Comunitario  ..............................................................................................      </w:t>
      </w:r>
      <w:r>
        <w:rPr>
          <w:color w:val="000080"/>
          <w:u w:val="single" w:color="000080"/>
        </w:rPr>
        <w:t xml:space="preserve">                                                                                                    173</w:t>
      </w:r>
    </w:p>
    <w:p w:rsidR="00E23B86" w:rsidRDefault="00BA7C13">
      <w:pPr>
        <w:spacing w:after="116" w:line="257" w:lineRule="auto"/>
        <w:ind w:left="580" w:hanging="10"/>
      </w:pPr>
      <w:r>
        <w:rPr>
          <w:color w:val="000080"/>
          <w:u w:val="single" w:color="000080"/>
        </w:rPr>
        <w:t xml:space="preserve"> 6.2. ÁREA DE INSERCIÓN SOCIAL  ..........................................................................................                              </w:t>
      </w:r>
      <w:r>
        <w:rPr>
          <w:color w:val="000080"/>
          <w:u w:val="single" w:color="000080"/>
        </w:rPr>
        <w:t xml:space="preserve">                                                                       175</w:t>
      </w:r>
    </w:p>
    <w:p w:rsidR="00E23B86" w:rsidRDefault="00BA7C13">
      <w:pPr>
        <w:spacing w:after="116" w:line="257" w:lineRule="auto"/>
        <w:ind w:left="580" w:hanging="10"/>
      </w:pPr>
      <w:r>
        <w:rPr>
          <w:color w:val="000080"/>
          <w:u w:val="single" w:color="000080"/>
        </w:rPr>
        <w:t xml:space="preserve"> 6.3.ÁREA DE SOPORTE Y APOYO  ..........................................................................................                                                             </w:t>
      </w:r>
      <w:r>
        <w:rPr>
          <w:color w:val="000080"/>
          <w:u w:val="single" w:color="000080"/>
        </w:rPr>
        <w:t xml:space="preserve">                                        176</w:t>
      </w:r>
    </w:p>
    <w:p w:rsidR="00E23B86" w:rsidRDefault="00BA7C13">
      <w:pPr>
        <w:spacing w:after="109" w:line="249" w:lineRule="auto"/>
        <w:ind w:left="353" w:hanging="8"/>
      </w:pPr>
      <w:r>
        <w:rPr>
          <w:b/>
          <w:color w:val="000080"/>
          <w:u w:val="single" w:color="000080"/>
        </w:rPr>
        <w:t xml:space="preserve"> 7.COORDINACIÓN DE LAS ACTUACIONES DEL IV PLAN  .........................................................                                                                  177</w:t>
      </w:r>
    </w:p>
    <w:p w:rsidR="00E23B86" w:rsidRDefault="00BA7C13">
      <w:pPr>
        <w:numPr>
          <w:ilvl w:val="1"/>
          <w:numId w:val="83"/>
        </w:numPr>
        <w:spacing w:after="116" w:line="257" w:lineRule="auto"/>
        <w:ind w:hanging="383"/>
      </w:pPr>
      <w:r>
        <w:rPr>
          <w:color w:val="000080"/>
          <w:u w:val="single" w:color="000080"/>
        </w:rPr>
        <w:t>Comisión Municipal de Prevención de A</w:t>
      </w:r>
      <w:r>
        <w:rPr>
          <w:color w:val="000080"/>
          <w:u w:val="single" w:color="000080"/>
        </w:rPr>
        <w:t>dicciones de Candelaria  ..................................                                     177</w:t>
      </w:r>
    </w:p>
    <w:p w:rsidR="00E23B86" w:rsidRDefault="00BA7C13">
      <w:pPr>
        <w:numPr>
          <w:ilvl w:val="1"/>
          <w:numId w:val="83"/>
        </w:numPr>
        <w:spacing w:after="116" w:line="257" w:lineRule="auto"/>
        <w:ind w:hanging="383"/>
      </w:pPr>
      <w:r>
        <w:rPr>
          <w:color w:val="000080"/>
          <w:u w:val="single" w:color="000080"/>
        </w:rPr>
        <w:t>Comisión Mixta de Prevención de Adicciones de Candelaria  .........................................                                             177</w:t>
      </w:r>
    </w:p>
    <w:p w:rsidR="00E23B86" w:rsidRDefault="00BA7C13">
      <w:pPr>
        <w:spacing w:after="109" w:line="249" w:lineRule="auto"/>
        <w:ind w:left="353" w:hanging="8"/>
      </w:pPr>
      <w:r>
        <w:rPr>
          <w:b/>
          <w:color w:val="000080"/>
          <w:u w:val="single" w:color="000080"/>
        </w:rPr>
        <w:t xml:space="preserve"> 8.RECUR</w:t>
      </w:r>
      <w:r>
        <w:rPr>
          <w:b/>
          <w:color w:val="000080"/>
          <w:u w:val="single" w:color="000080"/>
        </w:rPr>
        <w:t>SOS DEL IV PLAN   ...................................................................................................                                                                                                                   178</w:t>
      </w:r>
    </w:p>
    <w:p w:rsidR="00E23B86" w:rsidRDefault="00BA7C13">
      <w:pPr>
        <w:spacing w:after="109" w:line="249" w:lineRule="auto"/>
        <w:ind w:left="353" w:hanging="8"/>
      </w:pPr>
      <w:r>
        <w:rPr>
          <w:b/>
          <w:color w:val="000080"/>
          <w:u w:val="single" w:color="000080"/>
        </w:rPr>
        <w:t xml:space="preserve"> 9.EVALUACIÓN Y SEGU</w:t>
      </w:r>
      <w:r>
        <w:rPr>
          <w:b/>
          <w:color w:val="000080"/>
          <w:u w:val="single" w:color="000080"/>
        </w:rPr>
        <w:t>IMIENTO DEL PLAN  ..........................................................................                                                                                      179</w:t>
      </w:r>
    </w:p>
    <w:p w:rsidR="00E23B86" w:rsidRDefault="00BA7C13">
      <w:pPr>
        <w:spacing w:after="116" w:line="257" w:lineRule="auto"/>
        <w:ind w:left="800" w:hanging="10"/>
      </w:pPr>
      <w:r>
        <w:rPr>
          <w:color w:val="000080"/>
          <w:u w:val="single" w:color="000080"/>
        </w:rPr>
        <w:t xml:space="preserve"> Ley 16/2019, de 2 de mayo, de Servicios Sociales de Canarias.  ..........</w:t>
      </w:r>
      <w:r>
        <w:rPr>
          <w:color w:val="000080"/>
          <w:u w:val="single" w:color="000080"/>
        </w:rPr>
        <w:t>..............................                                            184</w:t>
      </w:r>
    </w:p>
    <w:p w:rsidR="00E23B86" w:rsidRDefault="00BA7C13">
      <w:pPr>
        <w:numPr>
          <w:ilvl w:val="0"/>
          <w:numId w:val="84"/>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w:t>
      </w:r>
      <w:r>
        <w:rPr>
          <w:b/>
          <w:color w:val="000080"/>
          <w:u w:val="single" w:color="000080"/>
        </w:rPr>
        <w:t>......................................................................................................                                                                                                                      199</w:t>
      </w:r>
    </w:p>
    <w:p w:rsidR="00E23B86" w:rsidRDefault="00BA7C13">
      <w:pPr>
        <w:numPr>
          <w:ilvl w:val="0"/>
          <w:numId w:val="84"/>
        </w:numPr>
        <w:spacing w:after="9" w:line="249" w:lineRule="auto"/>
        <w:ind w:hanging="220"/>
      </w:pPr>
      <w:r>
        <w:rPr>
          <w:b/>
          <w:color w:val="000080"/>
          <w:u w:val="single" w:color="000080"/>
        </w:rPr>
        <w:t>ANÁLISIS DE LA PROBLEMÁTICA Y AP</w:t>
      </w:r>
      <w:r>
        <w:rPr>
          <w:b/>
          <w:color w:val="000080"/>
          <w:u w:val="single" w:color="000080"/>
        </w:rPr>
        <w:t xml:space="preserve">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200</w:t>
      </w:r>
    </w:p>
    <w:p w:rsidR="00E23B86" w:rsidRDefault="00BA7C13">
      <w:pPr>
        <w:numPr>
          <w:ilvl w:val="1"/>
          <w:numId w:val="84"/>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                           </w:t>
      </w:r>
      <w:r>
        <w:rPr>
          <w:color w:val="000080"/>
          <w:u w:val="single" w:color="000080"/>
        </w:rPr>
        <w:t xml:space="preserve">                                                                                                                                   200</w:t>
      </w:r>
    </w:p>
    <w:p w:rsidR="00E23B86" w:rsidRDefault="00BA7C13">
      <w:pPr>
        <w:numPr>
          <w:ilvl w:val="1"/>
          <w:numId w:val="84"/>
        </w:numPr>
        <w:spacing w:after="2" w:line="257" w:lineRule="auto"/>
        <w:ind w:hanging="383"/>
      </w:pPr>
      <w:r>
        <w:rPr>
          <w:color w:val="000080"/>
          <w:u w:val="single" w:color="000080"/>
        </w:rPr>
        <w:t xml:space="preserve">La prevalencia del consumo en Canarias e indicaciones para la planificación de las </w:t>
      </w:r>
    </w:p>
    <w:p w:rsidR="00E23B86" w:rsidRDefault="00BA7C13">
      <w:pPr>
        <w:spacing w:after="116" w:line="257" w:lineRule="auto"/>
        <w:ind w:left="580" w:hanging="10"/>
      </w:pPr>
      <w:r>
        <w:rPr>
          <w:color w:val="000080"/>
          <w:u w:val="single" w:color="000080"/>
        </w:rPr>
        <w:t xml:space="preserve"> acciones de prevención e inserción. </w:t>
      </w:r>
      <w:r>
        <w:rPr>
          <w:color w:val="000080"/>
          <w:u w:val="single" w:color="000080"/>
        </w:rPr>
        <w:t xml:space="preserve">  ...................................................................................                                                                                             201</w:t>
      </w:r>
    </w:p>
    <w:p w:rsidR="00E23B86" w:rsidRDefault="00BA7C13">
      <w:pPr>
        <w:numPr>
          <w:ilvl w:val="1"/>
          <w:numId w:val="84"/>
        </w:numPr>
        <w:spacing w:after="116" w:line="257" w:lineRule="auto"/>
        <w:ind w:hanging="383"/>
      </w:pPr>
      <w:r>
        <w:rPr>
          <w:color w:val="000080"/>
          <w:u w:val="single" w:color="000080"/>
        </w:rPr>
        <w:t>Descripción del contexto municipal    ....................................</w:t>
      </w:r>
      <w:r>
        <w:rPr>
          <w:color w:val="000080"/>
          <w:u w:val="single" w:color="000080"/>
        </w:rPr>
        <w:t>........................................                                                                                     202</w:t>
      </w:r>
    </w:p>
    <w:p w:rsidR="00E23B86" w:rsidRDefault="00BA7C13">
      <w:pPr>
        <w:spacing w:after="116" w:line="257" w:lineRule="auto"/>
        <w:ind w:left="800" w:hanging="10"/>
      </w:pPr>
      <w:r>
        <w:rPr>
          <w:color w:val="000080"/>
          <w:u w:val="single" w:color="000080"/>
        </w:rPr>
        <w:t xml:space="preserve"> 2.3.1. Contexto demográfico y laboral  ..............................................................................         </w:t>
      </w:r>
      <w:r>
        <w:rPr>
          <w:color w:val="000080"/>
          <w:u w:val="single" w:color="000080"/>
        </w:rPr>
        <w:t xml:space="preserve">                                                                              203</w:t>
      </w:r>
    </w:p>
    <w:p w:rsidR="00E23B86" w:rsidRDefault="00BA7C13">
      <w:pPr>
        <w:numPr>
          <w:ilvl w:val="1"/>
          <w:numId w:val="84"/>
        </w:numPr>
        <w:spacing w:after="116" w:line="257" w:lineRule="auto"/>
        <w:ind w:hanging="383"/>
      </w:pPr>
      <w:r>
        <w:rPr>
          <w:color w:val="000080"/>
          <w:u w:val="single" w:color="000080"/>
        </w:rPr>
        <w:t xml:space="preserve">Recomendaciones para el diseño del IV Plan    ..............................................................                                                                  </w:t>
      </w:r>
      <w:r>
        <w:rPr>
          <w:color w:val="000080"/>
          <w:u w:val="single" w:color="000080"/>
        </w:rPr>
        <w:t xml:space="preserve">    207</w:t>
      </w:r>
    </w:p>
    <w:p w:rsidR="00E23B86" w:rsidRDefault="00BA7C13">
      <w:pPr>
        <w:spacing w:after="109" w:line="249" w:lineRule="auto"/>
        <w:ind w:left="353" w:hanging="8"/>
      </w:pPr>
      <w:r>
        <w:rPr>
          <w:b/>
          <w:color w:val="000080"/>
          <w:u w:val="single" w:color="000080"/>
        </w:rPr>
        <w:t xml:space="preserve"> 10.LOS PRINCIPIOS DEL IV PLAN  ...........................................................................................                                                                                                         208</w:t>
      </w:r>
    </w:p>
    <w:p w:rsidR="00E23B86" w:rsidRDefault="00BA7C13">
      <w:pPr>
        <w:spacing w:after="109" w:line="249" w:lineRule="auto"/>
        <w:ind w:left="353" w:hanging="8"/>
      </w:pPr>
      <w:r>
        <w:rPr>
          <w:b/>
          <w:color w:val="000080"/>
          <w:u w:val="single" w:color="000080"/>
        </w:rPr>
        <w:t xml:space="preserve"> 11.CAMPO DE ACT</w:t>
      </w:r>
      <w:r>
        <w:rPr>
          <w:b/>
          <w:color w:val="000080"/>
          <w:u w:val="single" w:color="000080"/>
        </w:rPr>
        <w:t>UACIÓN   .................................................................................................                                                                                                                210</w:t>
      </w:r>
    </w:p>
    <w:p w:rsidR="00E23B86" w:rsidRDefault="00BA7C13">
      <w:pPr>
        <w:spacing w:after="109" w:line="249" w:lineRule="auto"/>
        <w:ind w:left="353" w:hanging="8"/>
      </w:pPr>
      <w:r>
        <w:rPr>
          <w:b/>
          <w:color w:val="000080"/>
          <w:u w:val="single" w:color="000080"/>
        </w:rPr>
        <w:t xml:space="preserve"> 12.META Y OBJETIVOS GENERALES DEL</w:t>
      </w:r>
      <w:r>
        <w:rPr>
          <w:b/>
          <w:color w:val="000080"/>
          <w:u w:val="single" w:color="000080"/>
        </w:rPr>
        <w:t xml:space="preserve"> IV PLAN SOBRE ADICCIONES DE CANDELARIA   .......       210</w:t>
      </w:r>
    </w:p>
    <w:p w:rsidR="00E23B86" w:rsidRDefault="00BA7C13">
      <w:pPr>
        <w:spacing w:after="109" w:line="249" w:lineRule="auto"/>
        <w:ind w:left="353" w:hanging="8"/>
      </w:pPr>
      <w:r>
        <w:rPr>
          <w:b/>
          <w:color w:val="000080"/>
          <w:u w:val="single" w:color="000080"/>
        </w:rPr>
        <w:t xml:space="preserve"> 13.ÁREAS DE ACTUACIÓN  ...................................................................................................                                                                         </w:t>
      </w:r>
      <w:r>
        <w:rPr>
          <w:b/>
          <w:color w:val="000080"/>
          <w:u w:val="single" w:color="000080"/>
        </w:rPr>
        <w:t xml:space="preserve">                                          211</w:t>
      </w:r>
    </w:p>
    <w:p w:rsidR="00E23B86" w:rsidRDefault="00BA7C13">
      <w:pPr>
        <w:spacing w:after="116" w:line="257" w:lineRule="auto"/>
        <w:ind w:left="580" w:hanging="10"/>
      </w:pPr>
      <w:r>
        <w:rPr>
          <w:noProof/>
        </w:rPr>
        <mc:AlternateContent>
          <mc:Choice Requires="wpg">
            <w:drawing>
              <wp:anchor distT="0" distB="0" distL="114300" distR="114300" simplePos="0" relativeHeight="2518568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9558" name="Group 52955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2984" name="Rectangle 3298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2985" name="Rectangle 3298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9558" style="width:12.7031pt;height:280.35pt;position:absolute;mso-position-horizontal-relative:page;mso-position-horizontal:absolute;margin-left:681.958pt;mso-position-vertical-relative:page;margin-top:531.65pt;" coordsize="1613,35604">
                <v:rect id="Rectangle 3298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298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192 de 391 </w:t>
                        </w:r>
                      </w:p>
                    </w:txbxContent>
                  </v:textbox>
                </v:rect>
                <w10:wrap type="square"/>
              </v:group>
            </w:pict>
          </mc:Fallback>
        </mc:AlternateContent>
      </w:r>
      <w:r>
        <w:rPr>
          <w:color w:val="000080"/>
          <w:u w:val="single" w:color="000080"/>
        </w:rPr>
        <w:t xml:space="preserve"> 6.1. ÁREA D</w:t>
      </w:r>
      <w:r>
        <w:rPr>
          <w:color w:val="000080"/>
          <w:u w:val="single" w:color="000080"/>
        </w:rPr>
        <w:t>E PREVENCIÓN Y SENSIBILIZACIÓN  ...................................................................                                                                           211</w:t>
      </w:r>
    </w:p>
    <w:p w:rsidR="00E23B86" w:rsidRDefault="00BA7C13">
      <w:pPr>
        <w:numPr>
          <w:ilvl w:val="2"/>
          <w:numId w:val="86"/>
        </w:numPr>
        <w:spacing w:after="116" w:line="257" w:lineRule="auto"/>
        <w:ind w:hanging="551"/>
      </w:pPr>
      <w:r>
        <w:rPr>
          <w:color w:val="000080"/>
          <w:u w:val="single" w:color="000080"/>
        </w:rPr>
        <w:t>Ámbito Educativo  ............................................................</w:t>
      </w:r>
      <w:r>
        <w:rPr>
          <w:color w:val="000080"/>
          <w:u w:val="single" w:color="000080"/>
        </w:rPr>
        <w:t>.......................................                                                                                                               211</w:t>
      </w:r>
    </w:p>
    <w:p w:rsidR="00E23B86" w:rsidRDefault="00BA7C13">
      <w:pPr>
        <w:numPr>
          <w:ilvl w:val="2"/>
          <w:numId w:val="86"/>
        </w:numPr>
        <w:spacing w:after="116" w:line="257" w:lineRule="auto"/>
        <w:ind w:hanging="551"/>
      </w:pPr>
      <w:r>
        <w:rPr>
          <w:color w:val="000080"/>
          <w:u w:val="single" w:color="000080"/>
        </w:rPr>
        <w:t xml:space="preserve">Ámbito Familiar  </w:t>
      </w:r>
      <w:r>
        <w:rPr>
          <w:color w:val="000080"/>
          <w:u w:val="single" w:color="000080"/>
        </w:rPr>
        <w:t>......................................................................................................                                                                                                                  212</w:t>
      </w:r>
    </w:p>
    <w:p w:rsidR="00E23B86" w:rsidRDefault="00BA7C13">
      <w:pPr>
        <w:numPr>
          <w:ilvl w:val="2"/>
          <w:numId w:val="86"/>
        </w:numPr>
        <w:spacing w:after="116" w:line="257" w:lineRule="auto"/>
        <w:ind w:hanging="551"/>
      </w:pPr>
      <w:r>
        <w:rPr>
          <w:color w:val="000080"/>
          <w:u w:val="single" w:color="000080"/>
        </w:rPr>
        <w:t>Ámbito Comunitario  ................</w:t>
      </w:r>
      <w:r>
        <w:rPr>
          <w:color w:val="000080"/>
          <w:u w:val="single" w:color="000080"/>
        </w:rPr>
        <w:t>..............................................................................                                                                                                          213</w:t>
      </w:r>
    </w:p>
    <w:p w:rsidR="00E23B86" w:rsidRDefault="00BA7C13">
      <w:pPr>
        <w:spacing w:after="116" w:line="257" w:lineRule="auto"/>
        <w:ind w:left="580" w:hanging="10"/>
      </w:pPr>
      <w:r>
        <w:rPr>
          <w:color w:val="000080"/>
          <w:u w:val="single" w:color="000080"/>
        </w:rPr>
        <w:t xml:space="preserve"> 6.2. ÁREA DE INSERCIÓN SOCIAL  ....................................</w:t>
      </w:r>
      <w:r>
        <w:rPr>
          <w:color w:val="000080"/>
          <w:u w:val="single" w:color="000080"/>
        </w:rPr>
        <w:t>......................................................                                                                                                     215</w:t>
      </w:r>
    </w:p>
    <w:p w:rsidR="00E23B86" w:rsidRDefault="00BA7C13">
      <w:pPr>
        <w:spacing w:after="116" w:line="257" w:lineRule="auto"/>
        <w:ind w:left="580" w:hanging="10"/>
      </w:pPr>
      <w:r>
        <w:rPr>
          <w:color w:val="000080"/>
          <w:u w:val="single" w:color="000080"/>
        </w:rPr>
        <w:t xml:space="preserve"> 13.3.REA DE SOPORTE Y APOYO  ...................................................................</w:t>
      </w:r>
      <w:r>
        <w:rPr>
          <w:color w:val="000080"/>
          <w:u w:val="single" w:color="000080"/>
        </w:rPr>
        <w:t>.......................                                                                                                     216</w:t>
      </w:r>
    </w:p>
    <w:p w:rsidR="00E23B86" w:rsidRDefault="00BA7C13">
      <w:pPr>
        <w:spacing w:after="109" w:line="249" w:lineRule="auto"/>
        <w:ind w:left="353" w:hanging="8"/>
      </w:pPr>
      <w:r>
        <w:rPr>
          <w:b/>
          <w:color w:val="000080"/>
          <w:u w:val="single" w:color="000080"/>
        </w:rPr>
        <w:t xml:space="preserve"> 14.COORDINACIÓN DE LAS ACTUACIONES DEL IV PLAN  .......................................................                        </w:t>
      </w:r>
      <w:r>
        <w:rPr>
          <w:b/>
          <w:color w:val="000080"/>
          <w:u w:val="single" w:color="000080"/>
        </w:rPr>
        <w:t xml:space="preserve">                                        217</w:t>
      </w:r>
    </w:p>
    <w:p w:rsidR="00E23B86" w:rsidRDefault="00BA7C13">
      <w:pPr>
        <w:numPr>
          <w:ilvl w:val="1"/>
          <w:numId w:val="85"/>
        </w:numPr>
        <w:spacing w:after="116" w:line="257" w:lineRule="auto"/>
        <w:ind w:hanging="383"/>
      </w:pPr>
      <w:r>
        <w:rPr>
          <w:color w:val="000080"/>
          <w:u w:val="single" w:color="000080"/>
        </w:rPr>
        <w:t>Comisión Municipal de Prevención de Adicciones de Candelaria  ..................................                                     217</w:t>
      </w:r>
    </w:p>
    <w:p w:rsidR="00E23B86" w:rsidRDefault="00BA7C13">
      <w:pPr>
        <w:numPr>
          <w:ilvl w:val="1"/>
          <w:numId w:val="85"/>
        </w:numPr>
        <w:spacing w:after="116" w:line="257" w:lineRule="auto"/>
        <w:ind w:hanging="383"/>
      </w:pPr>
      <w:r>
        <w:rPr>
          <w:color w:val="000080"/>
          <w:u w:val="single" w:color="000080"/>
        </w:rPr>
        <w:t>Comisión Mixta de Prevención de Adicciones de Candelaria  .................</w:t>
      </w:r>
      <w:r>
        <w:rPr>
          <w:color w:val="000080"/>
          <w:u w:val="single" w:color="000080"/>
        </w:rPr>
        <w:t>........................                                             218</w:t>
      </w:r>
    </w:p>
    <w:p w:rsidR="00E23B86" w:rsidRDefault="00BA7C13">
      <w:pPr>
        <w:spacing w:after="109" w:line="249" w:lineRule="auto"/>
        <w:ind w:left="353" w:hanging="8"/>
      </w:pPr>
      <w:r>
        <w:rPr>
          <w:b/>
          <w:color w:val="000080"/>
          <w:u w:val="single" w:color="000080"/>
        </w:rPr>
        <w:t xml:space="preserve"> 15.RECURSOS DEL IV PLAN   .................................................................................................                                                           </w:t>
      </w:r>
      <w:r>
        <w:rPr>
          <w:b/>
          <w:color w:val="000080"/>
          <w:u w:val="single" w:color="000080"/>
        </w:rPr>
        <w:t xml:space="preserve">                                                      218</w:t>
      </w:r>
    </w:p>
    <w:p w:rsidR="00E23B86" w:rsidRDefault="00BA7C13">
      <w:pPr>
        <w:spacing w:after="109" w:line="249" w:lineRule="auto"/>
        <w:ind w:left="353" w:hanging="8"/>
      </w:pPr>
      <w:r>
        <w:rPr>
          <w:b/>
          <w:color w:val="000080"/>
          <w:u w:val="single" w:color="000080"/>
        </w:rPr>
        <w:t xml:space="preserve"> 16.EVALUACIÓN Y SEGUIMIENTO DEL PLAN  ........................................................................                                                                                    219</w:t>
      </w:r>
    </w:p>
    <w:p w:rsidR="00E23B86" w:rsidRDefault="00BA7C13">
      <w:pPr>
        <w:spacing w:after="109" w:line="249" w:lineRule="auto"/>
        <w:ind w:left="353" w:hanging="8"/>
      </w:pPr>
      <w:r>
        <w:rPr>
          <w:b/>
          <w:color w:val="000080"/>
          <w:u w:val="single" w:color="000080"/>
        </w:rPr>
        <w:t xml:space="preserve"> INTRODUCCIÓN    .................................................................................................................                                                                                                                             </w:t>
      </w:r>
      <w:r>
        <w:rPr>
          <w:b/>
          <w:color w:val="000080"/>
          <w:u w:val="single" w:color="000080"/>
        </w:rPr>
        <w:t xml:space="preserve">      225</w:t>
      </w:r>
    </w:p>
    <w:p w:rsidR="00E23B86" w:rsidRDefault="00BA7C13">
      <w:pPr>
        <w:numPr>
          <w:ilvl w:val="0"/>
          <w:numId w:val="87"/>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                                                                </w:t>
      </w:r>
      <w:r>
        <w:rPr>
          <w:b/>
          <w:color w:val="000080"/>
          <w:u w:val="single" w:color="000080"/>
        </w:rPr>
        <w:t xml:space="preserve">                                                      225</w:t>
      </w:r>
    </w:p>
    <w:p w:rsidR="00E23B86" w:rsidRDefault="00BA7C13">
      <w:pPr>
        <w:numPr>
          <w:ilvl w:val="0"/>
          <w:numId w:val="87"/>
        </w:numPr>
        <w:spacing w:after="9" w:line="249" w:lineRule="auto"/>
        <w:ind w:hanging="220"/>
      </w:pPr>
      <w:r>
        <w:rPr>
          <w:b/>
          <w:color w:val="000080"/>
          <w:u w:val="single" w:color="000080"/>
        </w:rPr>
        <w:t xml:space="preserve">ANÁLISIS DE LA PROBLEMÁTICA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w:t>
      </w:r>
      <w:r>
        <w:rPr>
          <w:b/>
          <w:color w:val="000080"/>
          <w:u w:val="single" w:color="000080"/>
        </w:rPr>
        <w:t xml:space="preserve">                                                                      226</w:t>
      </w:r>
    </w:p>
    <w:p w:rsidR="00E23B86" w:rsidRDefault="00BA7C13">
      <w:pPr>
        <w:numPr>
          <w:ilvl w:val="1"/>
          <w:numId w:val="87"/>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w:t>
      </w:r>
      <w:r>
        <w:rPr>
          <w:color w:val="000080"/>
          <w:u w:val="single" w:color="000080"/>
        </w:rPr>
        <w:t>...............................................                                                                                                                                                              226</w:t>
      </w:r>
    </w:p>
    <w:p w:rsidR="00E23B86" w:rsidRDefault="00BA7C13">
      <w:pPr>
        <w:numPr>
          <w:ilvl w:val="1"/>
          <w:numId w:val="87"/>
        </w:numPr>
        <w:spacing w:after="2" w:line="257" w:lineRule="auto"/>
        <w:ind w:hanging="383"/>
      </w:pPr>
      <w:r>
        <w:rPr>
          <w:color w:val="000080"/>
          <w:u w:val="single" w:color="000080"/>
        </w:rPr>
        <w:t>La prevalencia del consumo en Canarias e indica</w:t>
      </w:r>
      <w:r>
        <w:rPr>
          <w:color w:val="000080"/>
          <w:u w:val="single" w:color="000080"/>
        </w:rPr>
        <w:t xml:space="preserve">ciones para la planificación de las </w:t>
      </w:r>
    </w:p>
    <w:p w:rsidR="00E23B86" w:rsidRDefault="00BA7C13">
      <w:pPr>
        <w:spacing w:after="116" w:line="257" w:lineRule="auto"/>
        <w:ind w:left="580" w:hanging="10"/>
      </w:pPr>
      <w:r>
        <w:rPr>
          <w:color w:val="000080"/>
          <w:u w:val="single" w:color="000080"/>
        </w:rPr>
        <w:t xml:space="preserve"> acciones de prevención e inserción.   ...................................................................................                                                                                             228</w:t>
      </w:r>
    </w:p>
    <w:p w:rsidR="00E23B86" w:rsidRDefault="00BA7C13">
      <w:pPr>
        <w:numPr>
          <w:ilvl w:val="1"/>
          <w:numId w:val="87"/>
        </w:numPr>
        <w:spacing w:after="116" w:line="257" w:lineRule="auto"/>
        <w:ind w:hanging="383"/>
      </w:pPr>
      <w:r>
        <w:rPr>
          <w:color w:val="000080"/>
          <w:u w:val="single" w:color="000080"/>
        </w:rPr>
        <w:t>Descripción del contexto municipal    ............................................................................                                                                                     229</w:t>
      </w:r>
    </w:p>
    <w:p w:rsidR="00E23B86" w:rsidRDefault="00BA7C13">
      <w:pPr>
        <w:spacing w:after="116" w:line="257" w:lineRule="auto"/>
        <w:ind w:left="800" w:hanging="10"/>
      </w:pPr>
      <w:r>
        <w:rPr>
          <w:color w:val="000080"/>
          <w:u w:val="single" w:color="000080"/>
        </w:rPr>
        <w:t xml:space="preserve"> 2.3.1. Contexto demográfico y laboral  .............</w:t>
      </w:r>
      <w:r>
        <w:rPr>
          <w:color w:val="000080"/>
          <w:u w:val="single" w:color="000080"/>
        </w:rPr>
        <w:t>.................................................................                                                                                       230</w:t>
      </w:r>
    </w:p>
    <w:p w:rsidR="00E23B86" w:rsidRDefault="00BA7C13">
      <w:pPr>
        <w:numPr>
          <w:ilvl w:val="1"/>
          <w:numId w:val="87"/>
        </w:numPr>
        <w:spacing w:after="116" w:line="257" w:lineRule="auto"/>
        <w:ind w:hanging="383"/>
      </w:pPr>
      <w:r>
        <w:rPr>
          <w:color w:val="000080"/>
          <w:u w:val="single" w:color="000080"/>
        </w:rPr>
        <w:t>Recomendaciones para el diseño del IV Plan    ......................................................</w:t>
      </w:r>
      <w:r>
        <w:rPr>
          <w:color w:val="000080"/>
          <w:u w:val="single" w:color="000080"/>
        </w:rPr>
        <w:t>........                                                                      234</w:t>
      </w:r>
    </w:p>
    <w:p w:rsidR="00E23B86" w:rsidRDefault="00BA7C13">
      <w:pPr>
        <w:spacing w:after="109" w:line="249" w:lineRule="auto"/>
        <w:ind w:left="353" w:hanging="8"/>
      </w:pPr>
      <w:r>
        <w:rPr>
          <w:b/>
          <w:color w:val="000080"/>
          <w:u w:val="single" w:color="000080"/>
        </w:rPr>
        <w:t xml:space="preserve"> 3.LOS PRINCIPIOS DEL IV PLAN  ............................................................................................                                                   </w:t>
      </w:r>
      <w:r>
        <w:rPr>
          <w:b/>
          <w:color w:val="000080"/>
          <w:u w:val="single" w:color="000080"/>
        </w:rPr>
        <w:t xml:space="preserve">                                                        235</w:t>
      </w:r>
    </w:p>
    <w:p w:rsidR="00E23B86" w:rsidRDefault="00BA7C13">
      <w:pPr>
        <w:spacing w:after="109" w:line="249" w:lineRule="auto"/>
        <w:ind w:left="353" w:hanging="8"/>
      </w:pPr>
      <w:r>
        <w:rPr>
          <w:b/>
          <w:color w:val="000080"/>
          <w:u w:val="single" w:color="000080"/>
        </w:rPr>
        <w:t xml:space="preserve"> 4.CAMPO DE ACTUACIÓN   ...................................................................................................                                                                         </w:t>
      </w:r>
      <w:r>
        <w:rPr>
          <w:b/>
          <w:color w:val="000080"/>
          <w:u w:val="single" w:color="000080"/>
        </w:rPr>
        <w:t xml:space="preserve">                                          236</w:t>
      </w:r>
    </w:p>
    <w:p w:rsidR="00E23B86" w:rsidRDefault="00BA7C13">
      <w:pPr>
        <w:spacing w:after="109" w:line="249" w:lineRule="auto"/>
        <w:ind w:left="353" w:hanging="8"/>
      </w:pPr>
      <w:r>
        <w:rPr>
          <w:b/>
          <w:color w:val="000080"/>
          <w:u w:val="single" w:color="000080"/>
        </w:rPr>
        <w:t xml:space="preserve"> 5.META Y OBJETIVOS GENERALES DEL IV PLAN SOBRE ADICCIONES DE CANDELARIA   .........         236</w:t>
      </w:r>
    </w:p>
    <w:p w:rsidR="00E23B86" w:rsidRDefault="00BA7C13">
      <w:pPr>
        <w:spacing w:after="109" w:line="249" w:lineRule="auto"/>
        <w:ind w:left="353" w:hanging="8"/>
      </w:pPr>
      <w:r>
        <w:rPr>
          <w:b/>
          <w:color w:val="000080"/>
          <w:u w:val="single" w:color="000080"/>
        </w:rPr>
        <w:t xml:space="preserve"> 6.ÁREAS DE ACTUACIÓN  ..........................................................................................</w:t>
      </w:r>
      <w:r>
        <w:rPr>
          <w:b/>
          <w:color w:val="000080"/>
          <w:u w:val="single" w:color="000080"/>
        </w:rPr>
        <w:t>...........                                                                                                                      237</w:t>
      </w:r>
    </w:p>
    <w:p w:rsidR="00E23B86" w:rsidRDefault="00BA7C13">
      <w:pPr>
        <w:spacing w:after="116" w:line="257" w:lineRule="auto"/>
        <w:ind w:left="580" w:hanging="10"/>
      </w:pPr>
      <w:r>
        <w:rPr>
          <w:color w:val="000080"/>
          <w:u w:val="single" w:color="000080"/>
        </w:rPr>
        <w:t xml:space="preserve"> 6.1. ÁREA DE PREVENCIÓN Y SENSIBILIZACIÓN  ...................................................................            </w:t>
      </w:r>
      <w:r>
        <w:rPr>
          <w:color w:val="000080"/>
          <w:u w:val="single" w:color="000080"/>
        </w:rPr>
        <w:t xml:space="preserve">                                                               237</w:t>
      </w:r>
    </w:p>
    <w:p w:rsidR="00E23B86" w:rsidRDefault="00BA7C13">
      <w:pPr>
        <w:numPr>
          <w:ilvl w:val="2"/>
          <w:numId w:val="88"/>
        </w:numPr>
        <w:spacing w:after="116" w:line="257" w:lineRule="auto"/>
        <w:ind w:hanging="551"/>
      </w:pPr>
      <w:r>
        <w:rPr>
          <w:color w:val="000080"/>
          <w:u w:val="single" w:color="000080"/>
        </w:rPr>
        <w:t xml:space="preserve">Ámbito Educativo  ...................................................................................................                                                                        </w:t>
      </w:r>
      <w:r>
        <w:rPr>
          <w:color w:val="000080"/>
          <w:u w:val="single" w:color="000080"/>
        </w:rPr>
        <w:t xml:space="preserve">                                       238</w:t>
      </w:r>
    </w:p>
    <w:p w:rsidR="00E23B86" w:rsidRDefault="00BA7C13">
      <w:pPr>
        <w:numPr>
          <w:ilvl w:val="2"/>
          <w:numId w:val="88"/>
        </w:numPr>
        <w:spacing w:after="116" w:line="257" w:lineRule="auto"/>
        <w:ind w:hanging="551"/>
      </w:pPr>
      <w:r>
        <w:rPr>
          <w:color w:val="000080"/>
          <w:u w:val="single" w:color="000080"/>
        </w:rPr>
        <w:t xml:space="preserve">Ámbito Familiar  ......................................................................................................                                                                                              </w:t>
      </w:r>
      <w:r>
        <w:rPr>
          <w:color w:val="000080"/>
          <w:u w:val="single" w:color="000080"/>
        </w:rPr>
        <w:t xml:space="preserve">                    239</w:t>
      </w:r>
    </w:p>
    <w:p w:rsidR="00E23B86" w:rsidRDefault="00BA7C13">
      <w:pPr>
        <w:numPr>
          <w:ilvl w:val="2"/>
          <w:numId w:val="88"/>
        </w:numPr>
        <w:spacing w:after="116" w:line="257" w:lineRule="auto"/>
        <w:ind w:hanging="551"/>
      </w:pPr>
      <w:r>
        <w:rPr>
          <w:color w:val="000080"/>
          <w:u w:val="single" w:color="000080"/>
        </w:rPr>
        <w:t>Ámbito Comunitario  ..............................................................................................                                                                                                          240</w:t>
      </w:r>
    </w:p>
    <w:p w:rsidR="00E23B86" w:rsidRDefault="00BA7C13">
      <w:pPr>
        <w:spacing w:after="116" w:line="257" w:lineRule="auto"/>
        <w:ind w:left="580" w:hanging="10"/>
      </w:pPr>
      <w:r>
        <w:rPr>
          <w:color w:val="000080"/>
          <w:u w:val="single" w:color="000080"/>
        </w:rPr>
        <w:t xml:space="preserve"> 6.2. ÁR</w:t>
      </w:r>
      <w:r>
        <w:rPr>
          <w:color w:val="000080"/>
          <w:u w:val="single" w:color="000080"/>
        </w:rPr>
        <w:t>EA DE INSERCIÓN SOCIAL  ..........................................................................................                                                                                                     242</w:t>
      </w:r>
    </w:p>
    <w:p w:rsidR="00E23B86" w:rsidRDefault="00BA7C13">
      <w:pPr>
        <w:spacing w:after="116" w:line="257" w:lineRule="auto"/>
        <w:ind w:left="580" w:hanging="10"/>
      </w:pPr>
      <w:r>
        <w:rPr>
          <w:color w:val="000080"/>
          <w:u w:val="single" w:color="000080"/>
        </w:rPr>
        <w:t xml:space="preserve"> 6.3.ÁREA DE SOPORTE Y APOYO  .......</w:t>
      </w:r>
      <w:r>
        <w:rPr>
          <w:color w:val="000080"/>
          <w:u w:val="single" w:color="000080"/>
        </w:rPr>
        <w:t>...................................................................................                                                                                                     243</w:t>
      </w:r>
    </w:p>
    <w:p w:rsidR="00E23B86" w:rsidRDefault="00BA7C13">
      <w:pPr>
        <w:spacing w:after="109" w:line="249" w:lineRule="auto"/>
        <w:ind w:left="353" w:hanging="8"/>
      </w:pPr>
      <w:r>
        <w:rPr>
          <w:b/>
          <w:color w:val="000080"/>
          <w:u w:val="single" w:color="000080"/>
        </w:rPr>
        <w:t xml:space="preserve"> 7.COORDINACIÓN DE LAS ACTUACIONES DEL IV PLAN  ....................</w:t>
      </w:r>
      <w:r>
        <w:rPr>
          <w:b/>
          <w:color w:val="000080"/>
          <w:u w:val="single" w:color="000080"/>
        </w:rPr>
        <w:t>.....................................                                                                  243</w:t>
      </w:r>
    </w:p>
    <w:p w:rsidR="00E23B86" w:rsidRDefault="00BA7C13">
      <w:pPr>
        <w:numPr>
          <w:ilvl w:val="1"/>
          <w:numId w:val="89"/>
        </w:numPr>
        <w:spacing w:after="116" w:line="257" w:lineRule="auto"/>
        <w:ind w:hanging="383"/>
      </w:pPr>
      <w:r>
        <w:rPr>
          <w:noProof/>
        </w:rPr>
        <mc:AlternateContent>
          <mc:Choice Requires="wpg">
            <w:drawing>
              <wp:anchor distT="0" distB="0" distL="114300" distR="114300" simplePos="0" relativeHeight="2518579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9534" name="Group 52953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3433" name="Rectangle 3343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3434" name="Rectangle 3343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9534" style="width:12.7031pt;height:280.35pt;position:absolute;mso-position-horizontal-relative:page;mso-position-horizontal:absolute;margin-left:681.958pt;mso-position-vertical-relative:page;margin-top:531.65pt;" coordsize="1613,35604">
                <v:rect id="Rectangle 3343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343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193 de 391 </w:t>
                        </w:r>
                      </w:p>
                    </w:txbxContent>
                  </v:textbox>
                </v:rect>
                <w10:wrap type="square"/>
              </v:group>
            </w:pict>
          </mc:Fallback>
        </mc:AlternateContent>
      </w:r>
      <w:r>
        <w:rPr>
          <w:color w:val="000080"/>
          <w:u w:val="single" w:color="000080"/>
        </w:rPr>
        <w:t>Comisión Municipal de Prevención de Adicciones de Candelaria  ..................................                                     244</w:t>
      </w:r>
    </w:p>
    <w:p w:rsidR="00E23B86" w:rsidRDefault="00BA7C13">
      <w:pPr>
        <w:numPr>
          <w:ilvl w:val="1"/>
          <w:numId w:val="89"/>
        </w:numPr>
        <w:spacing w:after="116" w:line="257" w:lineRule="auto"/>
        <w:ind w:hanging="383"/>
      </w:pPr>
      <w:r>
        <w:rPr>
          <w:color w:val="000080"/>
          <w:u w:val="single" w:color="000080"/>
        </w:rPr>
        <w:t>Comisión Mixta de Preven</w:t>
      </w:r>
      <w:r>
        <w:rPr>
          <w:color w:val="000080"/>
          <w:u w:val="single" w:color="000080"/>
        </w:rPr>
        <w:t>ción de Adicciones de Candelaria  .........................................                                             244</w:t>
      </w:r>
    </w:p>
    <w:p w:rsidR="00E23B86" w:rsidRDefault="00BA7C13">
      <w:pPr>
        <w:spacing w:after="109" w:line="249" w:lineRule="auto"/>
        <w:ind w:left="353" w:hanging="8"/>
      </w:pPr>
      <w:r>
        <w:rPr>
          <w:b/>
          <w:color w:val="000080"/>
          <w:u w:val="single" w:color="000080"/>
        </w:rPr>
        <w:t xml:space="preserve"> 8.RECURSOS DEL IV PLAN   ...................................................................................................       </w:t>
      </w:r>
      <w:r>
        <w:rPr>
          <w:b/>
          <w:color w:val="000080"/>
          <w:u w:val="single" w:color="000080"/>
        </w:rPr>
        <w:t xml:space="preserve">                                                                                                            245</w:t>
      </w:r>
    </w:p>
    <w:p w:rsidR="00E23B86" w:rsidRDefault="00BA7C13">
      <w:pPr>
        <w:spacing w:after="109" w:line="249" w:lineRule="auto"/>
        <w:ind w:left="353" w:hanging="8"/>
      </w:pPr>
      <w:r>
        <w:rPr>
          <w:b/>
          <w:color w:val="000080"/>
          <w:u w:val="single" w:color="000080"/>
        </w:rPr>
        <w:t xml:space="preserve"> 9.EVALUACIÓN Y SEGUIMIENTO DEL PLAN  ..........................................................................                                </w:t>
      </w:r>
      <w:r>
        <w:rPr>
          <w:b/>
          <w:color w:val="000080"/>
          <w:u w:val="single" w:color="000080"/>
        </w:rPr>
        <w:t xml:space="preserve">                                                      246</w:t>
      </w:r>
    </w:p>
    <w:p w:rsidR="00E23B86" w:rsidRDefault="00BA7C13">
      <w:pPr>
        <w:spacing w:after="116" w:line="257" w:lineRule="auto"/>
        <w:ind w:left="800" w:hanging="10"/>
      </w:pPr>
      <w:r>
        <w:rPr>
          <w:color w:val="000080"/>
          <w:u w:val="single" w:color="000080"/>
        </w:rPr>
        <w:t xml:space="preserve"> Ley 16/2019, de 2 de mayo, de Servicios Sociales de Canarias.  ........................................                                            251</w:t>
      </w:r>
    </w:p>
    <w:p w:rsidR="00E23B86" w:rsidRDefault="00BA7C13">
      <w:pPr>
        <w:numPr>
          <w:ilvl w:val="0"/>
          <w:numId w:val="90"/>
        </w:numPr>
        <w:spacing w:after="9" w:line="249" w:lineRule="auto"/>
        <w:ind w:hanging="220"/>
      </w:pPr>
      <w:r>
        <w:rPr>
          <w:b/>
          <w:color w:val="000080"/>
          <w:u w:val="single" w:color="000080"/>
        </w:rPr>
        <w:t>COMPETENCIAS DEL AYUNTAMIENTO EN MATERIA DE PR</w:t>
      </w:r>
      <w:r>
        <w:rPr>
          <w:b/>
          <w:color w:val="000080"/>
          <w:u w:val="single" w:color="000080"/>
        </w:rPr>
        <w:t xml:space="preserve">EVENCIÓN DE </w:t>
      </w:r>
    </w:p>
    <w:p w:rsidR="00E23B86" w:rsidRDefault="00BA7C13">
      <w:pPr>
        <w:spacing w:after="109" w:line="249" w:lineRule="auto"/>
        <w:ind w:left="353" w:hanging="8"/>
      </w:pPr>
      <w:r>
        <w:rPr>
          <w:b/>
          <w:color w:val="000080"/>
          <w:u w:val="single" w:color="000080"/>
        </w:rPr>
        <w:t xml:space="preserve"> DROGODEPENDENCIAS.  ......................................................................................................                                                                                                                      25</w:t>
      </w:r>
      <w:r>
        <w:rPr>
          <w:b/>
          <w:color w:val="000080"/>
          <w:u w:val="single" w:color="000080"/>
        </w:rPr>
        <w:t>9</w:t>
      </w:r>
    </w:p>
    <w:p w:rsidR="00E23B86" w:rsidRDefault="00BA7C13">
      <w:pPr>
        <w:numPr>
          <w:ilvl w:val="0"/>
          <w:numId w:val="90"/>
        </w:numPr>
        <w:spacing w:after="9" w:line="249" w:lineRule="auto"/>
        <w:ind w:hanging="220"/>
      </w:pPr>
      <w:r>
        <w:rPr>
          <w:b/>
          <w:color w:val="000080"/>
          <w:u w:val="single" w:color="000080"/>
        </w:rPr>
        <w:t xml:space="preserve">ANÁLISIS DE LA PROBLEMÁTICA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w:t>
      </w:r>
      <w:r>
        <w:rPr>
          <w:b/>
          <w:color w:val="000080"/>
          <w:u w:val="single" w:color="000080"/>
        </w:rPr>
        <w:t xml:space="preserve">              259</w:t>
      </w:r>
    </w:p>
    <w:p w:rsidR="00E23B86" w:rsidRDefault="00BA7C13">
      <w:pPr>
        <w:numPr>
          <w:ilvl w:val="1"/>
          <w:numId w:val="90"/>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         </w:t>
      </w:r>
      <w:r>
        <w:rPr>
          <w:color w:val="000080"/>
          <w:u w:val="single" w:color="000080"/>
        </w:rPr>
        <w:t xml:space="preserve">                                                                                                                                                     260</w:t>
      </w:r>
    </w:p>
    <w:p w:rsidR="00E23B86" w:rsidRDefault="00BA7C13">
      <w:pPr>
        <w:numPr>
          <w:ilvl w:val="1"/>
          <w:numId w:val="90"/>
        </w:numPr>
        <w:spacing w:after="2" w:line="257" w:lineRule="auto"/>
        <w:ind w:hanging="383"/>
      </w:pPr>
      <w:r>
        <w:rPr>
          <w:color w:val="000080"/>
          <w:u w:val="single" w:color="000080"/>
        </w:rPr>
        <w:t xml:space="preserve">La prevalencia del consumo en Canarias e indicaciones para la planificación de las </w:t>
      </w:r>
    </w:p>
    <w:p w:rsidR="00E23B86" w:rsidRDefault="00BA7C13">
      <w:pPr>
        <w:spacing w:after="116" w:line="257" w:lineRule="auto"/>
        <w:ind w:left="580" w:hanging="10"/>
      </w:pPr>
      <w:r>
        <w:rPr>
          <w:color w:val="000080"/>
          <w:u w:val="single" w:color="000080"/>
        </w:rPr>
        <w:t xml:space="preserve"> acciones de preven</w:t>
      </w:r>
      <w:r>
        <w:rPr>
          <w:color w:val="000080"/>
          <w:u w:val="single" w:color="000080"/>
        </w:rPr>
        <w:t>ción e inserción.   ...................................................................................                                                                                             261</w:t>
      </w:r>
    </w:p>
    <w:p w:rsidR="00E23B86" w:rsidRDefault="00BA7C13">
      <w:pPr>
        <w:numPr>
          <w:ilvl w:val="1"/>
          <w:numId w:val="90"/>
        </w:numPr>
        <w:spacing w:after="116" w:line="257" w:lineRule="auto"/>
        <w:ind w:hanging="383"/>
      </w:pPr>
      <w:r>
        <w:rPr>
          <w:color w:val="000080"/>
          <w:u w:val="single" w:color="000080"/>
        </w:rPr>
        <w:t>Descripción del contexto municipal    ..................</w:t>
      </w:r>
      <w:r>
        <w:rPr>
          <w:color w:val="000080"/>
          <w:u w:val="single" w:color="000080"/>
        </w:rPr>
        <w:t>..........................................................                                                                                     262</w:t>
      </w:r>
    </w:p>
    <w:p w:rsidR="00E23B86" w:rsidRDefault="00BA7C13">
      <w:pPr>
        <w:spacing w:after="116" w:line="257" w:lineRule="auto"/>
        <w:ind w:left="800" w:hanging="10"/>
      </w:pPr>
      <w:r>
        <w:rPr>
          <w:color w:val="000080"/>
          <w:u w:val="single" w:color="000080"/>
        </w:rPr>
        <w:t xml:space="preserve"> 2.3.1. Contexto demográfico y laboral  .....................................................................</w:t>
      </w:r>
      <w:r>
        <w:rPr>
          <w:color w:val="000080"/>
          <w:u w:val="single" w:color="000080"/>
        </w:rPr>
        <w:t>.........                                                                                       263</w:t>
      </w:r>
    </w:p>
    <w:p w:rsidR="00E23B86" w:rsidRDefault="00BA7C13">
      <w:pPr>
        <w:numPr>
          <w:ilvl w:val="1"/>
          <w:numId w:val="90"/>
        </w:numPr>
        <w:spacing w:after="116" w:line="257" w:lineRule="auto"/>
        <w:ind w:hanging="383"/>
      </w:pPr>
      <w:r>
        <w:rPr>
          <w:color w:val="000080"/>
          <w:u w:val="single" w:color="000080"/>
        </w:rPr>
        <w:t xml:space="preserve">Recomendaciones para el diseño del IV Plan    ..............................................................                                                </w:t>
      </w:r>
      <w:r>
        <w:rPr>
          <w:color w:val="000080"/>
          <w:u w:val="single" w:color="000080"/>
        </w:rPr>
        <w:t xml:space="preserve">                      267</w:t>
      </w:r>
    </w:p>
    <w:p w:rsidR="00E23B86" w:rsidRDefault="00BA7C13">
      <w:pPr>
        <w:spacing w:after="109" w:line="249" w:lineRule="auto"/>
        <w:ind w:left="353" w:hanging="8"/>
      </w:pPr>
      <w:r>
        <w:rPr>
          <w:b/>
          <w:color w:val="000080"/>
          <w:u w:val="single" w:color="000080"/>
        </w:rPr>
        <w:t xml:space="preserve"> 10.LOS PRINCIPIOS DEL IV PLAN  ...........................................................................................                                                                                                         </w:t>
      </w:r>
      <w:r>
        <w:rPr>
          <w:b/>
          <w:color w:val="000080"/>
          <w:u w:val="single" w:color="000080"/>
        </w:rPr>
        <w:t>268</w:t>
      </w:r>
    </w:p>
    <w:p w:rsidR="00E23B86" w:rsidRDefault="00BA7C13">
      <w:pPr>
        <w:spacing w:after="109" w:line="249" w:lineRule="auto"/>
        <w:ind w:left="353" w:hanging="8"/>
      </w:pPr>
      <w:r>
        <w:rPr>
          <w:b/>
          <w:color w:val="000080"/>
          <w:u w:val="single" w:color="000080"/>
        </w:rPr>
        <w:t xml:space="preserve"> 11.CAMPO DE ACTUACIÓN   .................................................................................................                                                                                                                269</w:t>
      </w:r>
    </w:p>
    <w:p w:rsidR="00E23B86" w:rsidRDefault="00BA7C13">
      <w:pPr>
        <w:spacing w:after="109" w:line="249" w:lineRule="auto"/>
        <w:ind w:left="353" w:hanging="8"/>
      </w:pPr>
      <w:r>
        <w:rPr>
          <w:b/>
          <w:color w:val="000080"/>
          <w:u w:val="single" w:color="000080"/>
        </w:rPr>
        <w:t xml:space="preserve"> 12.META Y OBJ</w:t>
      </w:r>
      <w:r>
        <w:rPr>
          <w:b/>
          <w:color w:val="000080"/>
          <w:u w:val="single" w:color="000080"/>
        </w:rPr>
        <w:t>ETIVOS GENERALES DEL IV PLAN SOBRE ADICCIONES DE CANDELARIA   .......       270</w:t>
      </w:r>
    </w:p>
    <w:p w:rsidR="00E23B86" w:rsidRDefault="00BA7C13">
      <w:pPr>
        <w:spacing w:after="109" w:line="249" w:lineRule="auto"/>
        <w:ind w:left="353" w:hanging="8"/>
      </w:pPr>
      <w:r>
        <w:rPr>
          <w:b/>
          <w:color w:val="000080"/>
          <w:u w:val="single" w:color="000080"/>
        </w:rPr>
        <w:t xml:space="preserve"> 13.ÁREAS DE ACTUACIÓN  ...................................................................................................                                                     </w:t>
      </w:r>
      <w:r>
        <w:rPr>
          <w:b/>
          <w:color w:val="000080"/>
          <w:u w:val="single" w:color="000080"/>
        </w:rPr>
        <w:t xml:space="preserve">                                                              270</w:t>
      </w:r>
    </w:p>
    <w:p w:rsidR="00E23B86" w:rsidRDefault="00BA7C13">
      <w:pPr>
        <w:spacing w:after="116" w:line="257" w:lineRule="auto"/>
        <w:ind w:left="580" w:hanging="10"/>
      </w:pPr>
      <w:r>
        <w:rPr>
          <w:color w:val="000080"/>
          <w:u w:val="single" w:color="000080"/>
        </w:rPr>
        <w:t xml:space="preserve"> 6.1. ÁREA DE PREVENCIÓN Y SENSIBILIZACIÓN  ...................................................................                                                                           271</w:t>
      </w:r>
    </w:p>
    <w:p w:rsidR="00E23B86" w:rsidRDefault="00BA7C13">
      <w:pPr>
        <w:numPr>
          <w:ilvl w:val="2"/>
          <w:numId w:val="92"/>
        </w:numPr>
        <w:spacing w:after="116" w:line="257" w:lineRule="auto"/>
        <w:ind w:hanging="551"/>
      </w:pPr>
      <w:r>
        <w:rPr>
          <w:color w:val="000080"/>
          <w:u w:val="single" w:color="000080"/>
        </w:rPr>
        <w:t>Ámbito Educativo  ...................................................................................................                                                                                                               271</w:t>
      </w:r>
    </w:p>
    <w:p w:rsidR="00E23B86" w:rsidRDefault="00BA7C13">
      <w:pPr>
        <w:numPr>
          <w:ilvl w:val="2"/>
          <w:numId w:val="92"/>
        </w:numPr>
        <w:spacing w:after="116" w:line="257" w:lineRule="auto"/>
        <w:ind w:hanging="551"/>
      </w:pPr>
      <w:r>
        <w:rPr>
          <w:color w:val="000080"/>
          <w:u w:val="single" w:color="000080"/>
        </w:rPr>
        <w:t>Ámbito Familiar  .......</w:t>
      </w:r>
      <w:r>
        <w:rPr>
          <w:color w:val="000080"/>
          <w:u w:val="single" w:color="000080"/>
        </w:rPr>
        <w:t>...............................................................................................                                                                                                                  272</w:t>
      </w:r>
    </w:p>
    <w:p w:rsidR="00E23B86" w:rsidRDefault="00BA7C13">
      <w:pPr>
        <w:numPr>
          <w:ilvl w:val="2"/>
          <w:numId w:val="92"/>
        </w:numPr>
        <w:spacing w:after="116" w:line="257" w:lineRule="auto"/>
        <w:ind w:hanging="551"/>
      </w:pPr>
      <w:r>
        <w:rPr>
          <w:color w:val="000080"/>
          <w:u w:val="single" w:color="000080"/>
        </w:rPr>
        <w:t>Ámbito Comunitario  .......................</w:t>
      </w:r>
      <w:r>
        <w:rPr>
          <w:color w:val="000080"/>
          <w:u w:val="single" w:color="000080"/>
        </w:rPr>
        <w:t>.......................................................................                                                                                                          273</w:t>
      </w:r>
    </w:p>
    <w:p w:rsidR="00E23B86" w:rsidRDefault="00BA7C13">
      <w:pPr>
        <w:spacing w:after="116" w:line="257" w:lineRule="auto"/>
        <w:ind w:left="580" w:hanging="10"/>
      </w:pPr>
      <w:r>
        <w:rPr>
          <w:color w:val="000080"/>
          <w:u w:val="single" w:color="000080"/>
        </w:rPr>
        <w:t xml:space="preserve"> 6.2. ÁREA DE INSERCIÓN SOCIAL  ...........................................</w:t>
      </w:r>
      <w:r>
        <w:rPr>
          <w:color w:val="000080"/>
          <w:u w:val="single" w:color="000080"/>
        </w:rPr>
        <w:t>...............................................                                                                                                     276</w:t>
      </w:r>
    </w:p>
    <w:p w:rsidR="00E23B86" w:rsidRDefault="00BA7C13">
      <w:pPr>
        <w:spacing w:after="116" w:line="257" w:lineRule="auto"/>
        <w:ind w:left="580" w:hanging="10"/>
      </w:pPr>
      <w:r>
        <w:rPr>
          <w:color w:val="000080"/>
          <w:u w:val="single" w:color="000080"/>
        </w:rPr>
        <w:t xml:space="preserve"> 13.3.ÁREA DE SOPORTE Y APOYO  .........................................................................</w:t>
      </w:r>
      <w:r>
        <w:rPr>
          <w:color w:val="000080"/>
          <w:u w:val="single" w:color="000080"/>
        </w:rPr>
        <w:t>...............                                                                                                   277</w:t>
      </w:r>
    </w:p>
    <w:p w:rsidR="00E23B86" w:rsidRDefault="00BA7C13">
      <w:pPr>
        <w:spacing w:after="109" w:line="249" w:lineRule="auto"/>
        <w:ind w:left="353" w:hanging="8"/>
      </w:pPr>
      <w:r>
        <w:rPr>
          <w:b/>
          <w:color w:val="000080"/>
          <w:u w:val="single" w:color="000080"/>
        </w:rPr>
        <w:t xml:space="preserve"> 14.COORDINACIÓN DE LAS ACTUACIONES DEL IV PLAN  .......................................................                                  </w:t>
      </w:r>
      <w:r>
        <w:rPr>
          <w:b/>
          <w:color w:val="000080"/>
          <w:u w:val="single" w:color="000080"/>
        </w:rPr>
        <w:t xml:space="preserve">                              277</w:t>
      </w:r>
    </w:p>
    <w:p w:rsidR="00E23B86" w:rsidRDefault="00BA7C13">
      <w:pPr>
        <w:numPr>
          <w:ilvl w:val="1"/>
          <w:numId w:val="91"/>
        </w:numPr>
        <w:spacing w:after="116" w:line="257" w:lineRule="auto"/>
        <w:ind w:hanging="383"/>
      </w:pPr>
      <w:r>
        <w:rPr>
          <w:color w:val="000080"/>
          <w:u w:val="single" w:color="000080"/>
        </w:rPr>
        <w:t>Comisión Municipal de Prevención de Adicciones de Candelaria  ..................................                                     278</w:t>
      </w:r>
    </w:p>
    <w:p w:rsidR="00E23B86" w:rsidRDefault="00BA7C13">
      <w:pPr>
        <w:numPr>
          <w:ilvl w:val="1"/>
          <w:numId w:val="91"/>
        </w:numPr>
        <w:spacing w:after="116" w:line="257" w:lineRule="auto"/>
        <w:ind w:hanging="383"/>
      </w:pPr>
      <w:r>
        <w:rPr>
          <w:color w:val="000080"/>
          <w:u w:val="single" w:color="000080"/>
        </w:rPr>
        <w:t>Comisión Mixta de Prevención de Adicciones de Candelaria  ...........................</w:t>
      </w:r>
      <w:r>
        <w:rPr>
          <w:color w:val="000080"/>
          <w:u w:val="single" w:color="000080"/>
        </w:rPr>
        <w:t>..............                                             278</w:t>
      </w:r>
    </w:p>
    <w:p w:rsidR="00E23B86" w:rsidRDefault="00BA7C13">
      <w:pPr>
        <w:spacing w:after="109" w:line="249" w:lineRule="auto"/>
        <w:ind w:left="353" w:hanging="8"/>
      </w:pPr>
      <w:r>
        <w:rPr>
          <w:b/>
          <w:color w:val="000080"/>
          <w:u w:val="single" w:color="000080"/>
        </w:rPr>
        <w:t xml:space="preserve"> 15.RECURSOS DEL IV PLAN   .................................................................................................                                                                     </w:t>
      </w:r>
      <w:r>
        <w:rPr>
          <w:b/>
          <w:color w:val="000080"/>
          <w:u w:val="single" w:color="000080"/>
        </w:rPr>
        <w:t xml:space="preserve">                                            279</w:t>
      </w:r>
    </w:p>
    <w:p w:rsidR="00E23B86" w:rsidRDefault="00BA7C13">
      <w:pPr>
        <w:spacing w:after="109" w:line="249" w:lineRule="auto"/>
        <w:ind w:left="353" w:hanging="8"/>
      </w:pPr>
      <w:r>
        <w:rPr>
          <w:b/>
          <w:color w:val="000080"/>
          <w:u w:val="single" w:color="000080"/>
        </w:rPr>
        <w:t xml:space="preserve"> 16.EVALUACIÓN Y SEGUIMIENTO DEL PLAN  ........................................................................                                                                                    280</w:t>
      </w:r>
    </w:p>
    <w:p w:rsidR="00E23B86" w:rsidRDefault="00BA7C13">
      <w:pPr>
        <w:numPr>
          <w:ilvl w:val="0"/>
          <w:numId w:val="93"/>
        </w:numPr>
        <w:spacing w:after="9" w:line="249" w:lineRule="auto"/>
        <w:ind w:hanging="220"/>
      </w:pPr>
      <w:r>
        <w:rPr>
          <w:b/>
          <w:color w:val="000080"/>
          <w:u w:val="single" w:color="000080"/>
        </w:rPr>
        <w:t>COMPETENC</w:t>
      </w:r>
      <w:r>
        <w:rPr>
          <w:b/>
          <w:color w:val="000080"/>
          <w:u w:val="single" w:color="000080"/>
        </w:rPr>
        <w:t xml:space="preserve">IAS DEL AYUNTAMIENTO EN MATERIA DE PREVENCIÓN DE </w:t>
      </w:r>
    </w:p>
    <w:p w:rsidR="00E23B86" w:rsidRDefault="00BA7C13">
      <w:pPr>
        <w:spacing w:after="109" w:line="249" w:lineRule="auto"/>
        <w:ind w:left="353" w:hanging="8"/>
      </w:pPr>
      <w:r>
        <w:rPr>
          <w:b/>
          <w:color w:val="000080"/>
          <w:u w:val="single" w:color="000080"/>
        </w:rPr>
        <w:t xml:space="preserve"> DROGODEPENDENCIAS.  ......................................................................................................                                                                                   </w:t>
      </w:r>
      <w:r>
        <w:rPr>
          <w:b/>
          <w:color w:val="000080"/>
          <w:u w:val="single" w:color="000080"/>
        </w:rPr>
        <w:t xml:space="preserve">                                   285</w:t>
      </w:r>
    </w:p>
    <w:p w:rsidR="00E23B86" w:rsidRDefault="00BA7C13">
      <w:pPr>
        <w:numPr>
          <w:ilvl w:val="0"/>
          <w:numId w:val="93"/>
        </w:numPr>
        <w:spacing w:after="9" w:line="249" w:lineRule="auto"/>
        <w:ind w:hanging="220"/>
      </w:pPr>
      <w:r>
        <w:rPr>
          <w:b/>
          <w:color w:val="000080"/>
          <w:u w:val="single" w:color="000080"/>
        </w:rPr>
        <w:t xml:space="preserve">ANÁLISIS DE LA PROBLEMÁTICA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w:t>
      </w:r>
      <w:r>
        <w:rPr>
          <w:b/>
          <w:color w:val="000080"/>
          <w:u w:val="single" w:color="000080"/>
        </w:rPr>
        <w:t xml:space="preserve">                                                   285</w:t>
      </w:r>
    </w:p>
    <w:p w:rsidR="00E23B86" w:rsidRDefault="00BA7C13">
      <w:pPr>
        <w:numPr>
          <w:ilvl w:val="1"/>
          <w:numId w:val="93"/>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noProof/>
        </w:rPr>
        <mc:AlternateContent>
          <mc:Choice Requires="wpg">
            <w:drawing>
              <wp:anchor distT="0" distB="0" distL="114300" distR="114300" simplePos="0" relativeHeight="2518589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0862" name="Group 53086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3899" name="Rectangle 3389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3900" name="Rectangle 3390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0862" style="width:12.7031pt;height:280.35pt;position:absolute;mso-position-horizontal-relative:page;mso-position-horizontal:absolute;margin-left:681.958pt;mso-position-vertical-relative:page;margin-top:531.65pt;" coordsize="1613,35604">
                <v:rect id="Rectangle 3389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390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194 de 391 </w:t>
                        </w:r>
                      </w:p>
                    </w:txbxContent>
                  </v:textbox>
                </v:rect>
                <w10:wrap type="square"/>
              </v:group>
            </w:pict>
          </mc:Fallback>
        </mc:AlternateContent>
      </w:r>
      <w:r>
        <w:rPr>
          <w:color w:val="000080"/>
          <w:u w:val="single" w:color="000080"/>
        </w:rPr>
        <w:t xml:space="preserve"> .............................................................................................................................................                   </w:t>
      </w:r>
      <w:r>
        <w:rPr>
          <w:color w:val="000080"/>
          <w:u w:val="single" w:color="000080"/>
        </w:rPr>
        <w:t xml:space="preserve">                                                                                                                                           286</w:t>
      </w:r>
    </w:p>
    <w:p w:rsidR="00E23B86" w:rsidRDefault="00BA7C13">
      <w:pPr>
        <w:numPr>
          <w:ilvl w:val="1"/>
          <w:numId w:val="93"/>
        </w:numPr>
        <w:spacing w:after="2" w:line="257" w:lineRule="auto"/>
        <w:ind w:hanging="383"/>
      </w:pPr>
      <w:r>
        <w:rPr>
          <w:color w:val="000080"/>
          <w:u w:val="single" w:color="000080"/>
        </w:rPr>
        <w:t xml:space="preserve">La prevalencia del consumo en Canarias e indicaciones para la planificación de las </w:t>
      </w:r>
    </w:p>
    <w:p w:rsidR="00E23B86" w:rsidRDefault="00BA7C13">
      <w:pPr>
        <w:spacing w:after="116" w:line="257" w:lineRule="auto"/>
        <w:ind w:left="580" w:hanging="10"/>
      </w:pPr>
      <w:r>
        <w:rPr>
          <w:color w:val="000080"/>
          <w:u w:val="single" w:color="000080"/>
        </w:rPr>
        <w:t xml:space="preserve"> acciones de prevención e ins</w:t>
      </w:r>
      <w:r>
        <w:rPr>
          <w:color w:val="000080"/>
          <w:u w:val="single" w:color="000080"/>
        </w:rPr>
        <w:t>erción.   ...................................................................................                                                                                             287</w:t>
      </w:r>
    </w:p>
    <w:p w:rsidR="00E23B86" w:rsidRDefault="00BA7C13">
      <w:pPr>
        <w:numPr>
          <w:ilvl w:val="1"/>
          <w:numId w:val="93"/>
        </w:numPr>
        <w:spacing w:after="116" w:line="257" w:lineRule="auto"/>
        <w:ind w:hanging="383"/>
      </w:pPr>
      <w:r>
        <w:rPr>
          <w:color w:val="000080"/>
          <w:u w:val="single" w:color="000080"/>
        </w:rPr>
        <w:t>Descripción del contexto municipal    ............................</w:t>
      </w:r>
      <w:r>
        <w:rPr>
          <w:color w:val="000080"/>
          <w:u w:val="single" w:color="000080"/>
        </w:rPr>
        <w:t>................................................                                                                                     288</w:t>
      </w:r>
    </w:p>
    <w:p w:rsidR="00E23B86" w:rsidRDefault="00BA7C13">
      <w:pPr>
        <w:spacing w:after="116" w:line="257" w:lineRule="auto"/>
        <w:ind w:left="800" w:hanging="10"/>
      </w:pPr>
      <w:r>
        <w:rPr>
          <w:color w:val="000080"/>
          <w:u w:val="single" w:color="000080"/>
        </w:rPr>
        <w:t xml:space="preserve"> 2.3.1. Contexto demográfico y laboral  .............................................................................. </w:t>
      </w:r>
      <w:r>
        <w:rPr>
          <w:color w:val="000080"/>
          <w:u w:val="single" w:color="000080"/>
        </w:rPr>
        <w:t xml:space="preserve">                                                                                      289</w:t>
      </w:r>
    </w:p>
    <w:p w:rsidR="00E23B86" w:rsidRDefault="00BA7C13">
      <w:pPr>
        <w:numPr>
          <w:ilvl w:val="1"/>
          <w:numId w:val="93"/>
        </w:numPr>
        <w:spacing w:after="116" w:line="257" w:lineRule="auto"/>
        <w:ind w:hanging="383"/>
      </w:pPr>
      <w:r>
        <w:rPr>
          <w:color w:val="000080"/>
          <w:u w:val="single" w:color="000080"/>
        </w:rPr>
        <w:t xml:space="preserve">Recomendaciones para el diseño del IV Plan    ..............................................................                                                          </w:t>
      </w:r>
      <w:r>
        <w:rPr>
          <w:color w:val="000080"/>
          <w:u w:val="single" w:color="000080"/>
        </w:rPr>
        <w:t xml:space="preserve">            293</w:t>
      </w:r>
    </w:p>
    <w:p w:rsidR="00E23B86" w:rsidRDefault="00BA7C13">
      <w:pPr>
        <w:spacing w:after="109" w:line="249" w:lineRule="auto"/>
        <w:ind w:left="353" w:hanging="8"/>
      </w:pPr>
      <w:r>
        <w:rPr>
          <w:b/>
          <w:color w:val="000080"/>
          <w:u w:val="single" w:color="000080"/>
        </w:rPr>
        <w:t xml:space="preserve"> 17.LOS PRINCIPIOS DEL IV PLAN  ...........................................................................................                                                                                                         294</w:t>
      </w:r>
    </w:p>
    <w:p w:rsidR="00E23B86" w:rsidRDefault="00BA7C13">
      <w:pPr>
        <w:spacing w:after="109" w:line="249" w:lineRule="auto"/>
        <w:ind w:left="353" w:hanging="8"/>
      </w:pPr>
      <w:r>
        <w:rPr>
          <w:b/>
          <w:color w:val="000080"/>
          <w:u w:val="single" w:color="000080"/>
        </w:rPr>
        <w:t xml:space="preserve"> 18.CAMP</w:t>
      </w:r>
      <w:r>
        <w:rPr>
          <w:b/>
          <w:color w:val="000080"/>
          <w:u w:val="single" w:color="000080"/>
        </w:rPr>
        <w:t>O DE ACTUACIÓN   .................................................................................................                                                                                                                295</w:t>
      </w:r>
    </w:p>
    <w:p w:rsidR="00E23B86" w:rsidRDefault="00BA7C13">
      <w:pPr>
        <w:spacing w:after="109" w:line="249" w:lineRule="auto"/>
        <w:ind w:left="353" w:hanging="8"/>
      </w:pPr>
      <w:r>
        <w:rPr>
          <w:b/>
          <w:color w:val="000080"/>
          <w:u w:val="single" w:color="000080"/>
        </w:rPr>
        <w:t xml:space="preserve"> 19.META Y OBJETIVOS GENER</w:t>
      </w:r>
      <w:r>
        <w:rPr>
          <w:b/>
          <w:color w:val="000080"/>
          <w:u w:val="single" w:color="000080"/>
        </w:rPr>
        <w:t>ALES DEL IV PLAN SOBRE ADICCIONES DE CANDELARIA   .......       296</w:t>
      </w:r>
    </w:p>
    <w:p w:rsidR="00E23B86" w:rsidRDefault="00BA7C13">
      <w:pPr>
        <w:spacing w:after="109" w:line="249" w:lineRule="auto"/>
        <w:ind w:left="353" w:hanging="8"/>
      </w:pPr>
      <w:r>
        <w:rPr>
          <w:b/>
          <w:color w:val="000080"/>
          <w:u w:val="single" w:color="000080"/>
        </w:rPr>
        <w:t xml:space="preserve"> 20.ÁREAS DE ACTUACIÓN  ...................................................................................................                                                                 </w:t>
      </w:r>
      <w:r>
        <w:rPr>
          <w:b/>
          <w:color w:val="000080"/>
          <w:u w:val="single" w:color="000080"/>
        </w:rPr>
        <w:t xml:space="preserve">                                                  296</w:t>
      </w:r>
    </w:p>
    <w:p w:rsidR="00E23B86" w:rsidRDefault="00BA7C13">
      <w:pPr>
        <w:spacing w:after="116" w:line="257" w:lineRule="auto"/>
        <w:ind w:left="580" w:hanging="10"/>
      </w:pPr>
      <w:r>
        <w:rPr>
          <w:color w:val="000080"/>
          <w:u w:val="single" w:color="000080"/>
        </w:rPr>
        <w:t xml:space="preserve"> 6.1. ÁREA DE PREVENCIÓN Y SENSIBILIZACIÓN  ...................................................................                                                                           296</w:t>
      </w:r>
    </w:p>
    <w:p w:rsidR="00E23B86" w:rsidRDefault="00BA7C13">
      <w:pPr>
        <w:numPr>
          <w:ilvl w:val="2"/>
          <w:numId w:val="94"/>
        </w:numPr>
        <w:spacing w:after="116" w:line="257" w:lineRule="auto"/>
        <w:ind w:hanging="551"/>
      </w:pPr>
      <w:r>
        <w:rPr>
          <w:color w:val="000080"/>
          <w:u w:val="single" w:color="000080"/>
        </w:rPr>
        <w:t>Ámbito Educa</w:t>
      </w:r>
      <w:r>
        <w:rPr>
          <w:color w:val="000080"/>
          <w:u w:val="single" w:color="000080"/>
        </w:rPr>
        <w:t>tivo  ...................................................................................................                                                                                                               297</w:t>
      </w:r>
    </w:p>
    <w:p w:rsidR="00E23B86" w:rsidRDefault="00BA7C13">
      <w:pPr>
        <w:numPr>
          <w:ilvl w:val="2"/>
          <w:numId w:val="94"/>
        </w:numPr>
        <w:spacing w:after="116" w:line="257" w:lineRule="auto"/>
        <w:ind w:hanging="551"/>
      </w:pPr>
      <w:r>
        <w:rPr>
          <w:color w:val="000080"/>
          <w:u w:val="single" w:color="000080"/>
        </w:rPr>
        <w:t xml:space="preserve">Ámbito Familiar  </w:t>
      </w:r>
      <w:r>
        <w:rPr>
          <w:color w:val="000080"/>
          <w:u w:val="single" w:color="000080"/>
        </w:rPr>
        <w:t>......................................................................................................                                                                                                                  298</w:t>
      </w:r>
    </w:p>
    <w:p w:rsidR="00E23B86" w:rsidRDefault="00BA7C13">
      <w:pPr>
        <w:numPr>
          <w:ilvl w:val="2"/>
          <w:numId w:val="94"/>
        </w:numPr>
        <w:spacing w:after="116" w:line="257" w:lineRule="auto"/>
        <w:ind w:hanging="551"/>
      </w:pPr>
      <w:r>
        <w:rPr>
          <w:color w:val="000080"/>
          <w:u w:val="single" w:color="000080"/>
        </w:rPr>
        <w:t>Ámbito Comunitario  ................</w:t>
      </w:r>
      <w:r>
        <w:rPr>
          <w:color w:val="000080"/>
          <w:u w:val="single" w:color="000080"/>
        </w:rPr>
        <w:t>..............................................................................                                                                                                          299</w:t>
      </w:r>
    </w:p>
    <w:p w:rsidR="00E23B86" w:rsidRDefault="00BA7C13">
      <w:pPr>
        <w:spacing w:after="116" w:line="257" w:lineRule="auto"/>
        <w:ind w:left="580" w:hanging="10"/>
      </w:pPr>
      <w:r>
        <w:rPr>
          <w:color w:val="000080"/>
          <w:u w:val="single" w:color="000080"/>
        </w:rPr>
        <w:t xml:space="preserve"> 6.2. ÁREA DE INSERCIÓN SOCIAL  ....................................</w:t>
      </w:r>
      <w:r>
        <w:rPr>
          <w:color w:val="000080"/>
          <w:u w:val="single" w:color="000080"/>
        </w:rPr>
        <w:t>......................................................                                                                                                     301</w:t>
      </w:r>
    </w:p>
    <w:p w:rsidR="00E23B86" w:rsidRDefault="00BA7C13">
      <w:pPr>
        <w:spacing w:after="116" w:line="257" w:lineRule="auto"/>
        <w:ind w:left="580" w:hanging="10"/>
      </w:pPr>
      <w:r>
        <w:rPr>
          <w:color w:val="000080"/>
          <w:u w:val="single" w:color="000080"/>
        </w:rPr>
        <w:t xml:space="preserve"> 20.3.REA DE SOPORTE Y APOYO  ...................................................................</w:t>
      </w:r>
      <w:r>
        <w:rPr>
          <w:color w:val="000080"/>
          <w:u w:val="single" w:color="000080"/>
        </w:rPr>
        <w:t>.......................                                                                                                     302</w:t>
      </w:r>
    </w:p>
    <w:p w:rsidR="00E23B86" w:rsidRDefault="00BA7C13">
      <w:pPr>
        <w:spacing w:after="109" w:line="249" w:lineRule="auto"/>
        <w:ind w:left="353" w:hanging="8"/>
      </w:pPr>
      <w:r>
        <w:rPr>
          <w:b/>
          <w:color w:val="000080"/>
          <w:u w:val="single" w:color="000080"/>
        </w:rPr>
        <w:t xml:space="preserve"> 21.COORDINACIÓN DE LAS ACTUACIONES DEL IV PLAN  .......................................................                        </w:t>
      </w:r>
      <w:r>
        <w:rPr>
          <w:b/>
          <w:color w:val="000080"/>
          <w:u w:val="single" w:color="000080"/>
        </w:rPr>
        <w:t xml:space="preserve">                                        303</w:t>
      </w:r>
    </w:p>
    <w:p w:rsidR="00E23B86" w:rsidRDefault="00BA7C13">
      <w:pPr>
        <w:numPr>
          <w:ilvl w:val="1"/>
          <w:numId w:val="95"/>
        </w:numPr>
        <w:spacing w:after="116" w:line="257" w:lineRule="auto"/>
        <w:ind w:right="270" w:hanging="383"/>
      </w:pPr>
      <w:r>
        <w:rPr>
          <w:color w:val="000080"/>
          <w:u w:val="single" w:color="000080"/>
        </w:rPr>
        <w:t>Comisión Municipal de Prevención de Adicciones de Candelaria  ..................................                                     303</w:t>
      </w:r>
    </w:p>
    <w:p w:rsidR="00E23B86" w:rsidRDefault="00BA7C13">
      <w:pPr>
        <w:numPr>
          <w:ilvl w:val="1"/>
          <w:numId w:val="95"/>
        </w:numPr>
        <w:spacing w:after="115"/>
        <w:ind w:right="270" w:hanging="383"/>
      </w:pPr>
      <w:r>
        <w:rPr>
          <w:color w:val="000080"/>
          <w:u w:val="single" w:color="000080"/>
        </w:rPr>
        <w:t>Comisión Mixta de Prevención de Adicciones de Candelaria  .................</w:t>
      </w:r>
      <w:r>
        <w:rPr>
          <w:color w:val="000080"/>
          <w:u w:val="single" w:color="000080"/>
        </w:rPr>
        <w:t>........................                                             303</w:t>
      </w:r>
    </w:p>
    <w:p w:rsidR="00E23B86" w:rsidRDefault="00BA7C13">
      <w:pPr>
        <w:spacing w:after="109" w:line="249" w:lineRule="auto"/>
        <w:ind w:left="353" w:hanging="8"/>
      </w:pPr>
      <w:r>
        <w:rPr>
          <w:b/>
          <w:color w:val="000080"/>
          <w:u w:val="single" w:color="000080"/>
        </w:rPr>
        <w:t xml:space="preserve"> 22.RECURSOS DEL IV PLAN   .................................................................................................</w:t>
      </w:r>
      <w:r>
        <w:rPr>
          <w:b/>
          <w:color w:val="000080"/>
          <w:u w:val="single" w:color="000080"/>
        </w:rPr>
        <w:t xml:space="preserve">                                                                                                                 304</w:t>
      </w:r>
    </w:p>
    <w:p w:rsidR="00E23B86" w:rsidRDefault="00BA7C13">
      <w:pPr>
        <w:spacing w:after="109" w:line="249" w:lineRule="auto"/>
        <w:ind w:left="353" w:hanging="8"/>
      </w:pPr>
      <w:r>
        <w:rPr>
          <w:b/>
          <w:color w:val="000080"/>
          <w:u w:val="single" w:color="000080"/>
        </w:rPr>
        <w:t xml:space="preserve"> 23.EVALUACIÓN Y SEGUIMIENTO DEL PLAN  ........................................................................                            </w:t>
      </w:r>
      <w:r>
        <w:rPr>
          <w:b/>
          <w:color w:val="000080"/>
          <w:u w:val="single" w:color="000080"/>
        </w:rPr>
        <w:t xml:space="preserve">                                                        305</w:t>
      </w:r>
    </w:p>
    <w:p w:rsidR="00E23B86" w:rsidRDefault="00BA7C13">
      <w:pPr>
        <w:spacing w:after="2" w:line="257" w:lineRule="auto"/>
        <w:ind w:left="802" w:hanging="10"/>
      </w:pPr>
      <w:r>
        <w:rPr>
          <w:color w:val="000080"/>
          <w:u w:val="single" w:color="000080"/>
        </w:rPr>
        <w:t xml:space="preserve">III. Ley Orgánica 1/1996, de 15 de enero, de protección jurídica del menor, de </w:t>
      </w:r>
    </w:p>
    <w:p w:rsidR="00E23B86" w:rsidRDefault="00BA7C13">
      <w:pPr>
        <w:spacing w:after="116" w:line="257" w:lineRule="auto"/>
        <w:ind w:left="800" w:hanging="10"/>
      </w:pPr>
      <w:r>
        <w:rPr>
          <w:color w:val="000080"/>
          <w:u w:val="single" w:color="000080"/>
        </w:rPr>
        <w:t xml:space="preserve"> modificación del Código Civil y de la Ley de Enjuiciamiento Civil  .....................................           </w:t>
      </w:r>
      <w:r>
        <w:rPr>
          <w:color w:val="000080"/>
          <w:u w:val="single" w:color="000080"/>
        </w:rPr>
        <w:t xml:space="preserve">                              316</w:t>
      </w:r>
    </w:p>
    <w:p w:rsidR="00E23B86" w:rsidRDefault="00BA7C13">
      <w:pPr>
        <w:spacing w:after="116" w:line="257" w:lineRule="auto"/>
        <w:ind w:left="800" w:hanging="10"/>
      </w:pPr>
      <w:r>
        <w:rPr>
          <w:color w:val="000080"/>
          <w:u w:val="single" w:color="000080"/>
        </w:rPr>
        <w:t xml:space="preserve"> Derechos del menor  .........................................................................................................                                                                                                </w:t>
      </w:r>
      <w:r>
        <w:rPr>
          <w:color w:val="000080"/>
          <w:u w:val="single" w:color="000080"/>
        </w:rPr>
        <w:t xml:space="preserve">                      316</w:t>
      </w:r>
    </w:p>
    <w:p w:rsidR="00E23B86" w:rsidRDefault="00BA7C13">
      <w:pPr>
        <w:spacing w:after="116" w:line="257" w:lineRule="auto"/>
        <w:ind w:left="800" w:hanging="10"/>
      </w:pPr>
      <w:r>
        <w:rPr>
          <w:color w:val="000080"/>
          <w:u w:val="single" w:color="000080"/>
        </w:rPr>
        <w:t xml:space="preserve"> IV.- Ley 1/1997, de 7 de febrero, de atención integral a los menores  ...............................                                  321</w:t>
      </w:r>
    </w:p>
    <w:p w:rsidR="00E23B86" w:rsidRDefault="00BA7C13">
      <w:pPr>
        <w:spacing w:after="2" w:line="257" w:lineRule="auto"/>
        <w:ind w:left="802" w:hanging="10"/>
      </w:pPr>
      <w:r>
        <w:rPr>
          <w:color w:val="000080"/>
          <w:u w:val="single" w:color="000080"/>
        </w:rPr>
        <w:t xml:space="preserve">V.- Ley Orgánica 3/2018, de 5 de diciembre, de Protección de Datos Personales y garantía </w:t>
      </w:r>
    </w:p>
    <w:p w:rsidR="00E23B86" w:rsidRDefault="00BA7C13">
      <w:pPr>
        <w:spacing w:after="116" w:line="257" w:lineRule="auto"/>
        <w:ind w:left="800" w:hanging="10"/>
      </w:pPr>
      <w:r>
        <w:rPr>
          <w:color w:val="000080"/>
          <w:u w:val="single" w:color="000080"/>
        </w:rPr>
        <w:t xml:space="preserve"> de los derechos digitales  ..................................................................................................                                                                                                              323</w:t>
      </w:r>
    </w:p>
    <w:p w:rsidR="00E23B86" w:rsidRDefault="00BA7C13">
      <w:pPr>
        <w:spacing w:after="116" w:line="257" w:lineRule="auto"/>
        <w:ind w:left="800" w:hanging="10"/>
      </w:pPr>
      <w:r>
        <w:rPr>
          <w:color w:val="000080"/>
          <w:u w:val="single" w:color="000080"/>
        </w:rPr>
        <w:t xml:space="preserve"> Ley 7/1985, de </w:t>
      </w:r>
      <w:r>
        <w:rPr>
          <w:color w:val="000080"/>
          <w:u w:val="single" w:color="000080"/>
        </w:rPr>
        <w:t>2 de abril, reguladora de las Bases del Régimen Local  .............................                                324</w:t>
      </w:r>
    </w:p>
    <w:p w:rsidR="00E23B86" w:rsidRDefault="00BA7C13">
      <w:pPr>
        <w:spacing w:after="116" w:line="257" w:lineRule="auto"/>
        <w:ind w:left="800" w:hanging="10"/>
      </w:pPr>
      <w:r>
        <w:rPr>
          <w:color w:val="000080"/>
          <w:u w:val="single" w:color="000080"/>
        </w:rPr>
        <w:t xml:space="preserve"> Ley 7/2015, de 1 de abril, de los municipios de Canarias  .................................................                            </w:t>
      </w:r>
      <w:r>
        <w:rPr>
          <w:color w:val="000080"/>
          <w:u w:val="single" w:color="000080"/>
        </w:rPr>
        <w:t xml:space="preserve">                          324</w:t>
      </w:r>
    </w:p>
    <w:p w:rsidR="00E23B86" w:rsidRDefault="00BA7C13">
      <w:pPr>
        <w:spacing w:after="116" w:line="257" w:lineRule="auto"/>
        <w:ind w:left="800" w:hanging="10"/>
      </w:pPr>
      <w:r>
        <w:rPr>
          <w:color w:val="000080"/>
          <w:u w:val="single" w:color="000080"/>
        </w:rPr>
        <w:t xml:space="preserve"> Ley 1/1997, de 7 de febrero, de atención integral a los menores  ....................................                                       325</w:t>
      </w:r>
    </w:p>
    <w:p w:rsidR="00E23B86" w:rsidRDefault="00BA7C13">
      <w:pPr>
        <w:spacing w:after="116" w:line="257" w:lineRule="auto"/>
        <w:ind w:left="800" w:hanging="10"/>
      </w:pPr>
      <w:r>
        <w:rPr>
          <w:color w:val="000080"/>
          <w:u w:val="single" w:color="000080"/>
        </w:rPr>
        <w:t xml:space="preserve"> Ley 7/1985, de 2 de abril, reguladora de las Bases del Régimen Local  </w:t>
      </w:r>
      <w:r>
        <w:rPr>
          <w:color w:val="000080"/>
          <w:u w:val="single" w:color="000080"/>
        </w:rPr>
        <w:t>.............................                                325</w:t>
      </w:r>
    </w:p>
    <w:p w:rsidR="00E23B86" w:rsidRDefault="00BA7C13">
      <w:pPr>
        <w:spacing w:after="116" w:line="257" w:lineRule="auto"/>
        <w:ind w:left="800" w:hanging="10"/>
      </w:pPr>
      <w:r>
        <w:rPr>
          <w:color w:val="000080"/>
          <w:u w:val="single" w:color="000080"/>
        </w:rPr>
        <w:t xml:space="preserve"> Ley 7/2015, de 1 de abril, de los municipios de Canarias  .................................................                                                      325</w:t>
      </w:r>
    </w:p>
    <w:p w:rsidR="00E23B86" w:rsidRDefault="00BA7C13">
      <w:pPr>
        <w:spacing w:after="2" w:line="257" w:lineRule="auto"/>
        <w:ind w:left="802" w:hanging="10"/>
      </w:pPr>
      <w:r>
        <w:rPr>
          <w:color w:val="000080"/>
          <w:u w:val="single" w:color="000080"/>
        </w:rPr>
        <w:t>III. Ley Orgánica 1/1996,</w:t>
      </w:r>
      <w:r>
        <w:rPr>
          <w:color w:val="000080"/>
          <w:u w:val="single" w:color="000080"/>
        </w:rPr>
        <w:t xml:space="preserve"> de 15 de enero, de protección jurídica del menor, de </w:t>
      </w:r>
    </w:p>
    <w:p w:rsidR="00E23B86" w:rsidRDefault="00BA7C13">
      <w:pPr>
        <w:spacing w:after="116" w:line="257" w:lineRule="auto"/>
        <w:ind w:left="800" w:hanging="10"/>
      </w:pPr>
      <w:r>
        <w:rPr>
          <w:color w:val="000080"/>
          <w:u w:val="single" w:color="000080"/>
        </w:rPr>
        <w:t xml:space="preserve"> modificación del Código Civil y de la Ley de Enjuiciamiento Civil  .....................................                                         337</w:t>
      </w:r>
    </w:p>
    <w:p w:rsidR="00E23B86" w:rsidRDefault="00BA7C13">
      <w:pPr>
        <w:spacing w:after="116" w:line="257" w:lineRule="auto"/>
        <w:ind w:left="800" w:hanging="10"/>
      </w:pPr>
      <w:r>
        <w:rPr>
          <w:color w:val="000080"/>
          <w:u w:val="single" w:color="000080"/>
        </w:rPr>
        <w:t xml:space="preserve"> Derechos del menor  ..............................</w:t>
      </w:r>
      <w:r>
        <w:rPr>
          <w:color w:val="000080"/>
          <w:u w:val="single" w:color="000080"/>
        </w:rPr>
        <w:t>...........................................................................                                                                                                                      337</w:t>
      </w:r>
    </w:p>
    <w:p w:rsidR="00E23B86" w:rsidRDefault="00BA7C13">
      <w:pPr>
        <w:spacing w:after="116" w:line="257" w:lineRule="auto"/>
        <w:ind w:left="800" w:hanging="10"/>
      </w:pPr>
      <w:r>
        <w:rPr>
          <w:noProof/>
        </w:rPr>
        <mc:AlternateContent>
          <mc:Choice Requires="wpg">
            <w:drawing>
              <wp:anchor distT="0" distB="0" distL="114300" distR="114300" simplePos="0" relativeHeight="2518599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9071" name="Group 52907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297" name="Rectangle 3429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w:t>
                              </w:r>
                              <w:r>
                                <w:rPr>
                                  <w:rFonts w:ascii="Arial" w:eastAsia="Arial" w:hAnsi="Arial" w:cs="Arial"/>
                                  <w:sz w:val="12"/>
                                </w:rPr>
                                <w:t xml:space="preserve">n: https://candelaria.sedelectronica.es/ </w:t>
                              </w:r>
                            </w:p>
                          </w:txbxContent>
                        </wps:txbx>
                        <wps:bodyPr horzOverflow="overflow" vert="horz" lIns="0" tIns="0" rIns="0" bIns="0" rtlCol="0">
                          <a:noAutofit/>
                        </wps:bodyPr>
                      </wps:wsp>
                      <wps:wsp>
                        <wps:cNvPr id="34298" name="Rectangle 3429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9071" style="width:12.7031pt;height:280.35pt;position:absolute;mso-position-horizontal-relative:page;mso-position-horizontal:absolute;margin-left:681.958pt;mso-position-vertical-relative:page;margin-top:531.65pt;" coordsize="1613,35604">
                <v:rect id="Rectangle 3429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29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195 de 391 </w:t>
                        </w:r>
                      </w:p>
                    </w:txbxContent>
                  </v:textbox>
                </v:rect>
                <w10:wrap type="square"/>
              </v:group>
            </w:pict>
          </mc:Fallback>
        </mc:AlternateContent>
      </w:r>
      <w:r>
        <w:rPr>
          <w:color w:val="000080"/>
          <w:u w:val="single" w:color="000080"/>
        </w:rPr>
        <w:t xml:space="preserve"> IV.- Ley 1/1997, de 7 de febrero, de atención integral a los menores  ...............................               </w:t>
      </w:r>
      <w:r>
        <w:rPr>
          <w:color w:val="000080"/>
          <w:u w:val="single" w:color="000080"/>
        </w:rPr>
        <w:t xml:space="preserve">                   342</w:t>
      </w:r>
    </w:p>
    <w:p w:rsidR="00E23B86" w:rsidRDefault="00BA7C13">
      <w:pPr>
        <w:spacing w:after="2" w:line="257" w:lineRule="auto"/>
        <w:ind w:left="802" w:hanging="10"/>
      </w:pPr>
      <w:r>
        <w:rPr>
          <w:color w:val="000080"/>
          <w:u w:val="single" w:color="000080"/>
        </w:rPr>
        <w:t xml:space="preserve">V.- Ley Orgánica 3/2018, de 5 de diciembre, de Protección de Datos Personales y garantía </w:t>
      </w:r>
    </w:p>
    <w:p w:rsidR="00E23B86" w:rsidRDefault="00BA7C13">
      <w:pPr>
        <w:spacing w:after="116" w:line="257" w:lineRule="auto"/>
        <w:ind w:left="800" w:hanging="10"/>
      </w:pPr>
      <w:r>
        <w:rPr>
          <w:color w:val="000080"/>
          <w:u w:val="single" w:color="000080"/>
        </w:rPr>
        <w:t xml:space="preserve"> de los derechos digitales  ..................................................................................................                 </w:t>
      </w:r>
      <w:r>
        <w:rPr>
          <w:color w:val="000080"/>
          <w:u w:val="single" w:color="000080"/>
        </w:rPr>
        <w:t xml:space="preserve">                                                                                             344</w:t>
      </w:r>
    </w:p>
    <w:p w:rsidR="00E23B86" w:rsidRDefault="00BA7C13">
      <w:pPr>
        <w:spacing w:after="116" w:line="257" w:lineRule="auto"/>
        <w:ind w:left="800" w:hanging="10"/>
      </w:pPr>
      <w:r>
        <w:rPr>
          <w:color w:val="000080"/>
          <w:u w:val="single" w:color="000080"/>
        </w:rPr>
        <w:t xml:space="preserve"> Ley 7/1985, de 2 de abril, reguladora de las Bases del Régimen Local  .............................                                345</w:t>
      </w:r>
    </w:p>
    <w:p w:rsidR="00E23B86" w:rsidRDefault="00BA7C13">
      <w:pPr>
        <w:spacing w:after="116" w:line="257" w:lineRule="auto"/>
        <w:ind w:left="800" w:hanging="10"/>
      </w:pPr>
      <w:r>
        <w:rPr>
          <w:color w:val="000080"/>
          <w:u w:val="single" w:color="000080"/>
        </w:rPr>
        <w:t xml:space="preserve"> Ley 7/2015, de 1 de ab</w:t>
      </w:r>
      <w:r>
        <w:rPr>
          <w:color w:val="000080"/>
          <w:u w:val="single" w:color="000080"/>
        </w:rPr>
        <w:t>ril, de los municipios de Canarias  .................................................                                                      345</w:t>
      </w:r>
    </w:p>
    <w:p w:rsidR="00E23B86" w:rsidRDefault="00BA7C13">
      <w:pPr>
        <w:spacing w:after="116" w:line="257" w:lineRule="auto"/>
        <w:ind w:left="800" w:hanging="10"/>
      </w:pPr>
      <w:r>
        <w:rPr>
          <w:color w:val="000080"/>
          <w:u w:val="single" w:color="000080"/>
        </w:rPr>
        <w:t xml:space="preserve"> Ley 1/1997, de 7 de febrero, de atención integral a los menores  ....................................           </w:t>
      </w:r>
      <w:r>
        <w:rPr>
          <w:color w:val="000080"/>
          <w:u w:val="single" w:color="000080"/>
        </w:rPr>
        <w:t xml:space="preserve">                            346</w:t>
      </w:r>
    </w:p>
    <w:p w:rsidR="00E23B86" w:rsidRDefault="00BA7C13">
      <w:pPr>
        <w:spacing w:after="116" w:line="257" w:lineRule="auto"/>
        <w:ind w:left="800" w:hanging="10"/>
      </w:pPr>
      <w:r>
        <w:rPr>
          <w:color w:val="000080"/>
          <w:u w:val="single" w:color="000080"/>
        </w:rPr>
        <w:t xml:space="preserve"> Ley 7/1985, de 2 de abril, reguladora de las Bases del Régimen Local  .............................                                346</w:t>
      </w:r>
    </w:p>
    <w:p w:rsidR="00E23B86" w:rsidRDefault="00BA7C13">
      <w:pPr>
        <w:spacing w:after="116" w:line="257" w:lineRule="auto"/>
        <w:ind w:left="800" w:hanging="10"/>
      </w:pPr>
      <w:r>
        <w:rPr>
          <w:color w:val="000080"/>
          <w:u w:val="single" w:color="000080"/>
        </w:rPr>
        <w:t xml:space="preserve"> Ley 7/2015, de 1 de abril, de los municipios de Canarias  .............................</w:t>
      </w:r>
      <w:r>
        <w:rPr>
          <w:color w:val="000080"/>
          <w:u w:val="single" w:color="000080"/>
        </w:rPr>
        <w:t>....................                                                      347</w:t>
      </w:r>
    </w:p>
    <w:p w:rsidR="00E23B86" w:rsidRDefault="00BA7C13">
      <w:pPr>
        <w:spacing w:after="109" w:line="249" w:lineRule="auto"/>
        <w:ind w:left="353" w:hanging="8"/>
      </w:pPr>
      <w:r>
        <w:rPr>
          <w:b/>
          <w:color w:val="000080"/>
          <w:u w:val="single" w:color="000080"/>
        </w:rPr>
        <w:t xml:space="preserve"> 5.MOCIÓN CON CARÁCTER DE URGENTE DE CC-PNC  ...........................................................                                                                     360</w:t>
      </w:r>
    </w:p>
    <w:p w:rsidR="00E23B86" w:rsidRDefault="00BA7C13">
      <w:pPr>
        <w:spacing w:after="109" w:line="249" w:lineRule="auto"/>
        <w:ind w:left="353" w:hanging="8"/>
      </w:pPr>
      <w:r>
        <w:rPr>
          <w:b/>
          <w:color w:val="000080"/>
          <w:u w:val="single" w:color="000080"/>
        </w:rPr>
        <w:t xml:space="preserve"> </w:t>
      </w:r>
      <w:r>
        <w:rPr>
          <w:b/>
          <w:color w:val="000080"/>
          <w:u w:val="single" w:color="000080"/>
        </w:rPr>
        <w:t>6.EN EL GRUPO MUNICIPAL MIXTO  ......................................................................................                                                                                                    360</w:t>
      </w:r>
    </w:p>
    <w:p w:rsidR="00E23B86" w:rsidRDefault="00BA7C13">
      <w:pPr>
        <w:spacing w:after="111" w:line="251" w:lineRule="auto"/>
        <w:ind w:left="355" w:right="573" w:hanging="10"/>
        <w:jc w:val="both"/>
      </w:pPr>
      <w:r>
        <w:rPr>
          <w:rFonts w:ascii="Arial" w:eastAsia="Arial" w:hAnsi="Arial" w:cs="Arial"/>
          <w:i/>
        </w:rPr>
        <w:t>Este documento denominado IV Plan Municipal de Prevención de Adicciones de Candelaria (2019-2023), es un instrumento de trabajo técnico que define las políticas sociales públicas de prevención de adicciones, a llevar a cabo en el espacio local.</w:t>
      </w:r>
    </w:p>
    <w:p w:rsidR="00E23B86" w:rsidRDefault="00BA7C13">
      <w:pPr>
        <w:spacing w:after="111" w:line="251" w:lineRule="auto"/>
        <w:ind w:left="355" w:right="573" w:hanging="10"/>
        <w:jc w:val="both"/>
      </w:pPr>
      <w:r>
        <w:rPr>
          <w:rFonts w:ascii="Arial" w:eastAsia="Arial" w:hAnsi="Arial" w:cs="Arial"/>
          <w:i/>
        </w:rPr>
        <w:t xml:space="preserve">El IV Plan </w:t>
      </w:r>
      <w:r>
        <w:rPr>
          <w:rFonts w:ascii="Arial" w:eastAsia="Arial" w:hAnsi="Arial" w:cs="Arial"/>
          <w:i/>
        </w:rPr>
        <w:t>Municipal, será el referente de planificación-acción para los próximos cinco años en el municipio, siendo un documento que deberá ser evaluado en su proceso, para ir ajustando las acciones y medidas a las necesidades de la población, así como, la implement</w:t>
      </w:r>
      <w:r>
        <w:rPr>
          <w:rFonts w:ascii="Arial" w:eastAsia="Arial" w:hAnsi="Arial" w:cs="Arial"/>
          <w:i/>
        </w:rPr>
        <w:t>ación o puesta en marcha de nuevas acciones que se detecten mediante la evaluación e investigación continua.</w:t>
      </w:r>
    </w:p>
    <w:p w:rsidR="00E23B86" w:rsidRDefault="00BA7C13">
      <w:pPr>
        <w:spacing w:after="111" w:line="251" w:lineRule="auto"/>
        <w:ind w:left="355" w:right="573" w:hanging="10"/>
        <w:jc w:val="both"/>
      </w:pPr>
      <w:r>
        <w:rPr>
          <w:rFonts w:ascii="Arial" w:eastAsia="Arial" w:hAnsi="Arial" w:cs="Arial"/>
          <w:i/>
        </w:rPr>
        <w:t>El documento se ha estructurado en nueve apartados. El apartado primero recoge y explica las competencias de la Corporación Local en materia de pre</w:t>
      </w:r>
      <w:r>
        <w:rPr>
          <w:rFonts w:ascii="Arial" w:eastAsia="Arial" w:hAnsi="Arial" w:cs="Arial"/>
          <w:i/>
        </w:rPr>
        <w:t>vención e inserción social. En el apartado segundo se desarrolla el análisis de la problemática y aproximación epidemiológica y contextual del riesgo de adicciones en el ámbito municipal. En el tercer apartado recoge los principios sobre los que se sustent</w:t>
      </w:r>
      <w:r>
        <w:rPr>
          <w:rFonts w:ascii="Arial" w:eastAsia="Arial" w:hAnsi="Arial" w:cs="Arial"/>
          <w:i/>
        </w:rPr>
        <w:t>a el IV Plan Municipal y son los definidos desde la Estrategia Nacional sobre Adicciones 2017-2024 y el Plan de Acción sobre Adicciones 2018-2020. En el cuarto apartado se describen el campo de actuación del IV Plan, mientras que en el quinto y sexto se re</w:t>
      </w:r>
      <w:r>
        <w:rPr>
          <w:rFonts w:ascii="Arial" w:eastAsia="Arial" w:hAnsi="Arial" w:cs="Arial"/>
          <w:i/>
        </w:rPr>
        <w:t xml:space="preserve">coge la meta del IV Plan y los objetivos generales por áreas, respectivamente. </w:t>
      </w:r>
    </w:p>
    <w:p w:rsidR="00E23B86" w:rsidRDefault="00BA7C13">
      <w:pPr>
        <w:spacing w:after="111" w:line="251" w:lineRule="auto"/>
        <w:ind w:left="355" w:right="573" w:hanging="10"/>
        <w:jc w:val="both"/>
      </w:pPr>
      <w:r>
        <w:rPr>
          <w:rFonts w:ascii="Arial" w:eastAsia="Arial" w:hAnsi="Arial" w:cs="Arial"/>
          <w:i/>
        </w:rPr>
        <w:t>En el apartado sexto, se describen las acciones para cada una de las tres áreas de actuación y sus ámbitos o sectores prioritarios, donde se han diseñado un total de 35 accione</w:t>
      </w:r>
      <w:r>
        <w:rPr>
          <w:rFonts w:ascii="Arial" w:eastAsia="Arial" w:hAnsi="Arial" w:cs="Arial"/>
          <w:i/>
        </w:rPr>
        <w:t xml:space="preserve">s. </w:t>
      </w:r>
    </w:p>
    <w:p w:rsidR="00E23B86" w:rsidRDefault="00BA7C13">
      <w:pPr>
        <w:spacing w:after="391" w:line="251" w:lineRule="auto"/>
        <w:ind w:left="355" w:right="573" w:hanging="10"/>
        <w:jc w:val="both"/>
      </w:pPr>
      <w:r>
        <w:rPr>
          <w:rFonts w:ascii="Arial" w:eastAsia="Arial" w:hAnsi="Arial" w:cs="Arial"/>
          <w:i/>
        </w:rPr>
        <w:t xml:space="preserve">En los tres últimos apartados se recoge el sistema de coordinación y organización del IV Plan (séptimo apartado), así como la descripción de los recursos a emplear (octavo aportado) y los mecanismos de evaluación del IV Plan (noveno apartado). </w:t>
      </w:r>
    </w:p>
    <w:p w:rsidR="00E23B86" w:rsidRDefault="00BA7C13">
      <w:pPr>
        <w:numPr>
          <w:ilvl w:val="0"/>
          <w:numId w:val="96"/>
        </w:numPr>
        <w:pBdr>
          <w:top w:val="single" w:sz="2" w:space="0" w:color="00000A"/>
          <w:left w:val="single" w:sz="2" w:space="0" w:color="00000A"/>
          <w:bottom w:val="single" w:sz="2" w:space="0" w:color="00000A"/>
          <w:right w:val="single" w:sz="2" w:space="0" w:color="00000A"/>
        </w:pBdr>
        <w:spacing w:after="281" w:line="257" w:lineRule="auto"/>
        <w:ind w:hanging="10"/>
      </w:pPr>
      <w:r>
        <w:rPr>
          <w:rFonts w:ascii="Arial" w:eastAsia="Arial" w:hAnsi="Arial" w:cs="Arial"/>
          <w:i/>
        </w:rPr>
        <w:t>COMPETE</w:t>
      </w:r>
      <w:r>
        <w:rPr>
          <w:rFonts w:ascii="Arial" w:eastAsia="Arial" w:hAnsi="Arial" w:cs="Arial"/>
          <w:i/>
        </w:rPr>
        <w:t xml:space="preserve">NCIAS DEL AYUNTAMIENTO EN MATERIA DE PREVENCIÓN DEDROGODEPENDENCIAS. </w:t>
      </w:r>
    </w:p>
    <w:p w:rsidR="00E23B86" w:rsidRDefault="00BA7C13">
      <w:pPr>
        <w:spacing w:after="111" w:line="251" w:lineRule="auto"/>
        <w:ind w:left="355" w:right="573" w:hanging="10"/>
        <w:jc w:val="both"/>
      </w:pPr>
      <w:r>
        <w:rPr>
          <w:rFonts w:ascii="Arial" w:eastAsia="Arial" w:hAnsi="Arial" w:cs="Arial"/>
          <w:i/>
        </w:rPr>
        <w:t>La Ley 9/1998, de 22 de julio, sobre Prevención, Asistencia, e Inserción social en materia de drogodependencias de la Comunidad Autónoma de Canarias, determina las competencias atribuida</w:t>
      </w:r>
      <w:r>
        <w:rPr>
          <w:rFonts w:ascii="Arial" w:eastAsia="Arial" w:hAnsi="Arial" w:cs="Arial"/>
          <w:i/>
        </w:rPr>
        <w:t>s en materia de drogodependencias a los municipios, dependiendo del número de habitantes de los mismos, e indica en su artículo 34 aquellas que le son atribuidas a las Corporaciones Locales que tengan población superior a los 20.000 habitantes.</w:t>
      </w:r>
    </w:p>
    <w:p w:rsidR="00E23B86" w:rsidRDefault="00BA7C13">
      <w:pPr>
        <w:numPr>
          <w:ilvl w:val="2"/>
          <w:numId w:val="97"/>
        </w:numPr>
        <w:spacing w:after="111" w:line="251" w:lineRule="auto"/>
        <w:ind w:right="573" w:hanging="404"/>
        <w:jc w:val="both"/>
      </w:pPr>
      <w:r>
        <w:rPr>
          <w:noProof/>
        </w:rPr>
        <mc:AlternateContent>
          <mc:Choice Requires="wpg">
            <w:drawing>
              <wp:anchor distT="0" distB="0" distL="114300" distR="114300" simplePos="0" relativeHeight="2518609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6941" name="Group 52694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403" name="Rectangle 3440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4404" name="Rectangle 3440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6941" style="width:12.7031pt;height:280.35pt;position:absolute;mso-position-horizontal-relative:page;mso-position-horizontal:absolute;margin-left:681.958pt;mso-position-vertical-relative:page;margin-top:531.65pt;" coordsize="1613,35604">
                <v:rect id="Rectangle 3440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40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196 de 391 </w:t>
                        </w:r>
                      </w:p>
                    </w:txbxContent>
                  </v:textbox>
                </v:rect>
                <w10:wrap type="square"/>
              </v:group>
            </w:pict>
          </mc:Fallback>
        </mc:AlternateContent>
      </w:r>
      <w:r>
        <w:rPr>
          <w:rFonts w:ascii="Arial" w:eastAsia="Arial" w:hAnsi="Arial" w:cs="Arial"/>
          <w:i/>
        </w:rPr>
        <w:t>El establecimiento de los criterios que regulan la localizaci</w:t>
      </w:r>
      <w:r>
        <w:rPr>
          <w:rFonts w:ascii="Arial" w:eastAsia="Arial" w:hAnsi="Arial" w:cs="Arial"/>
          <w:i/>
        </w:rPr>
        <w:t>ón, distancia y características que deberán reunir los establecimientos de suministro y venta de bebidas alcohólicas.</w:t>
      </w:r>
    </w:p>
    <w:p w:rsidR="00E23B86" w:rsidRDefault="00BA7C13">
      <w:pPr>
        <w:numPr>
          <w:ilvl w:val="2"/>
          <w:numId w:val="97"/>
        </w:numPr>
        <w:spacing w:after="111" w:line="251" w:lineRule="auto"/>
        <w:ind w:right="573" w:hanging="404"/>
        <w:jc w:val="both"/>
      </w:pPr>
      <w:r>
        <w:rPr>
          <w:rFonts w:ascii="Arial" w:eastAsia="Arial" w:hAnsi="Arial" w:cs="Arial"/>
          <w:i/>
        </w:rPr>
        <w:t>El otorgamiento de la autorización de apertura a locales o lugares de suministro y venta de bebidas alcohólicas.</w:t>
      </w:r>
    </w:p>
    <w:p w:rsidR="00E23B86" w:rsidRDefault="00BA7C13">
      <w:pPr>
        <w:numPr>
          <w:ilvl w:val="2"/>
          <w:numId w:val="97"/>
        </w:numPr>
        <w:spacing w:after="111" w:line="251" w:lineRule="auto"/>
        <w:ind w:right="573" w:hanging="404"/>
        <w:jc w:val="both"/>
      </w:pPr>
      <w:r>
        <w:rPr>
          <w:rFonts w:ascii="Arial" w:eastAsia="Arial" w:hAnsi="Arial" w:cs="Arial"/>
          <w:i/>
        </w:rPr>
        <w:t>Velar, en el marco de sus</w:t>
      </w:r>
      <w:r>
        <w:rPr>
          <w:rFonts w:ascii="Arial" w:eastAsia="Arial" w:hAnsi="Arial" w:cs="Arial"/>
          <w:i/>
        </w:rPr>
        <w:t xml:space="preserve"> competencias, por el cumplimiento de las diferentes medidas de control que se establecen en el título III de esta Ley.</w:t>
      </w:r>
    </w:p>
    <w:p w:rsidR="00E23B86" w:rsidRDefault="00BA7C13">
      <w:pPr>
        <w:numPr>
          <w:ilvl w:val="2"/>
          <w:numId w:val="97"/>
        </w:numPr>
        <w:spacing w:after="111" w:line="251" w:lineRule="auto"/>
        <w:ind w:right="573" w:hanging="404"/>
        <w:jc w:val="both"/>
      </w:pPr>
      <w:r>
        <w:rPr>
          <w:rFonts w:ascii="Arial" w:eastAsia="Arial" w:hAnsi="Arial" w:cs="Arial"/>
          <w:i/>
        </w:rPr>
        <w:t>La colaboración con los sistemas educativo y sanitario en materia de educación para la salud.</w:t>
      </w:r>
    </w:p>
    <w:p w:rsidR="00E23B86" w:rsidRDefault="00BA7C13">
      <w:pPr>
        <w:spacing w:after="111" w:line="251" w:lineRule="auto"/>
        <w:ind w:left="355" w:right="573" w:hanging="10"/>
        <w:jc w:val="both"/>
      </w:pPr>
      <w:r>
        <w:rPr>
          <w:rFonts w:ascii="Arial" w:eastAsia="Arial" w:hAnsi="Arial" w:cs="Arial"/>
          <w:i/>
        </w:rPr>
        <w:t>Además de las señaladas en el punto anterior, los municipios de más de 20.000 habitantes tienen las siguientes competencias y responsabilidades mínimas:</w:t>
      </w:r>
    </w:p>
    <w:p w:rsidR="00E23B86" w:rsidRDefault="00BA7C13">
      <w:pPr>
        <w:spacing w:after="111" w:line="251" w:lineRule="auto"/>
        <w:ind w:left="1052" w:right="573" w:hanging="360"/>
        <w:jc w:val="both"/>
      </w:pPr>
      <w:r>
        <w:rPr>
          <w:rFonts w:ascii="Arial" w:eastAsia="Arial" w:hAnsi="Arial" w:cs="Arial"/>
          <w:i/>
        </w:rPr>
        <w:t>b) La aprobación de Planes Municipales sobre Drogas, elaborados en coordinación y de acuerdo con los cr</w:t>
      </w:r>
      <w:r>
        <w:rPr>
          <w:rFonts w:ascii="Arial" w:eastAsia="Arial" w:hAnsi="Arial" w:cs="Arial"/>
          <w:i/>
        </w:rPr>
        <w:t>iterios y directrices del Plan Canario sobre Drogas, que incluyan programas de prevención e integración social, así como de información, orientación y motivación de drogodependientes a través de los centros de Servicios Sociales.</w:t>
      </w:r>
    </w:p>
    <w:p w:rsidR="00E23B86" w:rsidRDefault="00BA7C13">
      <w:pPr>
        <w:numPr>
          <w:ilvl w:val="2"/>
          <w:numId w:val="98"/>
        </w:numPr>
        <w:spacing w:after="8" w:line="251" w:lineRule="auto"/>
        <w:ind w:right="573" w:hanging="320"/>
        <w:jc w:val="both"/>
      </w:pPr>
      <w:r>
        <w:rPr>
          <w:rFonts w:ascii="Arial" w:eastAsia="Arial" w:hAnsi="Arial" w:cs="Arial"/>
          <w:i/>
        </w:rPr>
        <w:t>La coordinación de los pro</w:t>
      </w:r>
      <w:r>
        <w:rPr>
          <w:rFonts w:ascii="Arial" w:eastAsia="Arial" w:hAnsi="Arial" w:cs="Arial"/>
          <w:i/>
        </w:rPr>
        <w:t>gramas de prevención e integración social que se</w:t>
      </w:r>
    </w:p>
    <w:p w:rsidR="00E23B86" w:rsidRDefault="00BA7C13">
      <w:pPr>
        <w:spacing w:after="111" w:line="251" w:lineRule="auto"/>
        <w:ind w:left="355" w:right="573" w:hanging="10"/>
        <w:jc w:val="both"/>
      </w:pPr>
      <w:r>
        <w:rPr>
          <w:rFonts w:ascii="Arial" w:eastAsia="Arial" w:hAnsi="Arial" w:cs="Arial"/>
          <w:i/>
        </w:rPr>
        <w:t>desarrollen exclusivamente en el ámbito de su municipio.</w:t>
      </w:r>
    </w:p>
    <w:p w:rsidR="00E23B86" w:rsidRDefault="00BA7C13">
      <w:pPr>
        <w:numPr>
          <w:ilvl w:val="2"/>
          <w:numId w:val="98"/>
        </w:numPr>
        <w:spacing w:after="8" w:line="251" w:lineRule="auto"/>
        <w:ind w:right="573" w:hanging="320"/>
        <w:jc w:val="both"/>
      </w:pPr>
      <w:r>
        <w:rPr>
          <w:rFonts w:ascii="Arial" w:eastAsia="Arial" w:hAnsi="Arial" w:cs="Arial"/>
          <w:i/>
        </w:rPr>
        <w:t>El apoyo a las asociaciones y entidades que en el municipio desarrollen</w:t>
      </w:r>
    </w:p>
    <w:p w:rsidR="00E23B86" w:rsidRDefault="00BA7C13">
      <w:pPr>
        <w:spacing w:after="111" w:line="251" w:lineRule="auto"/>
        <w:ind w:left="355" w:right="573" w:hanging="10"/>
        <w:jc w:val="both"/>
      </w:pPr>
      <w:r>
        <w:rPr>
          <w:rFonts w:ascii="Arial" w:eastAsia="Arial" w:hAnsi="Arial" w:cs="Arial"/>
          <w:i/>
        </w:rPr>
        <w:t>actividades previstas en el Plan Canario sobre Drogas.</w:t>
      </w:r>
    </w:p>
    <w:p w:rsidR="00E23B86" w:rsidRDefault="00BA7C13">
      <w:pPr>
        <w:numPr>
          <w:ilvl w:val="2"/>
          <w:numId w:val="99"/>
        </w:numPr>
        <w:spacing w:after="517" w:line="251" w:lineRule="auto"/>
        <w:ind w:right="573" w:hanging="404"/>
        <w:jc w:val="both"/>
      </w:pPr>
      <w:r>
        <w:rPr>
          <w:rFonts w:ascii="Arial" w:eastAsia="Arial" w:hAnsi="Arial" w:cs="Arial"/>
          <w:i/>
        </w:rPr>
        <w:t>La formación en materia</w:t>
      </w:r>
      <w:r>
        <w:rPr>
          <w:rFonts w:ascii="Arial" w:eastAsia="Arial" w:hAnsi="Arial" w:cs="Arial"/>
          <w:i/>
        </w:rPr>
        <w:t xml:space="preserve"> de drogas del personal propio.</w:t>
      </w:r>
    </w:p>
    <w:p w:rsidR="00E23B86" w:rsidRDefault="00BA7C13">
      <w:pPr>
        <w:numPr>
          <w:ilvl w:val="2"/>
          <w:numId w:val="99"/>
        </w:numPr>
        <w:spacing w:after="111" w:line="251" w:lineRule="auto"/>
        <w:ind w:right="573" w:hanging="404"/>
        <w:jc w:val="both"/>
      </w:pPr>
      <w:r>
        <w:rPr>
          <w:rFonts w:ascii="Arial" w:eastAsia="Arial" w:hAnsi="Arial" w:cs="Arial"/>
          <w:i/>
        </w:rPr>
        <w:t>La promoción de la participación social en esta materia en su ámbito territorial.</w:t>
      </w:r>
    </w:p>
    <w:p w:rsidR="00E23B86" w:rsidRDefault="00BA7C13">
      <w:pPr>
        <w:numPr>
          <w:ilvl w:val="0"/>
          <w:numId w:val="96"/>
        </w:numPr>
        <w:pBdr>
          <w:top w:val="single" w:sz="2" w:space="0" w:color="00000A"/>
          <w:left w:val="single" w:sz="2" w:space="0" w:color="00000A"/>
          <w:bottom w:val="single" w:sz="2" w:space="0" w:color="00000A"/>
          <w:right w:val="single" w:sz="2" w:space="0" w:color="00000A"/>
        </w:pBdr>
        <w:spacing w:after="281" w:line="257" w:lineRule="auto"/>
        <w:ind w:hanging="10"/>
      </w:pPr>
      <w:r>
        <w:rPr>
          <w:rFonts w:ascii="Arial" w:eastAsia="Arial" w:hAnsi="Arial" w:cs="Arial"/>
          <w:i/>
        </w:rPr>
        <w:t xml:space="preserve">ANÁLISIS DE LA PROBLEMÁTICA Y APROXIMACIÓN EPIDEMIOLÓGICA YCONTEXTUAL DE LAS ADICCIONES EN EL AMBITO MUNICIPAL  </w:t>
      </w:r>
    </w:p>
    <w:p w:rsidR="00E23B86" w:rsidRDefault="00BA7C13">
      <w:pPr>
        <w:spacing w:after="269" w:line="251" w:lineRule="auto"/>
        <w:ind w:left="355" w:right="573" w:hanging="10"/>
        <w:jc w:val="both"/>
      </w:pPr>
      <w:r>
        <w:rPr>
          <w:rFonts w:ascii="Arial" w:eastAsia="Arial" w:hAnsi="Arial" w:cs="Arial"/>
          <w:i/>
        </w:rPr>
        <w:t xml:space="preserve">En este apartado se presentan datos necesarios para poder disponer de una aproximación más ajustada a la realidad social municipal.  Primeramente, se resumen los resultados de la evaluación del III Plan Municipal (2013-2017), para, a continuación, incluir </w:t>
      </w:r>
      <w:r>
        <w:rPr>
          <w:rFonts w:ascii="Arial" w:eastAsia="Arial" w:hAnsi="Arial" w:cs="Arial"/>
          <w:i/>
        </w:rPr>
        <w:t xml:space="preserve">los datos de la prevalencia del consumo en Canarias y añadir recomendaciones técnicas para la planificación de la prevención en adicciones. Por último, se muestra una descripción del contexto municipal en el ámbito demográfico, laboral y social, prestando </w:t>
      </w:r>
      <w:r>
        <w:rPr>
          <w:rFonts w:ascii="Arial" w:eastAsia="Arial" w:hAnsi="Arial" w:cs="Arial"/>
          <w:i/>
        </w:rPr>
        <w:t>atención a cuestiones relacionadas con los hábitos saludables de la población del municipio. Además, se presentan las principales conclusiones de un estudio sobre hábitos saludables del alumnado de primaria y secundaria, realizado en el año 2019.</w:t>
      </w:r>
    </w:p>
    <w:p w:rsidR="00E23B86" w:rsidRDefault="00BA7C13">
      <w:pPr>
        <w:numPr>
          <w:ilvl w:val="1"/>
          <w:numId w:val="96"/>
        </w:numPr>
        <w:spacing w:after="243" w:line="251" w:lineRule="auto"/>
        <w:ind w:right="573" w:hanging="428"/>
        <w:jc w:val="both"/>
      </w:pPr>
      <w:r>
        <w:rPr>
          <w:rFonts w:ascii="Arial" w:eastAsia="Arial" w:hAnsi="Arial" w:cs="Arial"/>
          <w:i/>
        </w:rPr>
        <w:t>Resultado</w:t>
      </w:r>
      <w:r>
        <w:rPr>
          <w:rFonts w:ascii="Arial" w:eastAsia="Arial" w:hAnsi="Arial" w:cs="Arial"/>
          <w:i/>
        </w:rPr>
        <w:t xml:space="preserve">s de la evaluación del III Plan Municipal sobre Drogodependencias(2013-2017) </w:t>
      </w:r>
    </w:p>
    <w:p w:rsidR="00E23B86" w:rsidRDefault="00BA7C13">
      <w:pPr>
        <w:spacing w:after="144" w:line="251" w:lineRule="auto"/>
        <w:ind w:left="355" w:right="573" w:hanging="10"/>
        <w:jc w:val="both"/>
      </w:pPr>
      <w:r>
        <w:rPr>
          <w:rFonts w:ascii="Arial" w:eastAsia="Arial" w:hAnsi="Arial" w:cs="Arial"/>
          <w:i/>
        </w:rPr>
        <w:t xml:space="preserve">Los resultados más relevantes de la evaluación del III Plan Municipal son:  </w:t>
      </w:r>
    </w:p>
    <w:p w:rsidR="00E23B86" w:rsidRDefault="00BA7C13">
      <w:pPr>
        <w:numPr>
          <w:ilvl w:val="2"/>
          <w:numId w:val="96"/>
        </w:numPr>
        <w:spacing w:after="186" w:line="251" w:lineRule="auto"/>
        <w:ind w:right="573" w:hanging="360"/>
        <w:jc w:val="both"/>
      </w:pPr>
      <w:r>
        <w:rPr>
          <w:rFonts w:ascii="Arial" w:eastAsia="Arial" w:hAnsi="Arial" w:cs="Arial"/>
          <w:i/>
        </w:rPr>
        <w:t xml:space="preserve">Las acciones de prevención escolar llevadas a cabo son periódicas, lo cual hace que estén plenamente </w:t>
      </w:r>
      <w:r>
        <w:rPr>
          <w:rFonts w:ascii="Arial" w:eastAsia="Arial" w:hAnsi="Arial" w:cs="Arial"/>
          <w:i/>
        </w:rPr>
        <w:t>consolidadas, sobre todo las acciones recogidas en los proyectos Renueva-T e Interróga-T. Sin duda, es una estrategia que ha de continuar consolidándose.</w:t>
      </w:r>
    </w:p>
    <w:p w:rsidR="00E23B86" w:rsidRDefault="00BA7C13">
      <w:pPr>
        <w:numPr>
          <w:ilvl w:val="2"/>
          <w:numId w:val="96"/>
        </w:numPr>
        <w:spacing w:after="187" w:line="251" w:lineRule="auto"/>
        <w:ind w:right="573" w:hanging="360"/>
        <w:jc w:val="both"/>
      </w:pPr>
      <w:r>
        <w:rPr>
          <w:noProof/>
        </w:rPr>
        <mc:AlternateContent>
          <mc:Choice Requires="wpg">
            <w:drawing>
              <wp:anchor distT="0" distB="0" distL="114300" distR="114300" simplePos="0" relativeHeight="2518620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6686" name="Group 52668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476" name="Rectangle 3447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4477" name="Rectangle 3447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6686" style="width:12.7031pt;height:280.35pt;position:absolute;mso-position-horizontal-relative:page;mso-position-horizontal:absolute;margin-left:681.958pt;mso-position-vertical-relative:page;margin-top:531.65pt;" coordsize="1613,35604">
                <v:rect id="Rectangle 3447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47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197 de 391 </w:t>
                        </w:r>
                      </w:p>
                    </w:txbxContent>
                  </v:textbox>
                </v:rect>
                <w10:wrap type="square"/>
              </v:group>
            </w:pict>
          </mc:Fallback>
        </mc:AlternateContent>
      </w:r>
      <w:r>
        <w:rPr>
          <w:rFonts w:ascii="Arial" w:eastAsia="Arial" w:hAnsi="Arial" w:cs="Arial"/>
          <w:i/>
        </w:rPr>
        <w:t>Respecto a las acciones de Prevención de la Concejalía de Servicios Sociales, las acciones con más beneficiarios/as son las dirigidas a prevenir el absentismo escolar. Esta acción es fundamental continuarla, pues gran cantidad de menores se exponen al ries</w:t>
      </w:r>
      <w:r>
        <w:rPr>
          <w:rFonts w:ascii="Arial" w:eastAsia="Arial" w:hAnsi="Arial" w:cs="Arial"/>
          <w:i/>
        </w:rPr>
        <w:t>go de poder consumir algún tipo de sustancia cuando se ausentan de los centros escolares.</w:t>
      </w:r>
    </w:p>
    <w:p w:rsidR="00E23B86" w:rsidRDefault="00BA7C13">
      <w:pPr>
        <w:numPr>
          <w:ilvl w:val="2"/>
          <w:numId w:val="96"/>
        </w:numPr>
        <w:spacing w:after="187" w:line="251" w:lineRule="auto"/>
        <w:ind w:right="573" w:hanging="360"/>
        <w:jc w:val="both"/>
      </w:pPr>
      <w:r>
        <w:rPr>
          <w:rFonts w:ascii="Arial" w:eastAsia="Arial" w:hAnsi="Arial" w:cs="Arial"/>
          <w:i/>
        </w:rPr>
        <w:t xml:space="preserve">Las acciones del resto de Concejalías del Ayuntamiento (Juventud, Deportes) son numerosas, pero en éstas no se aclara si efectivamente, además de entretener a los/as </w:t>
      </w:r>
      <w:r>
        <w:rPr>
          <w:rFonts w:ascii="Arial" w:eastAsia="Arial" w:hAnsi="Arial" w:cs="Arial"/>
          <w:i/>
        </w:rPr>
        <w:t>jóvenes o menores, se implementan medidas dedicadas a la promoción de la salud y prevención del consumo de drogas. Aun así, se destaca la conexión entre dichas Concejalías y la de Servicios Sociales, pues anualmente intercambian información a la hora de el</w:t>
      </w:r>
      <w:r>
        <w:rPr>
          <w:rFonts w:ascii="Arial" w:eastAsia="Arial" w:hAnsi="Arial" w:cs="Arial"/>
          <w:i/>
        </w:rPr>
        <w:t>aborar las memorias.</w:t>
      </w:r>
    </w:p>
    <w:p w:rsidR="00E23B86" w:rsidRDefault="00BA7C13">
      <w:pPr>
        <w:numPr>
          <w:ilvl w:val="2"/>
          <w:numId w:val="96"/>
        </w:numPr>
        <w:spacing w:after="187" w:line="251" w:lineRule="auto"/>
        <w:ind w:right="573" w:hanging="360"/>
        <w:jc w:val="both"/>
      </w:pPr>
      <w:r>
        <w:rPr>
          <w:rFonts w:ascii="Arial" w:eastAsia="Arial" w:hAnsi="Arial" w:cs="Arial"/>
          <w:i/>
        </w:rPr>
        <w:t xml:space="preserve">En lo referido a las atenciones de personas residentes en la Unidad Municipal de Drogodependencias, casi todas las atenciones son dirigidas a hombres que presentan poli-consumo. Además, las personas que han sido atendidas en alguno de </w:t>
      </w:r>
      <w:r>
        <w:rPr>
          <w:rFonts w:ascii="Arial" w:eastAsia="Arial" w:hAnsi="Arial" w:cs="Arial"/>
          <w:i/>
        </w:rPr>
        <w:t>los recursos específicos de atención a las drogodependencias durante el año 2016 y 2017 (San Miguel, Proyecto Hombre y Proyecto Drago), fueron en su mayoría por heroína, seguida de alcohol, cannabis y cocaína. En cuanto al perfil mayoritario, la mayor part</w:t>
      </w:r>
      <w:r>
        <w:rPr>
          <w:rFonts w:ascii="Arial" w:eastAsia="Arial" w:hAnsi="Arial" w:cs="Arial"/>
          <w:i/>
        </w:rPr>
        <w:t>e fueron hombres en todas las drogas y mayores de 40 años.</w:t>
      </w:r>
    </w:p>
    <w:p w:rsidR="00E23B86" w:rsidRDefault="00BA7C13">
      <w:pPr>
        <w:numPr>
          <w:ilvl w:val="2"/>
          <w:numId w:val="96"/>
        </w:numPr>
        <w:spacing w:after="186" w:line="251" w:lineRule="auto"/>
        <w:ind w:right="573" w:hanging="360"/>
        <w:jc w:val="both"/>
      </w:pPr>
      <w:r>
        <w:rPr>
          <w:rFonts w:ascii="Arial" w:eastAsia="Arial" w:hAnsi="Arial" w:cs="Arial"/>
          <w:i/>
        </w:rPr>
        <w:t>En términos presupuestarios, la inversión realizada por la Unidad Municipal es inestable en cuanto a importes, pues varía considerablemente de un año a otro.</w:t>
      </w:r>
    </w:p>
    <w:p w:rsidR="00E23B86" w:rsidRDefault="00BA7C13">
      <w:pPr>
        <w:numPr>
          <w:ilvl w:val="2"/>
          <w:numId w:val="96"/>
        </w:numPr>
        <w:spacing w:after="111" w:line="251" w:lineRule="auto"/>
        <w:ind w:right="573" w:hanging="360"/>
        <w:jc w:val="both"/>
      </w:pPr>
      <w:r>
        <w:rPr>
          <w:rFonts w:ascii="Arial" w:eastAsia="Arial" w:hAnsi="Arial" w:cs="Arial"/>
          <w:i/>
        </w:rPr>
        <w:t xml:space="preserve">Los Recursos Humanos están compartidos </w:t>
      </w:r>
      <w:r>
        <w:rPr>
          <w:rFonts w:ascii="Arial" w:eastAsia="Arial" w:hAnsi="Arial" w:cs="Arial"/>
          <w:i/>
        </w:rPr>
        <w:t>con otras áreas, lo cual hace que no dispongan de la dedicación que el área de drogodependencias exige, asumiendo el personal trabajos extra de otras áreas.</w:t>
      </w:r>
    </w:p>
    <w:p w:rsidR="00E23B86" w:rsidRDefault="00BA7C13">
      <w:pPr>
        <w:spacing w:after="599" w:line="251" w:lineRule="auto"/>
        <w:ind w:left="355" w:right="573" w:hanging="10"/>
        <w:jc w:val="both"/>
      </w:pPr>
      <w:r>
        <w:rPr>
          <w:rFonts w:ascii="Arial" w:eastAsia="Arial" w:hAnsi="Arial" w:cs="Arial"/>
          <w:i/>
        </w:rPr>
        <w:t>Además de realizar la Evaluación del III Plan, ésta, junto con la estructura del IV Plan, fue prese</w:t>
      </w:r>
      <w:r>
        <w:rPr>
          <w:rFonts w:ascii="Arial" w:eastAsia="Arial" w:hAnsi="Arial" w:cs="Arial"/>
          <w:i/>
        </w:rPr>
        <w:t>ntada a los recursos municipales para que realizaran las aportaciones que consideraran que debían ser tenidas en cuenta a la hora de elaborar el presente IV Plan. Dichas aportaciones de los diferentes recursos se caracterizaron por lo siguiente:</w:t>
      </w:r>
    </w:p>
    <w:p w:rsidR="00E23B86" w:rsidRDefault="00BA7C13">
      <w:pPr>
        <w:numPr>
          <w:ilvl w:val="2"/>
          <w:numId w:val="96"/>
        </w:numPr>
        <w:spacing w:after="200" w:line="251" w:lineRule="auto"/>
        <w:ind w:right="573" w:hanging="360"/>
        <w:jc w:val="both"/>
      </w:pPr>
      <w:r>
        <w:rPr>
          <w:rFonts w:ascii="Arial" w:eastAsia="Arial" w:hAnsi="Arial" w:cs="Arial"/>
          <w:i/>
        </w:rPr>
        <w:t>La valorac</w:t>
      </w:r>
      <w:r>
        <w:rPr>
          <w:rFonts w:ascii="Arial" w:eastAsia="Arial" w:hAnsi="Arial" w:cs="Arial"/>
          <w:i/>
        </w:rPr>
        <w:t xml:space="preserve">ión que hacen las personas participantes sobre la estructura del documento de propuesta de planificación para el IV Plan Municipal de Prevención de Adicciones (2019-2023) del municipio de Candelaria, les parece adecuada. </w:t>
      </w:r>
    </w:p>
    <w:p w:rsidR="00E23B86" w:rsidRDefault="00BA7C13">
      <w:pPr>
        <w:numPr>
          <w:ilvl w:val="2"/>
          <w:numId w:val="96"/>
        </w:numPr>
        <w:spacing w:after="198" w:line="251" w:lineRule="auto"/>
        <w:ind w:right="573" w:hanging="360"/>
        <w:jc w:val="both"/>
      </w:pPr>
      <w:r>
        <w:rPr>
          <w:rFonts w:ascii="Arial" w:eastAsia="Arial" w:hAnsi="Arial" w:cs="Arial"/>
          <w:i/>
        </w:rPr>
        <w:t>La participación de los recursos m</w:t>
      </w:r>
      <w:r>
        <w:rPr>
          <w:rFonts w:ascii="Arial" w:eastAsia="Arial" w:hAnsi="Arial" w:cs="Arial"/>
          <w:i/>
        </w:rPr>
        <w:t xml:space="preserve">unicipales propios y de la comunidad ha sido baja, (pues la tasa de respuesta al documento no ha sido muy elevada), habiéndose enviado en tiempo y forma a los mismos.  </w:t>
      </w:r>
    </w:p>
    <w:p w:rsidR="00E23B86" w:rsidRDefault="00BA7C13">
      <w:pPr>
        <w:numPr>
          <w:ilvl w:val="2"/>
          <w:numId w:val="96"/>
        </w:numPr>
        <w:spacing w:after="200" w:line="251" w:lineRule="auto"/>
        <w:ind w:right="573" w:hanging="360"/>
        <w:jc w:val="both"/>
      </w:pPr>
      <w:r>
        <w:rPr>
          <w:rFonts w:ascii="Arial" w:eastAsia="Arial" w:hAnsi="Arial" w:cs="Arial"/>
          <w:i/>
        </w:rPr>
        <w:t>La valoración percibida sobre otros problemas y/o dificultades, destacan, son los ya ex</w:t>
      </w:r>
      <w:r>
        <w:rPr>
          <w:rFonts w:ascii="Arial" w:eastAsia="Arial" w:hAnsi="Arial" w:cs="Arial"/>
          <w:i/>
        </w:rPr>
        <w:t>puestos en el diagnóstico.</w:t>
      </w:r>
    </w:p>
    <w:p w:rsidR="00E23B86" w:rsidRDefault="00BA7C13">
      <w:pPr>
        <w:numPr>
          <w:ilvl w:val="2"/>
          <w:numId w:val="96"/>
        </w:numPr>
        <w:spacing w:after="199" w:line="251" w:lineRule="auto"/>
        <w:ind w:right="573" w:hanging="360"/>
        <w:jc w:val="both"/>
      </w:pPr>
      <w:r>
        <w:rPr>
          <w:noProof/>
        </w:rPr>
        <mc:AlternateContent>
          <mc:Choice Requires="wpg">
            <w:drawing>
              <wp:anchor distT="0" distB="0" distL="114300" distR="114300" simplePos="0" relativeHeight="2518630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9173" name="Group 52917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541" name="Rectangle 3454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4542" name="Rectangle 3454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9173" style="width:12.7031pt;height:280.35pt;position:absolute;mso-position-horizontal-relative:page;mso-position-horizontal:absolute;margin-left:681.958pt;mso-position-vertical-relative:page;margin-top:531.65pt;" coordsize="1613,35604">
                <v:rect id="Rectangle 3454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54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198 de 391 </w:t>
                        </w:r>
                      </w:p>
                    </w:txbxContent>
                  </v:textbox>
                </v:rect>
                <w10:wrap type="square"/>
              </v:group>
            </w:pict>
          </mc:Fallback>
        </mc:AlternateContent>
      </w:r>
      <w:r>
        <w:rPr>
          <w:rFonts w:ascii="Arial" w:eastAsia="Arial" w:hAnsi="Arial" w:cs="Arial"/>
          <w:i/>
        </w:rPr>
        <w:t xml:space="preserve">Respecto a las valoraciones/opiniones sobre la información aportada y disponible en el ámbito municipal del documento aportado, es necesario destacar que no se realizan aportaciones relevantes. Las mismas se reiteran en las problemáticas mencionadas en la </w:t>
      </w:r>
      <w:r>
        <w:rPr>
          <w:rFonts w:ascii="Arial" w:eastAsia="Arial" w:hAnsi="Arial" w:cs="Arial"/>
          <w:i/>
        </w:rPr>
        <w:t>evaluación y proponen que mejore la coordinación interna entre áreas municipales a la hora de ofertar recursos, servicios o actividades a la comunidad (escuela, familias, etc.).</w:t>
      </w:r>
    </w:p>
    <w:p w:rsidR="00E23B86" w:rsidRDefault="00BA7C13">
      <w:pPr>
        <w:numPr>
          <w:ilvl w:val="2"/>
          <w:numId w:val="96"/>
        </w:numPr>
        <w:spacing w:after="148" w:line="251" w:lineRule="auto"/>
        <w:ind w:right="573" w:hanging="360"/>
        <w:jc w:val="both"/>
      </w:pPr>
      <w:r>
        <w:rPr>
          <w:rFonts w:ascii="Arial" w:eastAsia="Arial" w:hAnsi="Arial" w:cs="Arial"/>
          <w:i/>
        </w:rPr>
        <w:t>En las propuestas, medidas y sugerencias hechas por los/as participantes, cabe</w:t>
      </w:r>
      <w:r>
        <w:rPr>
          <w:rFonts w:ascii="Arial" w:eastAsia="Arial" w:hAnsi="Arial" w:cs="Arial"/>
          <w:i/>
        </w:rPr>
        <w:t xml:space="preserve"> destacar que las podemos agrupar en varias categorías: </w:t>
      </w:r>
    </w:p>
    <w:p w:rsidR="00E23B86" w:rsidRDefault="00BA7C13">
      <w:pPr>
        <w:numPr>
          <w:ilvl w:val="3"/>
          <w:numId w:val="96"/>
        </w:numPr>
        <w:spacing w:after="148" w:line="251" w:lineRule="auto"/>
        <w:ind w:right="573" w:hanging="360"/>
        <w:jc w:val="both"/>
      </w:pPr>
      <w:r>
        <w:rPr>
          <w:rFonts w:ascii="Arial" w:eastAsia="Arial" w:hAnsi="Arial" w:cs="Arial"/>
          <w:i/>
        </w:rPr>
        <w:t>De tipo preventivo, informativo y educativo:  dirigida a menores, familias y profesionales.</w:t>
      </w:r>
    </w:p>
    <w:p w:rsidR="00E23B86" w:rsidRDefault="00BA7C13">
      <w:pPr>
        <w:numPr>
          <w:ilvl w:val="3"/>
          <w:numId w:val="96"/>
        </w:numPr>
        <w:spacing w:after="148" w:line="251" w:lineRule="auto"/>
        <w:ind w:right="573" w:hanging="360"/>
        <w:jc w:val="both"/>
      </w:pPr>
      <w:r>
        <w:rPr>
          <w:rFonts w:ascii="Arial" w:eastAsia="Arial" w:hAnsi="Arial" w:cs="Arial"/>
          <w:i/>
        </w:rPr>
        <w:t>De tipo organizativo: centrada en la coordinación, evaluación, oferta de servicios y actividades y protocol</w:t>
      </w:r>
      <w:r>
        <w:rPr>
          <w:rFonts w:ascii="Arial" w:eastAsia="Arial" w:hAnsi="Arial" w:cs="Arial"/>
          <w:i/>
        </w:rPr>
        <w:t>os de actuación.</w:t>
      </w:r>
    </w:p>
    <w:p w:rsidR="00E23B86" w:rsidRDefault="00BA7C13">
      <w:pPr>
        <w:numPr>
          <w:ilvl w:val="3"/>
          <w:numId w:val="96"/>
        </w:numPr>
        <w:spacing w:after="262" w:line="265" w:lineRule="auto"/>
        <w:ind w:right="573" w:hanging="360"/>
        <w:jc w:val="both"/>
      </w:pPr>
      <w:r>
        <w:rPr>
          <w:rFonts w:ascii="Arial" w:eastAsia="Arial" w:hAnsi="Arial" w:cs="Arial"/>
          <w:i/>
        </w:rPr>
        <w:t>De mejora de recursos (incremento de medios humanos y materiales).</w:t>
      </w:r>
    </w:p>
    <w:p w:rsidR="00E23B86" w:rsidRDefault="00BA7C13">
      <w:pPr>
        <w:numPr>
          <w:ilvl w:val="1"/>
          <w:numId w:val="96"/>
        </w:numPr>
        <w:spacing w:after="243" w:line="251" w:lineRule="auto"/>
        <w:ind w:right="573" w:hanging="428"/>
        <w:jc w:val="both"/>
      </w:pPr>
      <w:r>
        <w:rPr>
          <w:rFonts w:ascii="Arial" w:eastAsia="Arial" w:hAnsi="Arial" w:cs="Arial"/>
          <w:i/>
        </w:rPr>
        <w:t xml:space="preserve">La prevalencia del consumo en Canarias e indicaciones para la planificación delas acciones de prevención e inserción.  </w:t>
      </w:r>
    </w:p>
    <w:p w:rsidR="00E23B86" w:rsidRDefault="00BA7C13">
      <w:pPr>
        <w:spacing w:after="163" w:line="251" w:lineRule="auto"/>
        <w:ind w:left="355" w:right="573" w:hanging="10"/>
        <w:jc w:val="both"/>
      </w:pPr>
      <w:r>
        <w:rPr>
          <w:rFonts w:ascii="Arial" w:eastAsia="Arial" w:hAnsi="Arial" w:cs="Arial"/>
          <w:i/>
        </w:rPr>
        <w:t>Es preciso conocer cómo está la prevalencia del consumo en Canarias, y así poder establecer comparaciones con el escenario municipal y concretar las acciones a llevar a cabo. Los datos de referencia para conocer esa prevalencia proceden de las siguientes f</w:t>
      </w:r>
      <w:r>
        <w:rPr>
          <w:rFonts w:ascii="Arial" w:eastAsia="Arial" w:hAnsi="Arial" w:cs="Arial"/>
          <w:i/>
        </w:rPr>
        <w:t>uentes: Encuesta domiciliaria sobre alcohol y drogas en España 2016-2017 (EDADES 2017, población de 15 a 64 años) y la Encuesta sobre el uso de drogas en estudiantes de enseñanzas secundarias en España 2016-2017 (ESTUDES, estudiantes de 14 a 18 años).</w:t>
      </w:r>
    </w:p>
    <w:p w:rsidR="00E23B86" w:rsidRDefault="00BA7C13">
      <w:pPr>
        <w:spacing w:after="162" w:line="251" w:lineRule="auto"/>
        <w:ind w:left="355" w:right="573" w:hanging="10"/>
        <w:jc w:val="both"/>
      </w:pPr>
      <w:r>
        <w:rPr>
          <w:rFonts w:ascii="Arial" w:eastAsia="Arial" w:hAnsi="Arial" w:cs="Arial"/>
          <w:i/>
        </w:rPr>
        <w:t xml:space="preserve">Los </w:t>
      </w:r>
      <w:r>
        <w:rPr>
          <w:rFonts w:ascii="Arial" w:eastAsia="Arial" w:hAnsi="Arial" w:cs="Arial"/>
          <w:i/>
        </w:rPr>
        <w:t>datos relevantes para Canarias a destacar son los siguientes:</w:t>
      </w:r>
    </w:p>
    <w:p w:rsidR="00E23B86" w:rsidRDefault="00BA7C13">
      <w:pPr>
        <w:numPr>
          <w:ilvl w:val="2"/>
          <w:numId w:val="100"/>
        </w:numPr>
        <w:spacing w:after="111" w:line="251" w:lineRule="auto"/>
        <w:ind w:right="573" w:hanging="360"/>
        <w:jc w:val="both"/>
      </w:pPr>
      <w:r>
        <w:rPr>
          <w:rFonts w:ascii="Arial" w:eastAsia="Arial" w:hAnsi="Arial" w:cs="Arial"/>
          <w:i/>
        </w:rPr>
        <w:t>Sólo un 5,8% de la población declara no haber consumido alcohol y los hombres declaran un mayor consumo que las mujeres.</w:t>
      </w:r>
    </w:p>
    <w:p w:rsidR="00E23B86" w:rsidRDefault="00BA7C13">
      <w:pPr>
        <w:numPr>
          <w:ilvl w:val="2"/>
          <w:numId w:val="100"/>
        </w:numPr>
        <w:spacing w:after="163" w:line="251" w:lineRule="auto"/>
        <w:ind w:right="573" w:hanging="360"/>
        <w:jc w:val="both"/>
      </w:pPr>
      <w:r>
        <w:rPr>
          <w:rFonts w:ascii="Arial" w:eastAsia="Arial" w:hAnsi="Arial" w:cs="Arial"/>
          <w:i/>
        </w:rPr>
        <w:t>Existe un consumo de alcohol habitual en la población, pues un 57% ha consumido al menos un día en los últimos 7 días y un 11% declaran un consumo diario a lo largo de la semana. La frecuencia de consumo es superior en las mujeres respecto a los hombres.</w:t>
      </w:r>
    </w:p>
    <w:p w:rsidR="00E23B86" w:rsidRDefault="00BA7C13">
      <w:pPr>
        <w:numPr>
          <w:ilvl w:val="2"/>
          <w:numId w:val="100"/>
        </w:numPr>
        <w:spacing w:after="163" w:line="251" w:lineRule="auto"/>
        <w:ind w:right="573" w:hanging="360"/>
        <w:jc w:val="both"/>
      </w:pPr>
      <w:r>
        <w:rPr>
          <w:rFonts w:ascii="Arial" w:eastAsia="Arial" w:hAnsi="Arial" w:cs="Arial"/>
          <w:i/>
        </w:rPr>
        <w:t>U</w:t>
      </w:r>
      <w:r>
        <w:rPr>
          <w:rFonts w:ascii="Arial" w:eastAsia="Arial" w:hAnsi="Arial" w:cs="Arial"/>
          <w:i/>
        </w:rPr>
        <w:t>n 72% declara haber consumido tabaco alguna vez en su vida y sólo un 36% declara consumir tabaco en los últimos doce meses. Son los hombres los que consumen más tabaco y con más frecuencia que las mujeres.</w:t>
      </w:r>
    </w:p>
    <w:p w:rsidR="00E23B86" w:rsidRDefault="00BA7C13">
      <w:pPr>
        <w:numPr>
          <w:ilvl w:val="2"/>
          <w:numId w:val="100"/>
        </w:numPr>
        <w:spacing w:after="163" w:line="251" w:lineRule="auto"/>
        <w:ind w:right="573" w:hanging="360"/>
        <w:jc w:val="both"/>
      </w:pPr>
      <w:r>
        <w:rPr>
          <w:rFonts w:ascii="Arial" w:eastAsia="Arial" w:hAnsi="Arial" w:cs="Arial"/>
          <w:i/>
        </w:rPr>
        <w:t>Un 21% declara haber consumido tranquilizantes alg</w:t>
      </w:r>
      <w:r>
        <w:rPr>
          <w:rFonts w:ascii="Arial" w:eastAsia="Arial" w:hAnsi="Arial" w:cs="Arial"/>
          <w:i/>
        </w:rPr>
        <w:t>una vez en su vida, pero sólo un 14% dice haberlos consumido los últimos doce meses, y un 9% a diario. El consumo es mayor en las mujeres que en los hombres.</w:t>
      </w:r>
    </w:p>
    <w:p w:rsidR="00E23B86" w:rsidRDefault="00BA7C13">
      <w:pPr>
        <w:numPr>
          <w:ilvl w:val="2"/>
          <w:numId w:val="100"/>
        </w:numPr>
        <w:spacing w:after="162" w:line="251" w:lineRule="auto"/>
        <w:ind w:right="573" w:hanging="360"/>
        <w:jc w:val="both"/>
      </w:pPr>
      <w:r>
        <w:rPr>
          <w:rFonts w:ascii="Arial" w:eastAsia="Arial" w:hAnsi="Arial" w:cs="Arial"/>
          <w:i/>
        </w:rPr>
        <w:t>Una de cada tres personas declara haber consumido derivados del cannabis, siendo los hombres los q</w:t>
      </w:r>
      <w:r>
        <w:rPr>
          <w:rFonts w:ascii="Arial" w:eastAsia="Arial" w:hAnsi="Arial" w:cs="Arial"/>
          <w:i/>
        </w:rPr>
        <w:t>ue más consumen respecto a las mujeres.</w:t>
      </w:r>
    </w:p>
    <w:p w:rsidR="00E23B86" w:rsidRDefault="00BA7C13">
      <w:pPr>
        <w:numPr>
          <w:ilvl w:val="2"/>
          <w:numId w:val="100"/>
        </w:numPr>
        <w:spacing w:after="163" w:line="251" w:lineRule="auto"/>
        <w:ind w:right="573" w:hanging="360"/>
        <w:jc w:val="both"/>
      </w:pPr>
      <w:r>
        <w:rPr>
          <w:rFonts w:ascii="Arial" w:eastAsia="Arial" w:hAnsi="Arial" w:cs="Arial"/>
          <w:i/>
        </w:rPr>
        <w:t>Un 3% declara haber consumido cocaína en lo últimos doce meses, y sólo un 1,8% dice haberlo hecho en los últimos 30 días. El consumo es ocasional y son los hombres lo que más la consumen.</w:t>
      </w:r>
    </w:p>
    <w:p w:rsidR="00E23B86" w:rsidRDefault="00BA7C13">
      <w:pPr>
        <w:numPr>
          <w:ilvl w:val="2"/>
          <w:numId w:val="100"/>
        </w:numPr>
        <w:spacing w:after="163" w:line="251" w:lineRule="auto"/>
        <w:ind w:right="573" w:hanging="360"/>
        <w:jc w:val="both"/>
      </w:pPr>
      <w:r>
        <w:rPr>
          <w:rFonts w:ascii="Arial" w:eastAsia="Arial" w:hAnsi="Arial" w:cs="Arial"/>
          <w:i/>
        </w:rPr>
        <w:t>Un 6% declara haber consumid</w:t>
      </w:r>
      <w:r>
        <w:rPr>
          <w:rFonts w:ascii="Arial" w:eastAsia="Arial" w:hAnsi="Arial" w:cs="Arial"/>
          <w:i/>
        </w:rPr>
        <w:t xml:space="preserve">o anfetaminas alguna vez en su vida, un 5% dice haber consumido alucinógenos y un 0,4% heroína. Son los hombres los que declaran consumir estas sustancias más, respecto a las mujeres. </w:t>
      </w:r>
    </w:p>
    <w:p w:rsidR="00E23B86" w:rsidRDefault="00BA7C13">
      <w:pPr>
        <w:numPr>
          <w:ilvl w:val="2"/>
          <w:numId w:val="100"/>
        </w:numPr>
        <w:spacing w:after="163" w:line="251" w:lineRule="auto"/>
        <w:ind w:right="573" w:hanging="360"/>
        <w:jc w:val="both"/>
      </w:pPr>
      <w:r>
        <w:rPr>
          <w:noProof/>
        </w:rPr>
        <mc:AlternateContent>
          <mc:Choice Requires="wpg">
            <w:drawing>
              <wp:anchor distT="0" distB="0" distL="114300" distR="114300" simplePos="0" relativeHeight="2518640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9398" name="Group 52939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608" name="Rectangle 3460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w:t>
                              </w:r>
                              <w:r>
                                <w:rPr>
                                  <w:rFonts w:ascii="Arial" w:eastAsia="Arial" w:hAnsi="Arial" w:cs="Arial"/>
                                  <w:sz w:val="12"/>
                                </w:rPr>
                                <w:t xml:space="preserve">andelaria.sedelectronica.es/ </w:t>
                              </w:r>
                            </w:p>
                          </w:txbxContent>
                        </wps:txbx>
                        <wps:bodyPr horzOverflow="overflow" vert="horz" lIns="0" tIns="0" rIns="0" bIns="0" rtlCol="0">
                          <a:noAutofit/>
                        </wps:bodyPr>
                      </wps:wsp>
                      <wps:wsp>
                        <wps:cNvPr id="34609" name="Rectangle 3460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199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9398" style="width:12.7031pt;height:280.35pt;position:absolute;mso-position-horizontal-relative:page;mso-position-horizontal:absolute;margin-left:681.958pt;mso-position-vertical-relative:page;margin-top:531.65pt;" coordsize="1613,35604">
                <v:rect id="Rectangle 3460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60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199 de 391 </w:t>
                        </w:r>
                      </w:p>
                    </w:txbxContent>
                  </v:textbox>
                </v:rect>
                <w10:wrap type="square"/>
              </v:group>
            </w:pict>
          </mc:Fallback>
        </mc:AlternateContent>
      </w:r>
      <w:r>
        <w:rPr>
          <w:rFonts w:ascii="Arial" w:eastAsia="Arial" w:hAnsi="Arial" w:cs="Arial"/>
          <w:i/>
        </w:rPr>
        <w:t>Un 42% declara haber jugado dinero dentro de la red, un 26% dice jugar dinero un día al mes, mientras un 18% declara que juega fu</w:t>
      </w:r>
      <w:r>
        <w:rPr>
          <w:rFonts w:ascii="Arial" w:eastAsia="Arial" w:hAnsi="Arial" w:cs="Arial"/>
          <w:i/>
        </w:rPr>
        <w:t xml:space="preserve">era de internet entre 2-4 días al mes. Un 97% ha jugado sin dinero de forma online. En general son los hombres los que más juegan.  </w:t>
      </w:r>
    </w:p>
    <w:p w:rsidR="00E23B86" w:rsidRDefault="00BA7C13">
      <w:pPr>
        <w:numPr>
          <w:ilvl w:val="2"/>
          <w:numId w:val="100"/>
        </w:numPr>
        <w:spacing w:after="163" w:line="251" w:lineRule="auto"/>
        <w:ind w:right="573" w:hanging="360"/>
        <w:jc w:val="both"/>
      </w:pPr>
      <w:r>
        <w:rPr>
          <w:rFonts w:ascii="Arial" w:eastAsia="Arial" w:hAnsi="Arial" w:cs="Arial"/>
          <w:i/>
        </w:rPr>
        <w:t>La frecuencia de consumo de alcohol y tabaco en población menor en los últimos treinta días, se sitúa en torno al 22%, y un</w:t>
      </w:r>
      <w:r>
        <w:rPr>
          <w:rFonts w:ascii="Arial" w:eastAsia="Arial" w:hAnsi="Arial" w:cs="Arial"/>
          <w:i/>
        </w:rPr>
        <w:t xml:space="preserve"> 33% ha consumido tabaco o alcohol alguna vez en su vida.</w:t>
      </w:r>
    </w:p>
    <w:p w:rsidR="00E23B86" w:rsidRDefault="00BA7C13">
      <w:pPr>
        <w:numPr>
          <w:ilvl w:val="2"/>
          <w:numId w:val="100"/>
        </w:numPr>
        <w:spacing w:after="283" w:line="251" w:lineRule="auto"/>
        <w:ind w:right="573" w:hanging="360"/>
        <w:jc w:val="both"/>
      </w:pPr>
      <w:r>
        <w:rPr>
          <w:rFonts w:ascii="Arial" w:eastAsia="Arial" w:hAnsi="Arial" w:cs="Arial"/>
          <w:i/>
        </w:rPr>
        <w:t xml:space="preserve">Respecto al consumo de derivados del cannabis en población menor, un 27% dice haberlos probado alguna vez en su vida, y un 16% dice haberlas consumido en los últimos treinta días.     </w:t>
      </w:r>
    </w:p>
    <w:p w:rsidR="00E23B86" w:rsidRDefault="00BA7C13">
      <w:pPr>
        <w:numPr>
          <w:ilvl w:val="1"/>
          <w:numId w:val="96"/>
        </w:numPr>
        <w:spacing w:after="242" w:line="251" w:lineRule="auto"/>
        <w:ind w:right="573" w:hanging="428"/>
        <w:jc w:val="both"/>
      </w:pPr>
      <w:r>
        <w:rPr>
          <w:rFonts w:ascii="Arial" w:eastAsia="Arial" w:hAnsi="Arial" w:cs="Arial"/>
          <w:i/>
        </w:rPr>
        <w:t>Descripción d</w:t>
      </w:r>
      <w:r>
        <w:rPr>
          <w:rFonts w:ascii="Arial" w:eastAsia="Arial" w:hAnsi="Arial" w:cs="Arial"/>
          <w:i/>
        </w:rPr>
        <w:t xml:space="preserve">el contexto municipal   </w:t>
      </w:r>
    </w:p>
    <w:p w:rsidR="00E23B86" w:rsidRDefault="00BA7C13">
      <w:pPr>
        <w:spacing w:after="111" w:line="251" w:lineRule="auto"/>
        <w:ind w:left="355" w:right="573" w:hanging="10"/>
        <w:jc w:val="both"/>
      </w:pPr>
      <w:r>
        <w:rPr>
          <w:rFonts w:ascii="Arial" w:eastAsia="Arial" w:hAnsi="Arial" w:cs="Arial"/>
          <w:i/>
        </w:rPr>
        <w:t>Candelaria es uno de los municipios de Tenerife que está enclavado en su vertiente meridional en el ámbito del Sureste de la isla. Tiene una extensión superficial de 49,8 Km2 y se halla a unos 19 kilómetros de la capital (Santa Cru</w:t>
      </w:r>
      <w:r>
        <w:rPr>
          <w:rFonts w:ascii="Arial" w:eastAsia="Arial" w:hAnsi="Arial" w:cs="Arial"/>
          <w:i/>
        </w:rPr>
        <w:t xml:space="preserve">z de Tenerife). El desnivel orográfico que presenta todo su territorio hace que existan altitudes desde cero hasta 1.746 metros. </w:t>
      </w:r>
    </w:p>
    <w:p w:rsidR="00E23B86" w:rsidRDefault="00BA7C13">
      <w:pPr>
        <w:spacing w:after="111" w:line="251" w:lineRule="auto"/>
        <w:ind w:left="355" w:right="573" w:hanging="10"/>
        <w:jc w:val="both"/>
      </w:pPr>
      <w:r>
        <w:rPr>
          <w:rFonts w:ascii="Arial" w:eastAsia="Arial" w:hAnsi="Arial" w:cs="Arial"/>
          <w:i/>
        </w:rPr>
        <w:t>El municipio limita al Norte con El Rosario por Barranco Hondo, al Sur, con Arafo por el Barranco de Tapia, al Este con el Océano Atlántico y al Oeste con los montes que corresponden a La Matanza, La Victoria, El Sauzal y Santa Úrsula. El terreno está surc</w:t>
      </w:r>
      <w:r>
        <w:rPr>
          <w:rFonts w:ascii="Arial" w:eastAsia="Arial" w:hAnsi="Arial" w:cs="Arial"/>
          <w:i/>
        </w:rPr>
        <w:t xml:space="preserve">ado con varios barrancos que conforman los barrios o caseríos. </w:t>
      </w:r>
    </w:p>
    <w:p w:rsidR="00E23B86" w:rsidRDefault="00BA7C13">
      <w:pPr>
        <w:spacing w:after="111" w:line="251" w:lineRule="auto"/>
        <w:ind w:left="355" w:right="573" w:hanging="10"/>
        <w:jc w:val="both"/>
      </w:pPr>
      <w:r>
        <w:rPr>
          <w:rFonts w:ascii="Arial" w:eastAsia="Arial" w:hAnsi="Arial" w:cs="Arial"/>
          <w:i/>
        </w:rPr>
        <w:t xml:space="preserve">En cuanto a la actividad económica del municipio, siempre se ha basado en la ganadería y la agricultura. Contra la opinión común que se piensa que Candelaria es un pueblo de pescadores/as, la </w:t>
      </w:r>
      <w:r>
        <w:rPr>
          <w:rFonts w:ascii="Arial" w:eastAsia="Arial" w:hAnsi="Arial" w:cs="Arial"/>
          <w:i/>
        </w:rPr>
        <w:t xml:space="preserve">pesca en la economía local ya no tiene la importancia que tuvo en las décadas anteriores y hoy apenas tiene significado en la economía municipal. El desarrollo agrícola y ganadero, limitado a los barrios altos, Igueste, Barranco Hondo, Araya, Cuevecitas y </w:t>
      </w:r>
      <w:r>
        <w:rPr>
          <w:rFonts w:ascii="Arial" w:eastAsia="Arial" w:hAnsi="Arial" w:cs="Arial"/>
          <w:i/>
        </w:rPr>
        <w:t xml:space="preserve">Malpaís, siempre se ha visto favorecido por la abundancia de aguas subterráneas, alumbradas por medio de pozos o galerías. </w:t>
      </w:r>
    </w:p>
    <w:p w:rsidR="00E23B86" w:rsidRDefault="00BA7C13">
      <w:pPr>
        <w:spacing w:after="111" w:line="251" w:lineRule="auto"/>
        <w:ind w:left="355" w:right="573" w:hanging="10"/>
        <w:jc w:val="both"/>
      </w:pPr>
      <w:r>
        <w:rPr>
          <w:rFonts w:ascii="Arial" w:eastAsia="Arial" w:hAnsi="Arial" w:cs="Arial"/>
          <w:i/>
        </w:rPr>
        <w:t>Los otros municipios del valle agrupan su núcleo poblacional entorno a un casco. Candelaria cuenta con varias entidades tan signific</w:t>
      </w:r>
      <w:r>
        <w:rPr>
          <w:rFonts w:ascii="Arial" w:eastAsia="Arial" w:hAnsi="Arial" w:cs="Arial"/>
          <w:i/>
        </w:rPr>
        <w:t>ativas como el centro por su población y recursos. Entre ellos se encuentra Candelaria casco urbano, Las Caletillas, Punta Larga, La Viuda, El Ramonal, Barranco Hondo, Igueste de Candelaria, Araya, Cuevecitas, Malpaís y La Viuda.</w:t>
      </w:r>
    </w:p>
    <w:p w:rsidR="00E23B86" w:rsidRDefault="00BA7C13">
      <w:pPr>
        <w:spacing w:after="111" w:line="251" w:lineRule="auto"/>
        <w:ind w:left="355" w:right="573" w:hanging="10"/>
        <w:jc w:val="both"/>
      </w:pPr>
      <w:r>
        <w:rPr>
          <w:rFonts w:ascii="Arial" w:eastAsia="Arial" w:hAnsi="Arial" w:cs="Arial"/>
          <w:i/>
        </w:rPr>
        <w:t>Los recursos disponibles e</w:t>
      </w:r>
      <w:r>
        <w:rPr>
          <w:rFonts w:ascii="Arial" w:eastAsia="Arial" w:hAnsi="Arial" w:cs="Arial"/>
          <w:i/>
        </w:rPr>
        <w:t>n el municipio dependen del tipo de Administración de la que estemos tratando. Así, desde la propia Administración municipal, se puede contar con las propias Concejalías del Iltre. Ayuntamiento de Candelaria, y en concreto o con carácter prioritario las de</w:t>
      </w:r>
      <w:r>
        <w:rPr>
          <w:rFonts w:ascii="Arial" w:eastAsia="Arial" w:hAnsi="Arial" w:cs="Arial"/>
          <w:i/>
        </w:rPr>
        <w:t xml:space="preserve"> Servicios Sociales, Igualdad, Sanidad, Juventud, Deportes, Participación Ciudadana y Protección Civil, además de las Fuerzas de Seguridad Local. </w:t>
      </w:r>
    </w:p>
    <w:p w:rsidR="00E23B86" w:rsidRDefault="00BA7C13">
      <w:pPr>
        <w:spacing w:after="111" w:line="251" w:lineRule="auto"/>
        <w:ind w:left="355" w:right="573" w:hanging="10"/>
        <w:jc w:val="both"/>
      </w:pPr>
      <w:r>
        <w:rPr>
          <w:rFonts w:ascii="Arial" w:eastAsia="Arial" w:hAnsi="Arial" w:cs="Arial"/>
          <w:i/>
        </w:rPr>
        <w:t xml:space="preserve">En cuanto a los recursos educativos, existen cinco Centros de Enseñanza Infantil y Primaria del municipio de </w:t>
      </w:r>
      <w:r>
        <w:rPr>
          <w:rFonts w:ascii="Arial" w:eastAsia="Arial" w:hAnsi="Arial" w:cs="Arial"/>
          <w:i/>
        </w:rPr>
        <w:t>Candelaria: C.E.I.P. Igueste, C.E.I.P. Araya, C.E.I.P. Carmen Álvarez de la Rosa, C.E.I.P. Punta Larga y C.E.I.P. Príncipe Felipe”. Además, existen dos centros de enseñanza de secundaria; I.E.S. Punta Larga e I.E.S. Santa Ana, además de la Escuela de Adult</w:t>
      </w:r>
      <w:r>
        <w:rPr>
          <w:rFonts w:ascii="Arial" w:eastAsia="Arial" w:hAnsi="Arial" w:cs="Arial"/>
          <w:i/>
        </w:rPr>
        <w:t xml:space="preserve">os del municipio. </w:t>
      </w:r>
    </w:p>
    <w:p w:rsidR="00E23B86" w:rsidRDefault="00BA7C13">
      <w:pPr>
        <w:spacing w:after="151" w:line="251" w:lineRule="auto"/>
        <w:ind w:left="355" w:right="573" w:hanging="10"/>
        <w:jc w:val="both"/>
      </w:pPr>
      <w:r>
        <w:rPr>
          <w:noProof/>
        </w:rPr>
        <mc:AlternateContent>
          <mc:Choice Requires="wpg">
            <w:drawing>
              <wp:anchor distT="0" distB="0" distL="114300" distR="114300" simplePos="0" relativeHeight="2518650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29756" name="Group 52975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672" name="Rectangle 3467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4673" name="Rectangle 3467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200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29756" style="width:12.7031pt;height:280.35pt;position:absolute;mso-position-horizontal-relative:page;mso-position-horizontal:absolute;margin-left:681.958pt;mso-position-vertical-relative:page;margin-top:531.65pt;" coordsize="1613,35604">
                <v:rect id="Rectangle 3467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67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200 de 391 </w:t>
                        </w:r>
                      </w:p>
                    </w:txbxContent>
                  </v:textbox>
                </v:rect>
                <w10:wrap type="square"/>
              </v:group>
            </w:pict>
          </mc:Fallback>
        </mc:AlternateContent>
      </w:r>
      <w:r>
        <w:rPr>
          <w:rFonts w:ascii="Arial" w:eastAsia="Arial" w:hAnsi="Arial" w:cs="Arial"/>
          <w:i/>
        </w:rPr>
        <w:t>En lo relativo a recursos sanitarios se</w:t>
      </w:r>
      <w:r>
        <w:rPr>
          <w:rFonts w:ascii="Arial" w:eastAsia="Arial" w:hAnsi="Arial" w:cs="Arial"/>
          <w:i/>
        </w:rPr>
        <w:t xml:space="preserve"> encuentran en Candelaria varias farmacias, un Centro de Salud en el casco del municipio de Candelaria y los Consultorios Médicos Periféricos de Barranco Hondo e Igueste. Aunque físicamente no estén en Candelaria, es necesario tener en cuenta que existen r</w:t>
      </w:r>
      <w:r>
        <w:rPr>
          <w:rFonts w:ascii="Arial" w:eastAsia="Arial" w:hAnsi="Arial" w:cs="Arial"/>
          <w:i/>
        </w:rPr>
        <w:t>ecursos externos que atienden a personas del municipio como las Unidades de Atención a las Drogodependencias y recursos en materia de desintoxicación/deshabituación y/o reinserción social en general. Por último, es necesario tener en cuenta otros agentes s</w:t>
      </w:r>
      <w:r>
        <w:rPr>
          <w:rFonts w:ascii="Arial" w:eastAsia="Arial" w:hAnsi="Arial" w:cs="Arial"/>
          <w:i/>
        </w:rPr>
        <w:t>ociales como el Servicio Insular de Atención Integral a la Mujer y la Radio municipal, además de las diferentes asociaciones culturales/vecinales/deportivas y las Fuerzas y Cuerpos de Seguridad.</w:t>
      </w:r>
    </w:p>
    <w:p w:rsidR="00E23B86" w:rsidRDefault="00BA7C13">
      <w:pPr>
        <w:spacing w:after="111" w:line="251" w:lineRule="auto"/>
        <w:ind w:left="355" w:right="573" w:hanging="10"/>
        <w:jc w:val="both"/>
      </w:pPr>
      <w:r>
        <w:rPr>
          <w:rFonts w:ascii="Arial" w:eastAsia="Arial" w:hAnsi="Arial" w:cs="Arial"/>
          <w:i/>
        </w:rPr>
        <w:t>2.3.1. Contexto demográfico y laboral</w:t>
      </w:r>
    </w:p>
    <w:p w:rsidR="00E23B86" w:rsidRDefault="00BA7C13">
      <w:pPr>
        <w:spacing w:after="483" w:line="251" w:lineRule="auto"/>
        <w:ind w:left="355" w:right="573" w:hanging="10"/>
        <w:jc w:val="both"/>
      </w:pPr>
      <w:r>
        <w:rPr>
          <w:rFonts w:ascii="Arial" w:eastAsia="Arial" w:hAnsi="Arial" w:cs="Arial"/>
          <w:i/>
        </w:rPr>
        <w:t>En lo referente a la ev</w:t>
      </w:r>
      <w:r>
        <w:rPr>
          <w:rFonts w:ascii="Arial" w:eastAsia="Arial" w:hAnsi="Arial" w:cs="Arial"/>
          <w:i/>
        </w:rPr>
        <w:t>olución de la población, en el periodo analizado (2011-2017), en general, la población ha crecido en torno a dos mil personas. Sin embargo, han existido periodos (2013 y 2015), donde la población decreció, si bien en el resto de las anualidades creció de f</w:t>
      </w:r>
      <w:r>
        <w:rPr>
          <w:rFonts w:ascii="Arial" w:eastAsia="Arial" w:hAnsi="Arial" w:cs="Arial"/>
          <w:i/>
        </w:rPr>
        <w:t xml:space="preserve">orma general.  El peso de la población de Candelaria con respecto a la población total de Tenerife, de los años 2010 al 2017, ha ganado peso respecto al total insular. Así, se pasó de un 2,8% en 2010 a un 3% de la población insular en 2017. </w:t>
      </w:r>
    </w:p>
    <w:p w:rsidR="00E23B86" w:rsidRDefault="00BA7C13">
      <w:pPr>
        <w:spacing w:after="111" w:line="251" w:lineRule="auto"/>
        <w:ind w:left="355" w:right="573" w:hanging="10"/>
        <w:jc w:val="both"/>
      </w:pPr>
      <w:r>
        <w:rPr>
          <w:rFonts w:ascii="Arial" w:eastAsia="Arial" w:hAnsi="Arial" w:cs="Arial"/>
          <w:i/>
        </w:rPr>
        <w:t xml:space="preserve">Según el sexo </w:t>
      </w:r>
      <w:r>
        <w:rPr>
          <w:rFonts w:ascii="Arial" w:eastAsia="Arial" w:hAnsi="Arial" w:cs="Arial"/>
          <w:i/>
        </w:rPr>
        <w:t>de las personas residentes en Candelaria, en general en todo el periodo apenas hay variaciones entre hombres y mujeres, siendo el número de mujeres superior al de hombres, si bien las diferencias son mínimas (51% a 49%).</w:t>
      </w:r>
    </w:p>
    <w:p w:rsidR="00E23B86" w:rsidRDefault="00BA7C13">
      <w:pPr>
        <w:spacing w:after="111" w:line="251" w:lineRule="auto"/>
        <w:ind w:left="355" w:right="573" w:hanging="10"/>
        <w:jc w:val="both"/>
      </w:pPr>
      <w:r>
        <w:rPr>
          <w:rFonts w:ascii="Arial" w:eastAsia="Arial" w:hAnsi="Arial" w:cs="Arial"/>
          <w:i/>
        </w:rPr>
        <w:t xml:space="preserve">Para determinar la evolución de la </w:t>
      </w:r>
      <w:r>
        <w:rPr>
          <w:rFonts w:ascii="Arial" w:eastAsia="Arial" w:hAnsi="Arial" w:cs="Arial"/>
          <w:i/>
        </w:rPr>
        <w:t>población de Candelaria según la edad, se han obtenido los índices de juventud y envejecimiento del municipio. Se destaca que en el periodo estudiado (2011-2017), el índice de juventud descendió de un 15,67% a un 15,16%, mientras que el de envejecimiento s</w:t>
      </w:r>
      <w:r>
        <w:rPr>
          <w:rFonts w:ascii="Arial" w:eastAsia="Arial" w:hAnsi="Arial" w:cs="Arial"/>
          <w:i/>
        </w:rPr>
        <w:t>ubió de 12,18% a 14,72%. Todo ello indica que se está produciendo un progresivo envejecimiento de la población.</w:t>
      </w:r>
    </w:p>
    <w:p w:rsidR="00E23B86" w:rsidRDefault="00BA7C13">
      <w:pPr>
        <w:spacing w:after="111" w:line="251" w:lineRule="auto"/>
        <w:ind w:left="355" w:right="573" w:hanging="10"/>
        <w:jc w:val="both"/>
      </w:pPr>
      <w:r>
        <w:rPr>
          <w:rFonts w:ascii="Arial" w:eastAsia="Arial" w:hAnsi="Arial" w:cs="Arial"/>
          <w:i/>
        </w:rPr>
        <w:t>Respecto al número de desempleados/as, de 2011 a 2018, en general ha mejorado la situación progresivamente. Así, se inició el periodo con más de</w:t>
      </w:r>
      <w:r>
        <w:rPr>
          <w:rFonts w:ascii="Arial" w:eastAsia="Arial" w:hAnsi="Arial" w:cs="Arial"/>
          <w:i/>
        </w:rPr>
        <w:t xml:space="preserve"> 2.500 desempleados/as, para aumentar en el periodo más duro de la crisis económica (2012 y 2013), mientras que a partir de esa fecha ha ido progresivamente descendiendo.</w:t>
      </w:r>
    </w:p>
    <w:p w:rsidR="00E23B86" w:rsidRDefault="00BA7C13">
      <w:pPr>
        <w:spacing w:after="111" w:line="251" w:lineRule="auto"/>
        <w:ind w:left="355" w:right="573" w:hanging="10"/>
        <w:jc w:val="both"/>
      </w:pPr>
      <w:r>
        <w:rPr>
          <w:rFonts w:ascii="Arial" w:eastAsia="Arial" w:hAnsi="Arial" w:cs="Arial"/>
          <w:i/>
        </w:rPr>
        <w:t>Analizando el desempleo por sexo, se observa que, si bien partieron de un número de d</w:t>
      </w:r>
      <w:r>
        <w:rPr>
          <w:rFonts w:ascii="Arial" w:eastAsia="Arial" w:hAnsi="Arial" w:cs="Arial"/>
          <w:i/>
        </w:rPr>
        <w:t>esempleados/as similares en 2011, poco a poco con el transcurrir de los años la brecha de género se ha ampliado. Así, en el momento actual es donde más diferencia hay entre el desempleo de hombres y mujeres, perjudicando más a las mujeres.</w:t>
      </w:r>
    </w:p>
    <w:p w:rsidR="00E23B86" w:rsidRDefault="00BA7C13">
      <w:pPr>
        <w:spacing w:after="111" w:line="251" w:lineRule="auto"/>
        <w:ind w:left="355" w:right="573" w:hanging="10"/>
        <w:jc w:val="both"/>
      </w:pPr>
      <w:r>
        <w:rPr>
          <w:rFonts w:ascii="Arial" w:eastAsia="Arial" w:hAnsi="Arial" w:cs="Arial"/>
          <w:i/>
        </w:rPr>
        <w:t>Por último, resp</w:t>
      </w:r>
      <w:r>
        <w:rPr>
          <w:rFonts w:ascii="Arial" w:eastAsia="Arial" w:hAnsi="Arial" w:cs="Arial"/>
          <w:i/>
        </w:rPr>
        <w:t>ecto al desempleo según grandes grupos de edad, en general el número de desempleados/as mayores de 25 años ha ido disminuyendo, mientras que el/la de menores de 25 años se han mantenido estable. Aun así, se aprecia que afecta más a los/as mayores de 25 que</w:t>
      </w:r>
      <w:r>
        <w:rPr>
          <w:rFonts w:ascii="Arial" w:eastAsia="Arial" w:hAnsi="Arial" w:cs="Arial"/>
          <w:i/>
        </w:rPr>
        <w:t xml:space="preserve"> a los/as menores de dicha edad.</w:t>
      </w:r>
    </w:p>
    <w:p w:rsidR="00E23B86" w:rsidRDefault="00BA7C13">
      <w:pPr>
        <w:spacing w:after="155" w:line="251" w:lineRule="auto"/>
        <w:ind w:left="355" w:right="573" w:hanging="10"/>
        <w:jc w:val="both"/>
      </w:pPr>
      <w:r>
        <w:rPr>
          <w:rFonts w:ascii="Arial" w:eastAsia="Arial" w:hAnsi="Arial" w:cs="Arial"/>
          <w:i/>
        </w:rPr>
        <w:t>9.3.2. Análisis de los datos de atención a las drogodependencias</w:t>
      </w:r>
    </w:p>
    <w:p w:rsidR="00E23B86" w:rsidRDefault="00BA7C13">
      <w:pPr>
        <w:spacing w:after="111" w:line="251" w:lineRule="auto"/>
        <w:ind w:left="355" w:right="573" w:hanging="10"/>
        <w:jc w:val="both"/>
      </w:pPr>
      <w:r>
        <w:rPr>
          <w:rFonts w:ascii="Arial" w:eastAsia="Arial" w:hAnsi="Arial" w:cs="Arial"/>
          <w:i/>
        </w:rPr>
        <w:t>Datos de la Unidad de Prevención Municipal</w:t>
      </w:r>
    </w:p>
    <w:p w:rsidR="00E23B86" w:rsidRDefault="00BA7C13">
      <w:pPr>
        <w:spacing w:after="111" w:line="251" w:lineRule="auto"/>
        <w:ind w:left="355" w:right="573" w:hanging="10"/>
        <w:jc w:val="both"/>
      </w:pPr>
      <w:r>
        <w:rPr>
          <w:rFonts w:ascii="Arial" w:eastAsia="Arial" w:hAnsi="Arial" w:cs="Arial"/>
          <w:i/>
        </w:rPr>
        <w:t xml:space="preserve">El año de mayores atenciones fue en 2013, a partir del cual se fue reduciendo hasta el 2017, donde aumentó mínimamente. </w:t>
      </w:r>
    </w:p>
    <w:p w:rsidR="00E23B86" w:rsidRDefault="00BA7C13">
      <w:pPr>
        <w:spacing w:after="111" w:line="251" w:lineRule="auto"/>
        <w:ind w:left="355" w:right="573" w:hanging="10"/>
        <w:jc w:val="both"/>
      </w:pPr>
      <w:r>
        <w:rPr>
          <w:rFonts w:ascii="Arial" w:eastAsia="Arial" w:hAnsi="Arial" w:cs="Arial"/>
          <w:i/>
        </w:rPr>
        <w:t>Según el tipo de droga, en general en 2013 la mayor atención fue por el cannabis, mientras que poco a poco el perfil que se impone de 2</w:t>
      </w:r>
      <w:r>
        <w:rPr>
          <w:rFonts w:ascii="Arial" w:eastAsia="Arial" w:hAnsi="Arial" w:cs="Arial"/>
          <w:i/>
        </w:rPr>
        <w:t>015 en adelante es el de policonsumo. También cabe destacar que en 2017 se detectaron casos de atención a ludopatías.</w:t>
      </w:r>
    </w:p>
    <w:p w:rsidR="00E23B86" w:rsidRDefault="00BA7C13">
      <w:pPr>
        <w:spacing w:after="111" w:line="251" w:lineRule="auto"/>
        <w:ind w:left="355" w:right="573" w:hanging="10"/>
        <w:jc w:val="both"/>
      </w:pPr>
      <w:r>
        <w:rPr>
          <w:rFonts w:ascii="Arial" w:eastAsia="Arial" w:hAnsi="Arial" w:cs="Arial"/>
          <w:i/>
        </w:rPr>
        <w:t>Según el sexo, la gran mayoría de las personas atendidas son hombres en todo el periodo analizado.</w:t>
      </w:r>
    </w:p>
    <w:p w:rsidR="00E23B86" w:rsidRDefault="00BA7C13">
      <w:pPr>
        <w:spacing w:after="111" w:line="251" w:lineRule="auto"/>
        <w:ind w:left="355" w:right="573" w:hanging="10"/>
        <w:jc w:val="both"/>
      </w:pPr>
      <w:r>
        <w:rPr>
          <w:rFonts w:ascii="Arial" w:eastAsia="Arial" w:hAnsi="Arial" w:cs="Arial"/>
          <w:i/>
        </w:rPr>
        <w:t>Respecto a la edad, en 2013 la mayor pa</w:t>
      </w:r>
      <w:r>
        <w:rPr>
          <w:rFonts w:ascii="Arial" w:eastAsia="Arial" w:hAnsi="Arial" w:cs="Arial"/>
          <w:i/>
        </w:rPr>
        <w:t>rte son personas de 18 a 30 años, mientras que, en 2014, 2015 y 2017 la mayor parte son de entre 31 y 40 años, sobresaliendo la gran diferencia por edad en ese último año, donde la gran mayoría son personas de 31 a 40 años, muy por encima del resto de inte</w:t>
      </w:r>
      <w:r>
        <w:rPr>
          <w:rFonts w:ascii="Arial" w:eastAsia="Arial" w:hAnsi="Arial" w:cs="Arial"/>
          <w:i/>
        </w:rPr>
        <w:t>rvalos de edad.</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661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0042" name="Group 53004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734" name="Rectangle 3473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4735" name="Rectangle 3473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201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0042" style="width:12.7031pt;height:280.35pt;position:absolute;mso-position-horizontal-relative:page;mso-position-horizontal:absolute;margin-left:681.958pt;mso-position-vertical-relative:page;margin-top:531.65pt;" coordsize="1613,35604">
                <v:rect id="Rectangle 3473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73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201 de 391 </w:t>
                        </w:r>
                      </w:p>
                    </w:txbxContent>
                  </v:textbox>
                </v:rect>
                <w10:wrap type="square"/>
              </v:group>
            </w:pict>
          </mc:Fallback>
        </mc:AlternateContent>
      </w:r>
      <w:r>
        <w:rPr>
          <w:rFonts w:ascii="Arial" w:eastAsia="Arial" w:hAnsi="Arial" w:cs="Arial"/>
          <w:i/>
        </w:rPr>
        <w:t>Datos de los Recursos de Atención a las Drogodependencias</w:t>
      </w:r>
    </w:p>
    <w:p w:rsidR="00E23B86" w:rsidRDefault="00BA7C13">
      <w:pPr>
        <w:spacing w:after="111" w:line="251" w:lineRule="auto"/>
        <w:ind w:left="355" w:right="573" w:hanging="10"/>
        <w:jc w:val="both"/>
      </w:pPr>
      <w:r>
        <w:rPr>
          <w:rFonts w:ascii="Arial" w:eastAsia="Arial" w:hAnsi="Arial" w:cs="Arial"/>
          <w:i/>
        </w:rPr>
        <w:t xml:space="preserve">En este apartado se muestran los datos ofrecidos por las diferentes entidades autorizadas al tratamiento de población con algún tipo de adicción a sustancias como la Asociación San Miguel, Proyecto </w:t>
      </w:r>
      <w:r>
        <w:rPr>
          <w:rFonts w:ascii="Arial" w:eastAsia="Arial" w:hAnsi="Arial" w:cs="Arial"/>
          <w:i/>
        </w:rPr>
        <w:t>Hombre y Proyecto Drago. Es necesario tener en cuenta, que se ha tratado de homogeneizar las medidas, pero no ha sido posible en muchos casos, por lo que se presentan datos comparables entre sí (por ello, a veces se suprimen años, ya que no se sabe el núme</w:t>
      </w:r>
      <w:r>
        <w:rPr>
          <w:rFonts w:ascii="Arial" w:eastAsia="Arial" w:hAnsi="Arial" w:cs="Arial"/>
          <w:i/>
        </w:rPr>
        <w:t>ro total al estar el porcentaje y no el número absoluto).</w:t>
      </w:r>
    </w:p>
    <w:p w:rsidR="00E23B86" w:rsidRDefault="00BA7C13">
      <w:pPr>
        <w:spacing w:after="111" w:line="251" w:lineRule="auto"/>
        <w:ind w:left="355" w:right="573" w:hanging="10"/>
        <w:jc w:val="both"/>
      </w:pPr>
      <w:r>
        <w:rPr>
          <w:rFonts w:ascii="Arial" w:eastAsia="Arial" w:hAnsi="Arial" w:cs="Arial"/>
          <w:i/>
        </w:rPr>
        <w:t>Respecto al periodo analizado, el año en el que más se atendió a personas con problemáticas de adicciones a drogas de Candelaria fue en 2014, si bien disminuyó en 2015 y aumentó en 2016 y 2017. La e</w:t>
      </w:r>
      <w:r>
        <w:rPr>
          <w:rFonts w:ascii="Arial" w:eastAsia="Arial" w:hAnsi="Arial" w:cs="Arial"/>
          <w:i/>
        </w:rPr>
        <w:t xml:space="preserve">ntidad que más personas atendió fue San Miguel en la mayor parte de las anualidades, seguida por Proyecto Hombre y Proyecto Drago. </w:t>
      </w:r>
    </w:p>
    <w:p w:rsidR="00E23B86" w:rsidRDefault="00BA7C13">
      <w:pPr>
        <w:spacing w:after="111" w:line="251" w:lineRule="auto"/>
        <w:ind w:left="355" w:right="573" w:hanging="10"/>
        <w:jc w:val="both"/>
      </w:pPr>
      <w:r>
        <w:rPr>
          <w:rFonts w:ascii="Arial" w:eastAsia="Arial" w:hAnsi="Arial" w:cs="Arial"/>
          <w:i/>
        </w:rPr>
        <w:t>Respecto al perfil general de la persona usuaria de la UAD San Miguel, la sustancia consumida por la mayor parte de los/as a</w:t>
      </w:r>
      <w:r>
        <w:rPr>
          <w:rFonts w:ascii="Arial" w:eastAsia="Arial" w:hAnsi="Arial" w:cs="Arial"/>
          <w:i/>
        </w:rPr>
        <w:t>tendidos/as en 2016 y 2017 fue por heroína, seguida del alcohol, cannabis y cocaína. Además, la mayor parte son hombres y, por edades, el grupo mayoritario en 2016 y 2017 es de 31 a 40 años, seguido de los de 41 a 50 y 51 a 60.</w:t>
      </w:r>
    </w:p>
    <w:p w:rsidR="00E23B86" w:rsidRDefault="00BA7C13">
      <w:pPr>
        <w:spacing w:after="111" w:line="251" w:lineRule="auto"/>
        <w:ind w:left="355" w:right="573" w:hanging="10"/>
        <w:jc w:val="both"/>
      </w:pPr>
      <w:r>
        <w:rPr>
          <w:rFonts w:ascii="Arial" w:eastAsia="Arial" w:hAnsi="Arial" w:cs="Arial"/>
          <w:i/>
        </w:rPr>
        <w:t>En lo referido a Proyecto Ho</w:t>
      </w:r>
      <w:r>
        <w:rPr>
          <w:rFonts w:ascii="Arial" w:eastAsia="Arial" w:hAnsi="Arial" w:cs="Arial"/>
          <w:i/>
        </w:rPr>
        <w:t>mbre, la mayor parte de las personas que atienden son por cocaína y cannabis y, según sexo, la mayor parte son hombres. Por otro lado, según edad, la mayor parte son personas de 51 a 60 años.</w:t>
      </w:r>
    </w:p>
    <w:p w:rsidR="00E23B86" w:rsidRDefault="00BA7C13">
      <w:pPr>
        <w:spacing w:after="111" w:line="251" w:lineRule="auto"/>
        <w:ind w:left="355" w:right="573" w:hanging="10"/>
        <w:jc w:val="both"/>
      </w:pPr>
      <w:r>
        <w:rPr>
          <w:rFonts w:ascii="Arial" w:eastAsia="Arial" w:hAnsi="Arial" w:cs="Arial"/>
          <w:i/>
        </w:rPr>
        <w:t>Respecto a la atención del Proyecto Drago, la totalidad de perso</w:t>
      </w:r>
      <w:r>
        <w:rPr>
          <w:rFonts w:ascii="Arial" w:eastAsia="Arial" w:hAnsi="Arial" w:cs="Arial"/>
          <w:i/>
        </w:rPr>
        <w:t>nas atendidas son por adicción al alcohol, siendo fundamentalmente hombres en 2016 y 2017 y con más de 51 años.</w:t>
      </w:r>
    </w:p>
    <w:p w:rsidR="00E23B86" w:rsidRDefault="00BA7C13">
      <w:pPr>
        <w:spacing w:after="8" w:line="251" w:lineRule="auto"/>
        <w:ind w:left="355" w:right="573" w:hanging="10"/>
        <w:jc w:val="both"/>
      </w:pPr>
      <w:r>
        <w:rPr>
          <w:rFonts w:ascii="Arial" w:eastAsia="Arial" w:hAnsi="Arial" w:cs="Arial"/>
          <w:i/>
        </w:rPr>
        <w:t>Datos sobre Atención Farmacéutica</w:t>
      </w:r>
    </w:p>
    <w:p w:rsidR="00E23B86" w:rsidRDefault="00BA7C13">
      <w:pPr>
        <w:spacing w:after="243" w:line="251" w:lineRule="auto"/>
        <w:ind w:left="355" w:right="573" w:hanging="10"/>
        <w:jc w:val="both"/>
      </w:pPr>
      <w:r>
        <w:rPr>
          <w:rFonts w:ascii="Arial" w:eastAsia="Arial" w:hAnsi="Arial" w:cs="Arial"/>
          <w:i/>
        </w:rPr>
        <w:t>Respecto a los datos de atención farmacéutica en Candelaria, exceptuando el 2012, en general las atenciones por drogodependencias fueron entre 11 y 15 personas por año.</w:t>
      </w:r>
    </w:p>
    <w:p w:rsidR="00E23B86" w:rsidRDefault="00BA7C13">
      <w:pPr>
        <w:spacing w:after="8" w:line="251" w:lineRule="auto"/>
        <w:ind w:left="355" w:right="573" w:hanging="10"/>
        <w:jc w:val="both"/>
      </w:pPr>
      <w:r>
        <w:rPr>
          <w:rFonts w:ascii="Arial" w:eastAsia="Arial" w:hAnsi="Arial" w:cs="Arial"/>
          <w:i/>
        </w:rPr>
        <w:t xml:space="preserve">Datos sobre seguridad ciudadana  </w:t>
      </w:r>
    </w:p>
    <w:p w:rsidR="00E23B86" w:rsidRDefault="00BA7C13">
      <w:pPr>
        <w:spacing w:after="111" w:line="251" w:lineRule="auto"/>
        <w:ind w:left="355" w:right="573" w:hanging="10"/>
        <w:jc w:val="both"/>
      </w:pPr>
      <w:r>
        <w:rPr>
          <w:rFonts w:ascii="Arial" w:eastAsia="Arial" w:hAnsi="Arial" w:cs="Arial"/>
          <w:i/>
        </w:rPr>
        <w:t>La mayor parte de las sanciones interpuestas por la G</w:t>
      </w:r>
      <w:r>
        <w:rPr>
          <w:rFonts w:ascii="Arial" w:eastAsia="Arial" w:hAnsi="Arial" w:cs="Arial"/>
          <w:i/>
        </w:rPr>
        <w:t>uardia Civil son a hombres en todas las anualidades, excepto en 2014. Según la edad, la mayor parte de las sanciones fueron a personas de entre 31 y 40 años. Llama la atención la progresiva disminución de las sanciones a las personas de 18 a 30 años, que n</w:t>
      </w:r>
      <w:r>
        <w:rPr>
          <w:rFonts w:ascii="Arial" w:eastAsia="Arial" w:hAnsi="Arial" w:cs="Arial"/>
          <w:i/>
        </w:rPr>
        <w:t xml:space="preserve">o hace más que disminuir de 2013 en adelante. Respecto a la sustancia por la cual la Guardia Civil sanciona, la mayor parte es cocaína, seguida del cannabis, siendo las mayores incautaciones, las de hachís. </w:t>
      </w:r>
    </w:p>
    <w:p w:rsidR="00E23B86" w:rsidRDefault="00BA7C13">
      <w:pPr>
        <w:spacing w:after="111" w:line="251" w:lineRule="auto"/>
        <w:ind w:left="355" w:right="573" w:hanging="10"/>
        <w:jc w:val="both"/>
      </w:pPr>
      <w:r>
        <w:rPr>
          <w:rFonts w:ascii="Arial" w:eastAsia="Arial" w:hAnsi="Arial" w:cs="Arial"/>
          <w:i/>
        </w:rPr>
        <w:t>En cuanto al número de actas realizadas por la P</w:t>
      </w:r>
      <w:r>
        <w:rPr>
          <w:rFonts w:ascii="Arial" w:eastAsia="Arial" w:hAnsi="Arial" w:cs="Arial"/>
          <w:i/>
        </w:rPr>
        <w:t>olicía Local, se observa que en el año 2016 y 2017 han disminuido las sanciones. Al igual que ocurría con la Guardia Civil, la mayor parte son hombres y las mayores incautaciones son por cannabis. Respecto a la edad, las sanciones a menores de edad han aum</w:t>
      </w:r>
      <w:r>
        <w:rPr>
          <w:rFonts w:ascii="Arial" w:eastAsia="Arial" w:hAnsi="Arial" w:cs="Arial"/>
          <w:i/>
        </w:rPr>
        <w:t>entado y las realizadas a mayores de edad han disminuido.</w:t>
      </w:r>
    </w:p>
    <w:p w:rsidR="00E23B86" w:rsidRDefault="00BA7C13">
      <w:pPr>
        <w:spacing w:after="111" w:line="251" w:lineRule="auto"/>
        <w:ind w:left="355" w:right="573" w:hanging="10"/>
        <w:jc w:val="both"/>
      </w:pPr>
      <w:r>
        <w:rPr>
          <w:rFonts w:ascii="Arial" w:eastAsia="Arial" w:hAnsi="Arial" w:cs="Arial"/>
          <w:i/>
        </w:rPr>
        <w:t>Por último, los datos de la Policía Canaria, correspondientes al año 2016, indican que la mayoría de las sanciones son interpuestas a hombres mayores de edad, principalmente por cannabis.</w:t>
      </w:r>
    </w:p>
    <w:p w:rsidR="00E23B86" w:rsidRDefault="00BA7C13">
      <w:pPr>
        <w:spacing w:after="148" w:line="251" w:lineRule="auto"/>
        <w:ind w:left="355" w:right="573" w:hanging="10"/>
        <w:jc w:val="both"/>
      </w:pPr>
      <w:r>
        <w:rPr>
          <w:rFonts w:ascii="Arial" w:eastAsia="Arial" w:hAnsi="Arial" w:cs="Arial"/>
          <w:i/>
        </w:rPr>
        <w:t>Datos sobr</w:t>
      </w:r>
      <w:r>
        <w:rPr>
          <w:rFonts w:ascii="Arial" w:eastAsia="Arial" w:hAnsi="Arial" w:cs="Arial"/>
          <w:i/>
        </w:rPr>
        <w:t xml:space="preserve">e hábitos saludables de la población escolarizada en el municipio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671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0272" name="Group 53027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800" name="Rectangle 3480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4801" name="Rectangle 3480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Página 202</w:t>
                              </w:r>
                              <w:r>
                                <w:rPr>
                                  <w:rFonts w:ascii="Arial" w:eastAsia="Arial" w:hAnsi="Arial" w:cs="Arial"/>
                                  <w:sz w:val="12"/>
                                </w:rPr>
                                <w:t xml:space="preserve">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0272" style="width:12.7031pt;height:280.35pt;position:absolute;mso-position-horizontal-relative:page;mso-position-horizontal:absolute;margin-left:681.958pt;mso-position-vertical-relative:page;margin-top:531.65pt;" coordsize="1613,35604">
                <v:rect id="Rectangle 3480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80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202 de 391 </w:t>
                        </w:r>
                      </w:p>
                    </w:txbxContent>
                  </v:textbox>
                </v:rect>
                <w10:wrap type="square"/>
              </v:group>
            </w:pict>
          </mc:Fallback>
        </mc:AlternateContent>
      </w:r>
      <w:r>
        <w:rPr>
          <w:rFonts w:ascii="Arial" w:eastAsia="Arial" w:hAnsi="Arial" w:cs="Arial"/>
          <w:i/>
        </w:rPr>
        <w:t>En relación al alumnado de primaria, se observa que los hábitos de vida de los y las menores entrevistados/as se encuentran dentro de los parámetros establecidos para un correcto desarrollo y adquisición de un estilo de vida saludable. Asimismo, r</w:t>
      </w:r>
      <w:r>
        <w:rPr>
          <w:rFonts w:ascii="Arial" w:eastAsia="Arial" w:hAnsi="Arial" w:cs="Arial"/>
          <w:i/>
        </w:rPr>
        <w:t>especto a las horas de sueño y descanso, la mitad de las niñas y niños entrevistados/as sí cumplen con las horas de sueño recomendadas como saludables, mientras que existe un porcentaje significativo de menores que están por debajo, lo que supone consecuen</w:t>
      </w:r>
      <w:r>
        <w:rPr>
          <w:rFonts w:ascii="Arial" w:eastAsia="Arial" w:hAnsi="Arial" w:cs="Arial"/>
          <w:i/>
        </w:rPr>
        <w:t xml:space="preserve">cias negativas para su etapa actual de desarrollo, que pueden manifestarse en situaciones de riesgo psicológicas, biológicas y conductuales, así como en un bajo rendimiento académico. </w:t>
      </w:r>
    </w:p>
    <w:p w:rsidR="00E23B86" w:rsidRDefault="00BA7C13">
      <w:pPr>
        <w:spacing w:after="111" w:line="251" w:lineRule="auto"/>
        <w:ind w:left="355" w:right="573" w:hanging="10"/>
        <w:jc w:val="both"/>
      </w:pPr>
      <w:r>
        <w:rPr>
          <w:rFonts w:ascii="Arial" w:eastAsia="Arial" w:hAnsi="Arial" w:cs="Arial"/>
          <w:i/>
        </w:rPr>
        <w:t>En cuanto a las actividades y estilos de vida, de los datos recogidos s</w:t>
      </w:r>
      <w:r>
        <w:rPr>
          <w:rFonts w:ascii="Arial" w:eastAsia="Arial" w:hAnsi="Arial" w:cs="Arial"/>
          <w:i/>
        </w:rPr>
        <w:t>obre ocio activo son positivos, debido a los beneficios que tiene en el desarrollo y creación de redes sociales y sistemas de apoyo entre el grupo de iguales en su comunidad y el desarrollo de habilidades sociales. Cabe destacar que el uso de las redes soc</w:t>
      </w:r>
      <w:r>
        <w:rPr>
          <w:rFonts w:ascii="Arial" w:eastAsia="Arial" w:hAnsi="Arial" w:cs="Arial"/>
          <w:i/>
        </w:rPr>
        <w:t>iales y las TIC, pueden provocar tanto consecuencias negativas (una posible adicción a las mismas), como positivas, siendo esta última una forma de inclusión y relación entre iguales. Por esto, es importante la existencia de acciones preventivas y de sensi</w:t>
      </w:r>
      <w:r>
        <w:rPr>
          <w:rFonts w:ascii="Arial" w:eastAsia="Arial" w:hAnsi="Arial" w:cs="Arial"/>
          <w:i/>
        </w:rPr>
        <w:t>bilización tanto con los y las menores como con los/as progenitores/as de los y las mismos/as, para así dotarles de herramientas que eviten posibles adicciones. Por consiguiente, los datos recogidos muestran que estos/as niños y niñas dedican tiempo diaria</w:t>
      </w:r>
      <w:r>
        <w:rPr>
          <w:rFonts w:ascii="Arial" w:eastAsia="Arial" w:hAnsi="Arial" w:cs="Arial"/>
          <w:i/>
        </w:rPr>
        <w:t>mente a sus tareas escolares, tres o más días a la semana, lo que resulta muy positivo, ya que dichas actividades son beneficiosas para el desarrollo personal y social de los y las mismos/as.</w:t>
      </w:r>
    </w:p>
    <w:p w:rsidR="00E23B86" w:rsidRDefault="00BA7C13">
      <w:pPr>
        <w:spacing w:after="111" w:line="251" w:lineRule="auto"/>
        <w:ind w:left="355" w:right="573" w:hanging="10"/>
        <w:jc w:val="both"/>
      </w:pPr>
      <w:r>
        <w:rPr>
          <w:rFonts w:ascii="Arial" w:eastAsia="Arial" w:hAnsi="Arial" w:cs="Arial"/>
          <w:i/>
        </w:rPr>
        <w:t>Respecto a las situaciones vividas los últimos seis meses, se mu</w:t>
      </w:r>
      <w:r>
        <w:rPr>
          <w:rFonts w:ascii="Arial" w:eastAsia="Arial" w:hAnsi="Arial" w:cs="Arial"/>
          <w:i/>
        </w:rPr>
        <w:t xml:space="preserve">estra un alto porcentaje de menores que en los últimos seis meses han tenido sentimientos de pena, tristeza y angustia por algún acontecimiento vivido. Este dato llama la atención puesto que, en estas edades, lo esperado es que predominen los sentimientos </w:t>
      </w:r>
      <w:r>
        <w:rPr>
          <w:rFonts w:ascii="Arial" w:eastAsia="Arial" w:hAnsi="Arial" w:cs="Arial"/>
          <w:i/>
        </w:rPr>
        <w:t xml:space="preserve">de bienestar, por encima de circunstancias negativas, además, de ser un factor protector ante posibles situaciones de riesgo. </w:t>
      </w:r>
    </w:p>
    <w:p w:rsidR="00E23B86" w:rsidRDefault="00BA7C13">
      <w:pPr>
        <w:spacing w:after="111" w:line="251" w:lineRule="auto"/>
        <w:ind w:left="355" w:right="573" w:hanging="10"/>
        <w:jc w:val="both"/>
      </w:pPr>
      <w:r>
        <w:rPr>
          <w:rFonts w:ascii="Arial" w:eastAsia="Arial" w:hAnsi="Arial" w:cs="Arial"/>
          <w:i/>
        </w:rPr>
        <w:t>En lo referente a la información y el conocimiento del alumnado sobre drogas, se destaca que existe concienciación respecto a las</w:t>
      </w:r>
      <w:r>
        <w:rPr>
          <w:rFonts w:ascii="Arial" w:eastAsia="Arial" w:hAnsi="Arial" w:cs="Arial"/>
          <w:i/>
        </w:rPr>
        <w:t xml:space="preserve"> adicciones y sus consecuencias, lo que supone un resultado muy positivo en cuanto a la sensibilización hacia el consumo que tienen. </w:t>
      </w:r>
    </w:p>
    <w:p w:rsidR="00E23B86" w:rsidRDefault="00BA7C13">
      <w:pPr>
        <w:spacing w:after="111" w:line="251" w:lineRule="auto"/>
        <w:ind w:left="355" w:right="573" w:hanging="10"/>
        <w:jc w:val="both"/>
      </w:pPr>
      <w:r>
        <w:rPr>
          <w:rFonts w:ascii="Arial" w:eastAsia="Arial" w:hAnsi="Arial" w:cs="Arial"/>
          <w:i/>
        </w:rPr>
        <w:t>Tras analizar los resultados obtenidos del estudiantado de secundaria, se observa, que, en relación a los hábitos de vida,</w:t>
      </w:r>
      <w:r>
        <w:rPr>
          <w:rFonts w:ascii="Arial" w:eastAsia="Arial" w:hAnsi="Arial" w:cs="Arial"/>
          <w:i/>
        </w:rPr>
        <w:t xml:space="preserve"> estas y estos menores entrevistados/as se encuentran dentro de los parámetros establecidos para un correcto desarrollo y adquisición de un estilo de vida saludable. </w:t>
      </w:r>
    </w:p>
    <w:p w:rsidR="00E23B86" w:rsidRDefault="00BA7C13">
      <w:pPr>
        <w:spacing w:after="111" w:line="251" w:lineRule="auto"/>
        <w:ind w:left="355" w:right="573" w:hanging="10"/>
        <w:jc w:val="both"/>
      </w:pPr>
      <w:r>
        <w:rPr>
          <w:rFonts w:ascii="Arial" w:eastAsia="Arial" w:hAnsi="Arial" w:cs="Arial"/>
          <w:i/>
        </w:rPr>
        <w:t>Asimismo, respecto a las horas de sueño, la mayor parte no cumplen con las horas de sueño</w:t>
      </w:r>
      <w:r>
        <w:rPr>
          <w:rFonts w:ascii="Arial" w:eastAsia="Arial" w:hAnsi="Arial" w:cs="Arial"/>
          <w:i/>
        </w:rPr>
        <w:t xml:space="preserve"> recomendadas como saludables. Esto supone consecuencias negativas para su etapa actual de desarrollo, que pueden manifestarse en situaciones de riesgo psicológicas, biológicas y conductuales, produciéndose a su vez un bajo rendimiento académico. </w:t>
      </w:r>
    </w:p>
    <w:p w:rsidR="00E23B86" w:rsidRDefault="00BA7C13">
      <w:pPr>
        <w:spacing w:after="111" w:line="251" w:lineRule="auto"/>
        <w:ind w:left="355" w:right="573" w:hanging="10"/>
        <w:jc w:val="both"/>
      </w:pPr>
      <w:r>
        <w:rPr>
          <w:rFonts w:ascii="Arial" w:eastAsia="Arial" w:hAnsi="Arial" w:cs="Arial"/>
          <w:i/>
        </w:rPr>
        <w:t>En cuant</w:t>
      </w:r>
      <w:r>
        <w:rPr>
          <w:rFonts w:ascii="Arial" w:eastAsia="Arial" w:hAnsi="Arial" w:cs="Arial"/>
          <w:i/>
        </w:rPr>
        <w:t>o a las actividades y sus estilos de vida, los datos recogidos sobre ocio activo son positivos, debido a los beneficios que tienen para el desarrollo, la creación de redes sociales y los sistemas de apoyo dentro de la comunidad a través del contacto con ot</w:t>
      </w:r>
      <w:r>
        <w:rPr>
          <w:rFonts w:ascii="Arial" w:eastAsia="Arial" w:hAnsi="Arial" w:cs="Arial"/>
          <w:i/>
        </w:rPr>
        <w:t xml:space="preserve">ros/as iguales, que además supone el desarrollo de habilidades sociales.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681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0592" name="Group 53059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860" name="Rectangle 3486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4861" name="Rectangle 3486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203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0592" style="width:12.7031pt;height:280.35pt;position:absolute;mso-position-horizontal-relative:page;mso-position-horizontal:absolute;margin-left:681.958pt;mso-position-vertical-relative:page;margin-top:531.65pt;" coordsize="1613,35604">
                <v:rect id="Rectangle 3486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86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203 de 391 </w:t>
                        </w:r>
                      </w:p>
                    </w:txbxContent>
                  </v:textbox>
                </v:rect>
                <w10:wrap type="square"/>
              </v:group>
            </w:pict>
          </mc:Fallback>
        </mc:AlternateContent>
      </w:r>
      <w:r>
        <w:rPr>
          <w:rFonts w:ascii="Arial" w:eastAsia="Arial" w:hAnsi="Arial" w:cs="Arial"/>
          <w:i/>
        </w:rPr>
        <w:t>Esto es algo que resulta prácticamente imprescindible en la edad en la que encuentran las personas objeto de este estudio, las opiniones de sus iguales son muy v</w:t>
      </w:r>
      <w:r>
        <w:rPr>
          <w:rFonts w:ascii="Arial" w:eastAsia="Arial" w:hAnsi="Arial" w:cs="Arial"/>
          <w:i/>
        </w:rPr>
        <w:t>aloradas en esta edad, supone un paso más en la búsqueda de su identidad y según la elección de las amistades que realizan, la presión que pueden sentir por sus iguales pueden ser beneficiosas o perjudiciales, por ello es importante que éstos se sientan ap</w:t>
      </w:r>
      <w:r>
        <w:rPr>
          <w:rFonts w:ascii="Arial" w:eastAsia="Arial" w:hAnsi="Arial" w:cs="Arial"/>
          <w:i/>
        </w:rPr>
        <w:t>oyados/as, orientados/as y se les ayude a encaminar ese proceso de transición hacia la vida adulta de la mejor manera posible.</w:t>
      </w:r>
    </w:p>
    <w:p w:rsidR="00E23B86" w:rsidRDefault="00BA7C13">
      <w:pPr>
        <w:spacing w:after="111" w:line="251" w:lineRule="auto"/>
        <w:ind w:left="355" w:right="573" w:hanging="10"/>
        <w:jc w:val="both"/>
      </w:pPr>
      <w:r>
        <w:rPr>
          <w:rFonts w:ascii="Arial" w:eastAsia="Arial" w:hAnsi="Arial" w:cs="Arial"/>
          <w:i/>
        </w:rPr>
        <w:t>Cabe destacar que el uso de las redes sociales y las TIC, pueden provocar tanto consecuencias negativas, una posible adicción a l</w:t>
      </w:r>
      <w:r>
        <w:rPr>
          <w:rFonts w:ascii="Arial" w:eastAsia="Arial" w:hAnsi="Arial" w:cs="Arial"/>
          <w:i/>
        </w:rPr>
        <w:t>as mismas, como positivas, siendo esta última una forma de inclusión y relación entre iguales. Por ello, es importante la existencia de acciones preventivas y de sensibilización tanto con los y las menores, como con sus progenitores/as, para así dotarles d</w:t>
      </w:r>
      <w:r>
        <w:rPr>
          <w:rFonts w:ascii="Arial" w:eastAsia="Arial" w:hAnsi="Arial" w:cs="Arial"/>
          <w:i/>
        </w:rPr>
        <w:t xml:space="preserve">e herramientas que eviten posibles adicciones. Por consiguiente, los datos recogidos muestran que éstos adolescentes dedican tiempo diariamente a sus tareas escolares, tres o más días a la semana, lo que resulta muy positivo, ya que dichas actividades son </w:t>
      </w:r>
      <w:r>
        <w:rPr>
          <w:rFonts w:ascii="Arial" w:eastAsia="Arial" w:hAnsi="Arial" w:cs="Arial"/>
          <w:i/>
        </w:rPr>
        <w:t>beneficiosas para su desarrollo personal y social.</w:t>
      </w:r>
    </w:p>
    <w:p w:rsidR="00E23B86" w:rsidRDefault="00BA7C13">
      <w:pPr>
        <w:spacing w:after="111" w:line="251" w:lineRule="auto"/>
        <w:ind w:left="355" w:right="573" w:hanging="10"/>
        <w:jc w:val="both"/>
      </w:pPr>
      <w:r>
        <w:rPr>
          <w:rFonts w:ascii="Arial" w:eastAsia="Arial" w:hAnsi="Arial" w:cs="Arial"/>
          <w:i/>
        </w:rPr>
        <w:t>Respecto a las situaciones vividas los últimos seis meses, se muestra un alto porcentaje de menores que en los últimos seis meses han tenido sentimientos de pena, tristeza y angustia por algún acontecimien</w:t>
      </w:r>
      <w:r>
        <w:rPr>
          <w:rFonts w:ascii="Arial" w:eastAsia="Arial" w:hAnsi="Arial" w:cs="Arial"/>
          <w:i/>
        </w:rPr>
        <w:t xml:space="preserve">to vivido. La adolescencia supone un momento de gran incertidumbre para los chicos y las chicas, ya que con estas edades comienza la transición de la infancia a la adultez, aumentando sus responsabilidades, algo que suele generar angustia ante los cambios </w:t>
      </w:r>
      <w:r>
        <w:rPr>
          <w:rFonts w:ascii="Arial" w:eastAsia="Arial" w:hAnsi="Arial" w:cs="Arial"/>
          <w:i/>
        </w:rPr>
        <w:t>y la toma de decisiones que suele ser decisivo para su futuro. Los chicos y las chicas suelen agobiarse al no saber responder a las dudas que les surgen en esta etapa, lo que conlleva que se sientan incomprendidos/as, algo que habitualmente se relaciona co</w:t>
      </w:r>
      <w:r>
        <w:rPr>
          <w:rFonts w:ascii="Arial" w:eastAsia="Arial" w:hAnsi="Arial" w:cs="Arial"/>
          <w:i/>
        </w:rPr>
        <w:t>n conductas rebeldes y sentimientos encontrados, por ello es importante llevar a cabo acciones que ayuden a los y las adolescentes a regular estos sentimientos, para crecer adecuadamente durante esta complicada etapa de su vida.</w:t>
      </w:r>
    </w:p>
    <w:p w:rsidR="00E23B86" w:rsidRDefault="00BA7C13">
      <w:pPr>
        <w:spacing w:after="111" w:line="251" w:lineRule="auto"/>
        <w:ind w:left="355" w:right="573" w:hanging="10"/>
        <w:jc w:val="both"/>
      </w:pPr>
      <w:r>
        <w:rPr>
          <w:rFonts w:ascii="Arial" w:eastAsia="Arial" w:hAnsi="Arial" w:cs="Arial"/>
          <w:i/>
        </w:rPr>
        <w:t>Analizando el consumo de dr</w:t>
      </w:r>
      <w:r>
        <w:rPr>
          <w:rFonts w:ascii="Arial" w:eastAsia="Arial" w:hAnsi="Arial" w:cs="Arial"/>
          <w:i/>
        </w:rPr>
        <w:t>ogas, se destaca el significativo porcentaje de aquellos/as jóvenes que han consumido alcohol alguna vez en su vida, lo que supone un gran riesgo, sobre todo, a su corta edad. Este tipo de actividad puede desencadenar posibles adicciones futuras puesto que</w:t>
      </w:r>
      <w:r>
        <w:rPr>
          <w:rFonts w:ascii="Arial" w:eastAsia="Arial" w:hAnsi="Arial" w:cs="Arial"/>
          <w:i/>
        </w:rPr>
        <w:t>, al ser el alcohol una droga legal en España, se normaliza su consumo obviando las graves consecuencias que puede acarrear. Como se menciona a lo largo del estudio, en esta etapa experimentan una serie de cambios que hacen de ésta un periodo de insegurida</w:t>
      </w:r>
      <w:r>
        <w:rPr>
          <w:rFonts w:ascii="Arial" w:eastAsia="Arial" w:hAnsi="Arial" w:cs="Arial"/>
          <w:i/>
        </w:rPr>
        <w:t>d, donde los y las adolescentes tratan de encontrar su sitio dentro de la sociedad, el alcohol se relaciona normalmente con el ocio y la socialización. Por lo tanto, los altos porcentajes de consumo que se observan se pueden relacionar con la normalización</w:t>
      </w:r>
      <w:r>
        <w:rPr>
          <w:rFonts w:ascii="Arial" w:eastAsia="Arial" w:hAnsi="Arial" w:cs="Arial"/>
          <w:i/>
        </w:rPr>
        <w:t xml:space="preserve"> que tiene nuestra sociedad de esta sustancia y lo arraigada que está en el día a día.</w:t>
      </w:r>
    </w:p>
    <w:p w:rsidR="00E23B86" w:rsidRDefault="00BA7C13">
      <w:pPr>
        <w:spacing w:after="111" w:line="251" w:lineRule="auto"/>
        <w:ind w:left="355" w:right="573" w:hanging="10"/>
        <w:jc w:val="both"/>
      </w:pPr>
      <w:r>
        <w:rPr>
          <w:rFonts w:ascii="Arial" w:eastAsia="Arial" w:hAnsi="Arial" w:cs="Arial"/>
          <w:i/>
        </w:rPr>
        <w:t xml:space="preserve">Existe un bajo consumo de cannabis y de drogas de diseño, destacando un bajo porcentaje en ambas, pero aun así altamente significativo debido a la edad del estudiantado </w:t>
      </w:r>
      <w:r>
        <w:rPr>
          <w:rFonts w:ascii="Arial" w:eastAsia="Arial" w:hAnsi="Arial" w:cs="Arial"/>
          <w:i/>
        </w:rPr>
        <w:t>entrevistado.</w:t>
      </w:r>
    </w:p>
    <w:p w:rsidR="00E23B86" w:rsidRDefault="00BA7C13">
      <w:pPr>
        <w:spacing w:after="111" w:line="251" w:lineRule="auto"/>
        <w:ind w:left="355" w:right="573" w:hanging="10"/>
        <w:jc w:val="both"/>
      </w:pPr>
      <w:r>
        <w:rPr>
          <w:rFonts w:ascii="Arial" w:eastAsia="Arial" w:hAnsi="Arial" w:cs="Arial"/>
          <w:i/>
        </w:rPr>
        <w:t xml:space="preserve">El consumo de cannabis, tabaco y alcohol en las personas jóvenes entrevistadas, es sin duda un gran riesgo para su salud, ya que supone un problema grave para su desarrollo debido a la etapa vital en la que se encuentran. Este tipo de drogas </w:t>
      </w:r>
      <w:r>
        <w:rPr>
          <w:rFonts w:ascii="Arial" w:eastAsia="Arial" w:hAnsi="Arial" w:cs="Arial"/>
          <w:i/>
        </w:rPr>
        <w:t>están cada vez más presentes en sus vidas lo que supone un incentivo para una posible adicción futura. Para combatir esto, es preciso que se establezcan políticas de prevención de las drogas y adicciones dentro del municipio, focalizadas fundamentalmente e</w:t>
      </w:r>
      <w:r>
        <w:rPr>
          <w:rFonts w:ascii="Arial" w:eastAsia="Arial" w:hAnsi="Arial" w:cs="Arial"/>
          <w:i/>
        </w:rPr>
        <w:t xml:space="preserve">n estos jóvenes. </w:t>
      </w:r>
    </w:p>
    <w:p w:rsidR="00E23B86" w:rsidRDefault="00BA7C13">
      <w:pPr>
        <w:spacing w:after="271" w:line="251" w:lineRule="auto"/>
        <w:ind w:left="355" w:right="573" w:hanging="10"/>
        <w:jc w:val="both"/>
      </w:pPr>
      <w:r>
        <w:rPr>
          <w:rFonts w:ascii="Arial" w:eastAsia="Arial" w:hAnsi="Arial" w:cs="Arial"/>
          <w:i/>
        </w:rPr>
        <w:t>Cabe destacar que estos/as jóvenes entrevistados/as señalan que consumen drogas con el fin de divertirse. Por ello, es importante que se desarrollen de tal manera que su personalidad les haga ser capaces de no tener que optar a las drogas</w:t>
      </w:r>
      <w:r>
        <w:rPr>
          <w:rFonts w:ascii="Arial" w:eastAsia="Arial" w:hAnsi="Arial" w:cs="Arial"/>
          <w:i/>
        </w:rPr>
        <w:t xml:space="preserve"> para desinhibirse, relacionarse entre sí y divertirse en su día a día. </w:t>
      </w:r>
    </w:p>
    <w:p w:rsidR="00E23B86" w:rsidRDefault="00BA7C13">
      <w:pPr>
        <w:spacing w:after="242" w:line="251" w:lineRule="auto"/>
        <w:ind w:left="355" w:right="573" w:hanging="10"/>
        <w:jc w:val="both"/>
      </w:pPr>
      <w:r>
        <w:rPr>
          <w:noProof/>
        </w:rPr>
        <mc:AlternateContent>
          <mc:Choice Requires="wpg">
            <w:drawing>
              <wp:anchor distT="0" distB="0" distL="114300" distR="114300" simplePos="0" relativeHeight="2518691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0975" name="Group 53097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4922" name="Rectangle 3492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4923" name="Rectangle 3492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Pági</w:t>
                              </w:r>
                              <w:r>
                                <w:rPr>
                                  <w:rFonts w:ascii="Arial" w:eastAsia="Arial" w:hAnsi="Arial" w:cs="Arial"/>
                                  <w:sz w:val="12"/>
                                </w:rPr>
                                <w:t xml:space="preserve">na 204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0975" style="width:12.7031pt;height:280.35pt;position:absolute;mso-position-horizontal-relative:page;mso-position-horizontal:absolute;margin-left:681.958pt;mso-position-vertical-relative:page;margin-top:531.65pt;" coordsize="1613,35604">
                <v:rect id="Rectangle 3492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492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204 de 391 </w:t>
                        </w:r>
                      </w:p>
                    </w:txbxContent>
                  </v:textbox>
                </v:rect>
                <w10:wrap type="square"/>
              </v:group>
            </w:pict>
          </mc:Fallback>
        </mc:AlternateContent>
      </w:r>
      <w:r>
        <w:rPr>
          <w:rFonts w:ascii="Arial" w:eastAsia="Arial" w:hAnsi="Arial" w:cs="Arial"/>
          <w:i/>
        </w:rPr>
        <w:t xml:space="preserve">2.4. Recomendaciones para el diseño del IV Plan   </w:t>
      </w:r>
    </w:p>
    <w:p w:rsidR="00E23B86" w:rsidRDefault="00BA7C13">
      <w:pPr>
        <w:spacing w:after="147" w:line="251" w:lineRule="auto"/>
        <w:ind w:left="355" w:right="573" w:hanging="10"/>
        <w:jc w:val="both"/>
      </w:pPr>
      <w:r>
        <w:rPr>
          <w:rFonts w:ascii="Arial" w:eastAsia="Arial" w:hAnsi="Arial" w:cs="Arial"/>
          <w:i/>
        </w:rPr>
        <w:t>Tras los datos anteriormente expuestos, se plantean las siguientes recomendaciones a tener en cuenta para el diseño del IV Plan:</w:t>
      </w:r>
    </w:p>
    <w:p w:rsidR="00E23B86" w:rsidRDefault="00BA7C13">
      <w:pPr>
        <w:numPr>
          <w:ilvl w:val="0"/>
          <w:numId w:val="101"/>
        </w:numPr>
        <w:spacing w:after="147" w:line="251" w:lineRule="auto"/>
        <w:ind w:right="573" w:hanging="360"/>
        <w:jc w:val="both"/>
      </w:pPr>
      <w:r>
        <w:rPr>
          <w:rFonts w:ascii="Arial" w:eastAsia="Arial" w:hAnsi="Arial" w:cs="Arial"/>
          <w:i/>
        </w:rPr>
        <w:t>En las estrategias de prevención se debe priorizar el abordaje prioritario de las sustancias psicoactivas legales o ilegales, y las adicciones comportamentales relacionadas con la ludopatía (juego presencial y online) y videojuegos, y las adicciones compor</w:t>
      </w:r>
      <w:r>
        <w:rPr>
          <w:rFonts w:ascii="Arial" w:eastAsia="Arial" w:hAnsi="Arial" w:cs="Arial"/>
          <w:i/>
        </w:rPr>
        <w:t xml:space="preserve">tamentales relacionadas con las Nuevas Tecnologías (Redes Sociales, Internet), así como otras como el sexo y las compras compulsivas. </w:t>
      </w:r>
    </w:p>
    <w:p w:rsidR="00E23B86" w:rsidRDefault="00BA7C13">
      <w:pPr>
        <w:numPr>
          <w:ilvl w:val="0"/>
          <w:numId w:val="101"/>
        </w:numPr>
        <w:spacing w:after="143" w:line="251" w:lineRule="auto"/>
        <w:ind w:right="573" w:hanging="360"/>
        <w:jc w:val="both"/>
      </w:pPr>
      <w:r>
        <w:rPr>
          <w:rFonts w:ascii="Arial" w:eastAsia="Arial" w:hAnsi="Arial" w:cs="Arial"/>
          <w:i/>
        </w:rPr>
        <w:t xml:space="preserve">La prevención debe trabajarse a tres niveles: universal, selectiva e indicada. </w:t>
      </w:r>
      <w:r>
        <w:rPr>
          <w:rFonts w:ascii="Segoe UI Symbol" w:eastAsia="Segoe UI Symbol" w:hAnsi="Segoe UI Symbol" w:cs="Segoe UI Symbol"/>
          <w:sz w:val="24"/>
        </w:rPr>
        <w:t xml:space="preserve"> </w:t>
      </w:r>
      <w:r>
        <w:rPr>
          <w:rFonts w:ascii="Arial" w:eastAsia="Arial" w:hAnsi="Arial" w:cs="Arial"/>
          <w:i/>
        </w:rPr>
        <w:t>Los ámbitos prioritarios de la prevención deben ser el educativo, familiar, laboral, medios de comunicación, Fuerzas y Cuerpos de Seguridad, Hostelería y Restauración, Sistema Sanitario, y Prevención Ambiental, y dentro de éste, los Contextos y Espacios de</w:t>
      </w:r>
      <w:r>
        <w:rPr>
          <w:rFonts w:ascii="Arial" w:eastAsia="Arial" w:hAnsi="Arial" w:cs="Arial"/>
          <w:i/>
        </w:rPr>
        <w:t xml:space="preserve"> Ocio y la Urbanización Saludable.</w:t>
      </w:r>
    </w:p>
    <w:p w:rsidR="00E23B86" w:rsidRDefault="00BA7C13">
      <w:pPr>
        <w:numPr>
          <w:ilvl w:val="0"/>
          <w:numId w:val="101"/>
        </w:numPr>
        <w:spacing w:after="147" w:line="251" w:lineRule="auto"/>
        <w:ind w:right="573" w:hanging="360"/>
        <w:jc w:val="both"/>
      </w:pPr>
      <w:r>
        <w:rPr>
          <w:rFonts w:ascii="Arial" w:eastAsia="Arial" w:hAnsi="Arial" w:cs="Arial"/>
          <w:i/>
        </w:rPr>
        <w:t>En las estrategias de prevención debe incorporarse el enfoque del trabajo comunitario, pues incluye además del ocio y tiempo libre, la prevención ambiental, principalmente, en espacios de ocio comunitario (fiestas locales</w:t>
      </w:r>
      <w:r>
        <w:rPr>
          <w:rFonts w:ascii="Arial" w:eastAsia="Arial" w:hAnsi="Arial" w:cs="Arial"/>
          <w:i/>
        </w:rPr>
        <w:t>) y de música y baile (festivales musicales, fiestas multitudinarias públicas o privadas), y debe ser complementada con acciones comunitarias de prevención en el ámbito local, para reducir los problemas asociados al consumo de alcohol, especialmente en men</w:t>
      </w:r>
      <w:r>
        <w:rPr>
          <w:rFonts w:ascii="Arial" w:eastAsia="Arial" w:hAnsi="Arial" w:cs="Arial"/>
          <w:i/>
        </w:rPr>
        <w:t xml:space="preserve">ores. </w:t>
      </w:r>
    </w:p>
    <w:p w:rsidR="00E23B86" w:rsidRDefault="00BA7C13">
      <w:pPr>
        <w:numPr>
          <w:ilvl w:val="0"/>
          <w:numId w:val="101"/>
        </w:numPr>
        <w:spacing w:after="154" w:line="251" w:lineRule="auto"/>
        <w:ind w:right="573" w:hanging="360"/>
        <w:jc w:val="both"/>
      </w:pPr>
      <w:r>
        <w:rPr>
          <w:rFonts w:ascii="Arial" w:eastAsia="Arial" w:hAnsi="Arial" w:cs="Arial"/>
          <w:i/>
        </w:rPr>
        <w:t xml:space="preserve">Es fundamental apostar y apoyar los programas y acciones para la integración social de las personas con problemáticas de adicción a sustancias que puedan incorporarse al empleo y a los que no lo pueden debido a su estado de salud y cronificación de </w:t>
      </w:r>
      <w:r>
        <w:rPr>
          <w:rFonts w:ascii="Arial" w:eastAsia="Arial" w:hAnsi="Arial" w:cs="Arial"/>
          <w:i/>
        </w:rPr>
        <w:t xml:space="preserve">su adicción. </w:t>
      </w:r>
    </w:p>
    <w:p w:rsidR="00E23B86" w:rsidRDefault="00BA7C13">
      <w:pPr>
        <w:numPr>
          <w:ilvl w:val="0"/>
          <w:numId w:val="101"/>
        </w:numPr>
        <w:spacing w:after="146" w:line="251" w:lineRule="auto"/>
        <w:ind w:right="573" w:hanging="360"/>
        <w:jc w:val="both"/>
      </w:pPr>
      <w:r>
        <w:rPr>
          <w:rFonts w:ascii="Arial" w:eastAsia="Arial" w:hAnsi="Arial" w:cs="Arial"/>
          <w:i/>
        </w:rPr>
        <w:t>Reforzar el Plan con la formación y sensibilización social a profesionales del municipio, fomentar una concienciación para que las personas o entidades (deportivas, comunitarias…) sepan que no pueden vender alcohol en eventos deportivos, etc.</w:t>
      </w:r>
      <w:r>
        <w:rPr>
          <w:rFonts w:ascii="Arial" w:eastAsia="Arial" w:hAnsi="Arial" w:cs="Arial"/>
          <w:i/>
        </w:rPr>
        <w:t xml:space="preserve"> </w:t>
      </w:r>
    </w:p>
    <w:p w:rsidR="00E23B86" w:rsidRDefault="00BA7C13">
      <w:pPr>
        <w:numPr>
          <w:ilvl w:val="0"/>
          <w:numId w:val="101"/>
        </w:numPr>
        <w:spacing w:after="147" w:line="251" w:lineRule="auto"/>
        <w:ind w:right="573" w:hanging="360"/>
        <w:jc w:val="both"/>
      </w:pPr>
      <w:r>
        <w:rPr>
          <w:rFonts w:ascii="Arial" w:eastAsia="Arial" w:hAnsi="Arial" w:cs="Arial"/>
          <w:i/>
        </w:rPr>
        <w:t>Insistir en la prevención con población menor y adolescente sobre el consumo del riesgo del alcohol y otras sustancias, junto a una baja percepción del riesgo y “normalización” social del consumo lúdico de sustancias (alcohol, cannabis, cocaína, nuevas s</w:t>
      </w:r>
      <w:r>
        <w:rPr>
          <w:rFonts w:ascii="Arial" w:eastAsia="Arial" w:hAnsi="Arial" w:cs="Arial"/>
          <w:i/>
        </w:rPr>
        <w:t>ustancias psicoactivas, etc.). El consumo en la calle, contribuye a ese aspecto de normalización y banalización, a pesar de que el acceso de menores a los juegos de azar (bares, salones sin control de acceso, online, etc.) esté regulado.</w:t>
      </w:r>
    </w:p>
    <w:p w:rsidR="00E23B86" w:rsidRDefault="00BA7C13">
      <w:pPr>
        <w:numPr>
          <w:ilvl w:val="0"/>
          <w:numId w:val="101"/>
        </w:numPr>
        <w:spacing w:after="146" w:line="251" w:lineRule="auto"/>
        <w:ind w:right="573" w:hanging="360"/>
        <w:jc w:val="both"/>
      </w:pPr>
      <w:r>
        <w:rPr>
          <w:rFonts w:ascii="Arial" w:eastAsia="Arial" w:hAnsi="Arial" w:cs="Arial"/>
          <w:i/>
        </w:rPr>
        <w:t xml:space="preserve">Incorporar en las </w:t>
      </w:r>
      <w:r>
        <w:rPr>
          <w:rFonts w:ascii="Arial" w:eastAsia="Arial" w:hAnsi="Arial" w:cs="Arial"/>
          <w:i/>
        </w:rPr>
        <w:t>acciones preventivas a las personas de edad avanzada (como colectivo de riesgo) sobre las que no existen datos suficientes, pero sobre las que sabemos que consumen fármacos (psicofármacos, entre ellos) de forma más frecuente que el resto de la población.</w:t>
      </w:r>
    </w:p>
    <w:p w:rsidR="00E23B86" w:rsidRDefault="00BA7C13">
      <w:pPr>
        <w:numPr>
          <w:ilvl w:val="0"/>
          <w:numId w:val="101"/>
        </w:numPr>
        <w:spacing w:after="147" w:line="251" w:lineRule="auto"/>
        <w:ind w:right="573" w:hanging="360"/>
        <w:jc w:val="both"/>
      </w:pPr>
      <w:r>
        <w:rPr>
          <w:noProof/>
        </w:rPr>
        <mc:AlternateContent>
          <mc:Choice Requires="wpg">
            <w:drawing>
              <wp:anchor distT="0" distB="0" distL="114300" distR="114300" simplePos="0" relativeHeight="2518702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2998" name="Group 55299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009" name="Rectangle 3500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5010" name="Rectangle 3501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205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2998" style="width:12.7031pt;height:280.35pt;position:absolute;mso-position-horizontal-relative:page;mso-position-horizontal:absolute;margin-left:681.958pt;mso-position-vertical-relative:page;margin-top:531.65pt;" coordsize="1613,35604">
                <v:rect id="Rectangle 3500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01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205 de 391 </w:t>
                        </w:r>
                      </w:p>
                    </w:txbxContent>
                  </v:textbox>
                </v:rect>
                <w10:wrap type="square"/>
              </v:group>
            </w:pict>
          </mc:Fallback>
        </mc:AlternateContent>
      </w:r>
      <w:r>
        <w:rPr>
          <w:rFonts w:ascii="Arial" w:eastAsia="Arial" w:hAnsi="Arial" w:cs="Arial"/>
          <w:i/>
        </w:rPr>
        <w:t>Incorporar la perspectiva de género (Ley Orgánica 3/2007, d</w:t>
      </w:r>
      <w:r>
        <w:rPr>
          <w:rFonts w:ascii="Arial" w:eastAsia="Arial" w:hAnsi="Arial" w:cs="Arial"/>
          <w:i/>
        </w:rPr>
        <w:t>e 22 de marzo, para la igualdad efectiva de mujeres y hombres, art. 20), como marco analítico, desarrollando las herramientas necesarias que permitan visibilizar, analizar y hacer frente a la diferente presentación y afectación de las adicciones en las muj</w:t>
      </w:r>
      <w:r>
        <w:rPr>
          <w:rFonts w:ascii="Arial" w:eastAsia="Arial" w:hAnsi="Arial" w:cs="Arial"/>
          <w:i/>
        </w:rPr>
        <w:t>eres y poder hacer un mejor diagnóstico de la realidad, e incorporar las necesidades y realidad de las mujeres en todas las acciones e intervenciones estratégicas.</w:t>
      </w:r>
    </w:p>
    <w:p w:rsidR="00E23B86" w:rsidRDefault="00BA7C13">
      <w:pPr>
        <w:numPr>
          <w:ilvl w:val="0"/>
          <w:numId w:val="101"/>
        </w:numPr>
        <w:spacing w:after="146" w:line="251" w:lineRule="auto"/>
        <w:ind w:right="573" w:hanging="360"/>
        <w:jc w:val="both"/>
      </w:pPr>
      <w:r>
        <w:rPr>
          <w:rFonts w:ascii="Arial" w:eastAsia="Arial" w:hAnsi="Arial" w:cs="Arial"/>
          <w:i/>
        </w:rPr>
        <w:t>Trabajar las respuestas preventivas adaptándolas a los nuevos contextos y formas de relación</w:t>
      </w:r>
      <w:r>
        <w:rPr>
          <w:rFonts w:ascii="Arial" w:eastAsia="Arial" w:hAnsi="Arial" w:cs="Arial"/>
          <w:i/>
        </w:rPr>
        <w:t xml:space="preserve"> en las que se producen los consumos, especialmente las redes sociales, y aprovechar las oportunidades que dichos contextos ofrecen para la prevención.</w:t>
      </w:r>
    </w:p>
    <w:p w:rsidR="00E23B86" w:rsidRDefault="00BA7C13">
      <w:pPr>
        <w:numPr>
          <w:ilvl w:val="0"/>
          <w:numId w:val="101"/>
        </w:numPr>
        <w:spacing w:after="111" w:line="251" w:lineRule="auto"/>
        <w:ind w:right="573" w:hanging="360"/>
        <w:jc w:val="both"/>
      </w:pPr>
      <w:r>
        <w:rPr>
          <w:rFonts w:ascii="Arial" w:eastAsia="Arial" w:hAnsi="Arial" w:cs="Arial"/>
          <w:i/>
        </w:rPr>
        <w:t>Trabajar la prevención dado el aumento del uso “patológico” de Internet, los medios digitales y las redes sociales, así como por el papel de las nuevas tecnologías como facilitadoras del acceso y potenciadoras de otras conductas adictivas.</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317"/>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10.</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LOS PRINCIPI</w:t>
            </w:r>
            <w:r>
              <w:rPr>
                <w:rFonts w:ascii="Arial" w:eastAsia="Arial" w:hAnsi="Arial" w:cs="Arial"/>
                <w:i/>
              </w:rPr>
              <w:t>OS DEL IV PLAN</w:t>
            </w:r>
          </w:p>
        </w:tc>
      </w:tr>
    </w:tbl>
    <w:p w:rsidR="00E23B86" w:rsidRDefault="00BA7C13">
      <w:pPr>
        <w:spacing w:after="232" w:line="251" w:lineRule="auto"/>
        <w:ind w:left="355" w:right="573" w:hanging="10"/>
        <w:jc w:val="both"/>
      </w:pPr>
      <w:r>
        <w:rPr>
          <w:rFonts w:ascii="Arial" w:eastAsia="Arial" w:hAnsi="Arial" w:cs="Arial"/>
          <w:i/>
        </w:rPr>
        <w:t>Para este IV Plan, se proponen una serie de principios establecidos desde la Estrategia Nacional sobre Adicciones 2017-2024 y desde el Plan de Acción sobre Adicciones 2018-2020.</w:t>
      </w:r>
    </w:p>
    <w:tbl>
      <w:tblPr>
        <w:tblStyle w:val="TableGrid"/>
        <w:tblW w:w="9868" w:type="dxa"/>
        <w:tblInd w:w="-331" w:type="dxa"/>
        <w:tblCellMar>
          <w:top w:w="0" w:type="dxa"/>
          <w:left w:w="0" w:type="dxa"/>
          <w:bottom w:w="0" w:type="dxa"/>
          <w:right w:w="129" w:type="dxa"/>
        </w:tblCellMar>
        <w:tblLook w:val="04A0" w:firstRow="1" w:lastRow="0" w:firstColumn="1" w:lastColumn="0" w:noHBand="0" w:noVBand="1"/>
      </w:tblPr>
      <w:tblGrid>
        <w:gridCol w:w="1"/>
        <w:gridCol w:w="2565"/>
        <w:gridCol w:w="1"/>
        <w:gridCol w:w="456"/>
        <w:gridCol w:w="1"/>
        <w:gridCol w:w="6844"/>
        <w:gridCol w:w="1"/>
      </w:tblGrid>
      <w:tr w:rsidR="00E23B86">
        <w:trPr>
          <w:gridBefore w:val="1"/>
          <w:trHeight w:val="264"/>
        </w:trPr>
        <w:tc>
          <w:tcPr>
            <w:tcW w:w="2566" w:type="dxa"/>
            <w:gridSpan w:val="2"/>
            <w:tcBorders>
              <w:top w:val="single" w:sz="4" w:space="0" w:color="00000A"/>
              <w:left w:val="single" w:sz="5" w:space="0" w:color="00000A"/>
              <w:bottom w:val="single" w:sz="4" w:space="0" w:color="00000A"/>
              <w:right w:val="single" w:sz="5" w:space="0" w:color="00000A"/>
            </w:tcBorders>
            <w:shd w:val="clear" w:color="auto" w:fill="BFBFBF"/>
          </w:tcPr>
          <w:p w:rsidR="00E23B86" w:rsidRDefault="00BA7C13">
            <w:pPr>
              <w:spacing w:after="0"/>
              <w:ind w:left="111"/>
              <w:jc w:val="center"/>
            </w:pPr>
            <w:r>
              <w:rPr>
                <w:rFonts w:ascii="Arial" w:eastAsia="Arial" w:hAnsi="Arial" w:cs="Arial"/>
                <w:i/>
              </w:rPr>
              <w:t>Principios</w:t>
            </w:r>
          </w:p>
        </w:tc>
        <w:tc>
          <w:tcPr>
            <w:tcW w:w="457" w:type="dxa"/>
            <w:gridSpan w:val="2"/>
            <w:tcBorders>
              <w:top w:val="single" w:sz="4" w:space="0" w:color="00000A"/>
              <w:left w:val="single" w:sz="5" w:space="0" w:color="00000A"/>
              <w:bottom w:val="single" w:sz="4" w:space="0" w:color="00000A"/>
              <w:right w:val="nil"/>
            </w:tcBorders>
            <w:shd w:val="clear" w:color="auto" w:fill="BFBFBF"/>
          </w:tcPr>
          <w:p w:rsidR="00E23B86" w:rsidRDefault="00E23B86"/>
        </w:tc>
        <w:tc>
          <w:tcPr>
            <w:tcW w:w="6845" w:type="dxa"/>
            <w:gridSpan w:val="2"/>
            <w:tcBorders>
              <w:top w:val="single" w:sz="4" w:space="0" w:color="00000A"/>
              <w:left w:val="nil"/>
              <w:bottom w:val="single" w:sz="4" w:space="0" w:color="00000A"/>
              <w:right w:val="single" w:sz="4" w:space="0" w:color="00000A"/>
            </w:tcBorders>
            <w:shd w:val="clear" w:color="auto" w:fill="BFBFBF"/>
          </w:tcPr>
          <w:p w:rsidR="00E23B86" w:rsidRDefault="00BA7C13">
            <w:pPr>
              <w:spacing w:after="0"/>
              <w:ind w:right="411"/>
              <w:jc w:val="center"/>
            </w:pPr>
            <w:r>
              <w:rPr>
                <w:rFonts w:ascii="Arial" w:eastAsia="Arial" w:hAnsi="Arial" w:cs="Arial"/>
                <w:i/>
              </w:rPr>
              <w:t xml:space="preserve">Énfasis </w:t>
            </w:r>
          </w:p>
        </w:tc>
      </w:tr>
      <w:tr w:rsidR="00E23B86">
        <w:trPr>
          <w:gridBefore w:val="1"/>
          <w:trHeight w:val="1011"/>
        </w:trPr>
        <w:tc>
          <w:tcPr>
            <w:tcW w:w="2566" w:type="dxa"/>
            <w:gridSpan w:val="2"/>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left="46"/>
              <w:jc w:val="center"/>
            </w:pPr>
            <w:r>
              <w:rPr>
                <w:rFonts w:ascii="Arial" w:eastAsia="Arial" w:hAnsi="Arial" w:cs="Arial"/>
                <w:i/>
              </w:rPr>
              <w:t xml:space="preserve">Enfoque integral </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single" w:sz="4" w:space="0" w:color="00000A"/>
              <w:left w:val="nil"/>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 xml:space="preserve">Por ser las adicciones un fenómeno multicausal, la respuesta debe ser integral, desde equipos profesionales que trabajan desde un enfoque biopsicosocial. </w:t>
            </w:r>
          </w:p>
        </w:tc>
      </w:tr>
      <w:tr w:rsidR="00E23B86">
        <w:trPr>
          <w:gridAfter w:val="1"/>
          <w:trHeight w:val="787"/>
        </w:trPr>
        <w:tc>
          <w:tcPr>
            <w:tcW w:w="2566"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108"/>
              <w:jc w:val="center"/>
            </w:pPr>
            <w:r>
              <w:rPr>
                <w:rFonts w:ascii="Arial" w:eastAsia="Arial" w:hAnsi="Arial" w:cs="Arial"/>
                <w:i/>
              </w:rPr>
              <w:t>Equidad</w:t>
            </w:r>
          </w:p>
        </w:tc>
        <w:tc>
          <w:tcPr>
            <w:tcW w:w="457" w:type="dxa"/>
            <w:gridSpan w:val="2"/>
            <w:tcBorders>
              <w:top w:val="single" w:sz="4" w:space="0" w:color="00000A"/>
              <w:left w:val="single" w:sz="5" w:space="0" w:color="00000A"/>
              <w:bottom w:val="nil"/>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single" w:sz="4" w:space="0" w:color="00000A"/>
              <w:left w:val="nil"/>
              <w:bottom w:val="nil"/>
              <w:right w:val="single" w:sz="4" w:space="0" w:color="00000A"/>
            </w:tcBorders>
            <w:vAlign w:val="center"/>
          </w:tcPr>
          <w:p w:rsidR="00E23B86" w:rsidRDefault="00BA7C13">
            <w:pPr>
              <w:spacing w:after="0"/>
              <w:jc w:val="both"/>
            </w:pPr>
            <w:r>
              <w:rPr>
                <w:rFonts w:ascii="Arial" w:eastAsia="Arial" w:hAnsi="Arial" w:cs="Arial"/>
                <w:i/>
              </w:rPr>
              <w:t>Facilidad de acceso a recursos en igualdad de condiciones y sin discriminación a las prestaciones preventivas, asistenciales.</w:t>
            </w:r>
          </w:p>
        </w:tc>
      </w:tr>
      <w:tr w:rsidR="00E23B86">
        <w:trPr>
          <w:gridAfter w:val="1"/>
          <w:trHeight w:val="594"/>
        </w:trPr>
        <w:tc>
          <w:tcPr>
            <w:tcW w:w="2566" w:type="dxa"/>
            <w:gridSpan w:val="2"/>
            <w:tcBorders>
              <w:top w:val="nil"/>
              <w:left w:val="single" w:sz="4"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nil"/>
              <w:left w:val="nil"/>
              <w:bottom w:val="single" w:sz="4" w:space="0" w:color="00000A"/>
              <w:right w:val="single" w:sz="4" w:space="0" w:color="00000A"/>
            </w:tcBorders>
          </w:tcPr>
          <w:p w:rsidR="00E23B86" w:rsidRDefault="00BA7C13">
            <w:pPr>
              <w:spacing w:after="0"/>
              <w:jc w:val="both"/>
            </w:pPr>
            <w:r>
              <w:rPr>
                <w:rFonts w:ascii="Arial" w:eastAsia="Arial" w:hAnsi="Arial" w:cs="Arial"/>
                <w:i/>
              </w:rPr>
              <w:t>Prioridad con grupos sociales más vulnerables o con mayores dificultades para el acceso.</w:t>
            </w:r>
          </w:p>
        </w:tc>
      </w:tr>
      <w:tr w:rsidR="00E23B86">
        <w:trPr>
          <w:gridAfter w:val="1"/>
          <w:trHeight w:val="1010"/>
        </w:trPr>
        <w:tc>
          <w:tcPr>
            <w:tcW w:w="2566"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150"/>
            </w:pPr>
            <w:r>
              <w:rPr>
                <w:rFonts w:ascii="Arial" w:eastAsia="Arial" w:hAnsi="Arial" w:cs="Arial"/>
                <w:i/>
              </w:rPr>
              <w:t>Perspectiva de Género</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single" w:sz="4" w:space="0" w:color="00000A"/>
              <w:left w:val="nil"/>
              <w:bottom w:val="single" w:sz="4" w:space="0" w:color="00000A"/>
              <w:right w:val="single" w:sz="4" w:space="0" w:color="00000A"/>
            </w:tcBorders>
            <w:vAlign w:val="center"/>
          </w:tcPr>
          <w:p w:rsidR="00E23B86" w:rsidRDefault="00BA7C13">
            <w:pPr>
              <w:spacing w:after="0"/>
              <w:ind w:right="3"/>
              <w:jc w:val="both"/>
            </w:pPr>
            <w:r>
              <w:rPr>
                <w:rFonts w:ascii="Arial" w:eastAsia="Arial" w:hAnsi="Arial" w:cs="Arial"/>
                <w:i/>
              </w:rPr>
              <w:t>Se propone perspectiva de género como marco analítico y de acción, así como de forma específica para visibilizar, analizar y hacer frente a las adicciones de las mujeres.</w:t>
            </w:r>
          </w:p>
        </w:tc>
      </w:tr>
      <w:tr w:rsidR="00E23B86">
        <w:trPr>
          <w:gridAfter w:val="1"/>
          <w:trHeight w:val="1264"/>
        </w:trPr>
        <w:tc>
          <w:tcPr>
            <w:tcW w:w="2566"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112"/>
              <w:jc w:val="center"/>
            </w:pPr>
            <w:r>
              <w:rPr>
                <w:rFonts w:ascii="Arial" w:eastAsia="Arial" w:hAnsi="Arial" w:cs="Arial"/>
                <w:i/>
              </w:rPr>
              <w:t>Transparencia</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single" w:sz="4" w:space="0" w:color="00000A"/>
              <w:left w:val="nil"/>
              <w:bottom w:val="single" w:sz="4" w:space="0" w:color="00000A"/>
              <w:right w:val="single" w:sz="4" w:space="0" w:color="00000A"/>
            </w:tcBorders>
            <w:vAlign w:val="center"/>
          </w:tcPr>
          <w:p w:rsidR="00E23B86" w:rsidRDefault="00BA7C13">
            <w:pPr>
              <w:spacing w:after="0"/>
              <w:ind w:right="3"/>
              <w:jc w:val="both"/>
            </w:pPr>
            <w:r>
              <w:rPr>
                <w:rFonts w:ascii="Arial" w:eastAsia="Arial" w:hAnsi="Arial" w:cs="Arial"/>
                <w:i/>
              </w:rPr>
              <w:t xml:space="preserve">Desde el Plan se continuará y mejorará para una mejor publicidad y difusión de los datos, de los resultados de su análisis, de la investigación y evaluación de los resultados y del impacto de las intervenciones. </w:t>
            </w:r>
          </w:p>
        </w:tc>
      </w:tr>
      <w:tr w:rsidR="00E23B86">
        <w:trPr>
          <w:gridAfter w:val="1"/>
          <w:trHeight w:val="1455"/>
        </w:trPr>
        <w:tc>
          <w:tcPr>
            <w:tcW w:w="2566"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108"/>
              <w:jc w:val="center"/>
            </w:pPr>
            <w:r>
              <w:rPr>
                <w:rFonts w:ascii="Arial" w:eastAsia="Arial" w:hAnsi="Arial" w:cs="Arial"/>
                <w:i/>
              </w:rPr>
              <w:t>Evidencia científica</w:t>
            </w:r>
          </w:p>
        </w:tc>
        <w:tc>
          <w:tcPr>
            <w:tcW w:w="457" w:type="dxa"/>
            <w:gridSpan w:val="2"/>
            <w:tcBorders>
              <w:top w:val="single" w:sz="4" w:space="0" w:color="00000A"/>
              <w:left w:val="single" w:sz="5" w:space="0" w:color="00000A"/>
              <w:bottom w:val="nil"/>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single" w:sz="4" w:space="0" w:color="00000A"/>
              <w:left w:val="nil"/>
              <w:bottom w:val="nil"/>
              <w:right w:val="single" w:sz="4" w:space="0" w:color="00000A"/>
            </w:tcBorders>
          </w:tcPr>
          <w:p w:rsidR="00E23B86" w:rsidRDefault="00BA7C13">
            <w:pPr>
              <w:spacing w:after="0"/>
              <w:ind w:right="2"/>
              <w:jc w:val="both"/>
            </w:pPr>
            <w:r>
              <w:rPr>
                <w:rFonts w:ascii="Arial" w:eastAsia="Arial" w:hAnsi="Arial" w:cs="Arial"/>
                <w:i/>
              </w:rPr>
              <w:t>Las acciones dirigidas a prevenir y a disminuir la presencia y los daños asociados a las adicciones, están empíricamente contrastadas, científicamente fundadas y eficientes, persiguiendo resultados realistas y cuantificables que puedan ser evaluados, fomen</w:t>
            </w:r>
            <w:r>
              <w:rPr>
                <w:rFonts w:ascii="Arial" w:eastAsia="Arial" w:hAnsi="Arial" w:cs="Arial"/>
                <w:i/>
              </w:rPr>
              <w:t>tando así las buenas prácticas.</w:t>
            </w:r>
          </w:p>
        </w:tc>
      </w:tr>
      <w:tr w:rsidR="00E23B86">
        <w:trPr>
          <w:gridAfter w:val="1"/>
          <w:trHeight w:val="941"/>
        </w:trPr>
        <w:tc>
          <w:tcPr>
            <w:tcW w:w="2566" w:type="dxa"/>
            <w:gridSpan w:val="2"/>
            <w:tcBorders>
              <w:top w:val="nil"/>
              <w:left w:val="single" w:sz="4"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nil"/>
              <w:left w:val="nil"/>
              <w:bottom w:val="single" w:sz="4" w:space="0" w:color="00000A"/>
              <w:right w:val="single" w:sz="4" w:space="0" w:color="00000A"/>
            </w:tcBorders>
          </w:tcPr>
          <w:p w:rsidR="00E23B86" w:rsidRDefault="00BA7C13">
            <w:pPr>
              <w:spacing w:after="0"/>
              <w:jc w:val="both"/>
            </w:pPr>
            <w:r>
              <w:rPr>
                <w:rFonts w:ascii="Arial" w:eastAsia="Arial" w:hAnsi="Arial" w:cs="Arial"/>
                <w:i/>
              </w:rPr>
              <w:t>Las acciones están apoyadas en metodologías de intervención respaldadas por la comunidad profesional y las recomendaciones de las instituciones.</w:t>
            </w:r>
          </w:p>
        </w:tc>
      </w:tr>
      <w:tr w:rsidR="00E23B86">
        <w:trPr>
          <w:gridAfter w:val="1"/>
          <w:trHeight w:val="789"/>
        </w:trPr>
        <w:tc>
          <w:tcPr>
            <w:tcW w:w="2566"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108"/>
              <w:jc w:val="center"/>
            </w:pPr>
            <w:r>
              <w:rPr>
                <w:rFonts w:ascii="Arial" w:eastAsia="Arial" w:hAnsi="Arial" w:cs="Arial"/>
                <w:i/>
              </w:rPr>
              <w:t>Participación</w:t>
            </w:r>
          </w:p>
        </w:tc>
        <w:tc>
          <w:tcPr>
            <w:tcW w:w="457" w:type="dxa"/>
            <w:gridSpan w:val="2"/>
            <w:tcBorders>
              <w:top w:val="single" w:sz="4" w:space="0" w:color="00000A"/>
              <w:left w:val="single" w:sz="5" w:space="0" w:color="00000A"/>
              <w:bottom w:val="nil"/>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single" w:sz="4" w:space="0" w:color="00000A"/>
              <w:left w:val="nil"/>
              <w:bottom w:val="nil"/>
              <w:right w:val="single" w:sz="4" w:space="0" w:color="00000A"/>
            </w:tcBorders>
            <w:vAlign w:val="center"/>
          </w:tcPr>
          <w:p w:rsidR="00E23B86" w:rsidRDefault="00BA7C13">
            <w:pPr>
              <w:spacing w:after="0"/>
              <w:jc w:val="both"/>
            </w:pPr>
            <w:r>
              <w:rPr>
                <w:rFonts w:ascii="Arial" w:eastAsia="Arial" w:hAnsi="Arial" w:cs="Arial"/>
                <w:i/>
              </w:rPr>
              <w:t xml:space="preserve">Información y sensibilización de la sociedad en su conjunto, a fin de que se involucre de forma directa en este tema. </w:t>
            </w:r>
          </w:p>
        </w:tc>
      </w:tr>
      <w:tr w:rsidR="00E23B86">
        <w:trPr>
          <w:gridAfter w:val="1"/>
          <w:trHeight w:val="847"/>
        </w:trPr>
        <w:tc>
          <w:tcPr>
            <w:tcW w:w="2566" w:type="dxa"/>
            <w:gridSpan w:val="2"/>
            <w:tcBorders>
              <w:top w:val="nil"/>
              <w:left w:val="single" w:sz="4"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nil"/>
              <w:left w:val="nil"/>
              <w:bottom w:val="single" w:sz="4" w:space="0" w:color="00000A"/>
              <w:right w:val="single" w:sz="4" w:space="0" w:color="00000A"/>
            </w:tcBorders>
          </w:tcPr>
          <w:p w:rsidR="00E23B86" w:rsidRDefault="00BA7C13">
            <w:pPr>
              <w:spacing w:after="0"/>
              <w:ind w:right="6"/>
              <w:jc w:val="both"/>
            </w:pPr>
            <w:r>
              <w:rPr>
                <w:rFonts w:ascii="Arial" w:eastAsia="Arial" w:hAnsi="Arial" w:cs="Arial"/>
                <w:i/>
              </w:rPr>
              <w:t xml:space="preserve">Se trabaja en la identificación, motivación e implicación activa de los grupos poblacionales que se hallan en situaciones de mayor vulnerabilidad. </w:t>
            </w:r>
          </w:p>
        </w:tc>
      </w:tr>
      <w:tr w:rsidR="00E23B86">
        <w:trPr>
          <w:gridAfter w:val="1"/>
          <w:trHeight w:val="1010"/>
        </w:trPr>
        <w:tc>
          <w:tcPr>
            <w:tcW w:w="2566"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301" w:firstLine="42"/>
            </w:pPr>
            <w:r>
              <w:rPr>
                <w:rFonts w:ascii="Arial" w:eastAsia="Arial" w:hAnsi="Arial" w:cs="Arial"/>
                <w:i/>
              </w:rPr>
              <w:t>Intersectorialidad e interdisciplinariedad</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single" w:sz="4" w:space="0" w:color="00000A"/>
              <w:left w:val="nil"/>
              <w:bottom w:val="single" w:sz="4" w:space="0" w:color="00000A"/>
              <w:right w:val="single" w:sz="4" w:space="0" w:color="00000A"/>
            </w:tcBorders>
            <w:vAlign w:val="center"/>
          </w:tcPr>
          <w:p w:rsidR="00E23B86" w:rsidRDefault="00BA7C13">
            <w:pPr>
              <w:spacing w:after="0"/>
              <w:ind w:right="4"/>
              <w:jc w:val="both"/>
            </w:pPr>
            <w:r>
              <w:rPr>
                <w:rFonts w:ascii="Arial" w:eastAsia="Arial" w:hAnsi="Arial" w:cs="Arial"/>
                <w:i/>
              </w:rPr>
              <w:t xml:space="preserve">Ofrecer un enfoque y un abordaje multifactorial, intersectorial y multidisciplinar, y aspirar a una optimización de esfuerzos y recursos mediante la coordinación y cooperación de los distintos agentes. </w:t>
            </w:r>
          </w:p>
        </w:tc>
      </w:tr>
      <w:tr w:rsidR="00E23B86">
        <w:trPr>
          <w:gridAfter w:val="1"/>
          <w:trHeight w:val="727"/>
        </w:trPr>
        <w:tc>
          <w:tcPr>
            <w:tcW w:w="2566"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112"/>
              <w:jc w:val="center"/>
            </w:pPr>
            <w:r>
              <w:rPr>
                <w:rFonts w:ascii="Arial" w:eastAsia="Arial" w:hAnsi="Arial" w:cs="Arial"/>
                <w:i/>
              </w:rPr>
              <w:t>Calidad</w:t>
            </w:r>
          </w:p>
        </w:tc>
        <w:tc>
          <w:tcPr>
            <w:tcW w:w="457" w:type="dxa"/>
            <w:gridSpan w:val="2"/>
            <w:tcBorders>
              <w:top w:val="single" w:sz="4" w:space="0" w:color="00000A"/>
              <w:left w:val="single" w:sz="5" w:space="0" w:color="00000A"/>
              <w:bottom w:val="nil"/>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single" w:sz="4" w:space="0" w:color="00000A"/>
              <w:left w:val="nil"/>
              <w:bottom w:val="nil"/>
              <w:right w:val="single" w:sz="4" w:space="0" w:color="00000A"/>
            </w:tcBorders>
          </w:tcPr>
          <w:p w:rsidR="00E23B86" w:rsidRDefault="00BA7C13">
            <w:pPr>
              <w:spacing w:after="0"/>
              <w:jc w:val="both"/>
            </w:pPr>
            <w:r>
              <w:rPr>
                <w:rFonts w:ascii="Arial" w:eastAsia="Arial" w:hAnsi="Arial" w:cs="Arial"/>
                <w:i/>
              </w:rPr>
              <w:t xml:space="preserve">Garantizar una acción preventiva a las personas directa o indirectamente afectadas por las adicciones. </w:t>
            </w:r>
          </w:p>
        </w:tc>
      </w:tr>
      <w:tr w:rsidR="00E23B86">
        <w:trPr>
          <w:gridAfter w:val="1"/>
          <w:trHeight w:val="405"/>
        </w:trPr>
        <w:tc>
          <w:tcPr>
            <w:tcW w:w="2566" w:type="dxa"/>
            <w:gridSpan w:val="2"/>
            <w:tcBorders>
              <w:top w:val="nil"/>
              <w:left w:val="single" w:sz="4"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1"/>
              <w:jc w:val="center"/>
            </w:pPr>
            <w:r>
              <w:rPr>
                <w:rFonts w:ascii="Times New Roman" w:eastAsia="Times New Roman" w:hAnsi="Times New Roman" w:cs="Times New Roman"/>
              </w:rPr>
              <w:t>-</w:t>
            </w:r>
          </w:p>
        </w:tc>
        <w:tc>
          <w:tcPr>
            <w:tcW w:w="6845" w:type="dxa"/>
            <w:gridSpan w:val="2"/>
            <w:tcBorders>
              <w:top w:val="nil"/>
              <w:left w:val="nil"/>
              <w:bottom w:val="single" w:sz="4" w:space="0" w:color="00000A"/>
              <w:right w:val="single" w:sz="4" w:space="0" w:color="00000A"/>
            </w:tcBorders>
          </w:tcPr>
          <w:p w:rsidR="00E23B86" w:rsidRDefault="00BA7C13">
            <w:pPr>
              <w:spacing w:after="0"/>
            </w:pPr>
            <w:r>
              <w:rPr>
                <w:rFonts w:ascii="Arial" w:eastAsia="Arial" w:hAnsi="Arial" w:cs="Arial"/>
                <w:i/>
              </w:rPr>
              <w:t>Este principio se respalda en el descrito en la “evidencia científica”.</w:t>
            </w:r>
          </w:p>
        </w:tc>
      </w:tr>
      <w:tr w:rsidR="00E23B86">
        <w:trPr>
          <w:gridAfter w:val="1"/>
          <w:trHeight w:val="1285"/>
        </w:trPr>
        <w:tc>
          <w:tcPr>
            <w:tcW w:w="2566"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left="51"/>
              <w:jc w:val="center"/>
            </w:pPr>
            <w:r>
              <w:rPr>
                <w:rFonts w:ascii="Arial" w:eastAsia="Arial" w:hAnsi="Arial" w:cs="Arial"/>
                <w:i/>
              </w:rPr>
              <w:t>Eficiencia y sostenibilidad</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8"/>
              <w:jc w:val="center"/>
            </w:pPr>
            <w:r>
              <w:rPr>
                <w:rFonts w:ascii="Times New Roman" w:eastAsia="Times New Roman" w:hAnsi="Times New Roman" w:cs="Times New Roman"/>
                <w:sz w:val="24"/>
              </w:rPr>
              <w:t>-</w:t>
            </w:r>
          </w:p>
        </w:tc>
        <w:tc>
          <w:tcPr>
            <w:tcW w:w="6845" w:type="dxa"/>
            <w:gridSpan w:val="2"/>
            <w:tcBorders>
              <w:top w:val="single" w:sz="4" w:space="0" w:color="00000A"/>
              <w:left w:val="nil"/>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Apostando por una gestión eficiente de los recursos que garanticen la eficacia y la sostenibilidad del sistema y su evaluación; y que permita asegurar la ejecución de las políticas acordadas, mediante la consignación presupuestaria correspondiente.</w:t>
            </w:r>
          </w:p>
        </w:tc>
      </w:tr>
    </w:tbl>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712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9681" name="Group 60968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140" name="Rectangle 3514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5141" name="Rectangle 3514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206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9681" style="width:12.7031pt;height:280.35pt;position:absolute;mso-position-horizontal-relative:page;mso-position-horizontal:absolute;margin-left:681.958pt;mso-position-vertical-relative:page;margin-top:531.65pt;" coordsize="1613,35604">
                <v:rect id="Rectangle 3514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14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206 de 391 </w:t>
                        </w:r>
                      </w:p>
                    </w:txbxContent>
                  </v:textbox>
                </v:rect>
                <w10:wrap type="square"/>
              </v:group>
            </w:pict>
          </mc:Fallback>
        </mc:AlternateContent>
      </w:r>
      <w:r>
        <w:rPr>
          <w:rFonts w:ascii="Arial" w:eastAsia="Arial" w:hAnsi="Arial" w:cs="Arial"/>
          <w:i/>
        </w:rPr>
        <w:t xml:space="preserve">Fuente: Estrategia Nacional sobre Adicciones 2017 – 2024. </w:t>
      </w:r>
    </w:p>
    <w:tbl>
      <w:tblPr>
        <w:tblStyle w:val="TableGrid"/>
        <w:tblW w:w="8483" w:type="dxa"/>
        <w:tblInd w:w="361" w:type="dxa"/>
        <w:tblCellMar>
          <w:top w:w="42" w:type="dxa"/>
          <w:left w:w="0" w:type="dxa"/>
          <w:bottom w:w="0" w:type="dxa"/>
          <w:right w:w="115" w:type="dxa"/>
        </w:tblCellMar>
        <w:tblLook w:val="04A0" w:firstRow="1" w:lastRow="0" w:firstColumn="1" w:lastColumn="0" w:noHBand="0" w:noVBand="1"/>
      </w:tblPr>
      <w:tblGrid>
        <w:gridCol w:w="677"/>
        <w:gridCol w:w="7806"/>
      </w:tblGrid>
      <w:tr w:rsidR="00E23B86">
        <w:trPr>
          <w:trHeight w:val="339"/>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Times New Roman" w:eastAsia="Times New Roman" w:hAnsi="Times New Roman" w:cs="Times New Roman"/>
                <w:sz w:val="24"/>
              </w:rPr>
              <w:t>11</w:t>
            </w:r>
            <w:r>
              <w:rPr>
                <w:rFonts w:ascii="Times New Roman" w:eastAsia="Times New Roman" w:hAnsi="Times New Roman" w:cs="Times New Roman"/>
                <w:sz w:val="24"/>
              </w:rPr>
              <w:t>.</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CAMPO DE ACTUACIÓN  </w:t>
            </w:r>
          </w:p>
        </w:tc>
      </w:tr>
    </w:tbl>
    <w:p w:rsidR="00E23B86" w:rsidRDefault="00BA7C13">
      <w:pPr>
        <w:spacing w:after="111" w:line="251" w:lineRule="auto"/>
        <w:ind w:left="355" w:right="573" w:hanging="10"/>
        <w:jc w:val="both"/>
      </w:pPr>
      <w:r>
        <w:rPr>
          <w:rFonts w:ascii="Arial" w:eastAsia="Arial" w:hAnsi="Arial" w:cs="Arial"/>
          <w:i/>
        </w:rPr>
        <w:t>Para este IV Plan, y en consonancia con la Estrategia Nacional sobre Adicciones 2017-2024, la prevención y las acciones para la reducción de riesgos se centrarán en las siguientes adicciones:</w:t>
      </w:r>
    </w:p>
    <w:p w:rsidR="00E23B86" w:rsidRDefault="00BA7C13">
      <w:pPr>
        <w:numPr>
          <w:ilvl w:val="1"/>
          <w:numId w:val="101"/>
        </w:numPr>
        <w:spacing w:after="111" w:line="251" w:lineRule="auto"/>
        <w:ind w:right="573" w:hanging="360"/>
        <w:jc w:val="both"/>
      </w:pPr>
      <w:r>
        <w:rPr>
          <w:rFonts w:ascii="Arial" w:eastAsia="Arial" w:hAnsi="Arial" w:cs="Arial"/>
          <w:i/>
        </w:rPr>
        <w:t>Drogas legales: tabaco, alcohol.</w:t>
      </w:r>
    </w:p>
    <w:p w:rsidR="00E23B86" w:rsidRDefault="00BA7C13">
      <w:pPr>
        <w:numPr>
          <w:ilvl w:val="1"/>
          <w:numId w:val="101"/>
        </w:numPr>
        <w:spacing w:after="111" w:line="251" w:lineRule="auto"/>
        <w:ind w:right="573" w:hanging="360"/>
        <w:jc w:val="both"/>
      </w:pPr>
      <w:r>
        <w:rPr>
          <w:rFonts w:ascii="Arial" w:eastAsia="Arial" w:hAnsi="Arial" w:cs="Arial"/>
          <w:i/>
        </w:rPr>
        <w:t>Fármacos de prescripción médica y otras sustancias con potencial adictivo.</w:t>
      </w:r>
    </w:p>
    <w:p w:rsidR="00E23B86" w:rsidRDefault="00BA7C13">
      <w:pPr>
        <w:numPr>
          <w:ilvl w:val="1"/>
          <w:numId w:val="101"/>
        </w:numPr>
        <w:spacing w:after="111" w:line="251" w:lineRule="auto"/>
        <w:ind w:right="573" w:hanging="360"/>
        <w:jc w:val="both"/>
      </w:pPr>
      <w:r>
        <w:rPr>
          <w:rFonts w:ascii="Arial" w:eastAsia="Arial" w:hAnsi="Arial" w:cs="Arial"/>
          <w:i/>
        </w:rPr>
        <w:t>Drogas ilegales, incluidas las nuevas sustancias psicoactivas.</w:t>
      </w:r>
    </w:p>
    <w:p w:rsidR="00E23B86" w:rsidRDefault="00BA7C13">
      <w:pPr>
        <w:numPr>
          <w:ilvl w:val="1"/>
          <w:numId w:val="101"/>
        </w:numPr>
        <w:spacing w:after="111" w:line="251" w:lineRule="auto"/>
        <w:ind w:right="573" w:hanging="360"/>
        <w:jc w:val="both"/>
      </w:pPr>
      <w:r>
        <w:rPr>
          <w:rFonts w:ascii="Arial" w:eastAsia="Arial" w:hAnsi="Arial" w:cs="Arial"/>
          <w:i/>
        </w:rPr>
        <w:t>Adicciones comportamentales relacionadas con la ludopatía (juego presencial y online) y videojuegos.</w:t>
      </w:r>
    </w:p>
    <w:p w:rsidR="00E23B86" w:rsidRDefault="00BA7C13">
      <w:pPr>
        <w:numPr>
          <w:ilvl w:val="1"/>
          <w:numId w:val="101"/>
        </w:numPr>
        <w:spacing w:after="111" w:line="251" w:lineRule="auto"/>
        <w:ind w:right="573" w:hanging="360"/>
        <w:jc w:val="both"/>
      </w:pPr>
      <w:r>
        <w:rPr>
          <w:rFonts w:ascii="Arial" w:eastAsia="Arial" w:hAnsi="Arial" w:cs="Arial"/>
          <w:i/>
        </w:rPr>
        <w:t>Adicciones compor</w:t>
      </w:r>
      <w:r>
        <w:rPr>
          <w:rFonts w:ascii="Arial" w:eastAsia="Arial" w:hAnsi="Arial" w:cs="Arial"/>
          <w:i/>
        </w:rPr>
        <w:t>tamentales relacionadas con las Tecnologías de la Información y la Comunicación (Redes Sociales, Internet).</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583"/>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12.</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META Y OBJETIVOS GENERALES DEL IV PLAN SOBRE ADICCIONES DE CANDELARIA  </w:t>
            </w:r>
          </w:p>
        </w:tc>
      </w:tr>
    </w:tbl>
    <w:p w:rsidR="00E23B86" w:rsidRDefault="00BA7C13">
      <w:pPr>
        <w:spacing w:after="111" w:line="251" w:lineRule="auto"/>
        <w:ind w:left="355" w:right="573" w:hanging="10"/>
        <w:jc w:val="both"/>
      </w:pPr>
      <w:r>
        <w:rPr>
          <w:rFonts w:ascii="Arial" w:eastAsia="Arial" w:hAnsi="Arial" w:cs="Arial"/>
          <w:i/>
        </w:rPr>
        <w:t>La meta principal de este IV Plan de Adicciones es lograr una comunidad saludable, más informada y sensibilizada ante las drogas y otras adicciones, haciendo énfasis en los siguientes objetivos generales según las áreas de actuación.</w:t>
      </w:r>
    </w:p>
    <w:p w:rsidR="00E23B86" w:rsidRDefault="00BA7C13">
      <w:pPr>
        <w:spacing w:after="111" w:line="251" w:lineRule="auto"/>
        <w:ind w:left="722" w:right="573" w:hanging="10"/>
        <w:jc w:val="both"/>
      </w:pPr>
      <w:r>
        <w:rPr>
          <w:rFonts w:ascii="Arial" w:eastAsia="Arial" w:hAnsi="Arial" w:cs="Arial"/>
          <w:i/>
        </w:rPr>
        <w:t xml:space="preserve">d) Área de prevención </w:t>
      </w:r>
      <w:r>
        <w:rPr>
          <w:rFonts w:ascii="Arial" w:eastAsia="Arial" w:hAnsi="Arial" w:cs="Arial"/>
          <w:i/>
        </w:rPr>
        <w:t xml:space="preserve">y sensibilización.  </w:t>
      </w:r>
    </w:p>
    <w:p w:rsidR="00E23B86" w:rsidRDefault="00BA7C13">
      <w:pPr>
        <w:spacing w:after="8" w:line="251" w:lineRule="auto"/>
        <w:ind w:left="1082" w:right="573" w:hanging="10"/>
        <w:jc w:val="both"/>
      </w:pPr>
      <w:r>
        <w:rPr>
          <w:noProof/>
        </w:rPr>
        <mc:AlternateContent>
          <mc:Choice Requires="wpg">
            <w:drawing>
              <wp:anchor distT="0" distB="0" distL="114300" distR="114300" simplePos="0" relativeHeight="2518722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3902" name="Group 57390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219" name="Rectangle 3521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5220" name="Rectangle 3522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207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3902" style="width:12.7031pt;height:280.35pt;position:absolute;mso-position-horizontal-relative:page;mso-position-horizontal:absolute;margin-left:681.958pt;mso-position-vertical-relative:page;margin-top:531.65pt;" coordsize="1613,35604">
                <v:rect id="Rectangle 3521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22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207 de 391 </w:t>
                        </w:r>
                      </w:p>
                    </w:txbxContent>
                  </v:textbox>
                </v:rect>
                <w10:wrap type="square"/>
              </v:group>
            </w:pict>
          </mc:Fallback>
        </mc:AlternateContent>
      </w:r>
      <w:r>
        <w:rPr>
          <w:rFonts w:ascii="Arial" w:eastAsia="Arial" w:hAnsi="Arial" w:cs="Arial"/>
          <w:i/>
        </w:rPr>
        <w:t xml:space="preserve">Objetivo general: potenciar acciones </w:t>
      </w:r>
      <w:r>
        <w:rPr>
          <w:rFonts w:ascii="Arial" w:eastAsia="Arial" w:hAnsi="Arial" w:cs="Arial"/>
          <w:i/>
        </w:rPr>
        <w:t>encaminadas a reducir los factores de riesgo y potenciar los de protección frente al consumo de drogas y otras adicciones relacionadas con conductas con potencial adictivo.</w:t>
      </w:r>
    </w:p>
    <w:tbl>
      <w:tblPr>
        <w:tblStyle w:val="TableGrid"/>
        <w:tblW w:w="8483" w:type="dxa"/>
        <w:tblInd w:w="361" w:type="dxa"/>
        <w:tblCellMar>
          <w:top w:w="0" w:type="dxa"/>
          <w:left w:w="0" w:type="dxa"/>
          <w:bottom w:w="0" w:type="dxa"/>
          <w:right w:w="15" w:type="dxa"/>
        </w:tblCellMar>
        <w:tblLook w:val="04A0" w:firstRow="1" w:lastRow="0" w:firstColumn="1" w:lastColumn="0" w:noHBand="0" w:noVBand="1"/>
      </w:tblPr>
      <w:tblGrid>
        <w:gridCol w:w="677"/>
        <w:gridCol w:w="7806"/>
      </w:tblGrid>
      <w:tr w:rsidR="00E23B86">
        <w:trPr>
          <w:trHeight w:val="1441"/>
        </w:trPr>
        <w:tc>
          <w:tcPr>
            <w:tcW w:w="677" w:type="dxa"/>
            <w:tcBorders>
              <w:top w:val="nil"/>
              <w:left w:val="nil"/>
              <w:bottom w:val="nil"/>
              <w:right w:val="nil"/>
            </w:tcBorders>
          </w:tcPr>
          <w:p w:rsidR="00E23B86" w:rsidRDefault="00BA7C13">
            <w:pPr>
              <w:spacing w:after="0"/>
              <w:ind w:left="351"/>
            </w:pPr>
            <w:r>
              <w:rPr>
                <w:rFonts w:ascii="Arial" w:eastAsia="Arial" w:hAnsi="Arial" w:cs="Arial"/>
                <w:i/>
              </w:rPr>
              <w:t>e)</w:t>
            </w:r>
          </w:p>
        </w:tc>
        <w:tc>
          <w:tcPr>
            <w:tcW w:w="7806" w:type="dxa"/>
            <w:tcBorders>
              <w:top w:val="nil"/>
              <w:left w:val="nil"/>
              <w:bottom w:val="nil"/>
              <w:right w:val="nil"/>
            </w:tcBorders>
          </w:tcPr>
          <w:p w:rsidR="00E23B86" w:rsidRDefault="00BA7C13">
            <w:pPr>
              <w:spacing w:after="99"/>
              <w:ind w:left="34"/>
            </w:pPr>
            <w:r>
              <w:rPr>
                <w:rFonts w:ascii="Arial" w:eastAsia="Arial" w:hAnsi="Arial" w:cs="Arial"/>
                <w:i/>
              </w:rPr>
              <w:t>Área de incorporación social.</w:t>
            </w:r>
          </w:p>
          <w:p w:rsidR="00E23B86" w:rsidRDefault="00BA7C13">
            <w:pPr>
              <w:spacing w:after="0"/>
              <w:ind w:left="34"/>
              <w:jc w:val="both"/>
            </w:pPr>
            <w:r>
              <w:rPr>
                <w:rFonts w:ascii="Arial" w:eastAsia="Arial" w:hAnsi="Arial" w:cs="Arial"/>
                <w:i/>
              </w:rPr>
              <w:t>Objetivo general: promover la coordinación y participación de los distintos agentes sociales de la comunidad y los recursos existentes, en los procesos de incorporación laboral y social de las personas en situación de riesgo o vulnerabilidad.</w:t>
            </w:r>
          </w:p>
        </w:tc>
      </w:tr>
      <w:tr w:rsidR="00E23B86">
        <w:trPr>
          <w:trHeight w:val="1812"/>
        </w:trPr>
        <w:tc>
          <w:tcPr>
            <w:tcW w:w="677" w:type="dxa"/>
            <w:tcBorders>
              <w:top w:val="nil"/>
              <w:left w:val="nil"/>
              <w:bottom w:val="double" w:sz="2" w:space="0" w:color="00000A"/>
              <w:right w:val="nil"/>
            </w:tcBorders>
          </w:tcPr>
          <w:p w:rsidR="00E23B86" w:rsidRDefault="00BA7C13">
            <w:pPr>
              <w:spacing w:after="0"/>
              <w:ind w:left="175"/>
              <w:jc w:val="center"/>
            </w:pPr>
            <w:r>
              <w:rPr>
                <w:rFonts w:ascii="Arial" w:eastAsia="Arial" w:hAnsi="Arial" w:cs="Arial"/>
                <w:i/>
              </w:rPr>
              <w:t>f)</w:t>
            </w:r>
          </w:p>
        </w:tc>
        <w:tc>
          <w:tcPr>
            <w:tcW w:w="7806" w:type="dxa"/>
            <w:tcBorders>
              <w:top w:val="nil"/>
              <w:left w:val="nil"/>
              <w:bottom w:val="double" w:sz="2" w:space="0" w:color="00000A"/>
              <w:right w:val="nil"/>
            </w:tcBorders>
          </w:tcPr>
          <w:p w:rsidR="00E23B86" w:rsidRDefault="00BA7C13">
            <w:pPr>
              <w:spacing w:after="101"/>
              <w:ind w:left="34"/>
            </w:pPr>
            <w:r>
              <w:rPr>
                <w:rFonts w:ascii="Arial" w:eastAsia="Arial" w:hAnsi="Arial" w:cs="Arial"/>
                <w:i/>
              </w:rPr>
              <w:t>Área de s</w:t>
            </w:r>
            <w:r>
              <w:rPr>
                <w:rFonts w:ascii="Arial" w:eastAsia="Arial" w:hAnsi="Arial" w:cs="Arial"/>
                <w:i/>
              </w:rPr>
              <w:t xml:space="preserve">oporte y apoyo a los procesos de gestión del IV Plan. </w:t>
            </w:r>
          </w:p>
          <w:p w:rsidR="00E23B86" w:rsidRDefault="00BA7C13">
            <w:pPr>
              <w:spacing w:after="0"/>
              <w:ind w:left="34"/>
              <w:jc w:val="both"/>
            </w:pPr>
            <w:r>
              <w:rPr>
                <w:rFonts w:ascii="Arial" w:eastAsia="Arial" w:hAnsi="Arial" w:cs="Arial"/>
                <w:i/>
              </w:rPr>
              <w:t xml:space="preserve">Objetivo general: desarrollar los procesos básicos, de recursos y avanzados de gestión a lo largo de la ejecución de las acciones del IV Plan Municipal, para lograr los objetivos buscados en las áreas </w:t>
            </w:r>
            <w:r>
              <w:rPr>
                <w:rFonts w:ascii="Arial" w:eastAsia="Arial" w:hAnsi="Arial" w:cs="Arial"/>
                <w:i/>
              </w:rPr>
              <w:t>de prevención e incorporación social.</w:t>
            </w:r>
          </w:p>
        </w:tc>
      </w:tr>
      <w:tr w:rsidR="00E23B86">
        <w:trPr>
          <w:trHeight w:val="315"/>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13.</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ÁREAS DE ACTUACIÓN </w:t>
            </w:r>
          </w:p>
        </w:tc>
      </w:tr>
    </w:tbl>
    <w:p w:rsidR="00E23B86" w:rsidRDefault="00BA7C13">
      <w:pPr>
        <w:spacing w:after="271" w:line="251" w:lineRule="auto"/>
        <w:ind w:left="355" w:right="573" w:hanging="10"/>
        <w:jc w:val="both"/>
      </w:pPr>
      <w:r>
        <w:rPr>
          <w:rFonts w:ascii="Arial" w:eastAsia="Arial" w:hAnsi="Arial" w:cs="Arial"/>
          <w:i/>
        </w:rPr>
        <w:t xml:space="preserve">Para abordar la prevención de las drogodependencias y otras adicciones, se trabajará sobre las tres áreas comentadas anteriormente. Dentro de cada una de estas áreas, se especificarán las acciones y medidas por ámbitos, entendidos como el sector, contexto </w:t>
      </w:r>
      <w:r>
        <w:rPr>
          <w:rFonts w:ascii="Arial" w:eastAsia="Arial" w:hAnsi="Arial" w:cs="Arial"/>
          <w:i/>
        </w:rPr>
        <w:t xml:space="preserve">o colectivo al que van dirigidas las acciones. Los ámbitos de actuación son los que propone la Estrategia Nacional sobre Adicciones 2017-2024 y son los siguientes: escolar, familiar y comunitario. </w:t>
      </w:r>
    </w:p>
    <w:p w:rsidR="00E23B86" w:rsidRDefault="00BA7C13">
      <w:pPr>
        <w:spacing w:after="242" w:line="251" w:lineRule="auto"/>
        <w:ind w:left="355" w:right="573" w:hanging="10"/>
        <w:jc w:val="both"/>
      </w:pPr>
      <w:r>
        <w:rPr>
          <w:rFonts w:ascii="Arial" w:eastAsia="Arial" w:hAnsi="Arial" w:cs="Arial"/>
          <w:i/>
        </w:rPr>
        <w:t xml:space="preserve">6.1. ÁREA DE PREVENCIÓN Y SENSIBILIZACIÓN </w:t>
      </w:r>
    </w:p>
    <w:p w:rsidR="00E23B86" w:rsidRDefault="00BA7C13">
      <w:pPr>
        <w:spacing w:after="111" w:line="251" w:lineRule="auto"/>
        <w:ind w:left="355" w:right="573" w:hanging="10"/>
        <w:jc w:val="both"/>
      </w:pPr>
      <w:r>
        <w:rPr>
          <w:rFonts w:ascii="Arial" w:eastAsia="Arial" w:hAnsi="Arial" w:cs="Arial"/>
          <w:i/>
        </w:rPr>
        <w:t>La prevención y sensibilización entendida como todas aquellas acciones e intervenciones dirigidas a reducir los factores de riesgo (evitar el consumo experimental y esporádico y que éste no se convierta en continuado y provoque daños) y potenciar los facto</w:t>
      </w:r>
      <w:r>
        <w:rPr>
          <w:rFonts w:ascii="Arial" w:eastAsia="Arial" w:hAnsi="Arial" w:cs="Arial"/>
          <w:i/>
        </w:rPr>
        <w:t>res de protección (estilo de vida saludable, ocio y tiempo libre, formación…).</w:t>
      </w:r>
    </w:p>
    <w:p w:rsidR="00E23B86" w:rsidRDefault="00BA7C13">
      <w:pPr>
        <w:spacing w:after="111" w:line="251" w:lineRule="auto"/>
        <w:ind w:left="355" w:right="573" w:hanging="10"/>
        <w:jc w:val="both"/>
      </w:pPr>
      <w:r>
        <w:rPr>
          <w:rFonts w:ascii="Arial" w:eastAsia="Arial" w:hAnsi="Arial" w:cs="Arial"/>
          <w:i/>
        </w:rPr>
        <w:t>Las intervenciones preventivas propuestas se clasifican en tres niveles, en función de la población a las que van dirigidas:</w:t>
      </w:r>
    </w:p>
    <w:p w:rsidR="00E23B86" w:rsidRDefault="00BA7C13">
      <w:pPr>
        <w:numPr>
          <w:ilvl w:val="0"/>
          <w:numId w:val="102"/>
        </w:numPr>
        <w:spacing w:after="482" w:line="251" w:lineRule="auto"/>
        <w:ind w:right="573" w:hanging="360"/>
        <w:jc w:val="both"/>
      </w:pPr>
      <w:r>
        <w:rPr>
          <w:rFonts w:ascii="Arial" w:eastAsia="Arial" w:hAnsi="Arial" w:cs="Arial"/>
          <w:i/>
        </w:rPr>
        <w:t>Universal: acciones dirigidas para toda la población</w:t>
      </w:r>
      <w:r>
        <w:rPr>
          <w:rFonts w:ascii="Arial" w:eastAsia="Arial" w:hAnsi="Arial" w:cs="Arial"/>
          <w:i/>
        </w:rPr>
        <w:t xml:space="preserve"> dentro del ámbito concreto (educativo, laboral, familiar).</w:t>
      </w:r>
    </w:p>
    <w:p w:rsidR="00E23B86" w:rsidRDefault="00BA7C13">
      <w:pPr>
        <w:numPr>
          <w:ilvl w:val="0"/>
          <w:numId w:val="102"/>
        </w:numPr>
        <w:spacing w:after="111" w:line="251" w:lineRule="auto"/>
        <w:ind w:right="573" w:hanging="360"/>
        <w:jc w:val="both"/>
      </w:pPr>
      <w:r>
        <w:rPr>
          <w:rFonts w:ascii="Arial" w:eastAsia="Arial" w:hAnsi="Arial" w:cs="Arial"/>
          <w:i/>
        </w:rPr>
        <w:t>Selectiva: acciones dirigidas a un subgrupo o colectivo que presentan unas características que lo hacen potencial consumidor.</w:t>
      </w:r>
    </w:p>
    <w:p w:rsidR="00E23B86" w:rsidRDefault="00BA7C13">
      <w:pPr>
        <w:numPr>
          <w:ilvl w:val="0"/>
          <w:numId w:val="102"/>
        </w:numPr>
        <w:spacing w:after="149" w:line="251" w:lineRule="auto"/>
        <w:ind w:right="573" w:hanging="360"/>
        <w:jc w:val="both"/>
      </w:pPr>
      <w:r>
        <w:rPr>
          <w:rFonts w:ascii="Arial" w:eastAsia="Arial" w:hAnsi="Arial" w:cs="Arial"/>
          <w:i/>
        </w:rPr>
        <w:t>Indicada: acciones dirigidas a un subgrupo con conductas o problemas y</w:t>
      </w:r>
      <w:r>
        <w:rPr>
          <w:rFonts w:ascii="Arial" w:eastAsia="Arial" w:hAnsi="Arial" w:cs="Arial"/>
          <w:i/>
        </w:rPr>
        <w:t xml:space="preserve">a de consumo de sustancias y donde existe una relación problemática con las adicciones.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73280"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95404" name="Group 59540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302" name="Rectangle 3530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5303" name="Rectangle 3530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w:t>
                              </w:r>
                              <w:r>
                                <w:rPr>
                                  <w:rFonts w:ascii="Arial" w:eastAsia="Arial" w:hAnsi="Arial" w:cs="Arial"/>
                                  <w:sz w:val="12"/>
                                </w:rPr>
                                <w:t xml:space="preserve"> Gestiona | Página 208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5404" style="width:12.7031pt;height:280.35pt;position:absolute;mso-position-horizontal-relative:page;mso-position-horizontal:absolute;margin-left:681.958pt;mso-position-vertical-relative:page;margin-top:531.65pt;" coordsize="1613,35604">
                <v:rect id="Rectangle 3530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30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208 de 391 </w:t>
                        </w:r>
                      </w:p>
                    </w:txbxContent>
                  </v:textbox>
                </v:rect>
                <w10:wrap type="topAndBottom"/>
              </v:group>
            </w:pict>
          </mc:Fallback>
        </mc:AlternateContent>
      </w:r>
      <w:r>
        <w:rPr>
          <w:rFonts w:ascii="Arial" w:eastAsia="Arial" w:hAnsi="Arial" w:cs="Arial"/>
          <w:i/>
        </w:rPr>
        <w:t xml:space="preserve">6.1.1. Ámbito Educativo </w:t>
      </w:r>
    </w:p>
    <w:p w:rsidR="00E23B86" w:rsidRDefault="00BA7C13">
      <w:pPr>
        <w:spacing w:after="483" w:line="251" w:lineRule="auto"/>
        <w:ind w:left="355" w:right="573" w:hanging="10"/>
        <w:jc w:val="both"/>
      </w:pPr>
      <w:r>
        <w:rPr>
          <w:rFonts w:ascii="Arial" w:eastAsia="Arial" w:hAnsi="Arial" w:cs="Arial"/>
          <w:i/>
        </w:rPr>
        <w:t>Para este ámbito se proponen acciones encaminadas a la prevención del consumo de drogas y otras adicciones en el ámbito educativo formal. Son necesarias estas acciones para prevenir el riesgo y que no</w:t>
      </w:r>
      <w:r>
        <w:rPr>
          <w:rFonts w:ascii="Arial" w:eastAsia="Arial" w:hAnsi="Arial" w:cs="Arial"/>
          <w:i/>
        </w:rPr>
        <w:t xml:space="preserve"> suceda el consumo en estas edades tempranas.  Las acciones van dirigidas al estudiantado, profesorado, padres, madres, y/o tutores/as legales.  </w:t>
      </w:r>
    </w:p>
    <w:p w:rsidR="00E23B86" w:rsidRDefault="00BA7C13">
      <w:pPr>
        <w:spacing w:after="111" w:line="251" w:lineRule="auto"/>
        <w:ind w:left="355" w:right="573" w:hanging="10"/>
        <w:jc w:val="both"/>
      </w:pPr>
      <w:r>
        <w:rPr>
          <w:rFonts w:ascii="Arial" w:eastAsia="Arial" w:hAnsi="Arial" w:cs="Arial"/>
          <w:i/>
        </w:rPr>
        <w:t>Objetivo general</w:t>
      </w:r>
    </w:p>
    <w:p w:rsidR="00E23B86" w:rsidRDefault="00BA7C13">
      <w:pPr>
        <w:spacing w:after="978" w:line="251" w:lineRule="auto"/>
        <w:ind w:left="355" w:right="573" w:hanging="10"/>
        <w:jc w:val="both"/>
      </w:pPr>
      <w:r>
        <w:rPr>
          <w:rFonts w:ascii="Arial" w:eastAsia="Arial" w:hAnsi="Arial" w:cs="Arial"/>
          <w:i/>
        </w:rPr>
        <w:t>Llevar a cabo acciones y medidas preventivas en el ámbito escolar de manera conjunta entre profesorado, padres/madres/tutores/as y estudiantado, destinadas a reducir los factores de riesgo y potenciar los de protección, frente a las drogas y las nuevas adi</w:t>
      </w:r>
      <w:r>
        <w:rPr>
          <w:rFonts w:ascii="Arial" w:eastAsia="Arial" w:hAnsi="Arial" w:cs="Arial"/>
          <w:i/>
        </w:rPr>
        <w:t>cciones.</w:t>
      </w:r>
    </w:p>
    <w:tbl>
      <w:tblPr>
        <w:tblStyle w:val="TableGrid"/>
        <w:tblW w:w="9341" w:type="dxa"/>
        <w:tblInd w:w="-67" w:type="dxa"/>
        <w:tblCellMar>
          <w:top w:w="13" w:type="dxa"/>
          <w:left w:w="109" w:type="dxa"/>
          <w:bottom w:w="0" w:type="dxa"/>
          <w:right w:w="132" w:type="dxa"/>
        </w:tblCellMar>
        <w:tblLook w:val="04A0" w:firstRow="1" w:lastRow="0" w:firstColumn="1" w:lastColumn="0" w:noHBand="0" w:noVBand="1"/>
      </w:tblPr>
      <w:tblGrid>
        <w:gridCol w:w="6182"/>
        <w:gridCol w:w="3158"/>
      </w:tblGrid>
      <w:tr w:rsidR="00E23B86">
        <w:trPr>
          <w:trHeight w:val="454"/>
        </w:trPr>
        <w:tc>
          <w:tcPr>
            <w:tcW w:w="6182" w:type="dxa"/>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jc w:val="center"/>
            </w:pPr>
            <w:r>
              <w:rPr>
                <w:rFonts w:ascii="Arial" w:eastAsia="Arial" w:hAnsi="Arial" w:cs="Arial"/>
                <w:i/>
              </w:rPr>
              <w:t>Actuaciones a desarrollar según nivel de prevención</w:t>
            </w:r>
          </w:p>
        </w:tc>
        <w:tc>
          <w:tcPr>
            <w:tcW w:w="3158" w:type="dxa"/>
            <w:tcBorders>
              <w:top w:val="nil"/>
              <w:left w:val="single" w:sz="4" w:space="0" w:color="00000A"/>
              <w:bottom w:val="single" w:sz="4" w:space="0" w:color="00000A"/>
              <w:right w:val="nil"/>
            </w:tcBorders>
          </w:tcPr>
          <w:p w:rsidR="00E23B86" w:rsidRDefault="00E23B86"/>
        </w:tc>
      </w:tr>
      <w:tr w:rsidR="00E23B86">
        <w:trPr>
          <w:trHeight w:val="454"/>
        </w:trPr>
        <w:tc>
          <w:tcPr>
            <w:tcW w:w="9341" w:type="dxa"/>
            <w:gridSpan w:val="2"/>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2"/>
              <w:jc w:val="center"/>
            </w:pPr>
            <w:r>
              <w:rPr>
                <w:rFonts w:ascii="Arial" w:eastAsia="Arial" w:hAnsi="Arial" w:cs="Arial"/>
                <w:i/>
              </w:rPr>
              <w:t>Actuación</w:t>
            </w:r>
          </w:p>
        </w:tc>
      </w:tr>
      <w:tr w:rsidR="00E23B86">
        <w:trPr>
          <w:trHeight w:val="1022"/>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5"/>
              <w:jc w:val="both"/>
            </w:pPr>
            <w:r>
              <w:rPr>
                <w:rFonts w:ascii="Arial" w:eastAsia="Arial" w:hAnsi="Arial" w:cs="Arial"/>
                <w:i/>
              </w:rPr>
              <w:t>Acción E1. Diseño e implementación de programas, proyectos y actividades preventivas dentro del espacio escolar, con la implicación de profesorado, padres, madres y/o tutores/as legales destinados a mejorar la competencia social del estudiantado ante los r</w:t>
            </w:r>
            <w:r>
              <w:rPr>
                <w:rFonts w:ascii="Arial" w:eastAsia="Arial" w:hAnsi="Arial" w:cs="Arial"/>
                <w:i/>
              </w:rPr>
              <w:t xml:space="preserve">iegos de consumo y adicciones. </w:t>
            </w:r>
          </w:p>
        </w:tc>
      </w:tr>
      <w:tr w:rsidR="00E23B86">
        <w:trPr>
          <w:trHeight w:val="770"/>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jc w:val="both"/>
            </w:pPr>
            <w:r>
              <w:rPr>
                <w:rFonts w:ascii="Arial" w:eastAsia="Arial" w:hAnsi="Arial" w:cs="Arial"/>
                <w:i/>
              </w:rPr>
              <w:t>Acción E2. Poner en marcha programas o proyectos de intervención temprana  dirigidos a menores adolescentes, que presentan dentro o fuera  del contexto escolar conductas de riesgo.</w:t>
            </w:r>
          </w:p>
        </w:tc>
      </w:tr>
      <w:tr w:rsidR="00E23B86">
        <w:trPr>
          <w:trHeight w:val="768"/>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9"/>
              <w:jc w:val="both"/>
            </w:pPr>
            <w:r>
              <w:rPr>
                <w:rFonts w:ascii="Arial" w:eastAsia="Arial" w:hAnsi="Arial" w:cs="Arial"/>
                <w:i/>
              </w:rPr>
              <w:t>Acción E3. Ofertar a los centros educativos un proyecto/programa de orientación personalizada, ya sea de manera individual o grupal, dirigido a estudiantes que presentan vulnerabilidad ante riesgo de consumo o  adicciones.</w:t>
            </w:r>
          </w:p>
        </w:tc>
      </w:tr>
      <w:tr w:rsidR="00E23B86">
        <w:trPr>
          <w:trHeight w:val="770"/>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3"/>
              <w:jc w:val="both"/>
            </w:pPr>
            <w:r>
              <w:rPr>
                <w:rFonts w:ascii="Arial" w:eastAsia="Arial" w:hAnsi="Arial" w:cs="Arial"/>
                <w:i/>
              </w:rPr>
              <w:t>Acción E4. Llevar a cabo durante</w:t>
            </w:r>
            <w:r>
              <w:rPr>
                <w:rFonts w:ascii="Arial" w:eastAsia="Arial" w:hAnsi="Arial" w:cs="Arial"/>
                <w:i/>
              </w:rPr>
              <w:t xml:space="preserve"> el desarrollo del curso académico y en coordinación con profesorado, estudiantado y progenitores/as y/o tutores/as, campañas específicas destinadas al estudiantado, sobre factores de riesgo y protección de la salud. </w:t>
            </w:r>
          </w:p>
        </w:tc>
      </w:tr>
      <w:tr w:rsidR="00E23B86">
        <w:trPr>
          <w:trHeight w:val="768"/>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2"/>
              <w:jc w:val="both"/>
            </w:pPr>
            <w:r>
              <w:rPr>
                <w:rFonts w:ascii="Arial" w:eastAsia="Arial" w:hAnsi="Arial" w:cs="Arial"/>
                <w:i/>
              </w:rPr>
              <w:t>Acción E5. Ofertar espacios de encuen</w:t>
            </w:r>
            <w:r>
              <w:rPr>
                <w:rFonts w:ascii="Arial" w:eastAsia="Arial" w:hAnsi="Arial" w:cs="Arial"/>
                <w:i/>
              </w:rPr>
              <w:t>tro y formación al profesorado, sobre herramientas de detección y actuación ante situaciones de riesgo relacionadas con el consumo de drogas y las adicciones.</w:t>
            </w:r>
          </w:p>
        </w:tc>
      </w:tr>
      <w:tr w:rsidR="00E23B86">
        <w:trPr>
          <w:trHeight w:val="265"/>
        </w:trPr>
        <w:tc>
          <w:tcPr>
            <w:tcW w:w="9341"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pPr>
            <w:r>
              <w:rPr>
                <w:rFonts w:ascii="Arial" w:eastAsia="Arial" w:hAnsi="Arial" w:cs="Arial"/>
                <w:i/>
              </w:rPr>
              <w:t>Acción E6.  Prestar un apoyo y asesoramiento al profesorado que participa en las acciones</w:t>
            </w:r>
          </w:p>
        </w:tc>
      </w:tr>
      <w:tr w:rsidR="00E23B86">
        <w:trPr>
          <w:trHeight w:val="454"/>
        </w:trPr>
        <w:tc>
          <w:tcPr>
            <w:tcW w:w="6182" w:type="dxa"/>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right="1"/>
              <w:jc w:val="center"/>
            </w:pPr>
            <w:r>
              <w:rPr>
                <w:rFonts w:ascii="Arial" w:eastAsia="Arial" w:hAnsi="Arial" w:cs="Arial"/>
                <w:i/>
              </w:rPr>
              <w:t>Actuaciones a desarrollar según nivel de prevención</w:t>
            </w:r>
          </w:p>
        </w:tc>
        <w:tc>
          <w:tcPr>
            <w:tcW w:w="3158" w:type="dxa"/>
            <w:tcBorders>
              <w:top w:val="nil"/>
              <w:left w:val="single" w:sz="5" w:space="0" w:color="00000A"/>
              <w:bottom w:val="single" w:sz="4" w:space="0" w:color="00000A"/>
              <w:right w:val="nil"/>
            </w:tcBorders>
          </w:tcPr>
          <w:p w:rsidR="00E23B86" w:rsidRDefault="00E23B86"/>
        </w:tc>
      </w:tr>
      <w:tr w:rsidR="00E23B86">
        <w:trPr>
          <w:trHeight w:val="454"/>
        </w:trPr>
        <w:tc>
          <w:tcPr>
            <w:tcW w:w="9341" w:type="dxa"/>
            <w:gridSpan w:val="2"/>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2"/>
              <w:jc w:val="center"/>
            </w:pPr>
            <w:r>
              <w:rPr>
                <w:rFonts w:ascii="Arial" w:eastAsia="Arial" w:hAnsi="Arial" w:cs="Arial"/>
                <w:i/>
              </w:rPr>
              <w:t>Actuación</w:t>
            </w:r>
          </w:p>
        </w:tc>
      </w:tr>
      <w:tr w:rsidR="00E23B86">
        <w:trPr>
          <w:trHeight w:val="516"/>
        </w:trPr>
        <w:tc>
          <w:tcPr>
            <w:tcW w:w="9341"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i/>
              </w:rPr>
              <w:t xml:space="preserve">preventivas, para ayudarles a mejorar las actuaciones y aportar nuevas herramientas preventivas. </w:t>
            </w:r>
          </w:p>
        </w:tc>
      </w:tr>
      <w:tr w:rsidR="00E23B86">
        <w:trPr>
          <w:trHeight w:val="1023"/>
        </w:trPr>
        <w:tc>
          <w:tcPr>
            <w:tcW w:w="9341"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Acción E7.  Crear un espacio y sistema de coordinación entre equipos docentes de los centros educativos y profesionales externos que intervienen, para evaluar resultados, potenciar la participación, análisis de necesidades y la búsqueda de soluciones viabl</w:t>
            </w:r>
            <w:r>
              <w:rPr>
                <w:rFonts w:ascii="Arial" w:eastAsia="Arial" w:hAnsi="Arial" w:cs="Arial"/>
                <w:i/>
              </w:rPr>
              <w:t xml:space="preserve">es para la prevención de adicciones y promoción de la salud en los centros. </w:t>
            </w:r>
          </w:p>
        </w:tc>
      </w:tr>
    </w:tbl>
    <w:p w:rsidR="00E23B86" w:rsidRDefault="00BA7C13">
      <w:pPr>
        <w:spacing w:after="141"/>
        <w:ind w:left="352"/>
      </w:pPr>
      <w:r>
        <w:rPr>
          <w:rFonts w:ascii="Arial" w:eastAsia="Arial" w:hAnsi="Arial" w:cs="Arial"/>
          <w:i/>
        </w:rPr>
        <w:t xml:space="preserve">   </w:t>
      </w:r>
    </w:p>
    <w:p w:rsidR="00E23B86" w:rsidRDefault="00BA7C13">
      <w:pPr>
        <w:spacing w:after="111" w:line="251" w:lineRule="auto"/>
        <w:ind w:left="355" w:right="573" w:hanging="10"/>
        <w:jc w:val="both"/>
      </w:pPr>
      <w:r>
        <w:rPr>
          <w:rFonts w:ascii="Arial" w:eastAsia="Arial" w:hAnsi="Arial" w:cs="Arial"/>
          <w:i/>
        </w:rPr>
        <w:t xml:space="preserve">6.1.2. Ámbito Familiar </w:t>
      </w:r>
    </w:p>
    <w:p w:rsidR="00E23B86" w:rsidRDefault="00BA7C13">
      <w:pPr>
        <w:spacing w:after="483" w:line="251" w:lineRule="auto"/>
        <w:ind w:left="355" w:right="573" w:hanging="10"/>
        <w:jc w:val="both"/>
      </w:pPr>
      <w:r>
        <w:rPr>
          <w:noProof/>
        </w:rPr>
        <mc:AlternateContent>
          <mc:Choice Requires="wpg">
            <w:drawing>
              <wp:anchor distT="0" distB="0" distL="114300" distR="114300" simplePos="0" relativeHeight="251874304"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6036" name="Group 60603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405" name="Rectangle 3540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5406" name="Rectangle 3540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209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6036" style="width:12.7031pt;height:280.35pt;position:absolute;mso-position-horizontal-relative:page;mso-position-horizontal:absolute;margin-left:681.958pt;mso-position-vertical-relative:page;margin-top:531.65pt;" coordsize="1613,35604">
                <v:rect id="Rectangle 3540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40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209 de 391 </w:t>
                        </w:r>
                      </w:p>
                    </w:txbxContent>
                  </v:textbox>
                </v:rect>
                <w10:wrap type="topAndBottom"/>
              </v:group>
            </w:pict>
          </mc:Fallback>
        </mc:AlternateContent>
      </w:r>
      <w:r>
        <w:rPr>
          <w:rFonts w:ascii="Arial" w:eastAsia="Arial" w:hAnsi="Arial" w:cs="Arial"/>
          <w:i/>
        </w:rPr>
        <w:t>La familia es considerada el agente de la socialización primaria y en ella es donde se construye el carácter, personalidad, valores, de los niños y las niñas. La</w:t>
      </w:r>
      <w:r>
        <w:rPr>
          <w:rFonts w:ascii="Arial" w:eastAsia="Arial" w:hAnsi="Arial" w:cs="Arial"/>
          <w:i/>
        </w:rPr>
        <w:t xml:space="preserve"> prevención centrada en la familia es clave para promover estilos de vida sana en sus miembros/as y cumple una función clave en el desarrollo evolutivo de los y las menores. La prevención hacia la familia debe ir encaminada a dotar de recursos a las mismas</w:t>
      </w:r>
      <w:r>
        <w:rPr>
          <w:rFonts w:ascii="Arial" w:eastAsia="Arial" w:hAnsi="Arial" w:cs="Arial"/>
          <w:i/>
        </w:rPr>
        <w:t xml:space="preserve"> para que sean agentes de prevención y dotarles de estrategias para hacer frente a las situaciones de la vida a las que se deberán enfrentar sus hijos/as, y/o algún progenitor/a. </w:t>
      </w:r>
    </w:p>
    <w:p w:rsidR="00E23B86" w:rsidRDefault="00BA7C13">
      <w:pPr>
        <w:spacing w:after="111" w:line="251" w:lineRule="auto"/>
        <w:ind w:left="355" w:right="573" w:hanging="10"/>
        <w:jc w:val="both"/>
      </w:pPr>
      <w:r>
        <w:rPr>
          <w:rFonts w:ascii="Arial" w:eastAsia="Arial" w:hAnsi="Arial" w:cs="Arial"/>
          <w:i/>
        </w:rPr>
        <w:t xml:space="preserve">Objetivo general </w:t>
      </w:r>
    </w:p>
    <w:p w:rsidR="00E23B86" w:rsidRDefault="00BA7C13">
      <w:pPr>
        <w:spacing w:after="111" w:line="251" w:lineRule="auto"/>
        <w:ind w:left="355" w:right="573" w:hanging="10"/>
        <w:jc w:val="both"/>
      </w:pPr>
      <w:r>
        <w:rPr>
          <w:rFonts w:ascii="Arial" w:eastAsia="Arial" w:hAnsi="Arial" w:cs="Arial"/>
          <w:i/>
        </w:rPr>
        <w:t>Potenciar y promover modelos familiares positivos en lo re</w:t>
      </w:r>
      <w:r>
        <w:rPr>
          <w:rFonts w:ascii="Arial" w:eastAsia="Arial" w:hAnsi="Arial" w:cs="Arial"/>
          <w:i/>
        </w:rPr>
        <w:t xml:space="preserve">ferido a la educación para la salud, además de ofertar programas preventivos para todas las familias, así como para las familias cuyos hijos/as están en riesgo de consumo de drogas u otros comportamientos adictivos. </w:t>
      </w:r>
    </w:p>
    <w:tbl>
      <w:tblPr>
        <w:tblStyle w:val="TableGrid"/>
        <w:tblW w:w="9607" w:type="dxa"/>
        <w:tblInd w:w="-201" w:type="dxa"/>
        <w:tblCellMar>
          <w:top w:w="13" w:type="dxa"/>
          <w:left w:w="110" w:type="dxa"/>
          <w:bottom w:w="0" w:type="dxa"/>
          <w:right w:w="132" w:type="dxa"/>
        </w:tblCellMar>
        <w:tblLook w:val="04A0" w:firstRow="1" w:lastRow="0" w:firstColumn="1" w:lastColumn="0" w:noHBand="0" w:noVBand="1"/>
      </w:tblPr>
      <w:tblGrid>
        <w:gridCol w:w="6540"/>
        <w:gridCol w:w="3066"/>
      </w:tblGrid>
      <w:tr w:rsidR="00E23B86">
        <w:trPr>
          <w:trHeight w:val="454"/>
        </w:trPr>
        <w:tc>
          <w:tcPr>
            <w:tcW w:w="6540" w:type="dxa"/>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782"/>
            </w:pPr>
            <w:r>
              <w:rPr>
                <w:rFonts w:ascii="Arial" w:eastAsia="Arial" w:hAnsi="Arial" w:cs="Arial"/>
                <w:i/>
              </w:rPr>
              <w:t>Actuaciones a desarrollar según nivel d</w:t>
            </w:r>
            <w:r>
              <w:rPr>
                <w:rFonts w:ascii="Arial" w:eastAsia="Arial" w:hAnsi="Arial" w:cs="Arial"/>
                <w:i/>
              </w:rPr>
              <w:t>e prevención</w:t>
            </w:r>
          </w:p>
        </w:tc>
        <w:tc>
          <w:tcPr>
            <w:tcW w:w="3066" w:type="dxa"/>
            <w:tcBorders>
              <w:top w:val="nil"/>
              <w:left w:val="single" w:sz="4" w:space="0" w:color="00000A"/>
              <w:bottom w:val="single" w:sz="4" w:space="0" w:color="00000A"/>
              <w:right w:val="nil"/>
            </w:tcBorders>
          </w:tcPr>
          <w:p w:rsidR="00E23B86" w:rsidRDefault="00E23B86"/>
        </w:tc>
      </w:tr>
      <w:tr w:rsidR="00E23B86">
        <w:trPr>
          <w:trHeight w:val="454"/>
        </w:trPr>
        <w:tc>
          <w:tcPr>
            <w:tcW w:w="9607" w:type="dxa"/>
            <w:gridSpan w:val="2"/>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363"/>
              <w:jc w:val="center"/>
            </w:pPr>
            <w:r>
              <w:rPr>
                <w:rFonts w:ascii="Arial" w:eastAsia="Arial" w:hAnsi="Arial" w:cs="Arial"/>
                <w:i/>
              </w:rPr>
              <w:t>Actuación</w:t>
            </w:r>
          </w:p>
        </w:tc>
      </w:tr>
      <w:tr w:rsidR="00E23B86">
        <w:trPr>
          <w:trHeight w:val="1022"/>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6"/>
              <w:jc w:val="both"/>
            </w:pPr>
            <w:r>
              <w:rPr>
                <w:rFonts w:ascii="Arial" w:eastAsia="Arial" w:hAnsi="Arial" w:cs="Arial"/>
                <w:i/>
              </w:rPr>
              <w:t>Acción F1. Ofertar, a los padres/madres/tutores/as que presentan dificultades relacionadas con el consumo o adicciones de los hijos/as o algún/a progenitor/a o figura educativa, un programa/proyecto de orientación personalizada, ya sea de manera individual</w:t>
            </w:r>
            <w:r>
              <w:rPr>
                <w:rFonts w:ascii="Arial" w:eastAsia="Arial" w:hAnsi="Arial" w:cs="Arial"/>
                <w:i/>
              </w:rPr>
              <w:t xml:space="preserve"> o grupal, para apoyarles y revertir las situaciones de riesgo. </w:t>
            </w:r>
          </w:p>
        </w:tc>
      </w:tr>
      <w:tr w:rsidR="00E23B86">
        <w:trPr>
          <w:trHeight w:val="770"/>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10"/>
              <w:jc w:val="both"/>
            </w:pPr>
            <w:r>
              <w:rPr>
                <w:rFonts w:ascii="Arial" w:eastAsia="Arial" w:hAnsi="Arial" w:cs="Arial"/>
                <w:i/>
              </w:rPr>
              <w:t>Acción F2. Ofertar espacios de formación y encuentro en el municipio dirigido a padres/madres/tutores/as con el fin de dotarles de herramientas y estrategias educativas que promuevan los fac</w:t>
            </w:r>
            <w:r>
              <w:rPr>
                <w:rFonts w:ascii="Arial" w:eastAsia="Arial" w:hAnsi="Arial" w:cs="Arial"/>
                <w:i/>
              </w:rPr>
              <w:t>tores de protección ante el consumo y adicciones.</w:t>
            </w:r>
          </w:p>
        </w:tc>
      </w:tr>
      <w:tr w:rsidR="00E23B86">
        <w:trPr>
          <w:trHeight w:val="768"/>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4"/>
              <w:jc w:val="both"/>
            </w:pPr>
            <w:r>
              <w:rPr>
                <w:rFonts w:ascii="Arial" w:eastAsia="Arial" w:hAnsi="Arial" w:cs="Arial"/>
                <w:i/>
              </w:rPr>
              <w:t>Acción F3. Organizar espacios de encuentro e intercambio entre las familias del municipio, mediante la celebración de días internacionales, eventos, actividades comunitarias, con el fin de potenciar las redes de apoyo entre éstas y el intercambio de experi</w:t>
            </w:r>
            <w:r>
              <w:rPr>
                <w:rFonts w:ascii="Arial" w:eastAsia="Arial" w:hAnsi="Arial" w:cs="Arial"/>
                <w:i/>
              </w:rPr>
              <w:t>encias educativas.</w:t>
            </w:r>
          </w:p>
        </w:tc>
      </w:tr>
      <w:tr w:rsidR="00E23B86">
        <w:trPr>
          <w:trHeight w:val="770"/>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7"/>
              <w:jc w:val="both"/>
            </w:pPr>
            <w:r>
              <w:rPr>
                <w:rFonts w:ascii="Arial" w:eastAsia="Arial" w:hAnsi="Arial" w:cs="Arial"/>
                <w:i/>
              </w:rPr>
              <w:t>Acción F4.  Llevar a cabo formación de los/as agentes sociales de la comunidad que intervienen o se relacionan con las familias del municipio con el fin de que sean agentes de prevención y detección de riesgos.</w:t>
            </w:r>
          </w:p>
        </w:tc>
      </w:tr>
      <w:tr w:rsidR="00E23B86">
        <w:trPr>
          <w:trHeight w:val="516"/>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jc w:val="both"/>
            </w:pPr>
            <w:r>
              <w:rPr>
                <w:rFonts w:ascii="Arial" w:eastAsia="Arial" w:hAnsi="Arial" w:cs="Arial"/>
                <w:i/>
              </w:rPr>
              <w:t xml:space="preserve">Acción F5. Poner en marcha protocolos o procedimientos de detección e intervención familiar dirigidos a los/as agentes sociales del municipio con el fin de coordinar las acciones. </w:t>
            </w:r>
          </w:p>
        </w:tc>
      </w:tr>
      <w:tr w:rsidR="00E23B86">
        <w:trPr>
          <w:trHeight w:val="1009"/>
        </w:trPr>
        <w:tc>
          <w:tcPr>
            <w:tcW w:w="9607"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jc w:val="both"/>
            </w:pPr>
            <w:r>
              <w:rPr>
                <w:rFonts w:ascii="Arial" w:eastAsia="Arial" w:hAnsi="Arial" w:cs="Arial"/>
                <w:i/>
              </w:rPr>
              <w:t>Acción F6. Ofertar un espacio de encuentro para la información y orientación sobre competencias educativas para promover hábitos saludables en progenitores/as y/o tutores/as, de niños/as del ciclo de infantil (0-4 años) (escuela infantil municipal y escuel</w:t>
            </w:r>
            <w:r>
              <w:rPr>
                <w:rFonts w:ascii="Arial" w:eastAsia="Arial" w:hAnsi="Arial" w:cs="Arial"/>
                <w:i/>
              </w:rPr>
              <w:t xml:space="preserve">as privadas). </w:t>
            </w:r>
          </w:p>
        </w:tc>
      </w:tr>
    </w:tbl>
    <w:p w:rsidR="00E23B86" w:rsidRDefault="00BA7C13">
      <w:pPr>
        <w:spacing w:after="111" w:line="251" w:lineRule="auto"/>
        <w:ind w:left="355" w:right="573" w:hanging="10"/>
        <w:jc w:val="both"/>
      </w:pPr>
      <w:r>
        <w:rPr>
          <w:rFonts w:ascii="Arial" w:eastAsia="Arial" w:hAnsi="Arial" w:cs="Arial"/>
          <w:i/>
        </w:rPr>
        <w:t xml:space="preserve">6.1.3. Ámbito Comunitario </w:t>
      </w:r>
    </w:p>
    <w:p w:rsidR="00E23B86" w:rsidRDefault="00BA7C13">
      <w:pPr>
        <w:spacing w:after="111" w:line="251" w:lineRule="auto"/>
        <w:ind w:left="355" w:right="573" w:hanging="10"/>
        <w:jc w:val="both"/>
      </w:pPr>
      <w:r>
        <w:rPr>
          <w:rFonts w:ascii="Arial" w:eastAsia="Arial" w:hAnsi="Arial" w:cs="Arial"/>
          <w:i/>
        </w:rPr>
        <w:t>Nos referimos con comunidad, al escenario donde se dan interacciones, oferta y demanda, uso del espacio público, ocio y tiempo libre, etc. Incluye este ámbito a la ciudadanía, la idiosincrasia de cada zona, realiz</w:t>
      </w:r>
      <w:r>
        <w:rPr>
          <w:rFonts w:ascii="Arial" w:eastAsia="Arial" w:hAnsi="Arial" w:cs="Arial"/>
          <w:i/>
        </w:rPr>
        <w:t>ando intervenciones por barrios, a través de las asociaciones vecinales, juveniles, jóvenes, adultos/as, niños/as, mediadores/as, líderes/esas comunitarios/as, etc.</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75328"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5235" name="Group 60523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491" name="Rectangle 3549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5492" name="Rectangle 3549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210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5235" style="width:12.7031pt;height:280.35pt;position:absolute;mso-position-horizontal-relative:page;mso-position-horizontal:absolute;margin-left:681.958pt;mso-position-vertical-relative:page;margin-top:531.65pt;" coordsize="1613,35604">
                <v:rect id="Rectangle 3549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49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210 de 391 </w:t>
                        </w:r>
                      </w:p>
                    </w:txbxContent>
                  </v:textbox>
                </v:rect>
                <w10:wrap type="topAndBottom"/>
              </v:group>
            </w:pict>
          </mc:Fallback>
        </mc:AlternateContent>
      </w:r>
      <w:r>
        <w:rPr>
          <w:rFonts w:ascii="Arial" w:eastAsia="Arial" w:hAnsi="Arial" w:cs="Arial"/>
          <w:i/>
        </w:rPr>
        <w:t>Las acciones deben apoyarse desde las asociaciones y organiza</w:t>
      </w:r>
      <w:r>
        <w:rPr>
          <w:rFonts w:ascii="Arial" w:eastAsia="Arial" w:hAnsi="Arial" w:cs="Arial"/>
          <w:i/>
        </w:rPr>
        <w:t>ciones juveniles, profesionales, líderes/esas comunitarios/as (educadores/as de calle, animadores/as socioculturales, monitores/as deportivos y de tiempo libre, miembros/as de asociaciones juveniles, etc.).</w:t>
      </w:r>
    </w:p>
    <w:p w:rsidR="00E23B86" w:rsidRDefault="00BA7C13">
      <w:pPr>
        <w:spacing w:after="111" w:line="251" w:lineRule="auto"/>
        <w:ind w:left="355" w:right="573" w:hanging="10"/>
        <w:jc w:val="both"/>
      </w:pPr>
      <w:r>
        <w:rPr>
          <w:rFonts w:ascii="Arial" w:eastAsia="Arial" w:hAnsi="Arial" w:cs="Arial"/>
          <w:i/>
        </w:rPr>
        <w:t xml:space="preserve">Objetivo general </w:t>
      </w:r>
    </w:p>
    <w:p w:rsidR="00E23B86" w:rsidRDefault="00BA7C13">
      <w:pPr>
        <w:spacing w:after="111" w:line="251" w:lineRule="auto"/>
        <w:ind w:left="355" w:right="573" w:hanging="10"/>
        <w:jc w:val="both"/>
      </w:pPr>
      <w:r>
        <w:rPr>
          <w:rFonts w:ascii="Arial" w:eastAsia="Arial" w:hAnsi="Arial" w:cs="Arial"/>
          <w:i/>
        </w:rPr>
        <w:t>Promover la educación para la s</w:t>
      </w:r>
      <w:r>
        <w:rPr>
          <w:rFonts w:ascii="Arial" w:eastAsia="Arial" w:hAnsi="Arial" w:cs="Arial"/>
          <w:i/>
        </w:rPr>
        <w:t>alud y prevención de las conductas adictivas tanto para la población residente como agentes sociales municipales, velando por una mejora de la prevención y detección precoz del consumo de sustancias y otras adicciones a través de los/as agentes sociales pr</w:t>
      </w:r>
      <w:r>
        <w:rPr>
          <w:rFonts w:ascii="Arial" w:eastAsia="Arial" w:hAnsi="Arial" w:cs="Arial"/>
          <w:i/>
        </w:rPr>
        <w:t>esentes en el territorio.</w:t>
      </w:r>
    </w:p>
    <w:tbl>
      <w:tblPr>
        <w:tblStyle w:val="TableGrid"/>
        <w:tblW w:w="9624" w:type="dxa"/>
        <w:tblInd w:w="-209" w:type="dxa"/>
        <w:tblCellMar>
          <w:top w:w="0" w:type="dxa"/>
          <w:left w:w="109" w:type="dxa"/>
          <w:bottom w:w="0" w:type="dxa"/>
          <w:right w:w="132" w:type="dxa"/>
        </w:tblCellMar>
        <w:tblLook w:val="04A0" w:firstRow="1" w:lastRow="0" w:firstColumn="1" w:lastColumn="0" w:noHBand="0" w:noVBand="1"/>
      </w:tblPr>
      <w:tblGrid>
        <w:gridCol w:w="1"/>
        <w:gridCol w:w="6563"/>
        <w:gridCol w:w="3060"/>
        <w:gridCol w:w="1"/>
      </w:tblGrid>
      <w:tr w:rsidR="00E23B86">
        <w:trPr>
          <w:gridAfter w:val="1"/>
          <w:trHeight w:val="454"/>
        </w:trPr>
        <w:tc>
          <w:tcPr>
            <w:tcW w:w="6564" w:type="dxa"/>
            <w:gridSpan w:val="2"/>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794"/>
            </w:pPr>
            <w:r>
              <w:rPr>
                <w:rFonts w:ascii="Arial" w:eastAsia="Arial" w:hAnsi="Arial" w:cs="Arial"/>
                <w:i/>
              </w:rPr>
              <w:t>Actuaciones a desarrollar según nivel de prevención</w:t>
            </w:r>
          </w:p>
        </w:tc>
        <w:tc>
          <w:tcPr>
            <w:tcW w:w="3060" w:type="dxa"/>
            <w:tcBorders>
              <w:top w:val="nil"/>
              <w:left w:val="single" w:sz="4" w:space="0" w:color="00000A"/>
              <w:bottom w:val="single" w:sz="4" w:space="0" w:color="00000A"/>
              <w:right w:val="nil"/>
            </w:tcBorders>
          </w:tcPr>
          <w:p w:rsidR="00E23B86" w:rsidRDefault="00E23B86"/>
        </w:tc>
      </w:tr>
      <w:tr w:rsidR="00E23B86">
        <w:trPr>
          <w:gridAfter w:val="1"/>
          <w:trHeight w:val="454"/>
        </w:trPr>
        <w:tc>
          <w:tcPr>
            <w:tcW w:w="9624" w:type="dxa"/>
            <w:gridSpan w:val="3"/>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362"/>
              <w:jc w:val="center"/>
            </w:pPr>
            <w:r>
              <w:rPr>
                <w:rFonts w:ascii="Arial" w:eastAsia="Arial" w:hAnsi="Arial" w:cs="Arial"/>
                <w:i/>
              </w:rPr>
              <w:t>Actuación</w:t>
            </w:r>
          </w:p>
        </w:tc>
      </w:tr>
      <w:tr w:rsidR="00E23B86">
        <w:trPr>
          <w:gridAfter w:val="1"/>
          <w:trHeight w:val="756"/>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pPr>
            <w:r>
              <w:rPr>
                <w:rFonts w:ascii="Arial" w:eastAsia="Arial" w:hAnsi="Arial" w:cs="Arial"/>
                <w:i/>
              </w:rPr>
              <w:t xml:space="preserve">Acción C1. Poner en marcha programas, proyectos y/o actividades de educación para la salud y prevención de conductas adictivas dirigidas a los/as agentes sociales del municipio.  </w:t>
            </w:r>
          </w:p>
        </w:tc>
      </w:tr>
      <w:tr w:rsidR="00E23B86">
        <w:trPr>
          <w:gridAfter w:val="1"/>
          <w:trHeight w:val="1010"/>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0"/>
              <w:jc w:val="both"/>
            </w:pPr>
            <w:r>
              <w:rPr>
                <w:rFonts w:ascii="Arial" w:eastAsia="Arial" w:hAnsi="Arial" w:cs="Arial"/>
                <w:i/>
              </w:rPr>
              <w:t xml:space="preserve">Acción C2. Ofrecer información y formación a los/as agentes sociales de la </w:t>
            </w:r>
            <w:r>
              <w:rPr>
                <w:rFonts w:ascii="Arial" w:eastAsia="Arial" w:hAnsi="Arial" w:cs="Arial"/>
                <w:i/>
              </w:rPr>
              <w:t xml:space="preserve">comunidad, dando prioridad a quiénes intervienen a través de ocio, cultura, deporte, con menores y adolescentes del municipio y personal propio de la Corporación Local. </w:t>
            </w:r>
          </w:p>
        </w:tc>
      </w:tr>
      <w:tr w:rsidR="00E23B86">
        <w:trPr>
          <w:gridAfter w:val="1"/>
          <w:trHeight w:val="756"/>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C3. Poner en marcha protocolos y procedimientos para la detección precoz y coordinación de las actuaciones con persona en riesgo de consumo o adicciones.</w:t>
            </w:r>
          </w:p>
        </w:tc>
      </w:tr>
      <w:tr w:rsidR="00E23B86">
        <w:trPr>
          <w:gridAfter w:val="1"/>
          <w:trHeight w:val="1008"/>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Acción C4. Llevar a cabo un seguimiento y supervisión de la prevención ambiental municipal (cu</w:t>
            </w:r>
            <w:r>
              <w:rPr>
                <w:rFonts w:ascii="Arial" w:eastAsia="Arial" w:hAnsi="Arial" w:cs="Arial"/>
                <w:i/>
              </w:rPr>
              <w:t>mplimiento de ordenanzas municipales, publicidad de drogas, tiendas y clubes de consumidores/as de derivados cannábicos, espacios de juegos de apuestas, etc.).</w:t>
            </w:r>
          </w:p>
        </w:tc>
      </w:tr>
      <w:tr w:rsidR="00E23B86">
        <w:trPr>
          <w:gridAfter w:val="1"/>
          <w:trHeight w:val="1010"/>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Acción C5. Ofertar o aprovechar los espacios de encuentro de la ciudadanía (espacios de uso compartidos, días de celebración, etc.), para llevar a cabo educación para la salud y prevención de las adicciones.</w:t>
            </w:r>
          </w:p>
        </w:tc>
      </w:tr>
      <w:tr w:rsidR="00E23B86">
        <w:trPr>
          <w:gridAfter w:val="1"/>
          <w:trHeight w:val="1008"/>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C6. Ofertar al tejido asociativo municip</w:t>
            </w:r>
            <w:r>
              <w:rPr>
                <w:rFonts w:ascii="Arial" w:eastAsia="Arial" w:hAnsi="Arial" w:cs="Arial"/>
                <w:i/>
              </w:rPr>
              <w:t xml:space="preserve">al (jóvenes, mayores,  vecinos/as, etc.) un catálogo de actividades informativas, de sensibilización y de orientación sobre educación para la salud y prevención de adicciones </w:t>
            </w:r>
          </w:p>
        </w:tc>
      </w:tr>
      <w:tr w:rsidR="00E23B86">
        <w:trPr>
          <w:gridAfter w:val="1"/>
          <w:trHeight w:val="1010"/>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C7. Llevar a cabo campañas de sensibilización sobre hábitos saludables p</w:t>
            </w:r>
            <w:r>
              <w:rPr>
                <w:rFonts w:ascii="Arial" w:eastAsia="Arial" w:hAnsi="Arial" w:cs="Arial"/>
                <w:i/>
              </w:rPr>
              <w:t xml:space="preserve">ara toda la comunidad y/o específica por sectores sobre hábitos de vida saludable y prevención de adicciones. </w:t>
            </w:r>
          </w:p>
        </w:tc>
      </w:tr>
      <w:tr w:rsidR="00E23B86">
        <w:trPr>
          <w:gridAfter w:val="1"/>
          <w:trHeight w:val="757"/>
        </w:trPr>
        <w:tc>
          <w:tcPr>
            <w:tcW w:w="9624" w:type="dxa"/>
            <w:gridSpan w:val="3"/>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C8.  Crear un espacio virtual interactivo (residentes) dentro de la web institucional, centrado en la promoción de hábitos de vida saluda</w:t>
            </w:r>
            <w:r>
              <w:rPr>
                <w:rFonts w:ascii="Arial" w:eastAsia="Arial" w:hAnsi="Arial" w:cs="Arial"/>
                <w:i/>
              </w:rPr>
              <w:t>ble y prevención de adicciones.</w:t>
            </w:r>
          </w:p>
        </w:tc>
      </w:tr>
      <w:tr w:rsidR="00E23B86">
        <w:trPr>
          <w:gridBefore w:val="1"/>
          <w:trHeight w:val="1261"/>
        </w:trPr>
        <w:tc>
          <w:tcPr>
            <w:tcW w:w="9624" w:type="dxa"/>
            <w:gridSpan w:val="3"/>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right="1"/>
              <w:jc w:val="both"/>
            </w:pPr>
            <w:r>
              <w:rPr>
                <w:rFonts w:ascii="Arial" w:eastAsia="Arial" w:hAnsi="Arial" w:cs="Arial"/>
                <w:i/>
              </w:rPr>
              <w:t>Acción C9. Organizar y poner en marcha actividades de prevención de adicciones y promoción de la salud en eventos y fiestas municipales, dirigidas a sensibilizar, informar y hacer seguimiento de la comprobación de la prevención ambiental (menores y venta d</w:t>
            </w:r>
            <w:r>
              <w:rPr>
                <w:rFonts w:ascii="Arial" w:eastAsia="Arial" w:hAnsi="Arial" w:cs="Arial"/>
                <w:i/>
              </w:rPr>
              <w:t xml:space="preserve">e alcohol, menores y eventos, publicidad, ordenanza municipal de fiestas, etc.). </w:t>
            </w:r>
          </w:p>
        </w:tc>
      </w:tr>
      <w:tr w:rsidR="00E23B86">
        <w:trPr>
          <w:gridBefore w:val="1"/>
          <w:trHeight w:val="1010"/>
        </w:trPr>
        <w:tc>
          <w:tcPr>
            <w:tcW w:w="9624" w:type="dxa"/>
            <w:gridSpan w:val="3"/>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right="6"/>
              <w:jc w:val="both"/>
            </w:pPr>
            <w:r>
              <w:rPr>
                <w:rFonts w:ascii="Arial" w:eastAsia="Arial" w:hAnsi="Arial" w:cs="Arial"/>
                <w:i/>
              </w:rPr>
              <w:t>Acción C10. Llevar a cabo acciones en los distintos barrios del municipio educación de calle centrada en la promoción de la participación en la educación para la salud, coor</w:t>
            </w:r>
            <w:r>
              <w:rPr>
                <w:rFonts w:ascii="Arial" w:eastAsia="Arial" w:hAnsi="Arial" w:cs="Arial"/>
                <w:i/>
              </w:rPr>
              <w:t>dinando las mismas con el tejido asociativo existente.</w:t>
            </w:r>
          </w:p>
        </w:tc>
      </w:tr>
      <w:tr w:rsidR="00E23B86">
        <w:trPr>
          <w:gridBefore w:val="1"/>
          <w:trHeight w:val="1008"/>
        </w:trPr>
        <w:tc>
          <w:tcPr>
            <w:tcW w:w="9624" w:type="dxa"/>
            <w:gridSpan w:val="3"/>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right="2"/>
              <w:jc w:val="both"/>
            </w:pPr>
            <w:r>
              <w:rPr>
                <w:rFonts w:ascii="Arial" w:eastAsia="Arial" w:hAnsi="Arial" w:cs="Arial"/>
                <w:i/>
              </w:rPr>
              <w:t>Acción C11. Editar material de orientación, información y sensibilización, en formato digital y papel, para toda la comunidad o sectores específicos de la población, centrado en hábitos de vida saludable y prevención de adicciones.</w:t>
            </w:r>
          </w:p>
        </w:tc>
      </w:tr>
      <w:tr w:rsidR="00E23B86">
        <w:trPr>
          <w:gridBefore w:val="1"/>
          <w:trHeight w:val="1010"/>
        </w:trPr>
        <w:tc>
          <w:tcPr>
            <w:tcW w:w="9624" w:type="dxa"/>
            <w:gridSpan w:val="3"/>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jc w:val="both"/>
            </w:pPr>
            <w:r>
              <w:rPr>
                <w:rFonts w:ascii="Arial" w:eastAsia="Arial" w:hAnsi="Arial" w:cs="Arial"/>
                <w:i/>
              </w:rPr>
              <w:t>Acción C12. Llevar a ca</w:t>
            </w:r>
            <w:r>
              <w:rPr>
                <w:rFonts w:ascii="Arial" w:eastAsia="Arial" w:hAnsi="Arial" w:cs="Arial"/>
                <w:i/>
              </w:rPr>
              <w:t>bo campañas de información, sensibilización y orientación al sector servicios del municipio sobre prevención ambiental (cumplimiento de normativas menoresalcohol-tabaco, evitar mensajes no saludables, eliminar publicidad y reclamos sexistas, etc.).</w:t>
            </w:r>
          </w:p>
        </w:tc>
      </w:tr>
      <w:tr w:rsidR="00E23B86">
        <w:trPr>
          <w:gridBefore w:val="1"/>
          <w:trHeight w:val="756"/>
        </w:trPr>
        <w:tc>
          <w:tcPr>
            <w:tcW w:w="9624" w:type="dxa"/>
            <w:gridSpan w:val="3"/>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jc w:val="both"/>
            </w:pPr>
            <w:r>
              <w:rPr>
                <w:rFonts w:ascii="Arial" w:eastAsia="Arial" w:hAnsi="Arial" w:cs="Arial"/>
                <w:i/>
              </w:rPr>
              <w:t>Acción</w:t>
            </w:r>
            <w:r>
              <w:rPr>
                <w:rFonts w:ascii="Arial" w:eastAsia="Arial" w:hAnsi="Arial" w:cs="Arial"/>
                <w:i/>
              </w:rPr>
              <w:t xml:space="preserve"> C13. Realizar, a través del espacio de radio municipal, programas sobre promoción de la salud y prevención de adicciones. </w:t>
            </w:r>
          </w:p>
        </w:tc>
      </w:tr>
      <w:tr w:rsidR="00E23B86">
        <w:trPr>
          <w:gridBefore w:val="1"/>
          <w:trHeight w:val="1263"/>
        </w:trPr>
        <w:tc>
          <w:tcPr>
            <w:tcW w:w="9624" w:type="dxa"/>
            <w:gridSpan w:val="3"/>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ind w:right="3"/>
              <w:jc w:val="both"/>
            </w:pPr>
            <w:r>
              <w:rPr>
                <w:rFonts w:ascii="Arial" w:eastAsia="Arial" w:hAnsi="Arial" w:cs="Arial"/>
                <w:i/>
              </w:rPr>
              <w:t>Acción C14. Llevar a cabo acciones específicas de prevención de adicciones y promoción de la salud con personas de edad avanzada (como colectivo de riesgo) por no existir datos suficientes, pero sobre las que sabemos que consumen fármacos (psicofármacos, e</w:t>
            </w:r>
            <w:r>
              <w:rPr>
                <w:rFonts w:ascii="Arial" w:eastAsia="Arial" w:hAnsi="Arial" w:cs="Arial"/>
                <w:i/>
              </w:rPr>
              <w:t>ntre ellos) de forma más frecuente que el resto de la población.</w:t>
            </w:r>
          </w:p>
        </w:tc>
      </w:tr>
    </w:tbl>
    <w:p w:rsidR="00E23B86" w:rsidRDefault="00BA7C13">
      <w:pPr>
        <w:spacing w:after="242" w:line="251" w:lineRule="auto"/>
        <w:ind w:left="355" w:right="573" w:hanging="10"/>
        <w:jc w:val="both"/>
      </w:pPr>
      <w:r>
        <w:rPr>
          <w:rFonts w:ascii="Arial" w:eastAsia="Arial" w:hAnsi="Arial" w:cs="Arial"/>
          <w:i/>
        </w:rPr>
        <w:t>6.2. ÁREA DE INSERCIÓN SOCIAL</w:t>
      </w:r>
    </w:p>
    <w:p w:rsidR="00E23B86" w:rsidRDefault="00BA7C13">
      <w:pPr>
        <w:spacing w:after="111" w:line="251" w:lineRule="auto"/>
        <w:ind w:left="355" w:right="573" w:hanging="10"/>
        <w:jc w:val="both"/>
      </w:pPr>
      <w:r>
        <w:rPr>
          <w:rFonts w:ascii="Arial" w:eastAsia="Arial" w:hAnsi="Arial" w:cs="Arial"/>
          <w:i/>
        </w:rPr>
        <w:t>La Corporación Local, tiene dentro de sus competencias (Ley 9/1998, de 22 de julio, sobre prevención, asistencia, e inserción social en materia de drogodependen</w:t>
      </w:r>
      <w:r>
        <w:rPr>
          <w:rFonts w:ascii="Arial" w:eastAsia="Arial" w:hAnsi="Arial" w:cs="Arial"/>
          <w:i/>
        </w:rPr>
        <w:t>cias de la Comunidad Canaria), apoyar en los procesos de incorporación social.</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763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2833" name="Group 53283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567" name="Rectangle 3556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5568" name="Rectangle 35568"/>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211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2833" style="width:12.7031pt;height:280.35pt;position:absolute;mso-position-horizontal-relative:page;mso-position-horizontal:absolute;margin-left:681.958pt;mso-position-vertical-relative:page;margin-top:531.65pt;" coordsize="1613,35604">
                <v:rect id="Rectangle 3556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568"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211 de 391 </w:t>
                        </w:r>
                      </w:p>
                    </w:txbxContent>
                  </v:textbox>
                </v:rect>
                <w10:wrap type="square"/>
              </v:group>
            </w:pict>
          </mc:Fallback>
        </mc:AlternateContent>
      </w:r>
      <w:r>
        <w:rPr>
          <w:rFonts w:ascii="Arial" w:eastAsia="Arial" w:hAnsi="Arial" w:cs="Arial"/>
          <w:i/>
        </w:rPr>
        <w:t>Así mismo, la Ley 16/2019 de 2 de mayo de Servicios Sociales de Canarias, en su artículo 4 apartado 5, indica que los Servicios Sociales se dirigen especialmente</w:t>
      </w:r>
      <w:r>
        <w:rPr>
          <w:rFonts w:ascii="Arial" w:eastAsia="Arial" w:hAnsi="Arial" w:cs="Arial"/>
          <w:i/>
        </w:rPr>
        <w:t xml:space="preserve"> a prevenir y a compensar el déficit de apoyo social y económico en situaciones de riesgo y exclusión social, promoviendo actitudes y capacidades que faciliten la inclusión de las personas, desde una perspectiva integral y participada. En el apartado 7, se</w:t>
      </w:r>
      <w:r>
        <w:rPr>
          <w:rFonts w:ascii="Arial" w:eastAsia="Arial" w:hAnsi="Arial" w:cs="Arial"/>
          <w:i/>
        </w:rPr>
        <w:t xml:space="preserve"> define que los Servicios Sociales coordinarán con todos los sistemas que inciden en la calidad de vida, como los de salud, igualdad de género, prevención y protección de las mujeres contra la violencia de género, educativos, culturales, de empleo, de vivi</w:t>
      </w:r>
      <w:r>
        <w:rPr>
          <w:rFonts w:ascii="Arial" w:eastAsia="Arial" w:hAnsi="Arial" w:cs="Arial"/>
          <w:i/>
        </w:rPr>
        <w:t>enda, urbanísticos, judiciales, entre otros.</w:t>
      </w:r>
    </w:p>
    <w:p w:rsidR="00E23B86" w:rsidRDefault="00BA7C13">
      <w:pPr>
        <w:spacing w:after="483" w:line="251" w:lineRule="auto"/>
        <w:ind w:left="355" w:right="573" w:hanging="10"/>
        <w:jc w:val="both"/>
      </w:pPr>
      <w:r>
        <w:rPr>
          <w:rFonts w:ascii="Arial" w:eastAsia="Arial" w:hAnsi="Arial" w:cs="Arial"/>
          <w:i/>
        </w:rPr>
        <w:t>También en el apoyo a la inserción, se debe tener en cuenta la Estrategia Canaria de Inclusión Social 2019-2021, que en su eje I (Inclusión Social Activa) desarrolla una serie de objetivos y actuaciones, destina</w:t>
      </w:r>
      <w:r>
        <w:rPr>
          <w:rFonts w:ascii="Arial" w:eastAsia="Arial" w:hAnsi="Arial" w:cs="Arial"/>
          <w:i/>
        </w:rPr>
        <w:t>das a la inserción laboral y el acceso a servicios básicos.</w:t>
      </w:r>
    </w:p>
    <w:p w:rsidR="00E23B86" w:rsidRDefault="00BA7C13">
      <w:pPr>
        <w:spacing w:after="111" w:line="251" w:lineRule="auto"/>
        <w:ind w:left="355" w:right="573" w:hanging="10"/>
        <w:jc w:val="both"/>
      </w:pPr>
      <w:r>
        <w:rPr>
          <w:rFonts w:ascii="Arial" w:eastAsia="Arial" w:hAnsi="Arial" w:cs="Arial"/>
          <w:i/>
        </w:rPr>
        <w:t xml:space="preserve">Objetivo general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773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8536" name="Group 57853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661" name="Rectangle 3566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5662" name="Rectangle 3566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w:t>
                              </w:r>
                              <w:r>
                                <w:rPr>
                                  <w:rFonts w:ascii="Arial" w:eastAsia="Arial" w:hAnsi="Arial" w:cs="Arial"/>
                                  <w:sz w:val="12"/>
                                </w:rPr>
                                <w:t xml:space="preserve"> Página 212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8536" style="width:12.7031pt;height:280.35pt;position:absolute;mso-position-horizontal-relative:page;mso-position-horizontal:absolute;margin-left:681.958pt;mso-position-vertical-relative:page;margin-top:531.65pt;" coordsize="1613,35604">
                <v:rect id="Rectangle 3566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66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212 de 391 </w:t>
                        </w:r>
                      </w:p>
                    </w:txbxContent>
                  </v:textbox>
                </v:rect>
                <w10:wrap type="square"/>
              </v:group>
            </w:pict>
          </mc:Fallback>
        </mc:AlternateContent>
      </w:r>
      <w:r>
        <w:rPr>
          <w:rFonts w:ascii="Arial" w:eastAsia="Arial" w:hAnsi="Arial" w:cs="Arial"/>
          <w:i/>
        </w:rPr>
        <w:t>Potenciar la colaboración y participación de los recursos y agentes sociales municipales en el apoyo a la población consumidora y su entorno familiar, facilitando la implantación de medidas formativas, laborales y sociales que favorezca</w:t>
      </w:r>
      <w:r>
        <w:rPr>
          <w:rFonts w:ascii="Arial" w:eastAsia="Arial" w:hAnsi="Arial" w:cs="Arial"/>
          <w:i/>
        </w:rPr>
        <w:t>n su proceso de incorporación social y laboral para una adecuada integración social.</w:t>
      </w:r>
    </w:p>
    <w:tbl>
      <w:tblPr>
        <w:tblStyle w:val="TableGrid"/>
        <w:tblW w:w="9624" w:type="dxa"/>
        <w:tblInd w:w="-209" w:type="dxa"/>
        <w:tblCellMar>
          <w:top w:w="13" w:type="dxa"/>
          <w:left w:w="109" w:type="dxa"/>
          <w:bottom w:w="0" w:type="dxa"/>
          <w:right w:w="136" w:type="dxa"/>
        </w:tblCellMar>
        <w:tblLook w:val="04A0" w:firstRow="1" w:lastRow="0" w:firstColumn="1" w:lastColumn="0" w:noHBand="0" w:noVBand="1"/>
      </w:tblPr>
      <w:tblGrid>
        <w:gridCol w:w="6565"/>
        <w:gridCol w:w="3060"/>
      </w:tblGrid>
      <w:tr w:rsidR="00E23B86">
        <w:trPr>
          <w:trHeight w:val="454"/>
        </w:trPr>
        <w:tc>
          <w:tcPr>
            <w:tcW w:w="6565" w:type="dxa"/>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794"/>
            </w:pPr>
            <w:r>
              <w:rPr>
                <w:rFonts w:ascii="Arial" w:eastAsia="Arial" w:hAnsi="Arial" w:cs="Arial"/>
                <w:i/>
              </w:rPr>
              <w:t>Actuaciones a desarrollar según nivel de prevención</w:t>
            </w:r>
          </w:p>
        </w:tc>
        <w:tc>
          <w:tcPr>
            <w:tcW w:w="3060" w:type="dxa"/>
            <w:tcBorders>
              <w:top w:val="nil"/>
              <w:left w:val="single" w:sz="5" w:space="0" w:color="00000A"/>
              <w:bottom w:val="single" w:sz="4" w:space="0" w:color="00000A"/>
              <w:right w:val="nil"/>
            </w:tcBorders>
          </w:tcPr>
          <w:p w:rsidR="00E23B86" w:rsidRDefault="00E23B86"/>
        </w:tc>
      </w:tr>
      <w:tr w:rsidR="00E23B86">
        <w:trPr>
          <w:trHeight w:val="454"/>
        </w:trPr>
        <w:tc>
          <w:tcPr>
            <w:tcW w:w="9624" w:type="dxa"/>
            <w:gridSpan w:val="2"/>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366"/>
              <w:jc w:val="center"/>
            </w:pPr>
            <w:r>
              <w:rPr>
                <w:rFonts w:ascii="Arial" w:eastAsia="Arial" w:hAnsi="Arial" w:cs="Arial"/>
                <w:i/>
              </w:rPr>
              <w:t>Actuación</w:t>
            </w:r>
          </w:p>
        </w:tc>
      </w:tr>
      <w:tr w:rsidR="00E23B86">
        <w:trPr>
          <w:trHeight w:val="1142"/>
        </w:trPr>
        <w:tc>
          <w:tcPr>
            <w:tcW w:w="9624"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ind w:right="2"/>
              <w:jc w:val="both"/>
            </w:pPr>
            <w:r>
              <w:rPr>
                <w:rFonts w:ascii="Arial" w:eastAsia="Arial" w:hAnsi="Arial" w:cs="Arial"/>
                <w:i/>
              </w:rPr>
              <w:t>Acción ISL1. Ofertar un espacio para la atención individualizada a las familias con algún miembro/a con problemas de consumo (mayor o menor de edad), en su proceso de recuperación e integración social y que estén en tratamiento en la red de atención de adi</w:t>
            </w:r>
            <w:r>
              <w:rPr>
                <w:rFonts w:ascii="Arial" w:eastAsia="Arial" w:hAnsi="Arial" w:cs="Arial"/>
                <w:i/>
              </w:rPr>
              <w:t xml:space="preserve">cciones. </w:t>
            </w:r>
          </w:p>
        </w:tc>
      </w:tr>
      <w:tr w:rsidR="00E23B86">
        <w:trPr>
          <w:trHeight w:val="636"/>
        </w:trPr>
        <w:tc>
          <w:tcPr>
            <w:tcW w:w="9624"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pPr>
            <w:r>
              <w:rPr>
                <w:rFonts w:ascii="Arial" w:eastAsia="Arial" w:hAnsi="Arial" w:cs="Arial"/>
                <w:i/>
              </w:rPr>
              <w:t xml:space="preserve">Acción ISL2. Diseñar itinerarios de inserción laboral personalizados para las personas y familias en coordinación con los/as agentes sociales y Servicios Sociales y recursos de la comunidad. </w:t>
            </w:r>
          </w:p>
        </w:tc>
      </w:tr>
      <w:tr w:rsidR="00E23B86">
        <w:trPr>
          <w:trHeight w:val="888"/>
        </w:trPr>
        <w:tc>
          <w:tcPr>
            <w:tcW w:w="9624"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 xml:space="preserve">Acción ISL3. Ofertar, desde los Servicios Sociales, el apoyo social y los recursos, prestaciones y otras ayudas técnicas a las personas y familias que precisan apoyo en su proceso de recuperación e inserción social. </w:t>
            </w:r>
          </w:p>
        </w:tc>
      </w:tr>
      <w:tr w:rsidR="00E23B86">
        <w:trPr>
          <w:trHeight w:val="637"/>
        </w:trPr>
        <w:tc>
          <w:tcPr>
            <w:tcW w:w="9624"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 xml:space="preserve">Acción ISL4. Ofertar a las personas con problemas de consumo y sus familias, los recursos de ocio, culturales, deportivos, etc., como parte del apoyo en su proceso de inserción. </w:t>
            </w:r>
          </w:p>
        </w:tc>
      </w:tr>
    </w:tbl>
    <w:p w:rsidR="00E23B86" w:rsidRDefault="00BA7C13">
      <w:pPr>
        <w:spacing w:after="259"/>
        <w:ind w:left="352"/>
      </w:pPr>
      <w:r>
        <w:rPr>
          <w:rFonts w:ascii="Arial" w:eastAsia="Arial" w:hAnsi="Arial" w:cs="Arial"/>
          <w:i/>
        </w:rPr>
        <w:t xml:space="preserve"> </w:t>
      </w:r>
    </w:p>
    <w:p w:rsidR="00E23B86" w:rsidRDefault="00BA7C13">
      <w:pPr>
        <w:tabs>
          <w:tab w:val="center" w:pos="597"/>
          <w:tab w:val="center" w:pos="2561"/>
        </w:tabs>
        <w:spacing w:after="249" w:line="251" w:lineRule="auto"/>
      </w:pPr>
      <w:r>
        <w:tab/>
      </w:r>
      <w:r>
        <w:rPr>
          <w:rFonts w:ascii="Arial" w:eastAsia="Arial" w:hAnsi="Arial" w:cs="Arial"/>
          <w:i/>
        </w:rPr>
        <w:t>13.3.</w:t>
      </w:r>
      <w:r>
        <w:rPr>
          <w:rFonts w:ascii="Arial" w:eastAsia="Arial" w:hAnsi="Arial" w:cs="Arial"/>
          <w:i/>
        </w:rPr>
        <w:tab/>
        <w:t xml:space="preserve">REA DE SOPORTE Y APOYO </w:t>
      </w:r>
    </w:p>
    <w:p w:rsidR="00E23B86" w:rsidRDefault="00BA7C13">
      <w:pPr>
        <w:spacing w:after="111" w:line="251" w:lineRule="auto"/>
        <w:ind w:left="355" w:right="573" w:hanging="10"/>
        <w:jc w:val="both"/>
      </w:pPr>
      <w:r>
        <w:rPr>
          <w:rFonts w:ascii="Arial" w:eastAsia="Arial" w:hAnsi="Arial" w:cs="Arial"/>
          <w:i/>
        </w:rPr>
        <w:t xml:space="preserve">El área de soporte y apoyo es clave en los </w:t>
      </w:r>
      <w:r>
        <w:rPr>
          <w:rFonts w:ascii="Arial" w:eastAsia="Arial" w:hAnsi="Arial" w:cs="Arial"/>
          <w:i/>
        </w:rPr>
        <w:t xml:space="preserve">procesos de gestión y las acciones van encaminadas a facilitar la implementación y ejecución del IV Plan Municipal. </w:t>
      </w:r>
    </w:p>
    <w:p w:rsidR="00E23B86" w:rsidRDefault="00BA7C13">
      <w:pPr>
        <w:spacing w:after="111" w:line="251" w:lineRule="auto"/>
        <w:ind w:left="355" w:right="573" w:hanging="10"/>
        <w:jc w:val="both"/>
      </w:pPr>
      <w:r>
        <w:rPr>
          <w:rFonts w:ascii="Arial" w:eastAsia="Arial" w:hAnsi="Arial" w:cs="Arial"/>
          <w:i/>
        </w:rPr>
        <w:t>Objetivo general</w:t>
      </w:r>
    </w:p>
    <w:p w:rsidR="00E23B86" w:rsidRDefault="00BA7C13">
      <w:pPr>
        <w:spacing w:after="0" w:line="251" w:lineRule="auto"/>
        <w:ind w:left="355" w:right="573" w:hanging="10"/>
        <w:jc w:val="both"/>
      </w:pPr>
      <w:r>
        <w:rPr>
          <w:rFonts w:ascii="Arial" w:eastAsia="Arial" w:hAnsi="Arial" w:cs="Arial"/>
          <w:i/>
        </w:rPr>
        <w:t>Desarrollar y ejecutar por parte del equipo del IV Plan, los procesos básicos de gestión (investigación, evaluación, plani</w:t>
      </w:r>
      <w:r>
        <w:rPr>
          <w:rFonts w:ascii="Arial" w:eastAsia="Arial" w:hAnsi="Arial" w:cs="Arial"/>
          <w:i/>
        </w:rPr>
        <w:t>ficación e interlocución (coordinación) interna y externa), los procesos de gestión de recursos (recursos humanos, materiales, económicos y metodológicos necesarios), y los procesos avanzados de gestión</w:t>
      </w:r>
    </w:p>
    <w:p w:rsidR="00E23B86" w:rsidRDefault="00BA7C13">
      <w:pPr>
        <w:spacing w:after="232" w:line="251" w:lineRule="auto"/>
        <w:ind w:left="355" w:right="573" w:hanging="10"/>
        <w:jc w:val="both"/>
      </w:pPr>
      <w:r>
        <w:rPr>
          <w:rFonts w:ascii="Arial" w:eastAsia="Arial" w:hAnsi="Arial" w:cs="Arial"/>
          <w:i/>
        </w:rPr>
        <w:t xml:space="preserve">(calidad, marketing social, participación, etc.,). </w:t>
      </w:r>
    </w:p>
    <w:tbl>
      <w:tblPr>
        <w:tblStyle w:val="TableGrid"/>
        <w:tblW w:w="8611" w:type="dxa"/>
        <w:tblInd w:w="297" w:type="dxa"/>
        <w:tblCellMar>
          <w:top w:w="13" w:type="dxa"/>
          <w:left w:w="109" w:type="dxa"/>
          <w:bottom w:w="0" w:type="dxa"/>
          <w:right w:w="133" w:type="dxa"/>
        </w:tblCellMar>
        <w:tblLook w:val="04A0" w:firstRow="1" w:lastRow="0" w:firstColumn="1" w:lastColumn="0" w:noHBand="0" w:noVBand="1"/>
      </w:tblPr>
      <w:tblGrid>
        <w:gridCol w:w="8611"/>
      </w:tblGrid>
      <w:tr w:rsidR="00E23B86">
        <w:trPr>
          <w:trHeight w:val="382"/>
        </w:trPr>
        <w:tc>
          <w:tcPr>
            <w:tcW w:w="8611" w:type="dxa"/>
            <w:tcBorders>
              <w:top w:val="single" w:sz="4" w:space="0" w:color="00000A"/>
              <w:left w:val="single" w:sz="5" w:space="0" w:color="00000A"/>
              <w:bottom w:val="single" w:sz="4" w:space="0" w:color="00000A"/>
              <w:right w:val="single" w:sz="4" w:space="0" w:color="00000A"/>
            </w:tcBorders>
            <w:shd w:val="clear" w:color="auto" w:fill="BFBFBF"/>
          </w:tcPr>
          <w:p w:rsidR="00E23B86" w:rsidRDefault="00BA7C13">
            <w:pPr>
              <w:spacing w:after="0"/>
              <w:ind w:left="1"/>
              <w:jc w:val="center"/>
            </w:pPr>
            <w:r>
              <w:rPr>
                <w:rFonts w:ascii="Arial" w:eastAsia="Arial" w:hAnsi="Arial" w:cs="Arial"/>
                <w:i/>
              </w:rPr>
              <w:t>Actuaciones a desarrollar</w:t>
            </w:r>
          </w:p>
        </w:tc>
      </w:tr>
      <w:tr w:rsidR="00E23B86">
        <w:trPr>
          <w:trHeight w:val="1262"/>
        </w:trPr>
        <w:tc>
          <w:tcPr>
            <w:tcW w:w="8611" w:type="dxa"/>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Acción SA1: Promover la participación activa en la comisión mixta municipal de coordinación, y las comisiones de trabajo específico, de todos los recursos de la comunidad y agentes implicados/as, como espacio de coordinación, pla</w:t>
            </w:r>
            <w:r>
              <w:rPr>
                <w:rFonts w:ascii="Arial" w:eastAsia="Arial" w:hAnsi="Arial" w:cs="Arial"/>
                <w:i/>
              </w:rPr>
              <w:t>nificación, evaluación y toma de decisiones.</w:t>
            </w:r>
          </w:p>
        </w:tc>
      </w:tr>
      <w:tr w:rsidR="00E23B86">
        <w:trPr>
          <w:trHeight w:val="890"/>
        </w:trPr>
        <w:tc>
          <w:tcPr>
            <w:tcW w:w="8611" w:type="dxa"/>
            <w:tcBorders>
              <w:top w:val="single" w:sz="4" w:space="0" w:color="00000A"/>
              <w:left w:val="single" w:sz="5" w:space="0" w:color="00000A"/>
              <w:bottom w:val="single" w:sz="4" w:space="0" w:color="00000A"/>
              <w:right w:val="single" w:sz="4" w:space="0" w:color="00000A"/>
            </w:tcBorders>
          </w:tcPr>
          <w:p w:rsidR="00E23B86" w:rsidRDefault="00BA7C13">
            <w:pPr>
              <w:spacing w:after="0"/>
              <w:ind w:right="9"/>
              <w:jc w:val="both"/>
            </w:pPr>
            <w:r>
              <w:rPr>
                <w:rFonts w:ascii="Arial" w:eastAsia="Arial" w:hAnsi="Arial" w:cs="Arial"/>
                <w:i/>
              </w:rPr>
              <w:t xml:space="preserve">Acción SA2. Difundir y comunicar de una forma adecuada este IV Plan Municipal, a todos los recursos implicados, facilitando el lenguaje y la transmisión de información, así como emplear los soportes adecuados. </w:t>
            </w:r>
          </w:p>
        </w:tc>
      </w:tr>
      <w:tr w:rsidR="00E23B86">
        <w:trPr>
          <w:trHeight w:val="888"/>
        </w:trPr>
        <w:tc>
          <w:tcPr>
            <w:tcW w:w="8611"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Acción SA3. Llevar a cabo estudios, análisis de necesidades e investigaciones, con el fin de conocer en todo momento la realidad social en el ámbito de promoción de la salud, empleando, si es necesario, recursos externos al Ayuntamiento.</w:t>
            </w:r>
          </w:p>
        </w:tc>
      </w:tr>
      <w:tr w:rsidR="00E23B86">
        <w:trPr>
          <w:trHeight w:val="517"/>
        </w:trPr>
        <w:tc>
          <w:tcPr>
            <w:tcW w:w="8611" w:type="dxa"/>
            <w:tcBorders>
              <w:top w:val="single" w:sz="4" w:space="0" w:color="00000A"/>
              <w:left w:val="single" w:sz="5"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Acción SA4. Promover la organización y realización de acciones formativas, dirigidas al personal implicado en el ámbito de las adicciones, procurando que dichas acciones</w:t>
            </w:r>
          </w:p>
        </w:tc>
      </w:tr>
    </w:tbl>
    <w:p w:rsidR="00E23B86" w:rsidRDefault="00BA7C13">
      <w:pPr>
        <w:pBdr>
          <w:top w:val="single" w:sz="4" w:space="0" w:color="00000A"/>
          <w:left w:val="single" w:sz="5" w:space="0" w:color="00000A"/>
          <w:bottom w:val="single" w:sz="4" w:space="0" w:color="00000A"/>
          <w:right w:val="single" w:sz="5" w:space="0" w:color="00000A"/>
        </w:pBdr>
        <w:spacing w:after="480"/>
        <w:ind w:left="416" w:hanging="10"/>
      </w:pPr>
      <w:r>
        <w:rPr>
          <w:rFonts w:ascii="Arial" w:eastAsia="Arial" w:hAnsi="Arial" w:cs="Arial"/>
          <w:i/>
        </w:rPr>
        <w:t xml:space="preserve">formativas, estén avaladas por algún organismo oficial. </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317"/>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14.</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COORDINACIÓN DE LAS ACTUACIONES DEL IV PLAN</w:t>
            </w:r>
          </w:p>
        </w:tc>
      </w:tr>
    </w:tbl>
    <w:p w:rsidR="00E23B86" w:rsidRDefault="00BA7C13">
      <w:pPr>
        <w:spacing w:after="141" w:line="251" w:lineRule="auto"/>
        <w:ind w:left="355" w:right="573" w:hanging="10"/>
        <w:jc w:val="both"/>
      </w:pPr>
      <w:r>
        <w:rPr>
          <w:rFonts w:ascii="Arial" w:eastAsia="Arial" w:hAnsi="Arial" w:cs="Arial"/>
          <w:i/>
        </w:rPr>
        <w:t xml:space="preserve">La coordinación del IV Plan es la clave para su ejecución y el logro de resultados, para que ésta sea operativa se propone la coordinación a dos niveles: </w:t>
      </w:r>
    </w:p>
    <w:p w:rsidR="00E23B86" w:rsidRDefault="00BA7C13">
      <w:pPr>
        <w:numPr>
          <w:ilvl w:val="0"/>
          <w:numId w:val="103"/>
        </w:numPr>
        <w:spacing w:after="162" w:line="251" w:lineRule="auto"/>
        <w:ind w:right="573" w:hanging="360"/>
        <w:jc w:val="both"/>
      </w:pPr>
      <w:r>
        <w:rPr>
          <w:rFonts w:ascii="Arial" w:eastAsia="Arial" w:hAnsi="Arial" w:cs="Arial"/>
          <w:i/>
        </w:rPr>
        <w:t>Coordinación interna o institucional: Se desarrollará entre responsables políticos/as y personal técnico de la Concejalía de Servicios Sociales y otras Concejalías.</w:t>
      </w:r>
    </w:p>
    <w:p w:rsidR="00E23B86" w:rsidRDefault="00BA7C13">
      <w:pPr>
        <w:numPr>
          <w:ilvl w:val="0"/>
          <w:numId w:val="103"/>
        </w:numPr>
        <w:spacing w:after="163" w:line="251" w:lineRule="auto"/>
        <w:ind w:right="573" w:hanging="360"/>
        <w:jc w:val="both"/>
      </w:pPr>
      <w:r>
        <w:rPr>
          <w:rFonts w:ascii="Arial" w:eastAsia="Arial" w:hAnsi="Arial" w:cs="Arial"/>
          <w:i/>
        </w:rPr>
        <w:t>Coordinación externa o de participación social. Se realizará con otras instituciones de car</w:t>
      </w:r>
      <w:r>
        <w:rPr>
          <w:rFonts w:ascii="Arial" w:eastAsia="Arial" w:hAnsi="Arial" w:cs="Arial"/>
          <w:i/>
        </w:rPr>
        <w:t xml:space="preserve">ácter público o privado, que tengan competencias en materia de adicciones. </w:t>
      </w:r>
    </w:p>
    <w:p w:rsidR="00E23B86" w:rsidRDefault="00BA7C13">
      <w:pPr>
        <w:spacing w:after="111" w:line="251" w:lineRule="auto"/>
        <w:ind w:left="355" w:right="573" w:hanging="10"/>
        <w:jc w:val="both"/>
      </w:pPr>
      <w:r>
        <w:rPr>
          <w:rFonts w:ascii="Arial" w:eastAsia="Arial" w:hAnsi="Arial" w:cs="Arial"/>
          <w:i/>
        </w:rPr>
        <w:t xml:space="preserve">Para lleva a la práctica dicha coordinación, es preciso la creación de dos comisiones: </w:t>
      </w:r>
    </w:p>
    <w:p w:rsidR="00E23B86" w:rsidRDefault="00BA7C13">
      <w:pPr>
        <w:spacing w:after="8" w:line="251" w:lineRule="auto"/>
        <w:ind w:left="722" w:right="573" w:hanging="10"/>
        <w:jc w:val="both"/>
      </w:pPr>
      <w:r>
        <w:rPr>
          <w:rFonts w:ascii="Arial" w:eastAsia="Arial" w:hAnsi="Arial" w:cs="Arial"/>
          <w:i/>
        </w:rPr>
        <w:t>2. La Comisión Municipal de Prevención de Adicciones de Candelaria</w:t>
      </w:r>
    </w:p>
    <w:p w:rsidR="00E23B86" w:rsidRDefault="00BA7C13">
      <w:pPr>
        <w:spacing w:after="111" w:line="251" w:lineRule="auto"/>
        <w:ind w:left="1082" w:right="573" w:hanging="10"/>
        <w:jc w:val="both"/>
      </w:pPr>
      <w:r>
        <w:rPr>
          <w:rFonts w:ascii="Arial" w:eastAsia="Arial" w:hAnsi="Arial" w:cs="Arial"/>
          <w:i/>
        </w:rPr>
        <w:t xml:space="preserve">(coordinación interna). </w:t>
      </w:r>
    </w:p>
    <w:p w:rsidR="00E23B86" w:rsidRDefault="00BA7C13">
      <w:pPr>
        <w:spacing w:after="0" w:line="507" w:lineRule="auto"/>
        <w:ind w:left="345" w:right="1648" w:firstLine="360"/>
        <w:jc w:val="both"/>
      </w:pPr>
      <w:r>
        <w:rPr>
          <w:rFonts w:ascii="Arial" w:eastAsia="Arial" w:hAnsi="Arial" w:cs="Arial"/>
          <w:i/>
        </w:rPr>
        <w:t>2. La Comisión Mixta de Prevención de Adicciones de Candelaria. 7.1. Comisión Municipal de Prevención de Adicciones de Candelaria</w:t>
      </w:r>
    </w:p>
    <w:p w:rsidR="00E23B86" w:rsidRDefault="00BA7C13">
      <w:pPr>
        <w:spacing w:after="144" w:line="251" w:lineRule="auto"/>
        <w:ind w:left="355" w:right="573" w:hanging="10"/>
        <w:jc w:val="both"/>
      </w:pPr>
      <w:r>
        <w:rPr>
          <w:noProof/>
        </w:rPr>
        <mc:AlternateContent>
          <mc:Choice Requires="wpg">
            <w:drawing>
              <wp:anchor distT="0" distB="0" distL="114300" distR="114300" simplePos="0" relativeHeight="2518784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4350" name="Group 54435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739" name="Rectangle 3573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5740" name="Rectangle 3574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w:t>
                              </w:r>
                              <w:r>
                                <w:rPr>
                                  <w:rFonts w:ascii="Arial" w:eastAsia="Arial" w:hAnsi="Arial" w:cs="Arial"/>
                                  <w:sz w:val="12"/>
                                </w:rPr>
                                <w:t xml:space="preserve">rónicamente desde la plataforma esPublico Gestiona | Página 213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4350" style="width:12.7031pt;height:280.35pt;position:absolute;mso-position-horizontal-relative:page;mso-position-horizontal:absolute;margin-left:681.958pt;mso-position-vertical-relative:page;margin-top:531.65pt;" coordsize="1613,35604">
                <v:rect id="Rectangle 3573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74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213 de 391 </w:t>
                        </w:r>
                      </w:p>
                    </w:txbxContent>
                  </v:textbox>
                </v:rect>
                <w10:wrap type="square"/>
              </v:group>
            </w:pict>
          </mc:Fallback>
        </mc:AlternateContent>
      </w:r>
      <w:r>
        <w:rPr>
          <w:rFonts w:ascii="Arial" w:eastAsia="Arial" w:hAnsi="Arial" w:cs="Arial"/>
          <w:i/>
        </w:rPr>
        <w:t xml:space="preserve">Sus integrantes serán: </w:t>
      </w:r>
    </w:p>
    <w:p w:rsidR="00E23B86" w:rsidRDefault="00BA7C13">
      <w:pPr>
        <w:numPr>
          <w:ilvl w:val="0"/>
          <w:numId w:val="104"/>
        </w:numPr>
        <w:spacing w:after="146" w:line="251" w:lineRule="auto"/>
        <w:ind w:right="573" w:hanging="360"/>
        <w:jc w:val="both"/>
      </w:pPr>
      <w:r>
        <w:rPr>
          <w:rFonts w:ascii="Arial" w:eastAsia="Arial" w:hAnsi="Arial" w:cs="Arial"/>
          <w:i/>
        </w:rPr>
        <w:t>Quien ostente la Alcaldía o Presidencia del Ayuntamiento, o Concejalía en quien delegue, que ostentará la Presidencia de la Comisión.</w:t>
      </w:r>
    </w:p>
    <w:p w:rsidR="00E23B86" w:rsidRDefault="00BA7C13">
      <w:pPr>
        <w:numPr>
          <w:ilvl w:val="0"/>
          <w:numId w:val="104"/>
        </w:numPr>
        <w:spacing w:after="145" w:line="251" w:lineRule="auto"/>
        <w:ind w:right="573" w:hanging="360"/>
        <w:jc w:val="both"/>
      </w:pPr>
      <w:r>
        <w:rPr>
          <w:rFonts w:ascii="Arial" w:eastAsia="Arial" w:hAnsi="Arial" w:cs="Arial"/>
          <w:i/>
        </w:rPr>
        <w:t xml:space="preserve">La persona que ostente la </w:t>
      </w:r>
      <w:r>
        <w:rPr>
          <w:rFonts w:ascii="Arial" w:eastAsia="Arial" w:hAnsi="Arial" w:cs="Arial"/>
          <w:i/>
        </w:rPr>
        <w:t>Concejalía con competencias en prevención de adicciones/drogodependencias.</w:t>
      </w:r>
    </w:p>
    <w:p w:rsidR="00E23B86" w:rsidRDefault="00BA7C13">
      <w:pPr>
        <w:numPr>
          <w:ilvl w:val="0"/>
          <w:numId w:val="104"/>
        </w:numPr>
        <w:spacing w:after="111" w:line="251" w:lineRule="auto"/>
        <w:ind w:right="573" w:hanging="360"/>
        <w:jc w:val="both"/>
      </w:pPr>
      <w:r>
        <w:rPr>
          <w:rFonts w:ascii="Arial" w:eastAsia="Arial" w:hAnsi="Arial" w:cs="Arial"/>
          <w:i/>
        </w:rPr>
        <w:t>Representantes de los grupos políticos municipales.</w:t>
      </w:r>
    </w:p>
    <w:p w:rsidR="00E23B86" w:rsidRDefault="00BA7C13">
      <w:pPr>
        <w:numPr>
          <w:ilvl w:val="0"/>
          <w:numId w:val="104"/>
        </w:numPr>
        <w:spacing w:after="111" w:line="251" w:lineRule="auto"/>
        <w:ind w:right="573" w:hanging="360"/>
        <w:jc w:val="both"/>
      </w:pPr>
      <w:r>
        <w:rPr>
          <w:rFonts w:ascii="Arial" w:eastAsia="Arial" w:hAnsi="Arial" w:cs="Arial"/>
          <w:i/>
        </w:rPr>
        <w:t>Personal de Secretaría del Ayuntamiento o funcionariado en quien delegue, que asumirá las funciones derivadas de la Secretaría de</w:t>
      </w:r>
      <w:r>
        <w:rPr>
          <w:rFonts w:ascii="Arial" w:eastAsia="Arial" w:hAnsi="Arial" w:cs="Arial"/>
          <w:i/>
        </w:rPr>
        <w:t xml:space="preserve"> la Comisión Municipal.</w:t>
      </w:r>
    </w:p>
    <w:p w:rsidR="00E23B86" w:rsidRDefault="00BA7C13">
      <w:pPr>
        <w:spacing w:after="147" w:line="251" w:lineRule="auto"/>
        <w:ind w:left="355" w:right="573" w:hanging="10"/>
        <w:jc w:val="both"/>
      </w:pPr>
      <w:r>
        <w:rPr>
          <w:rFonts w:ascii="Arial" w:eastAsia="Arial" w:hAnsi="Arial" w:cs="Arial"/>
          <w:i/>
        </w:rPr>
        <w:t>Esta Comisión estará asistida en la celebración de sus reuniones periódicas por el/la Técnico/a Municipal en Prevención de Adicciones. Se reunirá con una periodicidad anual y sus funciones serán:</w:t>
      </w:r>
    </w:p>
    <w:p w:rsidR="00E23B86" w:rsidRDefault="00BA7C13">
      <w:pPr>
        <w:numPr>
          <w:ilvl w:val="0"/>
          <w:numId w:val="104"/>
        </w:numPr>
        <w:spacing w:after="146" w:line="251" w:lineRule="auto"/>
        <w:ind w:right="573" w:hanging="360"/>
        <w:jc w:val="both"/>
      </w:pPr>
      <w:r>
        <w:rPr>
          <w:rFonts w:ascii="Arial" w:eastAsia="Arial" w:hAnsi="Arial" w:cs="Arial"/>
          <w:i/>
        </w:rPr>
        <w:t>Definir y aprobar anualmente las líneas de actuación prioritarias del Plan Municipal.</w:t>
      </w:r>
    </w:p>
    <w:p w:rsidR="00E23B86" w:rsidRDefault="00BA7C13">
      <w:pPr>
        <w:numPr>
          <w:ilvl w:val="0"/>
          <w:numId w:val="104"/>
        </w:numPr>
        <w:spacing w:after="0" w:line="515" w:lineRule="auto"/>
        <w:ind w:right="573" w:hanging="360"/>
        <w:jc w:val="both"/>
      </w:pPr>
      <w:r>
        <w:rPr>
          <w:rFonts w:ascii="Arial" w:eastAsia="Arial" w:hAnsi="Arial" w:cs="Arial"/>
          <w:i/>
        </w:rPr>
        <w:t>Aprobar las líneas de trabajo y realizar el seguimiento. 7.2. Comisión Mixta de Prevención de Adicciones de Candelaria</w:t>
      </w:r>
    </w:p>
    <w:p w:rsidR="00E23B86" w:rsidRDefault="00BA7C13">
      <w:pPr>
        <w:spacing w:after="144" w:line="251" w:lineRule="auto"/>
        <w:ind w:left="355" w:right="573" w:hanging="10"/>
        <w:jc w:val="both"/>
      </w:pPr>
      <w:r>
        <w:rPr>
          <w:rFonts w:ascii="Arial" w:eastAsia="Arial" w:hAnsi="Arial" w:cs="Arial"/>
          <w:i/>
        </w:rPr>
        <w:t xml:space="preserve">Sus integrantes serán: </w:t>
      </w:r>
    </w:p>
    <w:p w:rsidR="00E23B86" w:rsidRDefault="00BA7C13">
      <w:pPr>
        <w:numPr>
          <w:ilvl w:val="0"/>
          <w:numId w:val="104"/>
        </w:numPr>
        <w:spacing w:after="111" w:line="251" w:lineRule="auto"/>
        <w:ind w:right="573" w:hanging="360"/>
        <w:jc w:val="both"/>
      </w:pPr>
      <w:r>
        <w:rPr>
          <w:rFonts w:ascii="Arial" w:eastAsia="Arial" w:hAnsi="Arial" w:cs="Arial"/>
          <w:i/>
        </w:rPr>
        <w:t>La persona que ostente la C</w:t>
      </w:r>
      <w:r>
        <w:rPr>
          <w:rFonts w:ascii="Arial" w:eastAsia="Arial" w:hAnsi="Arial" w:cs="Arial"/>
          <w:i/>
        </w:rPr>
        <w:t>oncejalía con competencias en adicciones.</w:t>
      </w:r>
    </w:p>
    <w:p w:rsidR="00E23B86" w:rsidRDefault="00BA7C13">
      <w:pPr>
        <w:numPr>
          <w:ilvl w:val="0"/>
          <w:numId w:val="104"/>
        </w:numPr>
        <w:spacing w:after="111" w:line="251" w:lineRule="auto"/>
        <w:ind w:right="573" w:hanging="360"/>
        <w:jc w:val="both"/>
      </w:pPr>
      <w:r>
        <w:rPr>
          <w:rFonts w:ascii="Arial" w:eastAsia="Arial" w:hAnsi="Arial" w:cs="Arial"/>
          <w:i/>
        </w:rPr>
        <w:t>Representantes de los grupos políticos municipales.</w:t>
      </w:r>
    </w:p>
    <w:p w:rsidR="00E23B86" w:rsidRDefault="00BA7C13">
      <w:pPr>
        <w:numPr>
          <w:ilvl w:val="0"/>
          <w:numId w:val="104"/>
        </w:numPr>
        <w:spacing w:after="111" w:line="251" w:lineRule="auto"/>
        <w:ind w:right="573" w:hanging="360"/>
        <w:jc w:val="both"/>
      </w:pPr>
      <w:r>
        <w:rPr>
          <w:rFonts w:ascii="Arial" w:eastAsia="Arial" w:hAnsi="Arial" w:cs="Arial"/>
          <w:i/>
        </w:rPr>
        <w:t>Los/las técnicos/as municipales de las Áreas del Ayuntamiento adscritas al Plan Municipal en Prevención de Adicciones.</w:t>
      </w:r>
    </w:p>
    <w:p w:rsidR="00E23B86" w:rsidRDefault="00BA7C13">
      <w:pPr>
        <w:numPr>
          <w:ilvl w:val="0"/>
          <w:numId w:val="104"/>
        </w:numPr>
        <w:spacing w:after="111" w:line="251" w:lineRule="auto"/>
        <w:ind w:right="573" w:hanging="360"/>
        <w:jc w:val="both"/>
      </w:pPr>
      <w:r>
        <w:rPr>
          <w:rFonts w:ascii="Arial" w:eastAsia="Arial" w:hAnsi="Arial" w:cs="Arial"/>
          <w:i/>
        </w:rPr>
        <w:t>Los/las representantes de los recursos inst</w:t>
      </w:r>
      <w:r>
        <w:rPr>
          <w:rFonts w:ascii="Arial" w:eastAsia="Arial" w:hAnsi="Arial" w:cs="Arial"/>
          <w:i/>
        </w:rPr>
        <w:t>itucionales del municipio.</w:t>
      </w:r>
    </w:p>
    <w:p w:rsidR="00E23B86" w:rsidRDefault="00BA7C13">
      <w:pPr>
        <w:numPr>
          <w:ilvl w:val="0"/>
          <w:numId w:val="104"/>
        </w:numPr>
        <w:spacing w:after="111" w:line="251" w:lineRule="auto"/>
        <w:ind w:right="573" w:hanging="360"/>
        <w:jc w:val="both"/>
      </w:pPr>
      <w:r>
        <w:rPr>
          <w:rFonts w:ascii="Arial" w:eastAsia="Arial" w:hAnsi="Arial" w:cs="Arial"/>
          <w:i/>
        </w:rPr>
        <w:t>Los/las representantes de las asociaciones y entidades ciudadanas.</w:t>
      </w:r>
    </w:p>
    <w:p w:rsidR="00E23B86" w:rsidRDefault="00BA7C13">
      <w:pPr>
        <w:numPr>
          <w:ilvl w:val="0"/>
          <w:numId w:val="104"/>
        </w:numPr>
        <w:spacing w:after="111" w:line="251" w:lineRule="auto"/>
        <w:ind w:right="573" w:hanging="360"/>
        <w:jc w:val="both"/>
      </w:pPr>
      <w:r>
        <w:rPr>
          <w:rFonts w:ascii="Arial" w:eastAsia="Arial" w:hAnsi="Arial" w:cs="Arial"/>
          <w:i/>
        </w:rPr>
        <w:t>El/la técnico/a municipal en Prevención de Adicciones que actuará como Secretario/a de la Comisión.</w:t>
      </w:r>
    </w:p>
    <w:p w:rsidR="00E23B86" w:rsidRDefault="00BA7C13">
      <w:pPr>
        <w:spacing w:after="147" w:line="251" w:lineRule="auto"/>
        <w:ind w:left="355" w:right="573" w:hanging="10"/>
        <w:jc w:val="both"/>
      </w:pPr>
      <w:r>
        <w:rPr>
          <w:rFonts w:ascii="Arial" w:eastAsia="Arial" w:hAnsi="Arial" w:cs="Arial"/>
          <w:i/>
        </w:rPr>
        <w:t>La periodicidad de las reuniones de la Comisión Mixta se estab</w:t>
      </w:r>
      <w:r>
        <w:rPr>
          <w:rFonts w:ascii="Arial" w:eastAsia="Arial" w:hAnsi="Arial" w:cs="Arial"/>
          <w:i/>
        </w:rPr>
        <w:t>lecerá según la necesidad de las mismas, y las funciones serán:</w:t>
      </w:r>
    </w:p>
    <w:p w:rsidR="00E23B86" w:rsidRDefault="00BA7C13">
      <w:pPr>
        <w:numPr>
          <w:ilvl w:val="0"/>
          <w:numId w:val="104"/>
        </w:numPr>
        <w:spacing w:after="111" w:line="251" w:lineRule="auto"/>
        <w:ind w:right="573" w:hanging="360"/>
        <w:jc w:val="both"/>
      </w:pPr>
      <w:r>
        <w:rPr>
          <w:rFonts w:ascii="Arial" w:eastAsia="Arial" w:hAnsi="Arial" w:cs="Arial"/>
          <w:i/>
        </w:rPr>
        <w:t>El seguimiento y evaluación del Plan.</w:t>
      </w:r>
    </w:p>
    <w:p w:rsidR="00E23B86" w:rsidRDefault="00BA7C13">
      <w:pPr>
        <w:numPr>
          <w:ilvl w:val="0"/>
          <w:numId w:val="104"/>
        </w:numPr>
        <w:spacing w:after="111" w:line="251" w:lineRule="auto"/>
        <w:ind w:right="573" w:hanging="360"/>
        <w:jc w:val="both"/>
      </w:pPr>
      <w:r>
        <w:rPr>
          <w:rFonts w:ascii="Arial" w:eastAsia="Arial" w:hAnsi="Arial" w:cs="Arial"/>
          <w:i/>
        </w:rPr>
        <w:t>Establecer las líneas de actuación.</w:t>
      </w:r>
    </w:p>
    <w:p w:rsidR="00E23B86" w:rsidRDefault="00BA7C13">
      <w:pPr>
        <w:numPr>
          <w:ilvl w:val="0"/>
          <w:numId w:val="104"/>
        </w:numPr>
        <w:spacing w:after="111" w:line="251" w:lineRule="auto"/>
        <w:ind w:right="573" w:hanging="360"/>
        <w:jc w:val="both"/>
      </w:pPr>
      <w:r>
        <w:rPr>
          <w:rFonts w:ascii="Arial" w:eastAsia="Arial" w:hAnsi="Arial" w:cs="Arial"/>
          <w:i/>
        </w:rPr>
        <w:t>Coordinar las actuaciones y programas en Adicciones de las distintas instituciones, entidades y grupos sociales.</w:t>
      </w:r>
    </w:p>
    <w:p w:rsidR="00E23B86" w:rsidRDefault="00BA7C13">
      <w:pPr>
        <w:spacing w:after="146" w:line="251" w:lineRule="auto"/>
        <w:ind w:left="355" w:right="573" w:hanging="10"/>
        <w:jc w:val="both"/>
      </w:pPr>
      <w:r>
        <w:rPr>
          <w:rFonts w:ascii="Arial" w:eastAsia="Arial" w:hAnsi="Arial" w:cs="Arial"/>
          <w:i/>
        </w:rPr>
        <w:t>Esta comisión podrá operativizarse en grupos de trabajo sobre la base de los ámbitos de intervención ya señalados (educativo, familiar, laboral y de ocio y tiempo libre), estableciéndose las reuniones según cada grupo de trabajo y tendrán como funciones pr</w:t>
      </w:r>
      <w:r>
        <w:rPr>
          <w:rFonts w:ascii="Arial" w:eastAsia="Arial" w:hAnsi="Arial" w:cs="Arial"/>
          <w:i/>
        </w:rPr>
        <w:t>oponer y elevar a la Comisión Mixta las siguientes cuestiones:</w:t>
      </w:r>
    </w:p>
    <w:p w:rsidR="00E23B86" w:rsidRDefault="00BA7C13">
      <w:pPr>
        <w:numPr>
          <w:ilvl w:val="0"/>
          <w:numId w:val="104"/>
        </w:numPr>
        <w:spacing w:after="111" w:line="251" w:lineRule="auto"/>
        <w:ind w:right="573" w:hanging="360"/>
        <w:jc w:val="both"/>
      </w:pPr>
      <w:r>
        <w:rPr>
          <w:rFonts w:ascii="Arial" w:eastAsia="Arial" w:hAnsi="Arial" w:cs="Arial"/>
          <w:i/>
        </w:rPr>
        <w:t>Nuevas propuestas de intervención.</w:t>
      </w:r>
    </w:p>
    <w:p w:rsidR="00E23B86" w:rsidRDefault="00BA7C13">
      <w:pPr>
        <w:numPr>
          <w:ilvl w:val="0"/>
          <w:numId w:val="104"/>
        </w:numPr>
        <w:spacing w:after="111" w:line="251" w:lineRule="auto"/>
        <w:ind w:right="573" w:hanging="360"/>
        <w:jc w:val="both"/>
      </w:pPr>
      <w:r>
        <w:rPr>
          <w:rFonts w:ascii="Arial" w:eastAsia="Arial" w:hAnsi="Arial" w:cs="Arial"/>
          <w:i/>
        </w:rPr>
        <w:t xml:space="preserve">La elaboración de diagnósticos y exposición de necesidades. </w:t>
      </w:r>
    </w:p>
    <w:p w:rsidR="00E23B86" w:rsidRDefault="00BA7C13">
      <w:pPr>
        <w:numPr>
          <w:ilvl w:val="0"/>
          <w:numId w:val="104"/>
        </w:numPr>
        <w:spacing w:after="111" w:line="251" w:lineRule="auto"/>
        <w:ind w:right="573" w:hanging="360"/>
        <w:jc w:val="both"/>
      </w:pPr>
      <w:r>
        <w:rPr>
          <w:rFonts w:ascii="Arial" w:eastAsia="Arial" w:hAnsi="Arial" w:cs="Arial"/>
          <w:i/>
        </w:rPr>
        <w:t>Estudios e Investigaciones.</w:t>
      </w:r>
    </w:p>
    <w:p w:rsidR="00E23B86" w:rsidRDefault="00BA7C13">
      <w:pPr>
        <w:numPr>
          <w:ilvl w:val="0"/>
          <w:numId w:val="104"/>
        </w:numPr>
        <w:spacing w:after="63" w:line="251" w:lineRule="auto"/>
        <w:ind w:right="573" w:hanging="360"/>
        <w:jc w:val="both"/>
      </w:pPr>
      <w:r>
        <w:rPr>
          <w:noProof/>
        </w:rPr>
        <mc:AlternateContent>
          <mc:Choice Requires="wpg">
            <w:drawing>
              <wp:anchor distT="0" distB="0" distL="114300" distR="114300" simplePos="0" relativeHeight="2518794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9576" name="Group 53957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816" name="Rectangle 3581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35817" name="Rectangle 3581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214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9576" style="width:12.7031pt;height:280.35pt;position:absolute;mso-position-horizontal-relative:page;mso-position-horizontal:absolute;margin-left:681.958pt;mso-position-vertical-relative:page;margin-top:531.65pt;" coordsize="1613,35604">
                <v:rect id="Rectangle 3581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81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214 de 391 </w:t>
                        </w:r>
                      </w:p>
                    </w:txbxContent>
                  </v:textbox>
                </v:rect>
                <w10:wrap type="square"/>
              </v:group>
            </w:pict>
          </mc:Fallback>
        </mc:AlternateContent>
      </w:r>
      <w:r>
        <w:rPr>
          <w:rFonts w:ascii="Arial" w:eastAsia="Arial" w:hAnsi="Arial" w:cs="Arial"/>
          <w:i/>
        </w:rPr>
        <w:t xml:space="preserve">Seguimiento y evaluación de las intervenciones llevadas en cada ámbito. </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317"/>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15.</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RECURSOS DEL IV PLAN  </w:t>
            </w:r>
          </w:p>
        </w:tc>
      </w:tr>
    </w:tbl>
    <w:p w:rsidR="00E23B86" w:rsidRDefault="00BA7C13">
      <w:pPr>
        <w:spacing w:after="111" w:line="251" w:lineRule="auto"/>
        <w:ind w:left="355" w:right="573" w:hanging="10"/>
        <w:jc w:val="both"/>
      </w:pPr>
      <w:r>
        <w:rPr>
          <w:rFonts w:ascii="Arial" w:eastAsia="Arial" w:hAnsi="Arial" w:cs="Arial"/>
          <w:i/>
        </w:rPr>
        <w:t>Para la implementación y ejecución del IV Plan Municipal de Prevención de Adicciones (2019-2023) del municipio de Candelaria, se dispondrá de los recursos ya existentes y se adjudicarán los recursos necesarios para desarrollar las medidas.</w:t>
      </w:r>
    </w:p>
    <w:p w:rsidR="00E23B86" w:rsidRDefault="00BA7C13">
      <w:pPr>
        <w:spacing w:after="111" w:line="251" w:lineRule="auto"/>
        <w:ind w:left="355" w:right="573" w:hanging="10"/>
        <w:jc w:val="both"/>
      </w:pPr>
      <w:r>
        <w:rPr>
          <w:rFonts w:ascii="Arial" w:eastAsia="Arial" w:hAnsi="Arial" w:cs="Arial"/>
          <w:i/>
        </w:rPr>
        <w:t>Como recursos re</w:t>
      </w:r>
      <w:r>
        <w:rPr>
          <w:rFonts w:ascii="Arial" w:eastAsia="Arial" w:hAnsi="Arial" w:cs="Arial"/>
          <w:i/>
        </w:rPr>
        <w:t>lacionados con el Plan que ya existen (sin dedicación exclusiva, responsables de otras áreas y funciones):</w:t>
      </w:r>
    </w:p>
    <w:p w:rsidR="00E23B86" w:rsidRDefault="00BA7C13">
      <w:pPr>
        <w:numPr>
          <w:ilvl w:val="1"/>
          <w:numId w:val="104"/>
        </w:numPr>
        <w:spacing w:after="167" w:line="251" w:lineRule="auto"/>
        <w:ind w:right="573" w:hanging="360"/>
        <w:jc w:val="both"/>
      </w:pPr>
      <w:r>
        <w:rPr>
          <w:rFonts w:ascii="Arial" w:eastAsia="Arial" w:hAnsi="Arial" w:cs="Arial"/>
          <w:i/>
        </w:rPr>
        <w:t>1 Trabajadora Social (responsable del Plan)</w:t>
      </w:r>
    </w:p>
    <w:p w:rsidR="00E23B86" w:rsidRDefault="00BA7C13">
      <w:pPr>
        <w:numPr>
          <w:ilvl w:val="1"/>
          <w:numId w:val="104"/>
        </w:numPr>
        <w:spacing w:after="169" w:line="251" w:lineRule="auto"/>
        <w:ind w:right="573" w:hanging="360"/>
        <w:jc w:val="both"/>
      </w:pPr>
      <w:r>
        <w:rPr>
          <w:rFonts w:ascii="Arial" w:eastAsia="Arial" w:hAnsi="Arial" w:cs="Arial"/>
          <w:i/>
        </w:rPr>
        <w:t xml:space="preserve">1 Pedagoga </w:t>
      </w:r>
    </w:p>
    <w:p w:rsidR="00E23B86" w:rsidRDefault="00BA7C13">
      <w:pPr>
        <w:numPr>
          <w:ilvl w:val="1"/>
          <w:numId w:val="104"/>
        </w:numPr>
        <w:spacing w:after="595" w:line="251" w:lineRule="auto"/>
        <w:ind w:right="573" w:hanging="360"/>
        <w:jc w:val="both"/>
      </w:pPr>
      <w:r>
        <w:rPr>
          <w:rFonts w:ascii="Arial" w:eastAsia="Arial" w:hAnsi="Arial" w:cs="Arial"/>
          <w:i/>
        </w:rPr>
        <w:t xml:space="preserve">1 Trabajadora Social   </w:t>
      </w:r>
    </w:p>
    <w:p w:rsidR="00E23B86" w:rsidRDefault="00BA7C13">
      <w:pPr>
        <w:spacing w:after="163" w:line="251" w:lineRule="auto"/>
        <w:ind w:left="355" w:right="573" w:hanging="10"/>
        <w:jc w:val="both"/>
      </w:pPr>
      <w:r>
        <w:rPr>
          <w:rFonts w:ascii="Arial" w:eastAsia="Arial" w:hAnsi="Arial" w:cs="Arial"/>
          <w:i/>
        </w:rPr>
        <w:t>Como recursos relacionados con el Plan, que no existen y sería necesa</w:t>
      </w:r>
      <w:r>
        <w:rPr>
          <w:rFonts w:ascii="Arial" w:eastAsia="Arial" w:hAnsi="Arial" w:cs="Arial"/>
          <w:i/>
        </w:rPr>
        <w:t>rio implementar:</w:t>
      </w:r>
    </w:p>
    <w:p w:rsidR="00E23B86" w:rsidRDefault="00BA7C13">
      <w:pPr>
        <w:numPr>
          <w:ilvl w:val="1"/>
          <w:numId w:val="104"/>
        </w:numPr>
        <w:spacing w:after="169" w:line="251" w:lineRule="auto"/>
        <w:ind w:right="573" w:hanging="360"/>
        <w:jc w:val="both"/>
      </w:pPr>
      <w:r>
        <w:rPr>
          <w:rFonts w:ascii="Arial" w:eastAsia="Arial" w:hAnsi="Arial" w:cs="Arial"/>
          <w:i/>
        </w:rPr>
        <w:t>Educadores/as de calle para trabajar en los barrios.</w:t>
      </w:r>
    </w:p>
    <w:p w:rsidR="00E23B86" w:rsidRDefault="00BA7C13">
      <w:pPr>
        <w:numPr>
          <w:ilvl w:val="1"/>
          <w:numId w:val="104"/>
        </w:numPr>
        <w:spacing w:after="163" w:line="251" w:lineRule="auto"/>
        <w:ind w:right="573" w:hanging="360"/>
        <w:jc w:val="both"/>
      </w:pPr>
      <w:r>
        <w:rPr>
          <w:rFonts w:ascii="Arial" w:eastAsia="Arial" w:hAnsi="Arial" w:cs="Arial"/>
          <w:i/>
        </w:rPr>
        <w:t>Equipo de expertos con perfiles de trabajadores/as sociales, Psicólogos/as y expertos/as en familia para ofertar servicios de atención temprana, asesoramiento, etc.</w:t>
      </w:r>
    </w:p>
    <w:p w:rsidR="00E23B86" w:rsidRDefault="00BA7C13">
      <w:pPr>
        <w:numPr>
          <w:ilvl w:val="1"/>
          <w:numId w:val="104"/>
        </w:numPr>
        <w:spacing w:after="111" w:line="251" w:lineRule="auto"/>
        <w:ind w:right="573" w:hanging="360"/>
        <w:jc w:val="both"/>
      </w:pPr>
      <w:r>
        <w:rPr>
          <w:rFonts w:ascii="Arial" w:eastAsia="Arial" w:hAnsi="Arial" w:cs="Arial"/>
          <w:i/>
        </w:rPr>
        <w:t>Experto/a en redes sociales para gestionar la prevención desde un ámbito virtual.</w:t>
      </w:r>
    </w:p>
    <w:p w:rsidR="00E23B86" w:rsidRDefault="00BA7C13">
      <w:pPr>
        <w:numPr>
          <w:ilvl w:val="1"/>
          <w:numId w:val="104"/>
        </w:numPr>
        <w:spacing w:after="162" w:line="251" w:lineRule="auto"/>
        <w:ind w:right="573" w:hanging="360"/>
        <w:jc w:val="both"/>
      </w:pPr>
      <w:r>
        <w:rPr>
          <w:rFonts w:ascii="Arial" w:eastAsia="Arial" w:hAnsi="Arial" w:cs="Arial"/>
          <w:i/>
        </w:rPr>
        <w:t>Contratación de servicios para asesorar, evaluar e investigar sobre prevención de adicciones.</w:t>
      </w:r>
    </w:p>
    <w:p w:rsidR="00E23B86" w:rsidRDefault="00BA7C13">
      <w:pPr>
        <w:numPr>
          <w:ilvl w:val="1"/>
          <w:numId w:val="104"/>
        </w:numPr>
        <w:spacing w:after="590" w:line="251" w:lineRule="auto"/>
        <w:ind w:right="573" w:hanging="360"/>
        <w:jc w:val="both"/>
      </w:pPr>
      <w:r>
        <w:rPr>
          <w:rFonts w:ascii="Arial" w:eastAsia="Arial" w:hAnsi="Arial" w:cs="Arial"/>
          <w:i/>
        </w:rPr>
        <w:t>Recursos presupuestarios para contratar servicios de publicidad, edición de foll</w:t>
      </w:r>
      <w:r>
        <w:rPr>
          <w:rFonts w:ascii="Arial" w:eastAsia="Arial" w:hAnsi="Arial" w:cs="Arial"/>
          <w:i/>
        </w:rPr>
        <w:t>etos, cursos, talleres, charlas, etc. en el ámbito comunitario y educativo.</w:t>
      </w:r>
    </w:p>
    <w:p w:rsidR="00E23B86" w:rsidRDefault="00BA7C13">
      <w:pPr>
        <w:spacing w:after="111" w:line="251" w:lineRule="auto"/>
        <w:ind w:left="355" w:right="573" w:hanging="10"/>
        <w:jc w:val="both"/>
      </w:pPr>
      <w:r>
        <w:rPr>
          <w:rFonts w:ascii="Arial" w:eastAsia="Arial" w:hAnsi="Arial" w:cs="Arial"/>
          <w:i/>
        </w:rPr>
        <w:t xml:space="preserve">El Ayuntamiento de Candelaria cuanta con la aplicación presupuestaria 23100.22616 correspondiente a la Unidad de Prevención, Absentismo y Drogodependencias, así como la aplicación </w:t>
      </w:r>
      <w:r>
        <w:rPr>
          <w:rFonts w:ascii="Arial" w:eastAsia="Arial" w:hAnsi="Arial" w:cs="Arial"/>
          <w:i/>
        </w:rPr>
        <w:t xml:space="preserve">23100.48002 de Prevención y Reinserción del Plan Concertado de Prestaciones Básicas de los Servicios Sociales Municipales. </w:t>
      </w:r>
    </w:p>
    <w:p w:rsidR="00E23B86" w:rsidRDefault="00BA7C13">
      <w:pPr>
        <w:spacing w:after="111" w:line="251" w:lineRule="auto"/>
        <w:ind w:left="355" w:right="573" w:hanging="10"/>
        <w:jc w:val="both"/>
      </w:pPr>
      <w:r>
        <w:rPr>
          <w:rFonts w:ascii="Arial" w:eastAsia="Arial" w:hAnsi="Arial" w:cs="Arial"/>
          <w:i/>
        </w:rPr>
        <w:t xml:space="preserve">Así mismo, deberá dotar de los recursos materiales necesarios para el desarrollo de las actuaciones de dicho Plan. </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317"/>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16.</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EVALUACIÓN Y</w:t>
            </w:r>
            <w:r>
              <w:rPr>
                <w:rFonts w:ascii="Arial" w:eastAsia="Arial" w:hAnsi="Arial" w:cs="Arial"/>
                <w:i/>
              </w:rPr>
              <w:t xml:space="preserve"> SEGUIMIENTO DEL PLAN </w:t>
            </w:r>
          </w:p>
        </w:tc>
      </w:tr>
    </w:tbl>
    <w:p w:rsidR="00E23B86" w:rsidRDefault="00BA7C13">
      <w:pPr>
        <w:spacing w:after="111" w:line="251" w:lineRule="auto"/>
        <w:ind w:left="355" w:right="573" w:hanging="10"/>
        <w:jc w:val="both"/>
      </w:pPr>
      <w:r>
        <w:rPr>
          <w:rFonts w:ascii="Arial" w:eastAsia="Arial" w:hAnsi="Arial" w:cs="Arial"/>
          <w:i/>
        </w:rPr>
        <w:t xml:space="preserve">El IV Plan Municipal de Prevención de Drogodependencias y otras Adicciones (20192023) del municipio de Candelaria, precisa de un sistema de evaluación y seguimiento que garantice el logro de los objetivos marcados. </w:t>
      </w:r>
    </w:p>
    <w:p w:rsidR="00E23B86" w:rsidRDefault="00BA7C13">
      <w:pPr>
        <w:spacing w:after="144" w:line="251" w:lineRule="auto"/>
        <w:ind w:left="355" w:right="573" w:hanging="10"/>
        <w:jc w:val="both"/>
      </w:pPr>
      <w:r>
        <w:rPr>
          <w:rFonts w:ascii="Arial" w:eastAsia="Arial" w:hAnsi="Arial" w:cs="Arial"/>
          <w:i/>
        </w:rPr>
        <w:t xml:space="preserve">Los objetivos de la evaluación serán: </w:t>
      </w:r>
    </w:p>
    <w:p w:rsidR="00E23B86" w:rsidRDefault="00BA7C13">
      <w:pPr>
        <w:numPr>
          <w:ilvl w:val="0"/>
          <w:numId w:val="104"/>
        </w:numPr>
        <w:spacing w:after="146" w:line="251" w:lineRule="auto"/>
        <w:ind w:right="573" w:hanging="360"/>
        <w:jc w:val="both"/>
      </w:pPr>
      <w:r>
        <w:rPr>
          <w:rFonts w:ascii="Arial" w:eastAsia="Arial" w:hAnsi="Arial" w:cs="Arial"/>
          <w:i/>
        </w:rPr>
        <w:t>Evaluar la ejecución de las acciones de las distintas estrategias del Plan Municipal tanto en su diseño, proceso, resultados e impacto.</w:t>
      </w:r>
    </w:p>
    <w:p w:rsidR="00E23B86" w:rsidRDefault="00BA7C13">
      <w:pPr>
        <w:numPr>
          <w:ilvl w:val="0"/>
          <w:numId w:val="104"/>
        </w:numPr>
        <w:spacing w:after="111" w:line="251" w:lineRule="auto"/>
        <w:ind w:right="573" w:hanging="360"/>
        <w:jc w:val="both"/>
      </w:pPr>
      <w:r>
        <w:rPr>
          <w:noProof/>
        </w:rPr>
        <mc:AlternateContent>
          <mc:Choice Requires="wpg">
            <w:drawing>
              <wp:anchor distT="0" distB="0" distL="114300" distR="114300" simplePos="0" relativeHeight="2518804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0962" name="Group 54096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895" name="Rectangle 3589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w:t>
                              </w:r>
                              <w:r>
                                <w:rPr>
                                  <w:rFonts w:ascii="Arial" w:eastAsia="Arial" w:hAnsi="Arial" w:cs="Arial"/>
                                  <w:sz w:val="12"/>
                                </w:rPr>
                                <w:t xml:space="preserve">sedelectronica.es/ </w:t>
                              </w:r>
                            </w:p>
                          </w:txbxContent>
                        </wps:txbx>
                        <wps:bodyPr horzOverflow="overflow" vert="horz" lIns="0" tIns="0" rIns="0" bIns="0" rtlCol="0">
                          <a:noAutofit/>
                        </wps:bodyPr>
                      </wps:wsp>
                      <wps:wsp>
                        <wps:cNvPr id="35896" name="Rectangle 3589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215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0962" style="width:12.7031pt;height:280.35pt;position:absolute;mso-position-horizontal-relative:page;mso-position-horizontal:absolute;margin-left:681.958pt;mso-position-vertical-relative:page;margin-top:531.65pt;" coordsize="1613,35604">
                <v:rect id="Rectangle 3589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89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215 de 391 </w:t>
                        </w:r>
                      </w:p>
                    </w:txbxContent>
                  </v:textbox>
                </v:rect>
                <w10:wrap type="square"/>
              </v:group>
            </w:pict>
          </mc:Fallback>
        </mc:AlternateContent>
      </w:r>
      <w:r>
        <w:rPr>
          <w:rFonts w:ascii="Arial" w:eastAsia="Arial" w:hAnsi="Arial" w:cs="Arial"/>
          <w:i/>
        </w:rPr>
        <w:t>Hacer partícipes del proceso evaluativo a los/as técnicos/as, agentes sociales participantes y a la población.</w:t>
      </w:r>
    </w:p>
    <w:p w:rsidR="00E23B86" w:rsidRDefault="00BA7C13">
      <w:pPr>
        <w:spacing w:after="147" w:line="251" w:lineRule="auto"/>
        <w:ind w:left="355" w:right="573" w:hanging="10"/>
        <w:jc w:val="both"/>
      </w:pPr>
      <w:r>
        <w:rPr>
          <w:rFonts w:ascii="Arial" w:eastAsia="Arial" w:hAnsi="Arial" w:cs="Arial"/>
          <w:i/>
        </w:rPr>
        <w:t>Como procedimiento para evaluar y hacer un seguimiento del mismo se tendrán en cuenta los siguientes aspectos:</w:t>
      </w:r>
    </w:p>
    <w:p w:rsidR="00E23B86" w:rsidRDefault="00BA7C13">
      <w:pPr>
        <w:numPr>
          <w:ilvl w:val="0"/>
          <w:numId w:val="104"/>
        </w:numPr>
        <w:spacing w:after="146" w:line="251" w:lineRule="auto"/>
        <w:ind w:right="573" w:hanging="360"/>
        <w:jc w:val="both"/>
      </w:pPr>
      <w:r>
        <w:rPr>
          <w:rFonts w:ascii="Arial" w:eastAsia="Arial" w:hAnsi="Arial" w:cs="Arial"/>
          <w:i/>
        </w:rPr>
        <w:t>Comprobación de los indicadores de las medidas, acciones y actividades de la Planificación.</w:t>
      </w:r>
    </w:p>
    <w:p w:rsidR="00E23B86" w:rsidRDefault="00BA7C13">
      <w:pPr>
        <w:numPr>
          <w:ilvl w:val="0"/>
          <w:numId w:val="104"/>
        </w:numPr>
        <w:spacing w:after="111" w:line="251" w:lineRule="auto"/>
        <w:ind w:right="573" w:hanging="360"/>
        <w:jc w:val="both"/>
      </w:pPr>
      <w:r>
        <w:rPr>
          <w:rFonts w:ascii="Arial" w:eastAsia="Arial" w:hAnsi="Arial" w:cs="Arial"/>
          <w:i/>
        </w:rPr>
        <w:t>Evaluación externa de los resultados de la evaluación</w:t>
      </w:r>
      <w:r>
        <w:rPr>
          <w:rFonts w:ascii="Arial" w:eastAsia="Arial" w:hAnsi="Arial" w:cs="Arial"/>
          <w:i/>
        </w:rPr>
        <w:t>.</w:t>
      </w:r>
    </w:p>
    <w:p w:rsidR="00E23B86" w:rsidRDefault="00BA7C13">
      <w:pPr>
        <w:numPr>
          <w:ilvl w:val="0"/>
          <w:numId w:val="104"/>
        </w:numPr>
        <w:spacing w:after="111" w:line="251" w:lineRule="auto"/>
        <w:ind w:right="573" w:hanging="360"/>
        <w:jc w:val="both"/>
      </w:pPr>
      <w:r>
        <w:rPr>
          <w:rFonts w:ascii="Arial" w:eastAsia="Arial" w:hAnsi="Arial" w:cs="Arial"/>
          <w:i/>
        </w:rPr>
        <w:t>Presentación de informe anual ante la Comisión Municipal y Comisión Mixta órganos de control y seguimiento del IV Plan Municipal en Drogodependencias y otras Adicciones.</w:t>
      </w:r>
    </w:p>
    <w:p w:rsidR="00E23B86" w:rsidRDefault="00BA7C13">
      <w:pPr>
        <w:spacing w:after="157" w:line="251" w:lineRule="auto"/>
        <w:ind w:left="355" w:right="573" w:hanging="10"/>
        <w:jc w:val="both"/>
      </w:pPr>
      <w:r>
        <w:rPr>
          <w:rFonts w:ascii="Arial" w:eastAsia="Arial" w:hAnsi="Arial" w:cs="Arial"/>
          <w:i/>
        </w:rPr>
        <w:t>A continuación, se recogen los indicadores de evaluación a tener en cuenta para la e</w:t>
      </w:r>
      <w:r>
        <w:rPr>
          <w:rFonts w:ascii="Arial" w:eastAsia="Arial" w:hAnsi="Arial" w:cs="Arial"/>
          <w:i/>
        </w:rPr>
        <w:t xml:space="preserve">valuación del proceso y resultados del IV Plan Municipal y que concreta en: </w:t>
      </w:r>
      <w:r>
        <w:rPr>
          <w:rFonts w:ascii="Segoe UI Symbol" w:eastAsia="Segoe UI Symbol" w:hAnsi="Segoe UI Symbol" w:cs="Segoe UI Symbol"/>
        </w:rPr>
        <w:t xml:space="preserve"> </w:t>
      </w:r>
      <w:r>
        <w:rPr>
          <w:rFonts w:ascii="Arial" w:eastAsia="Arial" w:hAnsi="Arial" w:cs="Arial"/>
          <w:i/>
        </w:rPr>
        <w:t xml:space="preserve">Grado de cobertura de población con las acciones preventivas. </w:t>
      </w:r>
    </w:p>
    <w:p w:rsidR="00E23B86" w:rsidRDefault="00BA7C13">
      <w:pPr>
        <w:numPr>
          <w:ilvl w:val="0"/>
          <w:numId w:val="105"/>
        </w:numPr>
        <w:spacing w:after="166" w:line="251" w:lineRule="auto"/>
        <w:ind w:right="573" w:hanging="360"/>
        <w:jc w:val="both"/>
      </w:pPr>
      <w:r>
        <w:rPr>
          <w:rFonts w:ascii="Arial" w:eastAsia="Arial" w:hAnsi="Arial" w:cs="Arial"/>
          <w:i/>
        </w:rPr>
        <w:t xml:space="preserve">Tipología de las acciones preventivas ejecutadas. </w:t>
      </w:r>
    </w:p>
    <w:p w:rsidR="00E23B86" w:rsidRDefault="00BA7C13">
      <w:pPr>
        <w:numPr>
          <w:ilvl w:val="0"/>
          <w:numId w:val="105"/>
        </w:numPr>
        <w:spacing w:after="166" w:line="251" w:lineRule="auto"/>
        <w:ind w:right="573" w:hanging="360"/>
        <w:jc w:val="both"/>
      </w:pPr>
      <w:r>
        <w:rPr>
          <w:rFonts w:ascii="Arial" w:eastAsia="Arial" w:hAnsi="Arial" w:cs="Arial"/>
          <w:i/>
        </w:rPr>
        <w:t>Beneficiarios/as de las acciones (perfil).</w:t>
      </w:r>
    </w:p>
    <w:p w:rsidR="00E23B86" w:rsidRDefault="00BA7C13">
      <w:pPr>
        <w:numPr>
          <w:ilvl w:val="0"/>
          <w:numId w:val="105"/>
        </w:numPr>
        <w:spacing w:after="166" w:line="251" w:lineRule="auto"/>
        <w:ind w:right="573" w:hanging="360"/>
        <w:jc w:val="both"/>
      </w:pPr>
      <w:r>
        <w:rPr>
          <w:rFonts w:ascii="Arial" w:eastAsia="Arial" w:hAnsi="Arial" w:cs="Arial"/>
          <w:i/>
        </w:rPr>
        <w:t>Participación, coordinación y diseño de actuaciones conjuntas.</w:t>
      </w:r>
    </w:p>
    <w:p w:rsidR="00E23B86" w:rsidRDefault="00BA7C13">
      <w:pPr>
        <w:numPr>
          <w:ilvl w:val="0"/>
          <w:numId w:val="105"/>
        </w:numPr>
        <w:spacing w:after="166" w:line="251" w:lineRule="auto"/>
        <w:ind w:right="573" w:hanging="360"/>
        <w:jc w:val="both"/>
      </w:pPr>
      <w:r>
        <w:rPr>
          <w:rFonts w:ascii="Arial" w:eastAsia="Arial" w:hAnsi="Arial" w:cs="Arial"/>
          <w:i/>
        </w:rPr>
        <w:t xml:space="preserve">Procesos básicos, de recursos y avanzados de gestión llevados a cabo. </w:t>
      </w:r>
    </w:p>
    <w:p w:rsidR="00E23B86" w:rsidRDefault="00BA7C13">
      <w:pPr>
        <w:numPr>
          <w:ilvl w:val="0"/>
          <w:numId w:val="105"/>
        </w:numPr>
        <w:spacing w:after="166" w:line="251" w:lineRule="auto"/>
        <w:ind w:right="573" w:hanging="360"/>
        <w:jc w:val="both"/>
      </w:pPr>
      <w:r>
        <w:rPr>
          <w:rFonts w:ascii="Arial" w:eastAsia="Arial" w:hAnsi="Arial" w:cs="Arial"/>
          <w:i/>
        </w:rPr>
        <w:t xml:space="preserve">Valoración de las acciones por parte de los/as participantes. </w:t>
      </w:r>
    </w:p>
    <w:p w:rsidR="00E23B86" w:rsidRDefault="00BA7C13">
      <w:pPr>
        <w:numPr>
          <w:ilvl w:val="0"/>
          <w:numId w:val="105"/>
        </w:numPr>
        <w:spacing w:after="111" w:line="251" w:lineRule="auto"/>
        <w:ind w:right="573" w:hanging="360"/>
        <w:jc w:val="both"/>
      </w:pPr>
      <w:r>
        <w:rPr>
          <w:rFonts w:ascii="Arial" w:eastAsia="Arial" w:hAnsi="Arial" w:cs="Arial"/>
          <w:i/>
        </w:rPr>
        <w:t>Nuevas propuestas y acciones y tipología.</w:t>
      </w:r>
    </w:p>
    <w:p w:rsidR="00E23B86" w:rsidRDefault="00BA7C13">
      <w:pPr>
        <w:numPr>
          <w:ilvl w:val="0"/>
          <w:numId w:val="105"/>
        </w:numPr>
        <w:spacing w:after="198" w:line="251" w:lineRule="auto"/>
        <w:ind w:right="573" w:hanging="360"/>
        <w:jc w:val="both"/>
      </w:pPr>
      <w:r>
        <w:rPr>
          <w:rFonts w:ascii="Arial" w:eastAsia="Arial" w:hAnsi="Arial" w:cs="Arial"/>
          <w:i/>
        </w:rPr>
        <w:t>Comprobación de cambios o mejorías de indicadores epidemiológicos en el ámbito municipal.</w:t>
      </w:r>
    </w:p>
    <w:p w:rsidR="00E23B86" w:rsidRDefault="00BA7C13">
      <w:pPr>
        <w:numPr>
          <w:ilvl w:val="0"/>
          <w:numId w:val="105"/>
        </w:numPr>
        <w:spacing w:after="150" w:line="251" w:lineRule="auto"/>
        <w:ind w:right="573" w:hanging="360"/>
        <w:jc w:val="both"/>
      </w:pPr>
      <w:r>
        <w:rPr>
          <w:rFonts w:ascii="Arial" w:eastAsia="Arial" w:hAnsi="Arial" w:cs="Arial"/>
          <w:i/>
        </w:rPr>
        <w:t>Número de acciones diseñadas que han sido ejecutadas.”</w:t>
      </w:r>
    </w:p>
    <w:p w:rsidR="00E23B86" w:rsidRDefault="00BA7C13">
      <w:pPr>
        <w:spacing w:after="171" w:line="251" w:lineRule="auto"/>
        <w:ind w:left="345" w:right="573" w:firstLine="360"/>
        <w:jc w:val="both"/>
      </w:pPr>
      <w:r>
        <w:rPr>
          <w:rFonts w:ascii="Arial" w:eastAsia="Arial" w:hAnsi="Arial" w:cs="Arial"/>
          <w:i/>
        </w:rPr>
        <w:t>Segundo. - Remitir anuncio al Boletín Oficial de la Provincia de Santa Cruz de Tenerife al objeto de la informa</w:t>
      </w:r>
      <w:r>
        <w:rPr>
          <w:rFonts w:ascii="Arial" w:eastAsia="Arial" w:hAnsi="Arial" w:cs="Arial"/>
          <w:i/>
        </w:rPr>
        <w:t>ción pública y audiencia a los interesados por el plazo de treinta días hábiles desde el día siguiente a la publicación de dicho anuncio para la presentación de reclamaciones y sugerencias.</w:t>
      </w:r>
    </w:p>
    <w:p w:rsidR="00E23B86" w:rsidRDefault="00BA7C13">
      <w:pPr>
        <w:spacing w:after="171" w:line="251" w:lineRule="auto"/>
        <w:ind w:left="345" w:right="573" w:firstLine="360"/>
        <w:jc w:val="both"/>
      </w:pPr>
      <w:r>
        <w:rPr>
          <w:rFonts w:ascii="Arial" w:eastAsia="Arial" w:hAnsi="Arial" w:cs="Arial"/>
          <w:i/>
        </w:rPr>
        <w:t>En el caso de que no se hubiera presentado ninguna reclamación o s</w:t>
      </w:r>
      <w:r>
        <w:rPr>
          <w:rFonts w:ascii="Arial" w:eastAsia="Arial" w:hAnsi="Arial" w:cs="Arial"/>
          <w:i/>
        </w:rPr>
        <w:t>ugerencia, se entenderá definitivamente adoptado el presente acuerdo hasta entonces provisional.”</w:t>
      </w:r>
    </w:p>
    <w:p w:rsidR="00E23B86" w:rsidRDefault="00BA7C13">
      <w:pPr>
        <w:spacing w:after="1105" w:line="248" w:lineRule="auto"/>
        <w:ind w:left="363" w:right="552" w:firstLine="696"/>
        <w:jc w:val="both"/>
      </w:pPr>
      <w:r>
        <w:rPr>
          <w:rFonts w:ascii="Arial" w:eastAsia="Arial" w:hAnsi="Arial" w:cs="Arial"/>
        </w:rPr>
        <w:t>Vista la propuesta anterior, esta Concejalía fórmula propuesta de acuerdo a adoptar por el Ayuntamiento Pleno en iguales términos.”</w:t>
      </w:r>
    </w:p>
    <w:p w:rsidR="00E23B86" w:rsidRDefault="00BA7C13">
      <w:pPr>
        <w:spacing w:after="855" w:line="249" w:lineRule="auto"/>
        <w:ind w:left="355" w:right="554" w:hanging="10"/>
        <w:jc w:val="both"/>
      </w:pPr>
      <w:r>
        <w:rPr>
          <w:rFonts w:ascii="Arial" w:eastAsia="Arial" w:hAnsi="Arial" w:cs="Arial"/>
        </w:rPr>
        <w:t xml:space="preserve">  </w:t>
      </w:r>
      <w:r>
        <w:rPr>
          <w:rFonts w:ascii="Arial" w:eastAsia="Arial" w:hAnsi="Arial" w:cs="Arial"/>
          <w:b/>
        </w:rPr>
        <w:t xml:space="preserve">Consta en el expediente </w:t>
      </w:r>
      <w:r>
        <w:rPr>
          <w:rFonts w:ascii="Arial" w:eastAsia="Arial" w:hAnsi="Arial" w:cs="Arial"/>
          <w:b/>
        </w:rPr>
        <w:t>informe jurídico emitido por Doña Corina Marrero Déniz, que desempeña el puesto de trabajo de Jurista, de 13 de febrero de 2020, del siguiente tenor literal:</w:t>
      </w:r>
    </w:p>
    <w:p w:rsidR="00E23B86" w:rsidRDefault="00BA7C13">
      <w:pPr>
        <w:spacing w:after="467" w:line="265" w:lineRule="auto"/>
        <w:ind w:left="359" w:right="843" w:hanging="10"/>
        <w:jc w:val="center"/>
      </w:pPr>
      <w:r>
        <w:rPr>
          <w:noProof/>
        </w:rPr>
        <mc:AlternateContent>
          <mc:Choice Requires="wpg">
            <w:drawing>
              <wp:anchor distT="0" distB="0" distL="114300" distR="114300" simplePos="0" relativeHeight="2518814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3522" name="Group 53352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5981" name="Rectangle 3598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35982" name="Rectangle 3598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216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3522" style="width:12.7031pt;height:280.35pt;position:absolute;mso-position-horizontal-relative:page;mso-position-horizontal:absolute;margin-left:681.958pt;mso-position-vertical-relative:page;margin-top:531.65pt;" coordsize="1613,35604">
                <v:rect id="Rectangle 3598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598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216 de 391 </w:t>
                        </w:r>
                      </w:p>
                    </w:txbxContent>
                  </v:textbox>
                </v:rect>
                <w10:wrap type="square"/>
              </v:group>
            </w:pict>
          </mc:Fallback>
        </mc:AlternateContent>
      </w:r>
      <w:r>
        <w:rPr>
          <w:rFonts w:ascii="Arial" w:eastAsia="Arial" w:hAnsi="Arial" w:cs="Arial"/>
        </w:rPr>
        <w:t xml:space="preserve">“INFORME                            </w:t>
      </w:r>
    </w:p>
    <w:p w:rsidR="00E23B86" w:rsidRDefault="00BA7C13">
      <w:pPr>
        <w:spacing w:after="485" w:line="248" w:lineRule="auto"/>
        <w:ind w:left="373" w:right="552" w:hanging="10"/>
        <w:jc w:val="both"/>
      </w:pPr>
      <w:r>
        <w:rPr>
          <w:rFonts w:ascii="Arial" w:eastAsia="Arial" w:hAnsi="Arial" w:cs="Arial"/>
        </w:rPr>
        <w:t>Visto el expediente relativo a la aprobación del IV Plan Municipal de Prevención de Adicciones 2019-2023, se emite el siguiente informe:</w:t>
      </w:r>
    </w:p>
    <w:p w:rsidR="00E23B86" w:rsidRDefault="00BA7C13">
      <w:pPr>
        <w:spacing w:after="467" w:line="265" w:lineRule="auto"/>
        <w:ind w:left="359" w:right="553" w:hanging="10"/>
        <w:jc w:val="center"/>
      </w:pPr>
      <w:r>
        <w:rPr>
          <w:rFonts w:ascii="Arial" w:eastAsia="Arial" w:hAnsi="Arial" w:cs="Arial"/>
        </w:rPr>
        <w:t>ANTECEDENTES DE HECHO</w:t>
      </w:r>
    </w:p>
    <w:p w:rsidR="00E23B86" w:rsidRDefault="00BA7C13">
      <w:pPr>
        <w:spacing w:after="485" w:line="248" w:lineRule="auto"/>
        <w:ind w:left="373" w:right="552" w:hanging="10"/>
        <w:jc w:val="both"/>
      </w:pPr>
      <w:r>
        <w:rPr>
          <w:rFonts w:ascii="Arial" w:eastAsia="Arial" w:hAnsi="Arial" w:cs="Arial"/>
        </w:rPr>
        <w:t>Primero. - Mediante providencia de la Concejala delegada de Servicios Sociales de fecha 10 de dic</w:t>
      </w:r>
      <w:r>
        <w:rPr>
          <w:rFonts w:ascii="Arial" w:eastAsia="Arial" w:hAnsi="Arial" w:cs="Arial"/>
        </w:rPr>
        <w:t>iembre de 2019, se propone la tramitación del correspondiente expediente para la aprobación por el Ayuntamiento Pleno del IV Plan Municipal de Prevención de Adicciones 2019-2023.</w:t>
      </w:r>
    </w:p>
    <w:p w:rsidR="00E23B86" w:rsidRDefault="00BA7C13">
      <w:pPr>
        <w:spacing w:after="110" w:line="248" w:lineRule="auto"/>
        <w:ind w:left="373" w:right="552" w:hanging="10"/>
        <w:jc w:val="both"/>
      </w:pPr>
      <w:r>
        <w:rPr>
          <w:rFonts w:ascii="Arial" w:eastAsia="Arial" w:hAnsi="Arial" w:cs="Arial"/>
        </w:rPr>
        <w:t>Segundo.- Consta en el expediente borrador del IV Plan de Prevención de Adicc</w:t>
      </w:r>
      <w:r>
        <w:rPr>
          <w:rFonts w:ascii="Arial" w:eastAsia="Arial" w:hAnsi="Arial" w:cs="Arial"/>
        </w:rPr>
        <w:t>iones del siguiente tenor literal:</w:t>
      </w:r>
    </w:p>
    <w:p w:rsidR="00E23B86" w:rsidRDefault="00BA7C13">
      <w:pPr>
        <w:spacing w:after="111" w:line="249" w:lineRule="auto"/>
        <w:ind w:left="336" w:right="551" w:hanging="10"/>
        <w:jc w:val="center"/>
      </w:pPr>
      <w:r>
        <w:rPr>
          <w:rFonts w:ascii="Arial" w:eastAsia="Arial" w:hAnsi="Arial" w:cs="Arial"/>
          <w:i/>
        </w:rPr>
        <w:t>“IV Plan Municipal de Prevención de Adicciones (2019-2023) del municipio de la Villa de Candelaria</w:t>
      </w:r>
    </w:p>
    <w:p w:rsidR="00E23B86" w:rsidRDefault="00BA7C13">
      <w:pPr>
        <w:spacing w:after="182" w:line="251" w:lineRule="auto"/>
        <w:ind w:left="355" w:right="573" w:hanging="10"/>
        <w:jc w:val="both"/>
      </w:pPr>
      <w:r>
        <w:rPr>
          <w:rFonts w:ascii="Arial" w:eastAsia="Arial" w:hAnsi="Arial" w:cs="Arial"/>
          <w:i/>
          <w:u w:val="single" w:color="000000"/>
        </w:rPr>
        <w:t xml:space="preserve">Equipo Técnico Municipal </w:t>
      </w:r>
      <w:r>
        <w:rPr>
          <w:rFonts w:ascii="Segoe UI Symbol" w:eastAsia="Segoe UI Symbol" w:hAnsi="Segoe UI Symbol" w:cs="Segoe UI Symbol"/>
          <w:sz w:val="24"/>
        </w:rPr>
        <w:t xml:space="preserve"> </w:t>
      </w:r>
      <w:r>
        <w:rPr>
          <w:rFonts w:ascii="Arial" w:eastAsia="Arial" w:hAnsi="Arial" w:cs="Arial"/>
          <w:i/>
        </w:rPr>
        <w:t>Jessica Castillo Betancor. Trabajadora Social del Ayuntamiento de Candelaria. Especialista en E</w:t>
      </w:r>
      <w:r>
        <w:rPr>
          <w:rFonts w:ascii="Arial" w:eastAsia="Arial" w:hAnsi="Arial" w:cs="Arial"/>
          <w:i/>
        </w:rPr>
        <w:t>laboración de Planes de Prevención de Drogodependencias y Adicciones.</w:t>
      </w:r>
    </w:p>
    <w:p w:rsidR="00E23B86" w:rsidRDefault="00BA7C13">
      <w:pPr>
        <w:numPr>
          <w:ilvl w:val="0"/>
          <w:numId w:val="106"/>
        </w:numPr>
        <w:spacing w:after="111" w:line="251" w:lineRule="auto"/>
        <w:ind w:right="573" w:hanging="360"/>
        <w:jc w:val="both"/>
      </w:pPr>
      <w:r>
        <w:rPr>
          <w:rFonts w:ascii="Arial" w:eastAsia="Arial" w:hAnsi="Arial" w:cs="Arial"/>
          <w:i/>
        </w:rPr>
        <w:t>Mª Begoña Rodríguez Pérez. Pedagoga del Ayuntamiento de Candelaria. Agente de Desarrollo (Diseño de Proyectos y Elaboración de Planes de Intervención).</w:t>
      </w:r>
    </w:p>
    <w:p w:rsidR="00E23B86" w:rsidRDefault="00BA7C13">
      <w:pPr>
        <w:numPr>
          <w:ilvl w:val="0"/>
          <w:numId w:val="106"/>
        </w:numPr>
        <w:spacing w:after="150" w:line="251" w:lineRule="auto"/>
        <w:ind w:right="573" w:hanging="360"/>
        <w:jc w:val="both"/>
      </w:pPr>
      <w:r>
        <w:rPr>
          <w:rFonts w:ascii="Arial" w:eastAsia="Arial" w:hAnsi="Arial" w:cs="Arial"/>
          <w:i/>
        </w:rPr>
        <w:t>Mª del Carmen Padilla García. Trab</w:t>
      </w:r>
      <w:r>
        <w:rPr>
          <w:rFonts w:ascii="Arial" w:eastAsia="Arial" w:hAnsi="Arial" w:cs="Arial"/>
          <w:i/>
        </w:rPr>
        <w:t>ajadora Social del Ayuntamiento de Candelaria. Máster Universitario en Intervención Familiar.</w:t>
      </w:r>
    </w:p>
    <w:p w:rsidR="00E23B86" w:rsidRDefault="00BA7C13">
      <w:pPr>
        <w:spacing w:after="146" w:line="249" w:lineRule="auto"/>
        <w:ind w:left="347" w:hanging="10"/>
      </w:pPr>
      <w:r>
        <w:rPr>
          <w:rFonts w:ascii="Arial" w:eastAsia="Arial" w:hAnsi="Arial" w:cs="Arial"/>
          <w:i/>
          <w:u w:val="single" w:color="000000"/>
        </w:rPr>
        <w:t>Equipo Técnico Externo:</w:t>
      </w:r>
    </w:p>
    <w:p w:rsidR="00E23B86" w:rsidRDefault="00BA7C13">
      <w:pPr>
        <w:numPr>
          <w:ilvl w:val="0"/>
          <w:numId w:val="106"/>
        </w:numPr>
        <w:spacing w:after="257" w:line="251" w:lineRule="auto"/>
        <w:ind w:right="573" w:hanging="360"/>
        <w:jc w:val="both"/>
      </w:pPr>
      <w:r>
        <w:rPr>
          <w:rFonts w:ascii="Arial" w:eastAsia="Arial" w:hAnsi="Arial" w:cs="Arial"/>
          <w:i/>
        </w:rPr>
        <w:t>Josué Gutiérrez Barroso. Profesor del Departamento de Sociología y Antropología de la Universidad de La Laguna. Especialista en análisis de datos.</w:t>
      </w:r>
    </w:p>
    <w:p w:rsidR="00E23B86" w:rsidRDefault="00BA7C13">
      <w:pPr>
        <w:numPr>
          <w:ilvl w:val="0"/>
          <w:numId w:val="106"/>
        </w:numPr>
        <w:spacing w:after="260" w:line="251" w:lineRule="auto"/>
        <w:ind w:right="573" w:hanging="360"/>
        <w:jc w:val="both"/>
      </w:pPr>
      <w:r>
        <w:rPr>
          <w:rFonts w:ascii="Arial" w:eastAsia="Arial" w:hAnsi="Arial" w:cs="Arial"/>
          <w:i/>
        </w:rPr>
        <w:t xml:space="preserve">Juan Manuel Herrera Hernández. Profesor de la Facultad de Ciencias Sociales de la Comunicación. Departamento </w:t>
      </w:r>
      <w:r>
        <w:rPr>
          <w:rFonts w:ascii="Arial" w:eastAsia="Arial" w:hAnsi="Arial" w:cs="Arial"/>
          <w:i/>
        </w:rPr>
        <w:t>de Ciencias de la Comunicación y Trabajo Social. Experto/Máster en Drogodependencias e Intervención Familiar. Diplomado en Sanidad.</w:t>
      </w:r>
    </w:p>
    <w:p w:rsidR="00E23B86" w:rsidRDefault="00BA7C13">
      <w:pPr>
        <w:numPr>
          <w:ilvl w:val="0"/>
          <w:numId w:val="106"/>
        </w:numPr>
        <w:spacing w:after="257" w:line="251" w:lineRule="auto"/>
        <w:ind w:right="573" w:hanging="360"/>
        <w:jc w:val="both"/>
      </w:pPr>
      <w:r>
        <w:rPr>
          <w:rFonts w:ascii="Arial" w:eastAsia="Arial" w:hAnsi="Arial" w:cs="Arial"/>
          <w:i/>
        </w:rPr>
        <w:t>Esther Torrado Martín-Palomino. Profesora del Departamento de Sociología y Antropología de la Universidad de La Laguna. Miem</w:t>
      </w:r>
      <w:r>
        <w:rPr>
          <w:rFonts w:ascii="Arial" w:eastAsia="Arial" w:hAnsi="Arial" w:cs="Arial"/>
          <w:i/>
        </w:rPr>
        <w:t>bra del Instituto Universitario de Estudios de Mujeres (IUEM)</w:t>
      </w:r>
    </w:p>
    <w:p w:rsidR="00E23B86" w:rsidRDefault="00BA7C13">
      <w:pPr>
        <w:numPr>
          <w:ilvl w:val="0"/>
          <w:numId w:val="106"/>
        </w:numPr>
        <w:spacing w:after="221" w:line="251" w:lineRule="auto"/>
        <w:ind w:right="573" w:hanging="360"/>
        <w:jc w:val="both"/>
      </w:pPr>
      <w:r>
        <w:rPr>
          <w:rFonts w:ascii="Arial" w:eastAsia="Arial" w:hAnsi="Arial" w:cs="Arial"/>
          <w:i/>
        </w:rPr>
        <w:t>Saray Suárez Perera. Trabajadora Social. Especialista en Elaboración de Planes de Prevención de Drogodependencias y Adicciones.</w:t>
      </w:r>
    </w:p>
    <w:p w:rsidR="00E23B86" w:rsidRDefault="00BA7C13">
      <w:pPr>
        <w:spacing w:after="186" w:line="249" w:lineRule="auto"/>
        <w:ind w:left="347" w:hanging="10"/>
      </w:pPr>
      <w:r>
        <w:rPr>
          <w:rFonts w:ascii="Arial" w:eastAsia="Arial" w:hAnsi="Arial" w:cs="Arial"/>
          <w:i/>
          <w:u w:val="single" w:color="000000"/>
        </w:rPr>
        <w:t xml:space="preserve">Colaboradores/as  </w:t>
      </w:r>
    </w:p>
    <w:p w:rsidR="00E23B86" w:rsidRDefault="00BA7C13">
      <w:pPr>
        <w:numPr>
          <w:ilvl w:val="0"/>
          <w:numId w:val="106"/>
        </w:numPr>
        <w:spacing w:after="204" w:line="250" w:lineRule="auto"/>
        <w:ind w:right="573" w:hanging="360"/>
        <w:jc w:val="both"/>
      </w:pPr>
      <w:r>
        <w:rPr>
          <w:noProof/>
        </w:rPr>
        <mc:AlternateContent>
          <mc:Choice Requires="wpg">
            <w:drawing>
              <wp:anchor distT="0" distB="0" distL="114300" distR="114300" simplePos="0" relativeHeight="2518824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3994" name="Group 53399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6047" name="Rectangle 3604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6048" name="Rectangle 3604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217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3994" style="width:12.7031pt;height:280.35pt;position:absolute;mso-position-horizontal-relative:page;mso-position-horizontal:absolute;margin-left:681.958pt;mso-position-vertical-relative:page;margin-top:531.65pt;" coordsize="1613,35604">
                <v:rect id="Rectangle 3604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604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217 de 391 </w:t>
                        </w:r>
                      </w:p>
                    </w:txbxContent>
                  </v:textbox>
                </v:rect>
                <w10:wrap type="square"/>
              </v:group>
            </w:pict>
          </mc:Fallback>
        </mc:AlternateContent>
      </w:r>
      <w:r>
        <w:rPr>
          <w:rFonts w:ascii="Arial" w:eastAsia="Arial" w:hAnsi="Arial" w:cs="Arial"/>
          <w:i/>
        </w:rPr>
        <w:t>Equipo Municipal Especializado en la Atención de Infancia y F</w:t>
      </w:r>
      <w:r>
        <w:rPr>
          <w:rFonts w:ascii="Arial" w:eastAsia="Arial" w:hAnsi="Arial" w:cs="Arial"/>
          <w:i/>
        </w:rPr>
        <w:t xml:space="preserve">amilia del Iltre. Ayuntamiento de Candelaria. Concejalía de Servicios Sociales, Igualdad y Sanidad:  Mª de la Sierra Rivera Ruz, Fátima León Rodríguez, Alicia Pérez Gómez.  </w:t>
      </w:r>
    </w:p>
    <w:p w:rsidR="00E23B86" w:rsidRDefault="00BA7C13">
      <w:pPr>
        <w:numPr>
          <w:ilvl w:val="0"/>
          <w:numId w:val="106"/>
        </w:numPr>
        <w:spacing w:after="170" w:line="251" w:lineRule="auto"/>
        <w:ind w:right="573" w:hanging="360"/>
        <w:jc w:val="both"/>
      </w:pPr>
      <w:r>
        <w:rPr>
          <w:rFonts w:ascii="Arial" w:eastAsia="Arial" w:hAnsi="Arial" w:cs="Arial"/>
          <w:i/>
        </w:rPr>
        <w:t>C.E.I.P. Igueste; Rosa Mª Ortiz González (Directora).</w:t>
      </w:r>
    </w:p>
    <w:p w:rsidR="00E23B86" w:rsidRDefault="00BA7C13">
      <w:pPr>
        <w:numPr>
          <w:ilvl w:val="0"/>
          <w:numId w:val="106"/>
        </w:numPr>
        <w:spacing w:after="243" w:line="251" w:lineRule="auto"/>
        <w:ind w:right="573" w:hanging="360"/>
        <w:jc w:val="both"/>
      </w:pPr>
      <w:r>
        <w:rPr>
          <w:rFonts w:ascii="Arial" w:eastAsia="Arial" w:hAnsi="Arial" w:cs="Arial"/>
          <w:i/>
        </w:rPr>
        <w:t>C.E.I.P. Punta Larga; Cristina Álvarez Álvarez (Directora), Airam Reyes León (Vicedirector), Victoria José Sánchez García (Jefa de estudios).</w:t>
      </w:r>
    </w:p>
    <w:p w:rsidR="00E23B86" w:rsidRDefault="00BA7C13">
      <w:pPr>
        <w:numPr>
          <w:ilvl w:val="0"/>
          <w:numId w:val="106"/>
        </w:numPr>
        <w:spacing w:after="192" w:line="251" w:lineRule="auto"/>
        <w:ind w:right="573" w:hanging="360"/>
        <w:jc w:val="both"/>
      </w:pPr>
      <w:r>
        <w:rPr>
          <w:rFonts w:ascii="Arial" w:eastAsia="Arial" w:hAnsi="Arial" w:cs="Arial"/>
          <w:i/>
        </w:rPr>
        <w:t>C.E.I.P. Príncipe Felipe Mª Ángeles Valls Santamaría (Directora).</w:t>
      </w:r>
    </w:p>
    <w:p w:rsidR="00E23B86" w:rsidRDefault="00BA7C13">
      <w:pPr>
        <w:numPr>
          <w:ilvl w:val="0"/>
          <w:numId w:val="106"/>
        </w:numPr>
        <w:spacing w:after="154" w:line="251" w:lineRule="auto"/>
        <w:ind w:right="573" w:hanging="360"/>
        <w:jc w:val="both"/>
      </w:pPr>
      <w:r>
        <w:rPr>
          <w:rFonts w:ascii="Arial" w:eastAsia="Arial" w:hAnsi="Arial" w:cs="Arial"/>
          <w:i/>
        </w:rPr>
        <w:t>C.E.I.P. Álvarez de la Rosa Rocío Díaz Bacallado</w:t>
      </w:r>
      <w:r>
        <w:rPr>
          <w:rFonts w:ascii="Arial" w:eastAsia="Arial" w:hAnsi="Arial" w:cs="Arial"/>
          <w:i/>
        </w:rPr>
        <w:t xml:space="preserve"> (Directora).</w:t>
      </w:r>
    </w:p>
    <w:p w:rsidR="00E23B86" w:rsidRDefault="00BA7C13">
      <w:pPr>
        <w:numPr>
          <w:ilvl w:val="0"/>
          <w:numId w:val="106"/>
        </w:numPr>
        <w:spacing w:after="170" w:line="251" w:lineRule="auto"/>
        <w:ind w:right="573" w:hanging="360"/>
        <w:jc w:val="both"/>
      </w:pPr>
      <w:r>
        <w:rPr>
          <w:rFonts w:ascii="Arial" w:eastAsia="Arial" w:hAnsi="Arial" w:cs="Arial"/>
          <w:i/>
        </w:rPr>
        <w:t xml:space="preserve">I.E.S. Punta Larga; Rafael González Pérez (Director).  </w:t>
      </w:r>
    </w:p>
    <w:p w:rsidR="00E23B86" w:rsidRDefault="00BA7C13">
      <w:pPr>
        <w:numPr>
          <w:ilvl w:val="0"/>
          <w:numId w:val="106"/>
        </w:numPr>
        <w:spacing w:after="468" w:line="251" w:lineRule="auto"/>
        <w:ind w:right="573" w:hanging="360"/>
        <w:jc w:val="both"/>
      </w:pPr>
      <w:r>
        <w:rPr>
          <w:rFonts w:ascii="Arial" w:eastAsia="Arial" w:hAnsi="Arial" w:cs="Arial"/>
          <w:i/>
        </w:rPr>
        <w:t xml:space="preserve">Grupo  Político: Si se puede; Mª del Carmen González. </w:t>
      </w:r>
    </w:p>
    <w:p w:rsidR="00E23B86" w:rsidRDefault="00BA7C13">
      <w:pPr>
        <w:spacing w:after="111" w:line="251" w:lineRule="auto"/>
        <w:ind w:left="355" w:right="573" w:hanging="10"/>
        <w:jc w:val="both"/>
      </w:pPr>
      <w:r>
        <w:rPr>
          <w:rFonts w:ascii="Arial" w:eastAsia="Arial" w:hAnsi="Arial" w:cs="Arial"/>
          <w:i/>
        </w:rPr>
        <w:t xml:space="preserve">Saludo de la Alcaldesa </w:t>
      </w:r>
    </w:p>
    <w:p w:rsidR="00E23B86" w:rsidRDefault="00BA7C13">
      <w:pPr>
        <w:spacing w:after="142" w:line="251" w:lineRule="auto"/>
        <w:ind w:left="345" w:right="573" w:firstLine="708"/>
        <w:jc w:val="both"/>
      </w:pPr>
      <w:r>
        <w:rPr>
          <w:rFonts w:ascii="Arial" w:eastAsia="Arial" w:hAnsi="Arial" w:cs="Arial"/>
          <w:i/>
        </w:rPr>
        <w:t>Como representante de la Corporación Local me complace presentar el IV Plan Municipal de Prevención de Adic</w:t>
      </w:r>
      <w:r>
        <w:rPr>
          <w:rFonts w:ascii="Arial" w:eastAsia="Arial" w:hAnsi="Arial" w:cs="Arial"/>
          <w:i/>
        </w:rPr>
        <w:t>ciones (2019-2023) del municipio de Candelaria. Este documento define las acciones de política social que se llevarán a cabo en los próximos años en nuestro municipio.</w:t>
      </w:r>
    </w:p>
    <w:p w:rsidR="00E23B86" w:rsidRDefault="00BA7C13">
      <w:pPr>
        <w:spacing w:after="111" w:line="251" w:lineRule="auto"/>
        <w:ind w:left="345" w:right="573" w:firstLine="708"/>
        <w:jc w:val="both"/>
      </w:pPr>
      <w:r>
        <w:rPr>
          <w:rFonts w:ascii="Arial" w:eastAsia="Arial" w:hAnsi="Arial" w:cs="Arial"/>
          <w:i/>
        </w:rPr>
        <w:t>En este IV Plan Municipal se cumple con las obligaciones que establece la Ley 9/1998, de</w:t>
      </w:r>
      <w:r>
        <w:rPr>
          <w:rFonts w:ascii="Arial" w:eastAsia="Arial" w:hAnsi="Arial" w:cs="Arial"/>
          <w:i/>
        </w:rPr>
        <w:t xml:space="preserve"> 22 de julio, sobre prevención, asistencia, e inserción social en materia de drogodependencias de la Comunidad Canaria, que define la competencia municipal a dos niveles: la prevención y sensibilización en la comunidad, y apoyar en los procesos de incorpor</w:t>
      </w:r>
      <w:r>
        <w:rPr>
          <w:rFonts w:ascii="Arial" w:eastAsia="Arial" w:hAnsi="Arial" w:cs="Arial"/>
          <w:i/>
        </w:rPr>
        <w:t xml:space="preserve">ación social a personas con problemas de drogodependencias. </w:t>
      </w:r>
    </w:p>
    <w:p w:rsidR="00E23B86" w:rsidRDefault="00BA7C13">
      <w:pPr>
        <w:spacing w:after="142" w:line="251" w:lineRule="auto"/>
        <w:ind w:left="345" w:right="573" w:firstLine="708"/>
        <w:jc w:val="both"/>
      </w:pPr>
      <w:r>
        <w:rPr>
          <w:rFonts w:ascii="Arial" w:eastAsia="Arial" w:hAnsi="Arial" w:cs="Arial"/>
          <w:i/>
        </w:rPr>
        <w:t>Es significativo que desde el año 2003, se elaborara y aprobara el primer Plan Municipal de Prevención de Drogodependencias y actualmente con este IV Plan, continuemos con el compromiso de garant</w:t>
      </w:r>
      <w:r>
        <w:rPr>
          <w:rFonts w:ascii="Arial" w:eastAsia="Arial" w:hAnsi="Arial" w:cs="Arial"/>
          <w:i/>
        </w:rPr>
        <w:t>izar a la ciudadanía medidas y acciones específicas dirigidas a la promoción de la salud y hábitos saludables en la población y la prevención de las adicciones.</w:t>
      </w:r>
    </w:p>
    <w:p w:rsidR="00E23B86" w:rsidRDefault="00BA7C13">
      <w:pPr>
        <w:spacing w:after="142" w:line="251" w:lineRule="auto"/>
        <w:ind w:left="345" w:right="573" w:firstLine="708"/>
        <w:jc w:val="both"/>
      </w:pPr>
      <w:r>
        <w:rPr>
          <w:rFonts w:ascii="Arial" w:eastAsia="Arial" w:hAnsi="Arial" w:cs="Arial"/>
          <w:i/>
        </w:rPr>
        <w:t xml:space="preserve">Lograr mejoras en la calidad de la vida municipal a través de la prevención, conlleva un esfuerzo de todos/as los/as agentes sociales municipales y la implicación de los recursos de la comunidad.  Desde esta corporación que presido, asumimos el compromiso </w:t>
      </w:r>
      <w:r>
        <w:rPr>
          <w:rFonts w:ascii="Arial" w:eastAsia="Arial" w:hAnsi="Arial" w:cs="Arial"/>
          <w:i/>
        </w:rPr>
        <w:t>político de apoyar el proceso de implementación y ejecución del IV Plan para que se logren los objetivos marcados y los resultados esperados.</w:t>
      </w:r>
    </w:p>
    <w:p w:rsidR="00E23B86" w:rsidRDefault="00BA7C13">
      <w:pPr>
        <w:spacing w:after="142" w:line="251" w:lineRule="auto"/>
        <w:ind w:left="345" w:right="573" w:firstLine="708"/>
        <w:jc w:val="both"/>
      </w:pPr>
      <w:r>
        <w:rPr>
          <w:rFonts w:ascii="Arial" w:eastAsia="Arial" w:hAnsi="Arial" w:cs="Arial"/>
          <w:i/>
        </w:rPr>
        <w:t>Deseamos que las medidas y acciones previstas incrementen los factores de protección dentro del municipio, contrib</w:t>
      </w:r>
      <w:r>
        <w:rPr>
          <w:rFonts w:ascii="Arial" w:eastAsia="Arial" w:hAnsi="Arial" w:cs="Arial"/>
          <w:i/>
        </w:rPr>
        <w:t>uyan a la mejora de la calidad de vida comunitaria y reduzcan los factores de riesgo existentes.</w:t>
      </w:r>
    </w:p>
    <w:p w:rsidR="00E23B86" w:rsidRDefault="00BA7C13">
      <w:pPr>
        <w:spacing w:after="142" w:line="251" w:lineRule="auto"/>
        <w:ind w:left="345" w:right="573" w:firstLine="708"/>
        <w:jc w:val="both"/>
      </w:pPr>
      <w:r>
        <w:rPr>
          <w:rFonts w:ascii="Arial" w:eastAsia="Arial" w:hAnsi="Arial" w:cs="Arial"/>
          <w:i/>
        </w:rPr>
        <w:t xml:space="preserve">Las acciones y medidas que se contemplan en esta planificación no tienen sentido alguno, sin la implicación y participación de la ciudadanía como parte activa </w:t>
      </w:r>
      <w:r>
        <w:rPr>
          <w:rFonts w:ascii="Arial" w:eastAsia="Arial" w:hAnsi="Arial" w:cs="Arial"/>
          <w:i/>
        </w:rPr>
        <w:t xml:space="preserve">del municipio. Es la ciudadanía la verdadera protagonista de la vida comunitaria y por ello, debe ser responsable del cuidado de su salud, estilo de vida, etc., con todos los apoyos y recursos existentes en la comunidad y concretamente de ésta Corporación </w:t>
      </w:r>
      <w:r>
        <w:rPr>
          <w:rFonts w:ascii="Arial" w:eastAsia="Arial" w:hAnsi="Arial" w:cs="Arial"/>
          <w:i/>
        </w:rPr>
        <w:t xml:space="preserve">Local. </w:t>
      </w:r>
    </w:p>
    <w:p w:rsidR="00E23B86" w:rsidRDefault="00BA7C13">
      <w:pPr>
        <w:spacing w:after="144" w:line="251" w:lineRule="auto"/>
        <w:ind w:left="355" w:right="573" w:hanging="10"/>
        <w:jc w:val="both"/>
      </w:pPr>
      <w:r>
        <w:rPr>
          <w:rFonts w:ascii="Arial" w:eastAsia="Arial" w:hAnsi="Arial" w:cs="Arial"/>
          <w:i/>
        </w:rPr>
        <w:t>La Alcaldesa,</w:t>
      </w:r>
    </w:p>
    <w:p w:rsidR="00E23B86" w:rsidRDefault="00BA7C13">
      <w:pPr>
        <w:spacing w:after="144" w:line="251" w:lineRule="auto"/>
        <w:ind w:left="355" w:right="573" w:hanging="10"/>
        <w:jc w:val="both"/>
      </w:pPr>
      <w:r>
        <w:rPr>
          <w:noProof/>
        </w:rPr>
        <mc:AlternateContent>
          <mc:Choice Requires="wpg">
            <w:drawing>
              <wp:anchor distT="0" distB="0" distL="114300" distR="114300" simplePos="0" relativeHeight="2518835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4515" name="Group 53451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6116" name="Rectangle 3611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6117" name="Rectangle 3611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218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4515" style="width:12.7031pt;height:280.35pt;position:absolute;mso-position-horizontal-relative:page;mso-position-horizontal:absolute;margin-left:681.958pt;mso-position-vertical-relative:page;margin-top:531.65pt;" coordsize="1613,35604">
                <v:rect id="Rectangle 3611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611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218 de 391 </w:t>
                        </w:r>
                      </w:p>
                    </w:txbxContent>
                  </v:textbox>
                </v:rect>
                <w10:wrap type="square"/>
              </v:group>
            </w:pict>
          </mc:Fallback>
        </mc:AlternateContent>
      </w:r>
      <w:r>
        <w:rPr>
          <w:rFonts w:ascii="Arial" w:eastAsia="Arial" w:hAnsi="Arial" w:cs="Arial"/>
          <w:i/>
        </w:rPr>
        <w:t>Dña. Mª Concepción Brito Núñez</w:t>
      </w:r>
    </w:p>
    <w:p w:rsidR="00E23B86" w:rsidRDefault="00BA7C13">
      <w:pPr>
        <w:spacing w:after="144" w:line="251" w:lineRule="auto"/>
        <w:ind w:left="355" w:right="573" w:hanging="10"/>
        <w:jc w:val="both"/>
      </w:pPr>
      <w:r>
        <w:rPr>
          <w:rFonts w:ascii="Arial" w:eastAsia="Arial" w:hAnsi="Arial" w:cs="Arial"/>
          <w:i/>
        </w:rPr>
        <w:t>Salud</w:t>
      </w:r>
      <w:r>
        <w:rPr>
          <w:rFonts w:ascii="Arial" w:eastAsia="Arial" w:hAnsi="Arial" w:cs="Arial"/>
          <w:i/>
        </w:rPr>
        <w:t xml:space="preserve">o de la Concejala  </w:t>
      </w:r>
    </w:p>
    <w:p w:rsidR="00E23B86" w:rsidRDefault="00BA7C13">
      <w:pPr>
        <w:spacing w:after="111" w:line="251" w:lineRule="auto"/>
        <w:ind w:left="355" w:right="573" w:hanging="10"/>
        <w:jc w:val="both"/>
      </w:pPr>
      <w:r>
        <w:rPr>
          <w:rFonts w:ascii="Arial" w:eastAsia="Arial" w:hAnsi="Arial" w:cs="Arial"/>
          <w:i/>
        </w:rPr>
        <w:t>El IV Plan Municipal de Prevención de Adicciones (2019-2023) del municipio de Candelaria, es el documento marco donde se concretan las medidas y acciones para los próximos años en materia de promoción de la salud y prevención de las dro</w:t>
      </w:r>
      <w:r>
        <w:rPr>
          <w:rFonts w:ascii="Arial" w:eastAsia="Arial" w:hAnsi="Arial" w:cs="Arial"/>
          <w:i/>
        </w:rPr>
        <w:t>godependencias y otras adicciones.</w:t>
      </w:r>
    </w:p>
    <w:p w:rsidR="00E23B86" w:rsidRDefault="00BA7C13">
      <w:pPr>
        <w:spacing w:after="111" w:line="251" w:lineRule="auto"/>
        <w:ind w:left="355" w:right="573" w:hanging="10"/>
        <w:jc w:val="both"/>
      </w:pPr>
      <w:r>
        <w:rPr>
          <w:rFonts w:ascii="Arial" w:eastAsia="Arial" w:hAnsi="Arial" w:cs="Arial"/>
          <w:i/>
        </w:rPr>
        <w:t>Como responsable de la Concejalía de Servicios Sociales, Igualdad y Sanidad, se ha visto necesario disponer de este documento, pues en éste se recogen las acciones a implementar en el municipio, y donde se han tenido en c</w:t>
      </w:r>
      <w:r>
        <w:rPr>
          <w:rFonts w:ascii="Arial" w:eastAsia="Arial" w:hAnsi="Arial" w:cs="Arial"/>
          <w:i/>
        </w:rPr>
        <w:t xml:space="preserve">uenta las particularidades y necesidades municipales, así como las indicaciones de los organismos pertinentes en materia de prevención de adicciones y apoyo a la inserción social. </w:t>
      </w:r>
    </w:p>
    <w:p w:rsidR="00E23B86" w:rsidRDefault="00BA7C13">
      <w:pPr>
        <w:spacing w:after="111" w:line="251" w:lineRule="auto"/>
        <w:ind w:left="355" w:right="573" w:hanging="10"/>
        <w:jc w:val="both"/>
      </w:pPr>
      <w:r>
        <w:rPr>
          <w:rFonts w:ascii="Arial" w:eastAsia="Arial" w:hAnsi="Arial" w:cs="Arial"/>
          <w:i/>
        </w:rPr>
        <w:t>En este IV Plan, se centra en las drogas y adicciones sobre las que hay que</w:t>
      </w:r>
      <w:r>
        <w:rPr>
          <w:rFonts w:ascii="Arial" w:eastAsia="Arial" w:hAnsi="Arial" w:cs="Arial"/>
          <w:i/>
        </w:rPr>
        <w:t xml:space="preserve"> intervenir, los principios que rigen las actuaciones, las áreas de intervención, los objetivos, las acciones, los procedimientos de coordinación, evaluación y los recursos necesarios para su implementación.</w:t>
      </w:r>
    </w:p>
    <w:p w:rsidR="00E23B86" w:rsidRDefault="00BA7C13">
      <w:pPr>
        <w:spacing w:after="111" w:line="251" w:lineRule="auto"/>
        <w:ind w:left="355" w:right="573" w:hanging="10"/>
        <w:jc w:val="both"/>
      </w:pPr>
      <w:r>
        <w:rPr>
          <w:rFonts w:ascii="Arial" w:eastAsia="Arial" w:hAnsi="Arial" w:cs="Arial"/>
          <w:i/>
        </w:rPr>
        <w:t>Esta planificación de la prevención e inserción,</w:t>
      </w:r>
      <w:r>
        <w:rPr>
          <w:rFonts w:ascii="Arial" w:eastAsia="Arial" w:hAnsi="Arial" w:cs="Arial"/>
          <w:i/>
        </w:rPr>
        <w:t xml:space="preserve"> se encuadra dentro de los servicios sociales municipales, que según la Ley 16/2019 de 2 de mayo de Servicios Sociales de Canarias, en su artículo 4, apartado 5, indica que éstos “se dirigen especialmente a prevenir y a compensar el déficit de apoyo social</w:t>
      </w:r>
      <w:r>
        <w:rPr>
          <w:rFonts w:ascii="Arial" w:eastAsia="Arial" w:hAnsi="Arial" w:cs="Arial"/>
          <w:i/>
        </w:rPr>
        <w:t xml:space="preserve"> y económico en situaciones de riesgo y exclusión social, promoviendo actitudes y capacidades que faciliten la inclusión de las personas, desde una perspectiva integral y participada”. Así mismo, en el apartado 7, define que “los servicios sociales se coor</w:t>
      </w:r>
      <w:r>
        <w:rPr>
          <w:rFonts w:ascii="Arial" w:eastAsia="Arial" w:hAnsi="Arial" w:cs="Arial"/>
          <w:i/>
        </w:rPr>
        <w:t>dinarán con todos los sistemas que inciden en la calidad de vida, como los de salud, igualdad de género, prevención y protección de las mujeres contra la violencia de género, educativos, culturales, de empleo, de vivienda, urbanísticos, judiciales, entre o</w:t>
      </w:r>
      <w:r>
        <w:rPr>
          <w:rFonts w:ascii="Arial" w:eastAsia="Arial" w:hAnsi="Arial" w:cs="Arial"/>
          <w:i/>
        </w:rPr>
        <w:t>tros”.</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84544"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34983" name="Group 53498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6133" name="Rectangle 3613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6134" name="Rectangle 3613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219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4983" style="width:12.7031pt;height:280.35pt;position:absolute;mso-position-horizontal-relative:page;mso-position-horizontal:absolute;margin-left:681.958pt;mso-position-vertical-relative:page;margin-top:531.65pt;" coordsize="1613,35604">
                <v:rect id="Rectangle 3613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613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219 de 391 </w:t>
                        </w:r>
                      </w:p>
                    </w:txbxContent>
                  </v:textbox>
                </v:rect>
                <w10:wrap type="topAndBottom"/>
              </v:group>
            </w:pict>
          </mc:Fallback>
        </mc:AlternateContent>
      </w:r>
      <w:r>
        <w:rPr>
          <w:rFonts w:ascii="Arial" w:eastAsia="Arial" w:hAnsi="Arial" w:cs="Arial"/>
          <w:i/>
        </w:rPr>
        <w:t xml:space="preserve">Como responsable de la concejalía, comparto el reto de todos y todas los/as que formamos parte de la comunidad, en contribuir en la mejora de las condiciones de calidad de vida de la población, la promoción de la salud y la prevención de las adicciones en </w:t>
      </w:r>
      <w:r>
        <w:rPr>
          <w:rFonts w:ascii="Arial" w:eastAsia="Arial" w:hAnsi="Arial" w:cs="Arial"/>
          <w:i/>
        </w:rPr>
        <w:t>el municipio.</w:t>
      </w:r>
    </w:p>
    <w:p w:rsidR="00E23B86" w:rsidRDefault="00BA7C13">
      <w:pPr>
        <w:spacing w:after="111" w:line="251" w:lineRule="auto"/>
        <w:ind w:left="355" w:right="573" w:hanging="10"/>
        <w:jc w:val="both"/>
      </w:pPr>
      <w:r>
        <w:rPr>
          <w:rFonts w:ascii="Arial" w:eastAsia="Arial" w:hAnsi="Arial" w:cs="Arial"/>
          <w:i/>
        </w:rPr>
        <w:t xml:space="preserve">La Concejala, </w:t>
      </w:r>
    </w:p>
    <w:p w:rsidR="00E23B86" w:rsidRDefault="00BA7C13">
      <w:pPr>
        <w:spacing w:after="111" w:line="251" w:lineRule="auto"/>
        <w:ind w:left="355" w:right="573" w:hanging="10"/>
        <w:jc w:val="both"/>
      </w:pPr>
      <w:r>
        <w:rPr>
          <w:rFonts w:ascii="Arial" w:eastAsia="Arial" w:hAnsi="Arial" w:cs="Arial"/>
          <w:i/>
        </w:rPr>
        <w:t>Olivia C. Pérez Díaz.</w:t>
      </w:r>
      <w:r>
        <w:br w:type="page"/>
      </w:r>
    </w:p>
    <w:p w:rsidR="00E23B86" w:rsidRDefault="00BA7C13">
      <w:pPr>
        <w:spacing w:after="111" w:line="249" w:lineRule="auto"/>
        <w:ind w:left="336" w:right="550" w:hanging="10"/>
        <w:jc w:val="center"/>
      </w:pPr>
      <w:r>
        <w:rPr>
          <w:rFonts w:ascii="Arial" w:eastAsia="Arial" w:hAnsi="Arial" w:cs="Arial"/>
          <w:i/>
        </w:rPr>
        <w:t>ÍNDICE</w:t>
      </w:r>
    </w:p>
    <w:p w:rsidR="00E23B86" w:rsidRDefault="00BA7C13">
      <w:pPr>
        <w:spacing w:after="115"/>
        <w:ind w:left="10" w:right="540" w:hanging="10"/>
        <w:jc w:val="right"/>
      </w:pPr>
      <w:r>
        <w:rPr>
          <w:color w:val="000080"/>
          <w:u w:val="single" w:color="000080"/>
        </w:rPr>
        <w:t xml:space="preserve"> 3.- RESULTADO PRESUPUESTARIO  .........................................................................................                                                                             </w:t>
      </w:r>
      <w:r>
        <w:rPr>
          <w:color w:val="000080"/>
          <w:u w:val="single" w:color="000080"/>
        </w:rPr>
        <w:t xml:space="preserve">                      6</w:t>
      </w:r>
    </w:p>
    <w:p w:rsidR="00E23B86" w:rsidRDefault="00BA7C13">
      <w:pPr>
        <w:spacing w:after="115"/>
        <w:ind w:left="10" w:right="540" w:hanging="10"/>
        <w:jc w:val="right"/>
      </w:pPr>
      <w:r>
        <w:rPr>
          <w:color w:val="000080"/>
          <w:u w:val="single" w:color="000080"/>
        </w:rPr>
        <w:t xml:space="preserve"> REMANENTE DE TESORERIA                             PRESUPUESTO  2019 ( Euros )  .............................                               7</w:t>
      </w:r>
    </w:p>
    <w:p w:rsidR="00E23B86" w:rsidRDefault="00BA7C13">
      <w:pPr>
        <w:spacing w:after="109" w:line="249" w:lineRule="auto"/>
        <w:ind w:left="353" w:hanging="8"/>
      </w:pPr>
      <w:r>
        <w:rPr>
          <w:b/>
          <w:color w:val="000080"/>
          <w:u w:val="single" w:color="000080"/>
        </w:rPr>
        <w:t xml:space="preserve"> 2.TOTAL  </w:t>
      </w:r>
      <w:r>
        <w:rPr>
          <w:b/>
          <w:color w:val="000080"/>
          <w:u w:val="single" w:color="000080"/>
        </w:rPr>
        <w:t xml:space="preserve">..................................................................................................................................                                                                                                                              </w:t>
      </w:r>
      <w:r>
        <w:rPr>
          <w:b/>
          <w:color w:val="000080"/>
          <w:u w:val="single" w:color="000080"/>
        </w:rPr>
        <w:t xml:space="preserve">                         28</w:t>
      </w:r>
    </w:p>
    <w:p w:rsidR="00E23B86" w:rsidRDefault="00BA7C13">
      <w:pPr>
        <w:spacing w:after="115"/>
        <w:ind w:left="10" w:right="540" w:hanging="10"/>
        <w:jc w:val="right"/>
      </w:pPr>
      <w:r>
        <w:rPr>
          <w:color w:val="000080"/>
          <w:u w:val="single" w:color="000080"/>
        </w:rPr>
        <w:t xml:space="preserve"> B) CLASIFICACIÓN POR PROGRAMAS  .....................................................................................                                                                                                33</w:t>
      </w:r>
    </w:p>
    <w:p w:rsidR="00E23B86" w:rsidRDefault="00BA7C13">
      <w:pPr>
        <w:spacing w:after="109" w:line="249" w:lineRule="auto"/>
        <w:ind w:left="353" w:right="468" w:hanging="8"/>
      </w:pPr>
      <w:r>
        <w:rPr>
          <w:b/>
          <w:color w:val="000080"/>
          <w:u w:val="single" w:color="000080"/>
        </w:rPr>
        <w:t>Área de Gas</w:t>
      </w:r>
      <w:r>
        <w:rPr>
          <w:b/>
          <w:color w:val="000080"/>
          <w:u w:val="single" w:color="000080"/>
        </w:rPr>
        <w:t xml:space="preserve">to 0: Comprende todos los gastos de intereses y amortización de la deuda pública  y demás operaciones financieras de naturaleza análoga.  .......................................................                                                               </w:t>
      </w:r>
      <w:r>
        <w:rPr>
          <w:b/>
          <w:color w:val="000080"/>
          <w:u w:val="single" w:color="000080"/>
        </w:rPr>
        <w:t xml:space="preserve"> 33</w:t>
      </w:r>
    </w:p>
    <w:p w:rsidR="00E23B86" w:rsidRDefault="00BA7C13">
      <w:pPr>
        <w:spacing w:after="0" w:line="249" w:lineRule="auto"/>
        <w:ind w:left="353" w:right="256" w:hanging="8"/>
      </w:pPr>
      <w:r>
        <w:rPr>
          <w:b/>
          <w:color w:val="000080"/>
          <w:u w:val="single" w:color="000080"/>
        </w:rPr>
        <w:t xml:space="preserve"> Importa un gasto total liquidado de 9.297.373,80 Euros, frente a los 7.752.849,94 Euros en el año 2018, generando un aumento del 19,9 %. Representa el 38,5 % del total liquidado en el </w:t>
      </w:r>
    </w:p>
    <w:p w:rsidR="00E23B86" w:rsidRDefault="00BA7C13">
      <w:pPr>
        <w:spacing w:after="9" w:line="249" w:lineRule="auto"/>
        <w:ind w:left="353" w:hanging="8"/>
      </w:pPr>
      <w:r>
        <w:rPr>
          <w:b/>
          <w:color w:val="000080"/>
          <w:u w:val="single" w:color="000080"/>
        </w:rPr>
        <w:t>ejercicio 2019, frente al 31,7 % en el 2018. Así destacamos los si</w:t>
      </w:r>
      <w:r>
        <w:rPr>
          <w:b/>
          <w:color w:val="000080"/>
          <w:u w:val="single" w:color="000080"/>
        </w:rPr>
        <w:t xml:space="preserve">guientes subprogramas </w:t>
      </w:r>
    </w:p>
    <w:p w:rsidR="00E23B86" w:rsidRDefault="00BA7C13">
      <w:pPr>
        <w:spacing w:after="109" w:line="249" w:lineRule="auto"/>
        <w:ind w:left="353" w:hanging="8"/>
      </w:pPr>
      <w:r>
        <w:rPr>
          <w:b/>
          <w:color w:val="000080"/>
          <w:u w:val="single" w:color="000080"/>
        </w:rPr>
        <w:t xml:space="preserve"> previstos en el presupuesto:  ..................................................................................................                                                                                                        </w:t>
      </w:r>
      <w:r>
        <w:rPr>
          <w:b/>
          <w:color w:val="000080"/>
          <w:u w:val="single" w:color="000080"/>
        </w:rPr>
        <w:t xml:space="preserve">          34</w:t>
      </w:r>
    </w:p>
    <w:p w:rsidR="00E23B86" w:rsidRDefault="00BA7C13">
      <w:pPr>
        <w:spacing w:after="0" w:line="249" w:lineRule="auto"/>
        <w:ind w:left="353" w:right="467" w:hanging="8"/>
      </w:pPr>
      <w:r>
        <w:rPr>
          <w:b/>
          <w:color w:val="000080"/>
          <w:u w:val="single" w:color="000080"/>
        </w:rPr>
        <w:t>Subprograma 132.00 de Seguridad y Orden Público, sube un 13,4 %, principalmente en el gasto de personal, que sube más de 207.000,00 Euros (de los que 147.000 Euros, son de gratificaciones y productividad), compensando la caída en un 29 % del gasto en biene</w:t>
      </w:r>
      <w:r>
        <w:rPr>
          <w:b/>
          <w:color w:val="000080"/>
          <w:u w:val="single" w:color="000080"/>
        </w:rPr>
        <w:t xml:space="preserve">s y servicios corrientes. La inversión sube en 50.468,03 Euros, que fue nula en el 2018. Representa el capítulo de personal el 92,5 % frente al 92,3 % del año anterior en este </w:t>
      </w:r>
    </w:p>
    <w:p w:rsidR="00E23B86" w:rsidRDefault="00BA7C13">
      <w:pPr>
        <w:spacing w:after="109" w:line="249" w:lineRule="auto"/>
        <w:ind w:left="353" w:hanging="8"/>
      </w:pPr>
      <w:r>
        <w:rPr>
          <w:b/>
          <w:color w:val="000080"/>
          <w:u w:val="single" w:color="000080"/>
        </w:rPr>
        <w:t xml:space="preserve"> subprograma.  ................................................................</w:t>
      </w:r>
      <w:r>
        <w:rPr>
          <w:b/>
          <w:color w:val="000080"/>
          <w:u w:val="single" w:color="000080"/>
        </w:rPr>
        <w:t>........................................................                                                                                                                                            34</w:t>
      </w:r>
    </w:p>
    <w:p w:rsidR="00E23B86" w:rsidRDefault="00BA7C13">
      <w:pPr>
        <w:spacing w:after="109" w:line="249" w:lineRule="auto"/>
        <w:ind w:left="353" w:hanging="8"/>
      </w:pPr>
      <w:r>
        <w:rPr>
          <w:b/>
          <w:color w:val="000080"/>
          <w:u w:val="single" w:color="000080"/>
        </w:rPr>
        <w:t xml:space="preserve"> Representan un 7,75 % respecto del gasto total, frente a</w:t>
      </w:r>
      <w:r>
        <w:rPr>
          <w:b/>
          <w:color w:val="000080"/>
          <w:u w:val="single" w:color="000080"/>
        </w:rPr>
        <w:t>l 6,7 % del ejercicio 2018.  ...............                34</w:t>
      </w:r>
    </w:p>
    <w:p w:rsidR="00E23B86" w:rsidRDefault="00BA7C13">
      <w:pPr>
        <w:spacing w:after="0" w:line="249" w:lineRule="auto"/>
        <w:ind w:left="353" w:right="150" w:hanging="8"/>
      </w:pPr>
      <w:r>
        <w:rPr>
          <w:noProof/>
        </w:rPr>
        <mc:AlternateContent>
          <mc:Choice Requires="wpg">
            <w:drawing>
              <wp:anchor distT="0" distB="0" distL="114300" distR="114300" simplePos="0" relativeHeight="2518855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8011" name="Group 53801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6372" name="Rectangle 3637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6373" name="Rectangle 3637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220 de </w:t>
                              </w:r>
                              <w:r>
                                <w:rPr>
                                  <w:rFonts w:ascii="Arial" w:eastAsia="Arial" w:hAnsi="Arial" w:cs="Arial"/>
                                  <w:sz w:val="12"/>
                                </w:rPr>
                                <w:t xml:space="preserve">391 </w:t>
                              </w:r>
                            </w:p>
                          </w:txbxContent>
                        </wps:txbx>
                        <wps:bodyPr horzOverflow="overflow" vert="horz" lIns="0" tIns="0" rIns="0" bIns="0" rtlCol="0">
                          <a:noAutofit/>
                        </wps:bodyPr>
                      </wps:wsp>
                    </wpg:wgp>
                  </a:graphicData>
                </a:graphic>
              </wp:anchor>
            </w:drawing>
          </mc:Choice>
          <mc:Fallback xmlns:a="http://schemas.openxmlformats.org/drawingml/2006/main">
            <w:pict>
              <v:group id="Group 538011" style="width:12.7031pt;height:280.35pt;position:absolute;mso-position-horizontal-relative:page;mso-position-horizontal:absolute;margin-left:681.958pt;mso-position-vertical-relative:page;margin-top:531.65pt;" coordsize="1613,35604">
                <v:rect id="Rectangle 3637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637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220 de 391 </w:t>
                        </w:r>
                      </w:p>
                    </w:txbxContent>
                  </v:textbox>
                </v:rect>
                <w10:wrap type="square"/>
              </v:group>
            </w:pict>
          </mc:Fallback>
        </mc:AlternateContent>
      </w:r>
      <w:r>
        <w:rPr>
          <w:b/>
          <w:color w:val="000080"/>
          <w:u w:val="single" w:color="000080"/>
        </w:rPr>
        <w:t xml:space="preserve">Subprograma 135.00 de Protección Civil, que cae un 0,5 %, Sube las inversiones en siete mil euros, mientras que el capítulo de gastos bienes corrientes y de servicios, cae un 4 %. Este </w:t>
      </w:r>
    </w:p>
    <w:p w:rsidR="00E23B86" w:rsidRDefault="00BA7C13">
      <w:pPr>
        <w:spacing w:after="109" w:line="249" w:lineRule="auto"/>
        <w:ind w:left="353" w:hanging="8"/>
      </w:pPr>
      <w:r>
        <w:rPr>
          <w:b/>
          <w:color w:val="000080"/>
          <w:u w:val="single" w:color="000080"/>
        </w:rPr>
        <w:t xml:space="preserve"> capítulo representa el 80,30 % del gasto total.  ...............</w:t>
      </w:r>
      <w:r>
        <w:rPr>
          <w:b/>
          <w:color w:val="000080"/>
          <w:u w:val="single" w:color="000080"/>
        </w:rPr>
        <w:t>.......................................................                                                                                 34</w:t>
      </w:r>
    </w:p>
    <w:p w:rsidR="00E23B86" w:rsidRDefault="00BA7C13">
      <w:pPr>
        <w:spacing w:after="109" w:line="249" w:lineRule="auto"/>
        <w:ind w:left="353" w:hanging="8"/>
      </w:pPr>
      <w:r>
        <w:rPr>
          <w:b/>
          <w:color w:val="000080"/>
          <w:u w:val="single" w:color="000080"/>
        </w:rPr>
        <w:t xml:space="preserve"> Representan un 1 %, respecto del gasto total, frente al 0,9 %, en el ejercicio anterior.  .........          34</w:t>
      </w:r>
    </w:p>
    <w:p w:rsidR="00E23B86" w:rsidRDefault="00BA7C13">
      <w:pPr>
        <w:spacing w:after="0" w:line="249" w:lineRule="auto"/>
        <w:ind w:left="353" w:hanging="8"/>
      </w:pPr>
      <w:r>
        <w:rPr>
          <w:b/>
          <w:color w:val="000080"/>
          <w:u w:val="single" w:color="000080"/>
        </w:rPr>
        <w:t>Subp</w:t>
      </w:r>
      <w:r>
        <w:rPr>
          <w:b/>
          <w:color w:val="000080"/>
          <w:u w:val="single" w:color="000080"/>
        </w:rPr>
        <w:t xml:space="preserve">rograma 136.00 de Servicios de Extinción de Incendios que recoge las   aportaciones al Consorcio de Incendios. Crece un 0,1 % el gasto de esta subvención respecto el año anterior. </w:t>
      </w:r>
    </w:p>
    <w:p w:rsidR="00E23B86" w:rsidRDefault="00BA7C13">
      <w:pPr>
        <w:spacing w:after="109" w:line="249" w:lineRule="auto"/>
        <w:ind w:left="353" w:hanging="8"/>
      </w:pPr>
      <w:r>
        <w:rPr>
          <w:b/>
          <w:color w:val="000080"/>
          <w:u w:val="single" w:color="000080"/>
        </w:rPr>
        <w:t xml:space="preserve"> Representan un 0,7 % respecto del gasto total, frente al 0,6 % del ejercic</w:t>
      </w:r>
      <w:r>
        <w:rPr>
          <w:b/>
          <w:color w:val="000080"/>
          <w:u w:val="single" w:color="000080"/>
        </w:rPr>
        <w:t>io 2018.  .................                   34</w:t>
      </w:r>
    </w:p>
    <w:p w:rsidR="00E23B86" w:rsidRDefault="00BA7C13">
      <w:pPr>
        <w:spacing w:after="0" w:line="249" w:lineRule="auto"/>
        <w:ind w:left="353" w:right="472" w:hanging="8"/>
      </w:pPr>
      <w:r>
        <w:rPr>
          <w:b/>
          <w:color w:val="000080"/>
          <w:u w:val="single" w:color="000080"/>
        </w:rPr>
        <w:t>Subprograma 151.00 de Urbanismo, que sube un 8,2 %, motivado por la subida del capítulo de inversiones (aumenta un 17 %). Compensa la caída en gastos de transferencias de capital, que fue nula. Representa el</w:t>
      </w:r>
      <w:r>
        <w:rPr>
          <w:b/>
          <w:color w:val="000080"/>
          <w:u w:val="single" w:color="000080"/>
        </w:rPr>
        <w:t xml:space="preserve"> 5 % este subprograma, en el gasto total, frente al 4,5 % del gasto </w:t>
      </w:r>
    </w:p>
    <w:p w:rsidR="00E23B86" w:rsidRDefault="00BA7C13">
      <w:pPr>
        <w:spacing w:after="109" w:line="249" w:lineRule="auto"/>
        <w:ind w:left="353" w:hanging="8"/>
      </w:pPr>
      <w:r>
        <w:rPr>
          <w:b/>
          <w:color w:val="000080"/>
          <w:u w:val="single" w:color="000080"/>
        </w:rPr>
        <w:t xml:space="preserve"> total.  ......................................................................................................................................                                            </w:t>
      </w:r>
      <w:r>
        <w:rPr>
          <w:b/>
          <w:color w:val="000080"/>
          <w:u w:val="single" w:color="000080"/>
        </w:rPr>
        <w:t xml:space="preserve">                                                                                                               34</w:t>
      </w:r>
    </w:p>
    <w:p w:rsidR="00E23B86" w:rsidRDefault="00BA7C13">
      <w:pPr>
        <w:spacing w:after="9" w:line="249" w:lineRule="auto"/>
        <w:ind w:left="353" w:hanging="8"/>
      </w:pPr>
      <w:r>
        <w:rPr>
          <w:b/>
          <w:color w:val="000080"/>
          <w:u w:val="single" w:color="000080"/>
        </w:rPr>
        <w:t xml:space="preserve">Subprograma 160.00 de Alcantarillado, que recoge las obras de saneamiento y no se ha </w:t>
      </w:r>
    </w:p>
    <w:p w:rsidR="00E23B86" w:rsidRDefault="00BA7C13">
      <w:pPr>
        <w:spacing w:after="109" w:line="249" w:lineRule="auto"/>
        <w:ind w:left="353" w:hanging="8"/>
      </w:pPr>
      <w:r>
        <w:rPr>
          <w:b/>
          <w:color w:val="000080"/>
          <w:u w:val="single" w:color="000080"/>
        </w:rPr>
        <w:t xml:space="preserve"> realizado gasto alguno, igual que en el año anterior.  </w:t>
      </w:r>
      <w:r>
        <w:rPr>
          <w:b/>
          <w:color w:val="000080"/>
          <w:u w:val="single" w:color="000080"/>
        </w:rPr>
        <w:t>.............................................................                                                                       34</w:t>
      </w:r>
    </w:p>
    <w:p w:rsidR="00E23B86" w:rsidRDefault="00BA7C13">
      <w:pPr>
        <w:spacing w:after="0" w:line="249" w:lineRule="auto"/>
        <w:ind w:left="353" w:hanging="8"/>
      </w:pPr>
      <w:r>
        <w:rPr>
          <w:b/>
          <w:color w:val="000080"/>
          <w:u w:val="single" w:color="000080"/>
        </w:rPr>
        <w:t>Subprograma 161.00 de Abastecimiento de Agua, que refleja los gastos de inversiones en el depósito de agua de Igueste, qu</w:t>
      </w:r>
      <w:r>
        <w:rPr>
          <w:b/>
          <w:color w:val="000080"/>
          <w:u w:val="single" w:color="000080"/>
        </w:rPr>
        <w:t xml:space="preserve">e aumenta en casi doscientos cuarenta mil euros. </w:t>
      </w:r>
    </w:p>
    <w:p w:rsidR="00E23B86" w:rsidRDefault="00BA7C13">
      <w:pPr>
        <w:spacing w:after="109" w:line="249" w:lineRule="auto"/>
        <w:ind w:left="353" w:hanging="8"/>
      </w:pPr>
      <w:r>
        <w:rPr>
          <w:b/>
          <w:color w:val="000080"/>
          <w:u w:val="single" w:color="000080"/>
        </w:rPr>
        <w:t xml:space="preserve"> Representan un 1,9 % respecto del gasto total, frente al 0,6 % del año anterior.  ...................                      34</w:t>
      </w:r>
    </w:p>
    <w:p w:rsidR="00E23B86" w:rsidRDefault="00BA7C13">
      <w:pPr>
        <w:spacing w:after="0" w:line="249" w:lineRule="auto"/>
        <w:ind w:left="353" w:right="376" w:hanging="8"/>
      </w:pPr>
      <w:r>
        <w:rPr>
          <w:b/>
          <w:color w:val="000080"/>
          <w:u w:val="single" w:color="000080"/>
        </w:rPr>
        <w:t>Subprograma 162.10 de Gestión de Recogida de Residuos, que refleja los gastos d</w:t>
      </w:r>
      <w:r>
        <w:rPr>
          <w:b/>
          <w:color w:val="000080"/>
          <w:u w:val="single" w:color="000080"/>
        </w:rPr>
        <w:t xml:space="preserve">e la concesión que gestiona Urbaser SA, relativo a la Limpieza Viaria. Representan un 3,6 % </w:t>
      </w:r>
    </w:p>
    <w:p w:rsidR="00E23B86" w:rsidRDefault="00BA7C13">
      <w:pPr>
        <w:spacing w:after="109" w:line="249" w:lineRule="auto"/>
        <w:ind w:left="353" w:hanging="8"/>
      </w:pPr>
      <w:r>
        <w:rPr>
          <w:b/>
          <w:color w:val="000080"/>
          <w:u w:val="single" w:color="000080"/>
        </w:rPr>
        <w:t xml:space="preserve"> respecto del gasto total, tres décimas más que en el 2018.  ....................................................                                                  </w:t>
      </w:r>
      <w:r>
        <w:rPr>
          <w:b/>
          <w:color w:val="000080"/>
          <w:u w:val="single" w:color="000080"/>
        </w:rPr>
        <w:t xml:space="preserve">          34</w:t>
      </w:r>
    </w:p>
    <w:p w:rsidR="00E23B86" w:rsidRDefault="00BA7C13">
      <w:pPr>
        <w:spacing w:after="0" w:line="249" w:lineRule="auto"/>
        <w:ind w:left="353" w:right="376" w:hanging="8"/>
      </w:pPr>
      <w:r>
        <w:rPr>
          <w:b/>
          <w:color w:val="000080"/>
          <w:u w:val="single" w:color="000080"/>
        </w:rPr>
        <w:t xml:space="preserve">Subprograma 163.00 de Gestión de Recogida de Residuos, que refleja los gastos de la concesión que gestiona Urbaser SA, relativo a la recogida de residuos sólidos urbanos y </w:t>
      </w:r>
    </w:p>
    <w:p w:rsidR="00E23B86" w:rsidRDefault="00BA7C13">
      <w:pPr>
        <w:spacing w:after="9" w:line="249" w:lineRule="auto"/>
        <w:ind w:left="353" w:hanging="8"/>
      </w:pPr>
      <w:r>
        <w:rPr>
          <w:b/>
          <w:color w:val="000080"/>
          <w:u w:val="single" w:color="000080"/>
        </w:rPr>
        <w:t xml:space="preserve"> recogida selectiva y la aportación a Epelcan, por limpieza de edifici</w:t>
      </w:r>
      <w:r>
        <w:rPr>
          <w:b/>
          <w:color w:val="000080"/>
          <w:u w:val="single" w:color="000080"/>
        </w:rPr>
        <w:t xml:space="preserve">os. Representan un 8,3 % </w:t>
      </w:r>
    </w:p>
    <w:p w:rsidR="00E23B86" w:rsidRDefault="00BA7C13">
      <w:pPr>
        <w:spacing w:after="0" w:line="241" w:lineRule="auto"/>
        <w:ind w:left="345" w:hanging="10"/>
        <w:jc w:val="both"/>
      </w:pPr>
      <w:r>
        <w:rPr>
          <w:b/>
          <w:color w:val="000080"/>
          <w:u w:val="single" w:color="000080"/>
        </w:rPr>
        <w:t xml:space="preserve"> respecto del gasto total, ocho décimas más que en 2018.  ......................................................                                                              34 Subprograma 164.00 de Cementerios, que sube un 34,9 %</w:t>
      </w:r>
      <w:r>
        <w:rPr>
          <w:b/>
          <w:color w:val="000080"/>
          <w:u w:val="single" w:color="000080"/>
        </w:rPr>
        <w:t xml:space="preserve">, representando los gastos de personal, el 69,2 % del gasto de este subprograma, subiendo los gastos corrientes, casi el </w:t>
      </w:r>
    </w:p>
    <w:p w:rsidR="00E23B86" w:rsidRDefault="00BA7C13">
      <w:pPr>
        <w:spacing w:after="109" w:line="249" w:lineRule="auto"/>
        <w:ind w:left="353" w:hanging="8"/>
      </w:pPr>
      <w:r>
        <w:rPr>
          <w:b/>
          <w:color w:val="000080"/>
          <w:u w:val="single" w:color="000080"/>
        </w:rPr>
        <w:t xml:space="preserve"> doble. Representan un 0,1 % respecto del gasto total, igual que en el año anterior.  ..............               35</w:t>
      </w:r>
    </w:p>
    <w:p w:rsidR="00E23B86" w:rsidRDefault="00BA7C13">
      <w:pPr>
        <w:spacing w:after="0" w:line="249" w:lineRule="auto"/>
        <w:ind w:left="353" w:hanging="8"/>
      </w:pPr>
      <w:r>
        <w:rPr>
          <w:b/>
          <w:color w:val="000080"/>
          <w:u w:val="single" w:color="000080"/>
        </w:rPr>
        <w:t>Subprograma 165.</w:t>
      </w:r>
      <w:r>
        <w:rPr>
          <w:b/>
          <w:color w:val="000080"/>
          <w:u w:val="single" w:color="000080"/>
        </w:rPr>
        <w:t xml:space="preserve">00 de Alumbrado Público, que cae un 10,5 %, por la menor inversión en alumbrado, al caer un 43 %, mientras que ha subido el consumo en un 4 %. Representan un </w:t>
      </w:r>
    </w:p>
    <w:p w:rsidR="00E23B86" w:rsidRDefault="00BA7C13">
      <w:pPr>
        <w:spacing w:after="109" w:line="249" w:lineRule="auto"/>
        <w:ind w:left="353" w:hanging="8"/>
      </w:pPr>
      <w:r>
        <w:rPr>
          <w:b/>
          <w:color w:val="000080"/>
          <w:u w:val="single" w:color="000080"/>
        </w:rPr>
        <w:t xml:space="preserve"> 1,6 % respecto del gasto total, frente al 1,7 % del año anterior.  .............................</w:t>
      </w:r>
      <w:r>
        <w:rPr>
          <w:b/>
          <w:color w:val="000080"/>
          <w:u w:val="single" w:color="000080"/>
        </w:rPr>
        <w:t>................                                                   35</w:t>
      </w:r>
    </w:p>
    <w:p w:rsidR="00E23B86" w:rsidRDefault="00BA7C13">
      <w:pPr>
        <w:spacing w:after="109" w:line="249" w:lineRule="auto"/>
        <w:ind w:left="353" w:right="216" w:hanging="8"/>
      </w:pPr>
      <w:r>
        <w:rPr>
          <w:b/>
          <w:color w:val="000080"/>
          <w:u w:val="single" w:color="000080"/>
        </w:rPr>
        <w:t>Subprograma 170.00 de Medio Ambiente, que se creó en el 2018, con unos gastos de seis mil  tres euros, refleja gastos corrientes en bienes y servicios por cuarenta y ocho mil Euros.  ...</w:t>
      </w:r>
      <w:r>
        <w:rPr>
          <w:b/>
          <w:color w:val="000080"/>
          <w:u w:val="single" w:color="000080"/>
        </w:rPr>
        <w:t>..     35</w:t>
      </w:r>
    </w:p>
    <w:p w:rsidR="00E23B86" w:rsidRDefault="00BA7C13">
      <w:pPr>
        <w:spacing w:after="0" w:line="249" w:lineRule="auto"/>
        <w:ind w:left="353" w:right="180" w:hanging="8"/>
      </w:pPr>
      <w:r>
        <w:rPr>
          <w:b/>
          <w:color w:val="000080"/>
          <w:u w:val="single" w:color="000080"/>
        </w:rPr>
        <w:t>Subprograma 171.00 de Parques y Jardines, que sube un 5,6 %, por el mayor gasto en inversiones, por importe de ciento setenta y dos mil Euros, que compensa la caída de gastos corrientes y de servicios, que cae un 51 %, representando el capítulo d</w:t>
      </w:r>
      <w:r>
        <w:rPr>
          <w:b/>
          <w:color w:val="000080"/>
          <w:u w:val="single" w:color="000080"/>
        </w:rPr>
        <w:t xml:space="preserve">e personal el 43,2 % </w:t>
      </w:r>
    </w:p>
    <w:p w:rsidR="00E23B86" w:rsidRDefault="00BA7C13">
      <w:pPr>
        <w:spacing w:after="9" w:line="249" w:lineRule="auto"/>
        <w:ind w:left="353" w:hanging="8"/>
      </w:pPr>
      <w:r>
        <w:rPr>
          <w:b/>
          <w:color w:val="000080"/>
          <w:u w:val="single" w:color="000080"/>
        </w:rPr>
        <w:t xml:space="preserve">del gasto en este subprograma y. Representan un 2,3 % respecto del gasto total, frente al 2,1 </w:t>
      </w:r>
    </w:p>
    <w:p w:rsidR="00E23B86" w:rsidRDefault="00BA7C13">
      <w:pPr>
        <w:spacing w:after="109" w:line="249" w:lineRule="auto"/>
        <w:ind w:left="353" w:hanging="8"/>
      </w:pPr>
      <w:r>
        <w:rPr>
          <w:b/>
          <w:color w:val="000080"/>
          <w:u w:val="single" w:color="000080"/>
        </w:rPr>
        <w:t xml:space="preserve"> % del año anterior.  .................................................................................................................    </w:t>
      </w:r>
      <w:r>
        <w:rPr>
          <w:b/>
          <w:color w:val="000080"/>
          <w:u w:val="single" w:color="000080"/>
        </w:rPr>
        <w:t xml:space="preserve">                                                                                                                               35</w:t>
      </w:r>
    </w:p>
    <w:p w:rsidR="00E23B86" w:rsidRDefault="00BA7C13">
      <w:pPr>
        <w:spacing w:after="0" w:line="249" w:lineRule="auto"/>
        <w:ind w:left="353" w:right="351" w:hanging="8"/>
      </w:pPr>
      <w:r>
        <w:rPr>
          <w:b/>
          <w:color w:val="000080"/>
          <w:u w:val="single" w:color="000080"/>
        </w:rPr>
        <w:t>Área de Gasto 2: Incluye las Actuaciones de Protección y Promoción Social. El total gasto liquidado en esta área de gasto asciende a 4.641.367,35 Euros frente a los 4.102.717,80 Euros de 2018, es decir, que ha habido un incremento del 13 %, representando e</w:t>
      </w:r>
      <w:r>
        <w:rPr>
          <w:b/>
          <w:color w:val="000080"/>
          <w:u w:val="single" w:color="000080"/>
        </w:rPr>
        <w:t xml:space="preserve">l 19,2 % del gasto </w:t>
      </w:r>
    </w:p>
    <w:p w:rsidR="00E23B86" w:rsidRDefault="00BA7C13">
      <w:pPr>
        <w:spacing w:after="9" w:line="249" w:lineRule="auto"/>
        <w:ind w:left="353" w:hanging="8"/>
      </w:pPr>
      <w:r>
        <w:rPr>
          <w:b/>
          <w:color w:val="000080"/>
          <w:u w:val="single" w:color="000080"/>
        </w:rPr>
        <w:t xml:space="preserve">total, frente al 16,8 % del ejercicio 2018. A continuación, destacamos los siguientes </w:t>
      </w:r>
    </w:p>
    <w:p w:rsidR="00E23B86" w:rsidRDefault="00BA7C13">
      <w:pPr>
        <w:spacing w:after="109" w:line="249" w:lineRule="auto"/>
        <w:ind w:left="353" w:hanging="8"/>
      </w:pPr>
      <w:r>
        <w:rPr>
          <w:b/>
          <w:color w:val="000080"/>
          <w:u w:val="single" w:color="000080"/>
        </w:rPr>
        <w:t xml:space="preserve"> subprogramas:  .......................................................................................................................</w:t>
      </w:r>
      <w:r>
        <w:rPr>
          <w:b/>
          <w:color w:val="000080"/>
          <w:u w:val="single" w:color="000080"/>
        </w:rPr>
        <w:t xml:space="preserve">                                                                                                                                          35</w:t>
      </w:r>
    </w:p>
    <w:p w:rsidR="00E23B86" w:rsidRDefault="00BA7C13">
      <w:pPr>
        <w:spacing w:after="0" w:line="249" w:lineRule="auto"/>
        <w:ind w:left="353" w:hanging="8"/>
      </w:pPr>
      <w:r>
        <w:rPr>
          <w:b/>
          <w:color w:val="000080"/>
          <w:u w:val="single" w:color="000080"/>
        </w:rPr>
        <w:t>Subprograma 211.00 de Pensiones, se incrementa el 6,5 % el gasto liquidado. Recoge los emolumentos dejados de recib</w:t>
      </w:r>
      <w:r>
        <w:rPr>
          <w:b/>
          <w:color w:val="000080"/>
          <w:u w:val="single" w:color="000080"/>
        </w:rPr>
        <w:t xml:space="preserve">ir por parte de funcionarios que han solicitado la jubilación </w:t>
      </w:r>
    </w:p>
    <w:p w:rsidR="00E23B86" w:rsidRDefault="00BA7C13">
      <w:pPr>
        <w:spacing w:after="109" w:line="249" w:lineRule="auto"/>
        <w:ind w:left="353" w:hanging="8"/>
      </w:pPr>
      <w:r>
        <w:rPr>
          <w:b/>
          <w:color w:val="000080"/>
          <w:u w:val="single" w:color="000080"/>
        </w:rPr>
        <w:t xml:space="preserve"> anticipada. Representan un 0,09 % respecto del gasto total.  .................................................                                                        36</w:t>
      </w:r>
    </w:p>
    <w:p w:rsidR="00E23B86" w:rsidRDefault="00BA7C13">
      <w:pPr>
        <w:spacing w:after="109" w:line="249" w:lineRule="auto"/>
        <w:ind w:left="353" w:right="506" w:hanging="8"/>
      </w:pPr>
      <w:r>
        <w:rPr>
          <w:noProof/>
        </w:rPr>
        <mc:AlternateContent>
          <mc:Choice Requires="wpg">
            <w:drawing>
              <wp:anchor distT="0" distB="0" distL="114300" distR="114300" simplePos="0" relativeHeight="2518865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37757" name="Group 53775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6596" name="Rectangle 3659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w:t>
                              </w:r>
                              <w:r>
                                <w:rPr>
                                  <w:rFonts w:ascii="Arial" w:eastAsia="Arial" w:hAnsi="Arial" w:cs="Arial"/>
                                  <w:sz w:val="12"/>
                                </w:rPr>
                                <w:t xml:space="preserve">7C4GAAK3P9GMGZC2N3FZWC | Verificación: https://candelaria.sedelectronica.es/ </w:t>
                              </w:r>
                            </w:p>
                          </w:txbxContent>
                        </wps:txbx>
                        <wps:bodyPr horzOverflow="overflow" vert="horz" lIns="0" tIns="0" rIns="0" bIns="0" rtlCol="0">
                          <a:noAutofit/>
                        </wps:bodyPr>
                      </wps:wsp>
                      <wps:wsp>
                        <wps:cNvPr id="36597" name="Rectangle 3659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37757" style="width:12.7031pt;height:280.35pt;position:absolute;mso-position-horizontal-relative:page;mso-position-horizontal:absolute;margin-left:681.958pt;mso-position-vertical-relative:page;margin-top:531.65pt;" coordsize="1613,35604">
                <v:rect id="Rectangle 3659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659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221 de 391 </w:t>
                        </w:r>
                      </w:p>
                    </w:txbxContent>
                  </v:textbox>
                </v:rect>
                <w10:wrap type="square"/>
              </v:group>
            </w:pict>
          </mc:Fallback>
        </mc:AlternateContent>
      </w:r>
      <w:r>
        <w:rPr>
          <w:b/>
          <w:color w:val="000080"/>
          <w:u w:val="single" w:color="000080"/>
        </w:rPr>
        <w:t>Subprograma 221.00 de Otras Prestaciones a favor de los Empleados, que recoge los</w:t>
      </w:r>
      <w:r>
        <w:rPr>
          <w:b/>
          <w:color w:val="000080"/>
          <w:u w:val="single" w:color="000080"/>
        </w:rPr>
        <w:t xml:space="preserve"> gastos de acción social y la aportación municipal al seguro privado, cae un 13 %, por el menor gasto  en acción social. Representan un 0,2 % respecto del gasto total, igual que en el 2018.  ..........          36</w:t>
      </w:r>
    </w:p>
    <w:p w:rsidR="00E23B86" w:rsidRDefault="00BA7C13">
      <w:pPr>
        <w:spacing w:after="109" w:line="249" w:lineRule="auto"/>
        <w:ind w:left="353" w:right="446" w:hanging="8"/>
      </w:pPr>
      <w:r>
        <w:rPr>
          <w:b/>
          <w:color w:val="000080"/>
          <w:u w:val="single" w:color="000080"/>
        </w:rPr>
        <w:t xml:space="preserve">Subprograma 231.00 de Servicios Sociales, </w:t>
      </w:r>
      <w:r>
        <w:rPr>
          <w:b/>
          <w:color w:val="000080"/>
          <w:u w:val="single" w:color="000080"/>
        </w:rPr>
        <w:t>que sube un 0,8 %, respecto a los gastos del ejercicio anterior, destacando la subida de los gastos en bienes corrientes y de servicios (14 %); los costes de personal (2,8 %), que compensa la caída de los costes de transferencias, que  cae un 7 %. Represen</w:t>
      </w:r>
      <w:r>
        <w:rPr>
          <w:b/>
          <w:color w:val="000080"/>
          <w:u w:val="single" w:color="000080"/>
        </w:rPr>
        <w:t>tan un 8,7 % frente al 8,2 % respecto del gasto total del año anterior.   ..36</w:t>
      </w:r>
    </w:p>
    <w:p w:rsidR="00E23B86" w:rsidRDefault="00BA7C13">
      <w:pPr>
        <w:spacing w:after="0" w:line="249" w:lineRule="auto"/>
        <w:ind w:left="353" w:right="494" w:hanging="8"/>
      </w:pPr>
      <w:r>
        <w:rPr>
          <w:b/>
          <w:color w:val="000080"/>
          <w:u w:val="single" w:color="000080"/>
        </w:rPr>
        <w:t xml:space="preserve">Subprograma 231.01 de Mujer, Menor y Familia. Ejecuta un gasto de 78.746 Euros, frente a los casi 62.500 Euros del año anterior, principalmente en gastos corriente en bienes y </w:t>
      </w:r>
    </w:p>
    <w:p w:rsidR="00E23B86" w:rsidRDefault="00BA7C13">
      <w:pPr>
        <w:spacing w:after="109" w:line="249" w:lineRule="auto"/>
        <w:ind w:left="353" w:hanging="8"/>
      </w:pPr>
      <w:r>
        <w:rPr>
          <w:b/>
          <w:color w:val="000080"/>
          <w:u w:val="single" w:color="000080"/>
        </w:rPr>
        <w:t xml:space="preserve"> servicios. Crece un  26 %. Representa un 0,3 % del gasto total.  ..............................................                                                    36</w:t>
      </w:r>
    </w:p>
    <w:p w:rsidR="00E23B86" w:rsidRDefault="00BA7C13">
      <w:pPr>
        <w:spacing w:after="9" w:line="249" w:lineRule="auto"/>
        <w:ind w:left="353" w:hanging="8"/>
      </w:pPr>
      <w:r>
        <w:rPr>
          <w:b/>
          <w:color w:val="000080"/>
          <w:u w:val="single" w:color="000080"/>
        </w:rPr>
        <w:t xml:space="preserve">Subprograma 231.02 de Mayores, crece muy levemente. Representan un gasto de 16.408 </w:t>
      </w:r>
    </w:p>
    <w:p w:rsidR="00E23B86" w:rsidRDefault="00BA7C13">
      <w:pPr>
        <w:spacing w:after="109" w:line="249" w:lineRule="auto"/>
        <w:ind w:left="353" w:hanging="8"/>
      </w:pPr>
      <w:r>
        <w:rPr>
          <w:b/>
          <w:color w:val="000080"/>
          <w:u w:val="single" w:color="000080"/>
        </w:rPr>
        <w:t xml:space="preserve"> </w:t>
      </w:r>
      <w:r>
        <w:rPr>
          <w:b/>
          <w:color w:val="000080"/>
          <w:u w:val="single" w:color="000080"/>
        </w:rPr>
        <w:t xml:space="preserve">Euros.  .....................................................................................................................................                                                                                                                   </w:t>
      </w:r>
      <w:r>
        <w:rPr>
          <w:b/>
          <w:color w:val="000080"/>
          <w:u w:val="single" w:color="000080"/>
        </w:rPr>
        <w:t xml:space="preserve">                                       36</w:t>
      </w:r>
    </w:p>
    <w:p w:rsidR="00E23B86" w:rsidRDefault="00BA7C13">
      <w:pPr>
        <w:spacing w:after="0" w:line="249" w:lineRule="auto"/>
        <w:ind w:left="353" w:right="488" w:hanging="8"/>
      </w:pPr>
      <w:r>
        <w:rPr>
          <w:b/>
          <w:color w:val="000080"/>
          <w:u w:val="single" w:color="000080"/>
        </w:rPr>
        <w:t xml:space="preserve">Subprograma 241.00 de Fomento del Empleo, que recoge las transferencias corrientes a la sociedad municipal de vivienda y servicios, pero sobre todo los gastos de personal y gastos corrientes vinculados a proyectos </w:t>
      </w:r>
      <w:r>
        <w:rPr>
          <w:b/>
          <w:color w:val="000080"/>
          <w:u w:val="single" w:color="000080"/>
        </w:rPr>
        <w:t xml:space="preserve">subvencionados, que aumenta un 27,5 %, representando los gastos de personal, el 64,7 %, del gasto total, incrementándose este capítulo en un 5,8 %, </w:t>
      </w:r>
    </w:p>
    <w:p w:rsidR="00E23B86" w:rsidRDefault="00BA7C13">
      <w:pPr>
        <w:spacing w:after="9" w:line="249" w:lineRule="auto"/>
        <w:ind w:left="353" w:hanging="8"/>
      </w:pPr>
      <w:r>
        <w:rPr>
          <w:b/>
          <w:color w:val="000080"/>
          <w:u w:val="single" w:color="000080"/>
        </w:rPr>
        <w:t xml:space="preserve">en relación al ejercicio precedente. Representan un 10,2 % respecto del gasto total, frente al </w:t>
      </w:r>
    </w:p>
    <w:p w:rsidR="00E23B86" w:rsidRDefault="00BA7C13">
      <w:pPr>
        <w:spacing w:after="109" w:line="249" w:lineRule="auto"/>
        <w:ind w:left="353" w:hanging="8"/>
      </w:pPr>
      <w:r>
        <w:rPr>
          <w:b/>
          <w:color w:val="000080"/>
          <w:u w:val="single" w:color="000080"/>
        </w:rPr>
        <w:t xml:space="preserve"> 7,9 % del </w:t>
      </w:r>
      <w:r>
        <w:rPr>
          <w:b/>
          <w:color w:val="000080"/>
          <w:u w:val="single" w:color="000080"/>
        </w:rPr>
        <w:t>ejercicio 2018.  .........................................................................................................                                                                                                                         36</w:t>
      </w:r>
    </w:p>
    <w:p w:rsidR="00E23B86" w:rsidRDefault="00BA7C13">
      <w:pPr>
        <w:spacing w:after="0" w:line="249" w:lineRule="auto"/>
        <w:ind w:left="353" w:right="493" w:hanging="8"/>
      </w:pPr>
      <w:r>
        <w:rPr>
          <w:b/>
          <w:color w:val="000080"/>
          <w:u w:val="single" w:color="000080"/>
        </w:rPr>
        <w:t xml:space="preserve">  Área de </w:t>
      </w:r>
      <w:r>
        <w:rPr>
          <w:b/>
          <w:color w:val="000080"/>
          <w:u w:val="single" w:color="000080"/>
        </w:rPr>
        <w:t>Gasto 3: Producción de Bienes Públicos de carácter Preferente, que comprende los gastos relacionados con la sanidad, educación, cultura, ocio y tiempo libre, deporte y todos aquellos que mejoren la calidad de vida, El gasto en esta área importa 2.586.831,8</w:t>
      </w:r>
      <w:r>
        <w:rPr>
          <w:b/>
          <w:color w:val="000080"/>
          <w:u w:val="single" w:color="000080"/>
        </w:rPr>
        <w:t>4 Euros  frente al gasto de  2.827.981,30 Euros en el 2018, esto es, hay una caída del 8,5 % y representa el 10,7 % del gasto total, frente al 11,5 % del gasto total en el ejercicio anterior, destacando el gasto en bienes corrientes en un 45,5 % y los gast</w:t>
      </w:r>
      <w:r>
        <w:rPr>
          <w:b/>
          <w:color w:val="000080"/>
          <w:u w:val="single" w:color="000080"/>
        </w:rPr>
        <w:t xml:space="preserve">os de personal, un 25 % y las </w:t>
      </w:r>
    </w:p>
    <w:p w:rsidR="00E23B86" w:rsidRDefault="00BA7C13">
      <w:pPr>
        <w:spacing w:after="109" w:line="249" w:lineRule="auto"/>
        <w:ind w:left="353" w:hanging="8"/>
      </w:pPr>
      <w:r>
        <w:rPr>
          <w:b/>
          <w:color w:val="000080"/>
          <w:u w:val="single" w:color="000080"/>
        </w:rPr>
        <w:t xml:space="preserve"> subvenciones, el 24,6 %. Destacamos:  ...................................................................................                                                                                                 37</w:t>
      </w:r>
    </w:p>
    <w:p w:rsidR="00E23B86" w:rsidRDefault="00BA7C13">
      <w:pPr>
        <w:spacing w:after="116" w:line="257" w:lineRule="auto"/>
        <w:ind w:left="800" w:hanging="10"/>
      </w:pPr>
      <w:r>
        <w:rPr>
          <w:color w:val="000080"/>
          <w:u w:val="single" w:color="000080"/>
        </w:rPr>
        <w:t xml:space="preserve"> 1.</w:t>
      </w:r>
      <w:r>
        <w:rPr>
          <w:color w:val="000080"/>
          <w:u w:val="single" w:color="000080"/>
        </w:rPr>
        <w:t>- RESULTADO PRESUPUESTARIO  .......................................................................................                                                                                                 66</w:t>
      </w:r>
    </w:p>
    <w:p w:rsidR="00E23B86" w:rsidRDefault="00BA7C13">
      <w:pPr>
        <w:spacing w:after="116" w:line="257" w:lineRule="auto"/>
        <w:ind w:left="580" w:hanging="10"/>
      </w:pPr>
      <w:r>
        <w:rPr>
          <w:color w:val="000080"/>
          <w:u w:val="single" w:color="000080"/>
        </w:rPr>
        <w:t xml:space="preserve"> REMANENTE DE TESORERIA                  </w:t>
      </w:r>
      <w:r>
        <w:rPr>
          <w:color w:val="000080"/>
          <w:u w:val="single" w:color="000080"/>
        </w:rPr>
        <w:t xml:space="preserve">           PRESUPUESTO  2019 ( Euros )  ...........................                             67</w:t>
      </w:r>
    </w:p>
    <w:p w:rsidR="00E23B86" w:rsidRDefault="00BA7C13">
      <w:pPr>
        <w:spacing w:after="116" w:line="257" w:lineRule="auto"/>
        <w:ind w:left="582" w:hanging="10"/>
      </w:pPr>
      <w:r>
        <w:rPr>
          <w:color w:val="000080"/>
          <w:u w:val="single" w:color="000080"/>
        </w:rPr>
        <w:t xml:space="preserve">I ............................................................................................................................................               </w:t>
      </w:r>
      <w:r>
        <w:rPr>
          <w:color w:val="000080"/>
          <w:u w:val="single" w:color="000080"/>
        </w:rPr>
        <w:t xml:space="preserve">                                                                                                                                              102</w:t>
      </w:r>
    </w:p>
    <w:p w:rsidR="00E23B86" w:rsidRDefault="00BA7C13">
      <w:pPr>
        <w:spacing w:after="116" w:line="257" w:lineRule="auto"/>
        <w:ind w:left="800" w:hanging="10"/>
      </w:pPr>
      <w:r>
        <w:rPr>
          <w:color w:val="000080"/>
          <w:u w:val="single" w:color="000080"/>
        </w:rPr>
        <w:t xml:space="preserve"> ACTO DE CALIFICACIÓN  .......................................................................................</w:t>
      </w:r>
      <w:r>
        <w:rPr>
          <w:color w:val="000080"/>
          <w:u w:val="single" w:color="000080"/>
        </w:rPr>
        <w:t>.............                                                                                                                102</w:t>
      </w:r>
    </w:p>
    <w:p w:rsidR="00E23B86" w:rsidRDefault="00BA7C13">
      <w:pPr>
        <w:spacing w:after="116" w:line="257" w:lineRule="auto"/>
        <w:ind w:left="582" w:hanging="10"/>
      </w:pPr>
      <w:r>
        <w:rPr>
          <w:color w:val="000080"/>
          <w:u w:val="single" w:color="000080"/>
        </w:rPr>
        <w:t>I .............................................................................................................................</w:t>
      </w:r>
      <w:r>
        <w:rPr>
          <w:color w:val="000080"/>
          <w:u w:val="single" w:color="000080"/>
        </w:rPr>
        <w:t>...............                                                                                                                                                             115</w:t>
      </w:r>
    </w:p>
    <w:p w:rsidR="00E23B86" w:rsidRDefault="00BA7C13">
      <w:pPr>
        <w:spacing w:after="116" w:line="257" w:lineRule="auto"/>
        <w:ind w:left="800" w:hanging="10"/>
      </w:pPr>
      <w:r>
        <w:rPr>
          <w:color w:val="000080"/>
          <w:u w:val="single" w:color="000080"/>
        </w:rPr>
        <w:t xml:space="preserve"> ACTO DE CALIFICACIÓN  .........................................................</w:t>
      </w:r>
      <w:r>
        <w:rPr>
          <w:color w:val="000080"/>
          <w:u w:val="single" w:color="000080"/>
        </w:rPr>
        <w:t>...........................................                                                                                                                115</w:t>
      </w:r>
    </w:p>
    <w:p w:rsidR="00E23B86" w:rsidRDefault="00BA7C13">
      <w:pPr>
        <w:spacing w:after="109" w:line="249" w:lineRule="auto"/>
        <w:ind w:left="353" w:hanging="8"/>
      </w:pPr>
      <w:r>
        <w:rPr>
          <w:b/>
          <w:color w:val="000080"/>
          <w:u w:val="single" w:color="000080"/>
        </w:rPr>
        <w:t xml:space="preserve"> INTRODUCCIÓN    ................................................................................</w:t>
      </w:r>
      <w:r>
        <w:rPr>
          <w:b/>
          <w:color w:val="000080"/>
          <w:u w:val="single" w:color="000080"/>
        </w:rPr>
        <w:t>.................................                                                                                                                                   158</w:t>
      </w:r>
    </w:p>
    <w:p w:rsidR="00E23B86" w:rsidRDefault="00BA7C13">
      <w:pPr>
        <w:numPr>
          <w:ilvl w:val="0"/>
          <w:numId w:val="107"/>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w:t>
      </w:r>
      <w:r>
        <w:rPr>
          <w:b/>
          <w:color w:val="000080"/>
          <w:u w:val="single" w:color="000080"/>
        </w:rPr>
        <w:t>......................................................................................................                                                                                                                      158</w:t>
      </w:r>
    </w:p>
    <w:p w:rsidR="00E23B86" w:rsidRDefault="00BA7C13">
      <w:pPr>
        <w:numPr>
          <w:ilvl w:val="0"/>
          <w:numId w:val="107"/>
        </w:numPr>
        <w:spacing w:after="9" w:line="249" w:lineRule="auto"/>
        <w:ind w:hanging="220"/>
      </w:pPr>
      <w:r>
        <w:rPr>
          <w:b/>
          <w:color w:val="000080"/>
          <w:u w:val="single" w:color="000080"/>
        </w:rPr>
        <w:t>ANÁLISIS DE LA PROBLEMÁTICA Y AP</w:t>
      </w:r>
      <w:r>
        <w:rPr>
          <w:b/>
          <w:color w:val="000080"/>
          <w:u w:val="single" w:color="000080"/>
        </w:rPr>
        <w:t xml:space="preserve">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159</w:t>
      </w:r>
    </w:p>
    <w:p w:rsidR="00E23B86" w:rsidRDefault="00BA7C13">
      <w:pPr>
        <w:numPr>
          <w:ilvl w:val="1"/>
          <w:numId w:val="107"/>
        </w:numPr>
        <w:spacing w:after="2" w:line="257" w:lineRule="auto"/>
        <w:ind w:hanging="383"/>
      </w:pPr>
      <w:r>
        <w:rPr>
          <w:color w:val="000080"/>
          <w:u w:val="single" w:color="000080"/>
        </w:rPr>
        <w:t>Resultados de la</w:t>
      </w:r>
      <w:r>
        <w:rPr>
          <w:color w:val="000080"/>
          <w:u w:val="single" w:color="000080"/>
        </w:rPr>
        <w:t xml:space="preserve"> evaluación del III Plan Municipal sobre Drogodependencias (2013-2017)</w:t>
      </w:r>
    </w:p>
    <w:p w:rsidR="00E23B86" w:rsidRDefault="00BA7C13">
      <w:pPr>
        <w:spacing w:after="116" w:line="257" w:lineRule="auto"/>
        <w:ind w:left="580" w:hanging="10"/>
      </w:pPr>
      <w:r>
        <w:rPr>
          <w:color w:val="000080"/>
          <w:u w:val="single" w:color="000080"/>
        </w:rPr>
        <w:t xml:space="preserve"> .............................................................................................................................................                                           </w:t>
      </w:r>
      <w:r>
        <w:rPr>
          <w:color w:val="000080"/>
          <w:u w:val="single" w:color="000080"/>
        </w:rPr>
        <w:t xml:space="preserve">                                                                                                                   159</w:t>
      </w:r>
    </w:p>
    <w:p w:rsidR="00E23B86" w:rsidRDefault="00BA7C13">
      <w:pPr>
        <w:numPr>
          <w:ilvl w:val="1"/>
          <w:numId w:val="107"/>
        </w:numPr>
        <w:spacing w:after="2" w:line="257" w:lineRule="auto"/>
        <w:ind w:hanging="383"/>
      </w:pPr>
      <w:r>
        <w:rPr>
          <w:color w:val="000080"/>
          <w:u w:val="single" w:color="000080"/>
        </w:rPr>
        <w:t xml:space="preserve">La prevalencia del consumo en Canarias e indicaciones para la planificación de las </w:t>
      </w:r>
    </w:p>
    <w:p w:rsidR="00E23B86" w:rsidRDefault="00BA7C13">
      <w:pPr>
        <w:spacing w:after="116" w:line="257" w:lineRule="auto"/>
        <w:ind w:left="580" w:hanging="10"/>
      </w:pPr>
      <w:r>
        <w:rPr>
          <w:color w:val="000080"/>
          <w:u w:val="single" w:color="000080"/>
        </w:rPr>
        <w:t xml:space="preserve"> acciones de prevención e inserción.   ..............</w:t>
      </w:r>
      <w:r>
        <w:rPr>
          <w:color w:val="000080"/>
          <w:u w:val="single" w:color="000080"/>
        </w:rPr>
        <w:t>.....................................................................                                                                                             161</w:t>
      </w:r>
    </w:p>
    <w:p w:rsidR="00E23B86" w:rsidRDefault="00BA7C13">
      <w:pPr>
        <w:numPr>
          <w:ilvl w:val="1"/>
          <w:numId w:val="107"/>
        </w:numPr>
        <w:spacing w:after="116" w:line="257" w:lineRule="auto"/>
        <w:ind w:hanging="383"/>
      </w:pPr>
      <w:r>
        <w:rPr>
          <w:color w:val="000080"/>
          <w:u w:val="single" w:color="000080"/>
        </w:rPr>
        <w:t>Descripción del contexto municipal    ....................................................</w:t>
      </w:r>
      <w:r>
        <w:rPr>
          <w:color w:val="000080"/>
          <w:u w:val="single" w:color="000080"/>
        </w:rPr>
        <w:t>........................                                                                                     162</w:t>
      </w:r>
    </w:p>
    <w:p w:rsidR="00E23B86" w:rsidRDefault="00BA7C13">
      <w:pPr>
        <w:spacing w:after="116" w:line="257" w:lineRule="auto"/>
        <w:ind w:left="800" w:hanging="10"/>
      </w:pPr>
      <w:r>
        <w:rPr>
          <w:noProof/>
        </w:rPr>
        <mc:AlternateContent>
          <mc:Choice Requires="wpg">
            <w:drawing>
              <wp:anchor distT="0" distB="0" distL="114300" distR="114300" simplePos="0" relativeHeight="2518876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0489" name="Group 54048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6962" name="Rectangle 3696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6963" name="Rectangle 3696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w:t>
                              </w:r>
                              <w:r>
                                <w:rPr>
                                  <w:rFonts w:ascii="Arial" w:eastAsia="Arial" w:hAnsi="Arial" w:cs="Arial"/>
                                  <w:sz w:val="12"/>
                                </w:rPr>
                                <w:t xml:space="preserve"> la plataforma esPublico Gestiona | Página 222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0489" style="width:12.7031pt;height:280.35pt;position:absolute;mso-position-horizontal-relative:page;mso-position-horizontal:absolute;margin-left:681.958pt;mso-position-vertical-relative:page;margin-top:531.65pt;" coordsize="1613,35604">
                <v:rect id="Rectangle 3696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696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222 de 391 </w:t>
                        </w:r>
                      </w:p>
                    </w:txbxContent>
                  </v:textbox>
                </v:rect>
                <w10:wrap type="square"/>
              </v:group>
            </w:pict>
          </mc:Fallback>
        </mc:AlternateContent>
      </w:r>
      <w:r>
        <w:rPr>
          <w:color w:val="000080"/>
          <w:u w:val="single" w:color="000080"/>
        </w:rPr>
        <w:t xml:space="preserve"> 2.3.1. Contexto demográfico y laboral  ..............................................................................</w:t>
      </w:r>
      <w:r>
        <w:rPr>
          <w:color w:val="000080"/>
          <w:u w:val="single" w:color="000080"/>
        </w:rPr>
        <w:t xml:space="preserve">                                                                                       163</w:t>
      </w:r>
    </w:p>
    <w:p w:rsidR="00E23B86" w:rsidRDefault="00BA7C13">
      <w:pPr>
        <w:numPr>
          <w:ilvl w:val="1"/>
          <w:numId w:val="107"/>
        </w:numPr>
        <w:spacing w:after="116" w:line="257" w:lineRule="auto"/>
        <w:ind w:hanging="383"/>
      </w:pPr>
      <w:r>
        <w:rPr>
          <w:color w:val="000080"/>
          <w:u w:val="single" w:color="000080"/>
        </w:rPr>
        <w:t xml:space="preserve">Recomendaciones para el diseño del IV Plan    ..............................................................                                                         </w:t>
      </w:r>
      <w:r>
        <w:rPr>
          <w:color w:val="000080"/>
          <w:u w:val="single" w:color="000080"/>
        </w:rPr>
        <w:t xml:space="preserve">             167</w:t>
      </w:r>
    </w:p>
    <w:p w:rsidR="00E23B86" w:rsidRDefault="00BA7C13">
      <w:pPr>
        <w:spacing w:after="109" w:line="249" w:lineRule="auto"/>
        <w:ind w:left="353" w:hanging="8"/>
      </w:pPr>
      <w:r>
        <w:rPr>
          <w:b/>
          <w:color w:val="000080"/>
          <w:u w:val="single" w:color="000080"/>
        </w:rPr>
        <w:t xml:space="preserve"> 3.LOS PRINCIPIOS DEL IV PLAN  ............................................................................................                                                                                                           168</w:t>
      </w:r>
    </w:p>
    <w:p w:rsidR="00E23B86" w:rsidRDefault="00BA7C13">
      <w:pPr>
        <w:spacing w:after="109" w:line="249" w:lineRule="auto"/>
        <w:ind w:left="353" w:hanging="8"/>
      </w:pPr>
      <w:r>
        <w:rPr>
          <w:b/>
          <w:color w:val="000080"/>
          <w:u w:val="single" w:color="000080"/>
        </w:rPr>
        <w:t xml:space="preserve"> 4.CA</w:t>
      </w:r>
      <w:r>
        <w:rPr>
          <w:b/>
          <w:color w:val="000080"/>
          <w:u w:val="single" w:color="000080"/>
        </w:rPr>
        <w:t>MPO DE ACTUACIÓN   ...................................................................................................                                                                                                                   169</w:t>
      </w:r>
    </w:p>
    <w:p w:rsidR="00E23B86" w:rsidRDefault="00BA7C13">
      <w:pPr>
        <w:spacing w:after="109" w:line="249" w:lineRule="auto"/>
        <w:ind w:left="353" w:hanging="8"/>
      </w:pPr>
      <w:r>
        <w:rPr>
          <w:b/>
          <w:color w:val="000080"/>
          <w:u w:val="single" w:color="000080"/>
        </w:rPr>
        <w:t xml:space="preserve"> </w:t>
      </w:r>
      <w:r>
        <w:rPr>
          <w:b/>
          <w:color w:val="000080"/>
          <w:u w:val="single" w:color="000080"/>
        </w:rPr>
        <w:t>5.META Y OBJETIVOS GENERALES DEL IV PLAN SOBRE ADICCIONES DE CANDELARIA   .........         170</w:t>
      </w:r>
    </w:p>
    <w:p w:rsidR="00E23B86" w:rsidRDefault="00BA7C13">
      <w:pPr>
        <w:spacing w:after="109" w:line="249" w:lineRule="auto"/>
        <w:ind w:left="353" w:hanging="8"/>
      </w:pPr>
      <w:r>
        <w:rPr>
          <w:b/>
          <w:color w:val="000080"/>
          <w:u w:val="single" w:color="000080"/>
        </w:rPr>
        <w:t xml:space="preserve"> 6.ÁREAS DE ACTUACIÓN  .....................................................................................................                                    </w:t>
      </w:r>
      <w:r>
        <w:rPr>
          <w:b/>
          <w:color w:val="000080"/>
          <w:u w:val="single" w:color="000080"/>
        </w:rPr>
        <w:t xml:space="preserve">                                                                                  170</w:t>
      </w:r>
    </w:p>
    <w:p w:rsidR="00E23B86" w:rsidRDefault="00BA7C13">
      <w:pPr>
        <w:spacing w:after="116" w:line="257" w:lineRule="auto"/>
        <w:ind w:left="580" w:hanging="10"/>
      </w:pPr>
      <w:r>
        <w:rPr>
          <w:color w:val="000080"/>
          <w:u w:val="single" w:color="000080"/>
        </w:rPr>
        <w:t xml:space="preserve"> 6.1. ÁREA DE PREVENCIÓN Y SENSIBILIZACIÓN  ...................................................................                                                           </w:t>
      </w:r>
      <w:r>
        <w:rPr>
          <w:color w:val="000080"/>
          <w:u w:val="single" w:color="000080"/>
        </w:rPr>
        <w:t xml:space="preserve">                170</w:t>
      </w:r>
    </w:p>
    <w:p w:rsidR="00E23B86" w:rsidRDefault="00BA7C13">
      <w:pPr>
        <w:numPr>
          <w:ilvl w:val="2"/>
          <w:numId w:val="109"/>
        </w:numPr>
        <w:spacing w:after="116" w:line="257" w:lineRule="auto"/>
        <w:ind w:hanging="551"/>
      </w:pPr>
      <w:r>
        <w:rPr>
          <w:color w:val="000080"/>
          <w:u w:val="single" w:color="000080"/>
        </w:rPr>
        <w:t>Ámbito Educativo  ...................................................................................................                                                                                                               171</w:t>
      </w:r>
    </w:p>
    <w:p w:rsidR="00E23B86" w:rsidRDefault="00BA7C13">
      <w:pPr>
        <w:numPr>
          <w:ilvl w:val="2"/>
          <w:numId w:val="109"/>
        </w:numPr>
        <w:spacing w:after="116" w:line="257" w:lineRule="auto"/>
        <w:ind w:hanging="551"/>
      </w:pPr>
      <w:r>
        <w:rPr>
          <w:color w:val="000080"/>
          <w:u w:val="single" w:color="000080"/>
        </w:rPr>
        <w:t>Ámbi</w:t>
      </w:r>
      <w:r>
        <w:rPr>
          <w:color w:val="000080"/>
          <w:u w:val="single" w:color="000080"/>
        </w:rPr>
        <w:t>to Familiar  ......................................................................................................                                                                                                                  172</w:t>
      </w:r>
    </w:p>
    <w:p w:rsidR="00E23B86" w:rsidRDefault="00BA7C13">
      <w:pPr>
        <w:numPr>
          <w:ilvl w:val="2"/>
          <w:numId w:val="109"/>
        </w:numPr>
        <w:spacing w:after="116" w:line="257" w:lineRule="auto"/>
        <w:ind w:hanging="551"/>
      </w:pPr>
      <w:r>
        <w:rPr>
          <w:color w:val="000080"/>
          <w:u w:val="single" w:color="000080"/>
        </w:rPr>
        <w:t>Ámbito Comunitario  ...</w:t>
      </w:r>
      <w:r>
        <w:rPr>
          <w:color w:val="000080"/>
          <w:u w:val="single" w:color="000080"/>
        </w:rPr>
        <w:t>...........................................................................................                                                                                                          173</w:t>
      </w:r>
    </w:p>
    <w:p w:rsidR="00E23B86" w:rsidRDefault="00BA7C13">
      <w:pPr>
        <w:spacing w:after="116" w:line="257" w:lineRule="auto"/>
        <w:ind w:left="580" w:hanging="10"/>
      </w:pPr>
      <w:r>
        <w:rPr>
          <w:color w:val="000080"/>
          <w:u w:val="single" w:color="000080"/>
        </w:rPr>
        <w:t xml:space="preserve"> 6.2. ÁREA DE INSERCIÓN SOCIAL  .......................</w:t>
      </w:r>
      <w:r>
        <w:rPr>
          <w:color w:val="000080"/>
          <w:u w:val="single" w:color="000080"/>
        </w:rPr>
        <w:t>...................................................................                                                                                                     175</w:t>
      </w:r>
    </w:p>
    <w:p w:rsidR="00E23B86" w:rsidRDefault="00BA7C13">
      <w:pPr>
        <w:spacing w:after="116" w:line="257" w:lineRule="auto"/>
        <w:ind w:left="580" w:hanging="10"/>
      </w:pPr>
      <w:r>
        <w:rPr>
          <w:color w:val="000080"/>
          <w:u w:val="single" w:color="000080"/>
        </w:rPr>
        <w:t xml:space="preserve"> 6.3.ÁREA DE SOPORTE Y APOYO  ......................................................</w:t>
      </w:r>
      <w:r>
        <w:rPr>
          <w:color w:val="000080"/>
          <w:u w:val="single" w:color="000080"/>
        </w:rPr>
        <w:t>....................................                                                                                                     176</w:t>
      </w:r>
    </w:p>
    <w:p w:rsidR="00E23B86" w:rsidRDefault="00BA7C13">
      <w:pPr>
        <w:spacing w:after="109" w:line="249" w:lineRule="auto"/>
        <w:ind w:left="353" w:hanging="8"/>
      </w:pPr>
      <w:r>
        <w:rPr>
          <w:b/>
          <w:color w:val="000080"/>
          <w:u w:val="single" w:color="000080"/>
        </w:rPr>
        <w:t xml:space="preserve"> 7.COORDINACIÓN DE LAS ACTUACIONES DEL IV PLAN  .........................................................          </w:t>
      </w:r>
      <w:r>
        <w:rPr>
          <w:b/>
          <w:color w:val="000080"/>
          <w:u w:val="single" w:color="000080"/>
        </w:rPr>
        <w:t xml:space="preserve">                                                        177</w:t>
      </w:r>
    </w:p>
    <w:p w:rsidR="00E23B86" w:rsidRDefault="00BA7C13">
      <w:pPr>
        <w:numPr>
          <w:ilvl w:val="1"/>
          <w:numId w:val="108"/>
        </w:numPr>
        <w:spacing w:after="116" w:line="257" w:lineRule="auto"/>
        <w:ind w:hanging="383"/>
      </w:pPr>
      <w:r>
        <w:rPr>
          <w:color w:val="000080"/>
          <w:u w:val="single" w:color="000080"/>
        </w:rPr>
        <w:t>Comisión Municipal de Prevención de Adicciones de Candelaria  ..................................                                     177</w:t>
      </w:r>
    </w:p>
    <w:p w:rsidR="00E23B86" w:rsidRDefault="00BA7C13">
      <w:pPr>
        <w:numPr>
          <w:ilvl w:val="1"/>
          <w:numId w:val="108"/>
        </w:numPr>
        <w:spacing w:after="116" w:line="257" w:lineRule="auto"/>
        <w:ind w:hanging="383"/>
      </w:pPr>
      <w:r>
        <w:rPr>
          <w:color w:val="000080"/>
          <w:u w:val="single" w:color="000080"/>
        </w:rPr>
        <w:t>Comisión Mixta de Prevención de Adicciones de Candelaria  .</w:t>
      </w:r>
      <w:r>
        <w:rPr>
          <w:color w:val="000080"/>
          <w:u w:val="single" w:color="000080"/>
        </w:rPr>
        <w:t>........................................                                             177</w:t>
      </w:r>
    </w:p>
    <w:p w:rsidR="00E23B86" w:rsidRDefault="00BA7C13">
      <w:pPr>
        <w:spacing w:after="109" w:line="249" w:lineRule="auto"/>
        <w:ind w:left="353" w:hanging="8"/>
      </w:pPr>
      <w:r>
        <w:rPr>
          <w:b/>
          <w:color w:val="000080"/>
          <w:u w:val="single" w:color="000080"/>
        </w:rPr>
        <w:t xml:space="preserve"> 8.RECURSOS DEL IV PLAN   ...................................................................................................                                          </w:t>
      </w:r>
      <w:r>
        <w:rPr>
          <w:b/>
          <w:color w:val="000080"/>
          <w:u w:val="single" w:color="000080"/>
        </w:rPr>
        <w:t xml:space="preserve">                                                                         178</w:t>
      </w:r>
    </w:p>
    <w:p w:rsidR="00E23B86" w:rsidRDefault="00BA7C13">
      <w:pPr>
        <w:spacing w:after="109" w:line="249" w:lineRule="auto"/>
        <w:ind w:left="353" w:hanging="8"/>
      </w:pPr>
      <w:r>
        <w:rPr>
          <w:b/>
          <w:color w:val="000080"/>
          <w:u w:val="single" w:color="000080"/>
        </w:rPr>
        <w:t xml:space="preserve"> 9.EVALUACIÓN Y SEGUIMIENTO DEL PLAN  ..........................................................................                                                                   </w:t>
      </w:r>
      <w:r>
        <w:rPr>
          <w:b/>
          <w:color w:val="000080"/>
          <w:u w:val="single" w:color="000080"/>
        </w:rPr>
        <w:t xml:space="preserve">                   179 </w:t>
      </w:r>
      <w:r>
        <w:rPr>
          <w:color w:val="000080"/>
          <w:u w:val="single" w:color="000080"/>
        </w:rPr>
        <w:t xml:space="preserve"> Ley 16/2019, de 2 de mayo, de Servicios Sociales de Canarias.  ........................................                                            184</w:t>
      </w:r>
    </w:p>
    <w:p w:rsidR="00E23B86" w:rsidRDefault="00BA7C13">
      <w:pPr>
        <w:numPr>
          <w:ilvl w:val="0"/>
          <w:numId w:val="110"/>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w:t>
      </w:r>
      <w:r>
        <w:rPr>
          <w:b/>
          <w:color w:val="000080"/>
          <w:u w:val="single" w:color="000080"/>
        </w:rPr>
        <w:t>.....................................................................................................                                                                                                                      199</w:t>
      </w:r>
    </w:p>
    <w:p w:rsidR="00E23B86" w:rsidRDefault="00BA7C13">
      <w:pPr>
        <w:numPr>
          <w:ilvl w:val="0"/>
          <w:numId w:val="110"/>
        </w:numPr>
        <w:spacing w:after="9" w:line="249" w:lineRule="auto"/>
        <w:ind w:hanging="220"/>
      </w:pPr>
      <w:r>
        <w:rPr>
          <w:b/>
          <w:color w:val="000080"/>
          <w:u w:val="single" w:color="000080"/>
        </w:rPr>
        <w:t>ANÁLISIS DE LA PROBLEMÁTICA Y APR</w:t>
      </w:r>
      <w:r>
        <w:rPr>
          <w:b/>
          <w:color w:val="000080"/>
          <w:u w:val="single" w:color="000080"/>
        </w:rPr>
        <w:t xml:space="preserve">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200</w:t>
      </w:r>
    </w:p>
    <w:p w:rsidR="00E23B86" w:rsidRDefault="00BA7C13">
      <w:pPr>
        <w:numPr>
          <w:ilvl w:val="1"/>
          <w:numId w:val="110"/>
        </w:numPr>
        <w:spacing w:after="2" w:line="257" w:lineRule="auto"/>
        <w:ind w:hanging="383"/>
      </w:pPr>
      <w:r>
        <w:rPr>
          <w:color w:val="000080"/>
          <w:u w:val="single" w:color="000080"/>
        </w:rPr>
        <w:t xml:space="preserve">Resultados de la </w:t>
      </w:r>
      <w:r>
        <w:rPr>
          <w:color w:val="000080"/>
          <w:u w:val="single" w:color="000080"/>
        </w:rPr>
        <w:t>evaluación del III Plan Municipal sobre Drogodependencias (2013-2017)</w:t>
      </w:r>
    </w:p>
    <w:p w:rsidR="00E23B86" w:rsidRDefault="00BA7C13">
      <w:pPr>
        <w:spacing w:after="116" w:line="257" w:lineRule="auto"/>
        <w:ind w:left="580" w:hanging="10"/>
      </w:pPr>
      <w:r>
        <w:rPr>
          <w:color w:val="000080"/>
          <w:u w:val="single" w:color="000080"/>
        </w:rPr>
        <w:t xml:space="preserve"> .............................................................................................................................................                                            </w:t>
      </w:r>
      <w:r>
        <w:rPr>
          <w:color w:val="000080"/>
          <w:u w:val="single" w:color="000080"/>
        </w:rPr>
        <w:t xml:space="preserve">                                                                                                                  200</w:t>
      </w:r>
    </w:p>
    <w:p w:rsidR="00E23B86" w:rsidRDefault="00BA7C13">
      <w:pPr>
        <w:numPr>
          <w:ilvl w:val="1"/>
          <w:numId w:val="110"/>
        </w:numPr>
        <w:spacing w:after="2" w:line="257" w:lineRule="auto"/>
        <w:ind w:hanging="383"/>
      </w:pPr>
      <w:r>
        <w:rPr>
          <w:color w:val="000080"/>
          <w:u w:val="single" w:color="000080"/>
        </w:rPr>
        <w:t xml:space="preserve">La prevalencia del consumo en Canarias e indicaciones para la planificación de las </w:t>
      </w:r>
    </w:p>
    <w:p w:rsidR="00E23B86" w:rsidRDefault="00BA7C13">
      <w:pPr>
        <w:spacing w:after="116" w:line="257" w:lineRule="auto"/>
        <w:ind w:left="580" w:hanging="10"/>
      </w:pPr>
      <w:r>
        <w:rPr>
          <w:color w:val="000080"/>
          <w:u w:val="single" w:color="000080"/>
        </w:rPr>
        <w:t xml:space="preserve"> acciones de prevención e inserción.   </w:t>
      </w:r>
      <w:r>
        <w:rPr>
          <w:color w:val="000080"/>
          <w:u w:val="single" w:color="000080"/>
        </w:rPr>
        <w:t>...................................................................................                                                                                             201</w:t>
      </w:r>
    </w:p>
    <w:p w:rsidR="00E23B86" w:rsidRDefault="00BA7C13">
      <w:pPr>
        <w:numPr>
          <w:ilvl w:val="1"/>
          <w:numId w:val="110"/>
        </w:numPr>
        <w:spacing w:after="116" w:line="257" w:lineRule="auto"/>
        <w:ind w:hanging="383"/>
      </w:pPr>
      <w:r>
        <w:rPr>
          <w:color w:val="000080"/>
          <w:u w:val="single" w:color="000080"/>
        </w:rPr>
        <w:t>Descripción del contexto municipal    ......................................</w:t>
      </w:r>
      <w:r>
        <w:rPr>
          <w:color w:val="000080"/>
          <w:u w:val="single" w:color="000080"/>
        </w:rPr>
        <w:t>......................................                                                                                     202</w:t>
      </w:r>
    </w:p>
    <w:p w:rsidR="00E23B86" w:rsidRDefault="00BA7C13">
      <w:pPr>
        <w:spacing w:after="116" w:line="257" w:lineRule="auto"/>
        <w:ind w:left="800" w:hanging="10"/>
      </w:pPr>
      <w:r>
        <w:rPr>
          <w:color w:val="000080"/>
          <w:u w:val="single" w:color="000080"/>
        </w:rPr>
        <w:t xml:space="preserve"> 2.3.1. Contexto demográfico y laboral  ..............................................................................           </w:t>
      </w:r>
      <w:r>
        <w:rPr>
          <w:color w:val="000080"/>
          <w:u w:val="single" w:color="000080"/>
        </w:rPr>
        <w:t xml:space="preserve">                                                                            203</w:t>
      </w:r>
    </w:p>
    <w:p w:rsidR="00E23B86" w:rsidRDefault="00BA7C13">
      <w:pPr>
        <w:numPr>
          <w:ilvl w:val="1"/>
          <w:numId w:val="110"/>
        </w:numPr>
        <w:spacing w:after="116" w:line="257" w:lineRule="auto"/>
        <w:ind w:hanging="383"/>
      </w:pPr>
      <w:r>
        <w:rPr>
          <w:color w:val="000080"/>
          <w:u w:val="single" w:color="000080"/>
        </w:rPr>
        <w:t xml:space="preserve">Recomendaciones para el diseño del IV Plan    ..............................................................                                                                    </w:t>
      </w:r>
      <w:r>
        <w:rPr>
          <w:color w:val="000080"/>
          <w:u w:val="single" w:color="000080"/>
        </w:rPr>
        <w:t xml:space="preserve">  207</w:t>
      </w:r>
    </w:p>
    <w:p w:rsidR="00E23B86" w:rsidRDefault="00BA7C13">
      <w:pPr>
        <w:spacing w:after="109" w:line="249" w:lineRule="auto"/>
        <w:ind w:left="353" w:hanging="8"/>
      </w:pPr>
      <w:r>
        <w:rPr>
          <w:b/>
          <w:color w:val="000080"/>
          <w:u w:val="single" w:color="000080"/>
        </w:rPr>
        <w:t xml:space="preserve"> 10.LOS PRINCIPIOS DEL IV PLAN  ...........................................................................................                                                                                                         208</w:t>
      </w:r>
    </w:p>
    <w:p w:rsidR="00E23B86" w:rsidRDefault="00BA7C13">
      <w:pPr>
        <w:spacing w:after="109" w:line="249" w:lineRule="auto"/>
        <w:ind w:left="353" w:hanging="8"/>
      </w:pPr>
      <w:r>
        <w:rPr>
          <w:b/>
          <w:color w:val="000080"/>
          <w:u w:val="single" w:color="000080"/>
        </w:rPr>
        <w:t xml:space="preserve"> 11.CAMPO DE ACTUA</w:t>
      </w:r>
      <w:r>
        <w:rPr>
          <w:b/>
          <w:color w:val="000080"/>
          <w:u w:val="single" w:color="000080"/>
        </w:rPr>
        <w:t>CIÓN   .................................................................................................                                                                                                                210</w:t>
      </w:r>
    </w:p>
    <w:p w:rsidR="00E23B86" w:rsidRDefault="00BA7C13">
      <w:pPr>
        <w:spacing w:after="109" w:line="249" w:lineRule="auto"/>
        <w:ind w:left="353" w:hanging="8"/>
      </w:pPr>
      <w:r>
        <w:rPr>
          <w:b/>
          <w:color w:val="000080"/>
          <w:u w:val="single" w:color="000080"/>
        </w:rPr>
        <w:t xml:space="preserve"> 12.META Y OBJETIVOS GENERALES DEL I</w:t>
      </w:r>
      <w:r>
        <w:rPr>
          <w:b/>
          <w:color w:val="000080"/>
          <w:u w:val="single" w:color="000080"/>
        </w:rPr>
        <w:t>V PLAN SOBRE ADICCIONES DE CANDELARIA   .......       210</w:t>
      </w:r>
    </w:p>
    <w:p w:rsidR="00E23B86" w:rsidRDefault="00BA7C13">
      <w:pPr>
        <w:spacing w:after="109" w:line="249" w:lineRule="auto"/>
        <w:ind w:left="353" w:hanging="8"/>
      </w:pPr>
      <w:r>
        <w:rPr>
          <w:b/>
          <w:color w:val="000080"/>
          <w:u w:val="single" w:color="000080"/>
        </w:rPr>
        <w:t xml:space="preserve"> 13.ÁREAS DE ACTUACIÓN  ...................................................................................................                                                                           </w:t>
      </w:r>
      <w:r>
        <w:rPr>
          <w:b/>
          <w:color w:val="000080"/>
          <w:u w:val="single" w:color="000080"/>
        </w:rPr>
        <w:t xml:space="preserve">                                        211</w:t>
      </w:r>
    </w:p>
    <w:p w:rsidR="00E23B86" w:rsidRDefault="00BA7C13">
      <w:pPr>
        <w:spacing w:after="116" w:line="257" w:lineRule="auto"/>
        <w:ind w:left="580" w:hanging="10"/>
      </w:pPr>
      <w:r>
        <w:rPr>
          <w:color w:val="000080"/>
          <w:u w:val="single" w:color="000080"/>
        </w:rPr>
        <w:t xml:space="preserve"> 6.1. ÁREA DE PREVENCIÓN Y SENSIBILIZACIÓN  ...................................................................                                                                           211</w:t>
      </w:r>
    </w:p>
    <w:p w:rsidR="00E23B86" w:rsidRDefault="00BA7C13">
      <w:pPr>
        <w:numPr>
          <w:ilvl w:val="2"/>
          <w:numId w:val="112"/>
        </w:numPr>
        <w:spacing w:after="116" w:line="257" w:lineRule="auto"/>
        <w:ind w:hanging="551"/>
      </w:pPr>
      <w:r>
        <w:rPr>
          <w:noProof/>
        </w:rPr>
        <mc:AlternateContent>
          <mc:Choice Requires="wpg">
            <w:drawing>
              <wp:anchor distT="0" distB="0" distL="114300" distR="114300" simplePos="0" relativeHeight="2518886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0731" name="Group 54073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7384" name="Rectangle 3738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w:t>
                              </w:r>
                              <w:r>
                                <w:rPr>
                                  <w:rFonts w:ascii="Arial" w:eastAsia="Arial" w:hAnsi="Arial" w:cs="Arial"/>
                                  <w:sz w:val="12"/>
                                </w:rPr>
                                <w:t xml:space="preserve">J7C4GAAK3P9GMGZC2N3FZWC | Verificación: https://candelaria.sedelectronica.es/ </w:t>
                              </w:r>
                            </w:p>
                          </w:txbxContent>
                        </wps:txbx>
                        <wps:bodyPr horzOverflow="overflow" vert="horz" lIns="0" tIns="0" rIns="0" bIns="0" rtlCol="0">
                          <a:noAutofit/>
                        </wps:bodyPr>
                      </wps:wsp>
                      <wps:wsp>
                        <wps:cNvPr id="37385" name="Rectangle 3738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0731" style="width:12.7031pt;height:280.35pt;position:absolute;mso-position-horizontal-relative:page;mso-position-horizontal:absolute;margin-left:681.958pt;mso-position-vertical-relative:page;margin-top:531.65pt;" coordsize="1613,35604">
                <v:rect id="Rectangle 3738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738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223 de 391 </w:t>
                        </w:r>
                      </w:p>
                    </w:txbxContent>
                  </v:textbox>
                </v:rect>
                <w10:wrap type="square"/>
              </v:group>
            </w:pict>
          </mc:Fallback>
        </mc:AlternateContent>
      </w:r>
      <w:r>
        <w:rPr>
          <w:color w:val="000080"/>
          <w:u w:val="single" w:color="000080"/>
        </w:rPr>
        <w:t>Ámbito Educativo  ..............................................................</w:t>
      </w:r>
      <w:r>
        <w:rPr>
          <w:color w:val="000080"/>
          <w:u w:val="single" w:color="000080"/>
        </w:rPr>
        <w:t>.....................................                                                                                                               211</w:t>
      </w:r>
    </w:p>
    <w:p w:rsidR="00E23B86" w:rsidRDefault="00BA7C13">
      <w:pPr>
        <w:numPr>
          <w:ilvl w:val="2"/>
          <w:numId w:val="112"/>
        </w:numPr>
        <w:spacing w:after="116" w:line="257" w:lineRule="auto"/>
        <w:ind w:hanging="551"/>
      </w:pPr>
      <w:r>
        <w:rPr>
          <w:color w:val="000080"/>
          <w:u w:val="single" w:color="000080"/>
        </w:rPr>
        <w:t xml:space="preserve">Ámbito Familiar  </w:t>
      </w:r>
      <w:r>
        <w:rPr>
          <w:color w:val="000080"/>
          <w:u w:val="single" w:color="000080"/>
        </w:rPr>
        <w:t>......................................................................................................                                                                                                                  212</w:t>
      </w:r>
    </w:p>
    <w:p w:rsidR="00E23B86" w:rsidRDefault="00BA7C13">
      <w:pPr>
        <w:numPr>
          <w:ilvl w:val="2"/>
          <w:numId w:val="112"/>
        </w:numPr>
        <w:spacing w:after="116" w:line="257" w:lineRule="auto"/>
        <w:ind w:hanging="551"/>
      </w:pPr>
      <w:r>
        <w:rPr>
          <w:color w:val="000080"/>
          <w:u w:val="single" w:color="000080"/>
        </w:rPr>
        <w:t>Ámbito Comunitario  ................</w:t>
      </w:r>
      <w:r>
        <w:rPr>
          <w:color w:val="000080"/>
          <w:u w:val="single" w:color="000080"/>
        </w:rPr>
        <w:t>..............................................................................                                                                                                          213</w:t>
      </w:r>
    </w:p>
    <w:p w:rsidR="00E23B86" w:rsidRDefault="00BA7C13">
      <w:pPr>
        <w:spacing w:after="116" w:line="257" w:lineRule="auto"/>
        <w:ind w:left="580" w:hanging="10"/>
      </w:pPr>
      <w:r>
        <w:rPr>
          <w:color w:val="000080"/>
          <w:u w:val="single" w:color="000080"/>
        </w:rPr>
        <w:t xml:space="preserve"> 6.2. ÁREA DE INSERCIÓN SOCIAL  </w:t>
      </w:r>
      <w:r>
        <w:rPr>
          <w:color w:val="000080"/>
          <w:u w:val="single" w:color="000080"/>
        </w:rPr>
        <w:t>..........................................................................................                                                                                                     215</w:t>
      </w:r>
    </w:p>
    <w:p w:rsidR="00E23B86" w:rsidRDefault="00BA7C13">
      <w:pPr>
        <w:spacing w:after="116" w:line="257" w:lineRule="auto"/>
        <w:ind w:left="580" w:hanging="10"/>
      </w:pPr>
      <w:r>
        <w:rPr>
          <w:color w:val="000080"/>
          <w:u w:val="single" w:color="000080"/>
        </w:rPr>
        <w:t xml:space="preserve"> 13.3.REA DE SOPORTE Y APOYO  ...............................</w:t>
      </w:r>
      <w:r>
        <w:rPr>
          <w:color w:val="000080"/>
          <w:u w:val="single" w:color="000080"/>
        </w:rPr>
        <w:t>...........................................................                                                                                                     216</w:t>
      </w:r>
    </w:p>
    <w:p w:rsidR="00E23B86" w:rsidRDefault="00BA7C13">
      <w:pPr>
        <w:spacing w:after="109" w:line="249" w:lineRule="auto"/>
        <w:ind w:left="353" w:hanging="8"/>
      </w:pPr>
      <w:r>
        <w:rPr>
          <w:b/>
          <w:color w:val="000080"/>
          <w:u w:val="single" w:color="000080"/>
        </w:rPr>
        <w:t xml:space="preserve"> 14.COORDINACIÓN DE LAS ACTUACIONES DEL IV PLAN  ...........................................</w:t>
      </w:r>
      <w:r>
        <w:rPr>
          <w:b/>
          <w:color w:val="000080"/>
          <w:u w:val="single" w:color="000080"/>
        </w:rPr>
        <w:t>............                                                                217</w:t>
      </w:r>
    </w:p>
    <w:p w:rsidR="00E23B86" w:rsidRDefault="00BA7C13">
      <w:pPr>
        <w:numPr>
          <w:ilvl w:val="1"/>
          <w:numId w:val="111"/>
        </w:numPr>
        <w:spacing w:after="116" w:line="257" w:lineRule="auto"/>
        <w:ind w:hanging="383"/>
      </w:pPr>
      <w:r>
        <w:rPr>
          <w:color w:val="000080"/>
          <w:u w:val="single" w:color="000080"/>
        </w:rPr>
        <w:t>Comisión Municipal de Prevención de Adicciones de Candelaria  ..................................                                     217</w:t>
      </w:r>
    </w:p>
    <w:p w:rsidR="00E23B86" w:rsidRDefault="00BA7C13">
      <w:pPr>
        <w:numPr>
          <w:ilvl w:val="1"/>
          <w:numId w:val="111"/>
        </w:numPr>
        <w:spacing w:after="116" w:line="257" w:lineRule="auto"/>
        <w:ind w:hanging="383"/>
      </w:pPr>
      <w:r>
        <w:rPr>
          <w:color w:val="000080"/>
          <w:u w:val="single" w:color="000080"/>
        </w:rPr>
        <w:t>Comisión Mixta de Prevención de Adiccio</w:t>
      </w:r>
      <w:r>
        <w:rPr>
          <w:color w:val="000080"/>
          <w:u w:val="single" w:color="000080"/>
        </w:rPr>
        <w:t>nes de Candelaria  .........................................                                             218</w:t>
      </w:r>
    </w:p>
    <w:p w:rsidR="00E23B86" w:rsidRDefault="00BA7C13">
      <w:pPr>
        <w:spacing w:after="109" w:line="249" w:lineRule="auto"/>
        <w:ind w:left="353" w:hanging="8"/>
      </w:pPr>
      <w:r>
        <w:rPr>
          <w:b/>
          <w:color w:val="000080"/>
          <w:u w:val="single" w:color="000080"/>
        </w:rPr>
        <w:t xml:space="preserve"> 15.RECURSOS DEL IV PLAN   .................................................................................................                       </w:t>
      </w:r>
      <w:r>
        <w:rPr>
          <w:b/>
          <w:color w:val="000080"/>
          <w:u w:val="single" w:color="000080"/>
        </w:rPr>
        <w:t xml:space="preserve">                                                                                          218</w:t>
      </w:r>
    </w:p>
    <w:p w:rsidR="00E23B86" w:rsidRDefault="00BA7C13">
      <w:pPr>
        <w:spacing w:after="109" w:line="249" w:lineRule="auto"/>
        <w:ind w:left="353" w:hanging="8"/>
      </w:pPr>
      <w:r>
        <w:rPr>
          <w:b/>
          <w:color w:val="000080"/>
          <w:u w:val="single" w:color="000080"/>
        </w:rPr>
        <w:t xml:space="preserve"> 16.EVALUACIÓN Y SEGUIMIENTO DEL PLAN  ........................................................................                                                   </w:t>
      </w:r>
      <w:r>
        <w:rPr>
          <w:b/>
          <w:color w:val="000080"/>
          <w:u w:val="single" w:color="000080"/>
        </w:rPr>
        <w:t xml:space="preserve">                                 219</w:t>
      </w:r>
    </w:p>
    <w:p w:rsidR="00E23B86" w:rsidRDefault="00BA7C13">
      <w:pPr>
        <w:spacing w:after="109" w:line="249" w:lineRule="auto"/>
        <w:ind w:left="353" w:hanging="8"/>
      </w:pPr>
      <w:r>
        <w:rPr>
          <w:b/>
          <w:color w:val="000080"/>
          <w:u w:val="single" w:color="000080"/>
        </w:rPr>
        <w:t xml:space="preserve"> INTRODUCCIÓN    .................................................................................................................                                                                                         </w:t>
      </w:r>
      <w:r>
        <w:rPr>
          <w:b/>
          <w:color w:val="000080"/>
          <w:u w:val="single" w:color="000080"/>
        </w:rPr>
        <w:t xml:space="preserve">                                          231</w:t>
      </w:r>
    </w:p>
    <w:p w:rsidR="00E23B86" w:rsidRDefault="00BA7C13">
      <w:pPr>
        <w:numPr>
          <w:ilvl w:val="0"/>
          <w:numId w:val="113"/>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                            </w:t>
      </w:r>
      <w:r>
        <w:rPr>
          <w:b/>
          <w:color w:val="000080"/>
          <w:u w:val="single" w:color="000080"/>
        </w:rPr>
        <w:t xml:space="preserve">                                                                                          231</w:t>
      </w:r>
    </w:p>
    <w:p w:rsidR="00E23B86" w:rsidRDefault="00BA7C13">
      <w:pPr>
        <w:numPr>
          <w:ilvl w:val="0"/>
          <w:numId w:val="113"/>
        </w:numPr>
        <w:spacing w:after="9" w:line="249" w:lineRule="auto"/>
        <w:ind w:hanging="220"/>
      </w:pPr>
      <w:r>
        <w:rPr>
          <w:b/>
          <w:color w:val="000080"/>
          <w:u w:val="single" w:color="000080"/>
        </w:rPr>
        <w:t xml:space="preserve">ANÁLISIS DE LA PROBLEMÁTICA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w:t>
      </w:r>
      <w:r>
        <w:rPr>
          <w:b/>
          <w:color w:val="000080"/>
          <w:u w:val="single" w:color="000080"/>
        </w:rPr>
        <w:t>........................                                                                                  232</w:t>
      </w:r>
    </w:p>
    <w:p w:rsidR="00E23B86" w:rsidRDefault="00BA7C13">
      <w:pPr>
        <w:numPr>
          <w:ilvl w:val="1"/>
          <w:numId w:val="113"/>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w:t>
      </w:r>
      <w:r>
        <w:rPr>
          <w:color w:val="000080"/>
          <w:u w:val="single" w:color="000080"/>
        </w:rPr>
        <w:t>...................................................................................                                                                                                                                                              232</w:t>
      </w:r>
    </w:p>
    <w:p w:rsidR="00E23B86" w:rsidRDefault="00BA7C13">
      <w:pPr>
        <w:numPr>
          <w:ilvl w:val="1"/>
          <w:numId w:val="113"/>
        </w:numPr>
        <w:spacing w:after="2" w:line="257" w:lineRule="auto"/>
        <w:ind w:hanging="383"/>
      </w:pPr>
      <w:r>
        <w:rPr>
          <w:color w:val="000080"/>
          <w:u w:val="single" w:color="000080"/>
        </w:rPr>
        <w:t>La prevalen</w:t>
      </w:r>
      <w:r>
        <w:rPr>
          <w:color w:val="000080"/>
          <w:u w:val="single" w:color="000080"/>
        </w:rPr>
        <w:t xml:space="preserve">cia del consumo en Canarias e indicaciones para la planificación de las </w:t>
      </w:r>
    </w:p>
    <w:p w:rsidR="00E23B86" w:rsidRDefault="00BA7C13">
      <w:pPr>
        <w:spacing w:after="116" w:line="257" w:lineRule="auto"/>
        <w:ind w:left="580" w:hanging="10"/>
      </w:pPr>
      <w:r>
        <w:rPr>
          <w:color w:val="000080"/>
          <w:u w:val="single" w:color="000080"/>
        </w:rPr>
        <w:t xml:space="preserve"> acciones de prevención e inserción.   ...................................................................................                                                             </w:t>
      </w:r>
      <w:r>
        <w:rPr>
          <w:color w:val="000080"/>
          <w:u w:val="single" w:color="000080"/>
        </w:rPr>
        <w:t xml:space="preserve">                                234</w:t>
      </w:r>
    </w:p>
    <w:p w:rsidR="00E23B86" w:rsidRDefault="00BA7C13">
      <w:pPr>
        <w:numPr>
          <w:ilvl w:val="1"/>
          <w:numId w:val="113"/>
        </w:numPr>
        <w:spacing w:after="116" w:line="257" w:lineRule="auto"/>
        <w:ind w:hanging="383"/>
      </w:pPr>
      <w:r>
        <w:rPr>
          <w:color w:val="000080"/>
          <w:u w:val="single" w:color="000080"/>
        </w:rPr>
        <w:t>Descripción del contexto municipal    ............................................................................                                                                                     235</w:t>
      </w:r>
    </w:p>
    <w:p w:rsidR="00E23B86" w:rsidRDefault="00BA7C13">
      <w:pPr>
        <w:spacing w:after="116" w:line="257" w:lineRule="auto"/>
        <w:ind w:left="800" w:hanging="10"/>
      </w:pPr>
      <w:r>
        <w:rPr>
          <w:color w:val="000080"/>
          <w:u w:val="single" w:color="000080"/>
        </w:rPr>
        <w:t xml:space="preserve"> </w:t>
      </w:r>
      <w:r>
        <w:rPr>
          <w:color w:val="000080"/>
          <w:u w:val="single" w:color="000080"/>
        </w:rPr>
        <w:t>2.3.1. Contexto demográfico y laboral  ..............................................................................                                                                                       236</w:t>
      </w:r>
    </w:p>
    <w:p w:rsidR="00E23B86" w:rsidRDefault="00BA7C13">
      <w:pPr>
        <w:numPr>
          <w:ilvl w:val="1"/>
          <w:numId w:val="113"/>
        </w:numPr>
        <w:spacing w:after="116" w:line="257" w:lineRule="auto"/>
        <w:ind w:hanging="383"/>
      </w:pPr>
      <w:r>
        <w:rPr>
          <w:color w:val="000080"/>
          <w:u w:val="single" w:color="000080"/>
        </w:rPr>
        <w:t>Recomendaciones para el diseño del IV Plan    ..</w:t>
      </w:r>
      <w:r>
        <w:rPr>
          <w:color w:val="000080"/>
          <w:u w:val="single" w:color="000080"/>
        </w:rPr>
        <w:t>............................................................                                                                      240</w:t>
      </w:r>
    </w:p>
    <w:p w:rsidR="00E23B86" w:rsidRDefault="00BA7C13">
      <w:pPr>
        <w:spacing w:after="109" w:line="249" w:lineRule="auto"/>
        <w:ind w:left="353" w:hanging="8"/>
      </w:pPr>
      <w:r>
        <w:rPr>
          <w:b/>
          <w:color w:val="000080"/>
          <w:u w:val="single" w:color="000080"/>
        </w:rPr>
        <w:t xml:space="preserve"> 3.LOS PRINCIPIOS DEL IV PLAN  ...........................................................................................</w:t>
      </w:r>
      <w:r>
        <w:rPr>
          <w:b/>
          <w:color w:val="000080"/>
          <w:u w:val="single" w:color="000080"/>
        </w:rPr>
        <w:t>.                                                                                                           241</w:t>
      </w:r>
    </w:p>
    <w:p w:rsidR="00E23B86" w:rsidRDefault="00BA7C13">
      <w:pPr>
        <w:spacing w:after="109" w:line="249" w:lineRule="auto"/>
        <w:ind w:left="353" w:hanging="8"/>
      </w:pPr>
      <w:r>
        <w:rPr>
          <w:b/>
          <w:color w:val="000080"/>
          <w:u w:val="single" w:color="000080"/>
        </w:rPr>
        <w:t xml:space="preserve"> 4.CAMPO DE ACTUACIÓN   ...................................................................................................                     </w:t>
      </w:r>
      <w:r>
        <w:rPr>
          <w:b/>
          <w:color w:val="000080"/>
          <w:u w:val="single" w:color="000080"/>
        </w:rPr>
        <w:t xml:space="preserve">                                                                                              242</w:t>
      </w:r>
    </w:p>
    <w:p w:rsidR="00E23B86" w:rsidRDefault="00BA7C13">
      <w:pPr>
        <w:spacing w:after="109" w:line="249" w:lineRule="auto"/>
        <w:ind w:left="353" w:hanging="8"/>
      </w:pPr>
      <w:r>
        <w:rPr>
          <w:b/>
          <w:color w:val="000080"/>
          <w:u w:val="single" w:color="000080"/>
        </w:rPr>
        <w:t xml:space="preserve"> 5.META Y OBJETIVOS GENERALES DEL IV PLAN SOBRE ADICCIONES DE CANDELARIA   .........         242</w:t>
      </w:r>
    </w:p>
    <w:p w:rsidR="00E23B86" w:rsidRDefault="00BA7C13">
      <w:pPr>
        <w:spacing w:after="109" w:line="249" w:lineRule="auto"/>
        <w:ind w:left="353" w:hanging="8"/>
      </w:pPr>
      <w:r>
        <w:rPr>
          <w:b/>
          <w:color w:val="000080"/>
          <w:u w:val="single" w:color="000080"/>
        </w:rPr>
        <w:t xml:space="preserve"> 6.ÁREAS DE ACTUACIÓN  ......................................</w:t>
      </w:r>
      <w:r>
        <w:rPr>
          <w:b/>
          <w:color w:val="000080"/>
          <w:u w:val="single" w:color="000080"/>
        </w:rPr>
        <w:t>...............................................................                                                                                                                      243</w:t>
      </w:r>
    </w:p>
    <w:p w:rsidR="00E23B86" w:rsidRDefault="00BA7C13">
      <w:pPr>
        <w:spacing w:after="116" w:line="257" w:lineRule="auto"/>
        <w:ind w:left="580" w:hanging="10"/>
      </w:pPr>
      <w:r>
        <w:rPr>
          <w:color w:val="000080"/>
          <w:u w:val="single" w:color="000080"/>
        </w:rPr>
        <w:t xml:space="preserve"> 6.1. ÁREA DE PREVENCIÓN Y SENSIBILIZACIÓN  ...........................</w:t>
      </w:r>
      <w:r>
        <w:rPr>
          <w:color w:val="000080"/>
          <w:u w:val="single" w:color="000080"/>
        </w:rPr>
        <w:t>........................................                                                                           243</w:t>
      </w:r>
    </w:p>
    <w:p w:rsidR="00E23B86" w:rsidRDefault="00BA7C13">
      <w:pPr>
        <w:numPr>
          <w:ilvl w:val="2"/>
          <w:numId w:val="115"/>
        </w:numPr>
        <w:spacing w:after="116" w:line="257" w:lineRule="auto"/>
        <w:ind w:hanging="551"/>
      </w:pPr>
      <w:r>
        <w:rPr>
          <w:color w:val="000080"/>
          <w:u w:val="single" w:color="000080"/>
        </w:rPr>
        <w:t xml:space="preserve">Ámbito Educativo  ...................................................................................................                    </w:t>
      </w:r>
      <w:r>
        <w:rPr>
          <w:color w:val="000080"/>
          <w:u w:val="single" w:color="000080"/>
        </w:rPr>
        <w:t xml:space="preserve">                                                                                           244</w:t>
      </w:r>
    </w:p>
    <w:p w:rsidR="00E23B86" w:rsidRDefault="00BA7C13">
      <w:pPr>
        <w:numPr>
          <w:ilvl w:val="2"/>
          <w:numId w:val="115"/>
        </w:numPr>
        <w:spacing w:after="116" w:line="257" w:lineRule="auto"/>
        <w:ind w:hanging="551"/>
      </w:pPr>
      <w:r>
        <w:rPr>
          <w:color w:val="000080"/>
          <w:u w:val="single" w:color="000080"/>
        </w:rPr>
        <w:t xml:space="preserve">Ámbito Familiar  ......................................................................................................                                          </w:t>
      </w:r>
      <w:r>
        <w:rPr>
          <w:color w:val="000080"/>
          <w:u w:val="single" w:color="000080"/>
        </w:rPr>
        <w:t xml:space="preserve">                                                                        245</w:t>
      </w:r>
    </w:p>
    <w:p w:rsidR="00E23B86" w:rsidRDefault="00BA7C13">
      <w:pPr>
        <w:numPr>
          <w:ilvl w:val="2"/>
          <w:numId w:val="115"/>
        </w:numPr>
        <w:spacing w:after="116" w:line="257" w:lineRule="auto"/>
        <w:ind w:hanging="551"/>
      </w:pPr>
      <w:r>
        <w:rPr>
          <w:color w:val="000080"/>
          <w:u w:val="single" w:color="000080"/>
        </w:rPr>
        <w:t xml:space="preserve">Ámbito Comunitario  ..............................................................................................                                                                  </w:t>
      </w:r>
      <w:r>
        <w:rPr>
          <w:color w:val="000080"/>
          <w:u w:val="single" w:color="000080"/>
        </w:rPr>
        <w:t xml:space="preserve">                                        246</w:t>
      </w:r>
    </w:p>
    <w:p w:rsidR="00E23B86" w:rsidRDefault="00BA7C13">
      <w:pPr>
        <w:spacing w:after="116" w:line="257" w:lineRule="auto"/>
        <w:ind w:left="580" w:hanging="10"/>
      </w:pPr>
      <w:r>
        <w:rPr>
          <w:color w:val="000080"/>
          <w:u w:val="single" w:color="000080"/>
        </w:rPr>
        <w:t xml:space="preserve"> 6.2. ÁREA DE INSERCIÓN SOCIAL  ..........................................................................................                                                                                          </w:t>
      </w:r>
      <w:r>
        <w:rPr>
          <w:color w:val="000080"/>
          <w:u w:val="single" w:color="000080"/>
        </w:rPr>
        <w:t xml:space="preserve">           248</w:t>
      </w:r>
    </w:p>
    <w:p w:rsidR="00E23B86" w:rsidRDefault="00BA7C13">
      <w:pPr>
        <w:spacing w:after="116" w:line="257" w:lineRule="auto"/>
        <w:ind w:left="580" w:hanging="10"/>
      </w:pPr>
      <w:r>
        <w:rPr>
          <w:color w:val="000080"/>
          <w:u w:val="single" w:color="000080"/>
        </w:rPr>
        <w:t xml:space="preserve"> 6.3.ÁREA DE SOPORTE Y APOYO  ..........................................................................................                                                                                                     249</w:t>
      </w:r>
    </w:p>
    <w:p w:rsidR="00E23B86" w:rsidRDefault="00BA7C13">
      <w:pPr>
        <w:spacing w:after="109" w:line="249" w:lineRule="auto"/>
        <w:ind w:left="353" w:hanging="8"/>
      </w:pPr>
      <w:r>
        <w:rPr>
          <w:b/>
          <w:color w:val="000080"/>
          <w:u w:val="single" w:color="000080"/>
        </w:rPr>
        <w:t xml:space="preserve"> 7.COORDINACIÓN </w:t>
      </w:r>
      <w:r>
        <w:rPr>
          <w:b/>
          <w:color w:val="000080"/>
          <w:u w:val="single" w:color="000080"/>
        </w:rPr>
        <w:t>DE LAS ACTUACIONES DEL IV PLAN  .........................................................                                                                  249</w:t>
      </w:r>
    </w:p>
    <w:p w:rsidR="00E23B86" w:rsidRDefault="00BA7C13">
      <w:pPr>
        <w:numPr>
          <w:ilvl w:val="1"/>
          <w:numId w:val="114"/>
        </w:numPr>
        <w:spacing w:after="116" w:line="257" w:lineRule="auto"/>
        <w:ind w:hanging="383"/>
      </w:pPr>
      <w:r>
        <w:rPr>
          <w:color w:val="000080"/>
          <w:u w:val="single" w:color="000080"/>
        </w:rPr>
        <w:t xml:space="preserve">Comisión Municipal de Prevención de Adicciones de Candelaria  .................................. </w:t>
      </w:r>
      <w:r>
        <w:rPr>
          <w:color w:val="000080"/>
          <w:u w:val="single" w:color="000080"/>
        </w:rPr>
        <w:t xml:space="preserve">                                    250</w:t>
      </w:r>
    </w:p>
    <w:p w:rsidR="00E23B86" w:rsidRDefault="00BA7C13">
      <w:pPr>
        <w:numPr>
          <w:ilvl w:val="1"/>
          <w:numId w:val="114"/>
        </w:numPr>
        <w:spacing w:after="116" w:line="257" w:lineRule="auto"/>
        <w:ind w:hanging="383"/>
      </w:pPr>
      <w:r>
        <w:rPr>
          <w:color w:val="000080"/>
          <w:u w:val="single" w:color="000080"/>
        </w:rPr>
        <w:t>Comisión Mixta de Prevención de Adicciones de Candelaria  .........................................                                             250</w:t>
      </w:r>
    </w:p>
    <w:p w:rsidR="00E23B86" w:rsidRDefault="00BA7C13">
      <w:pPr>
        <w:spacing w:after="109" w:line="249" w:lineRule="auto"/>
        <w:ind w:left="353" w:hanging="8"/>
      </w:pPr>
      <w:r>
        <w:rPr>
          <w:noProof/>
        </w:rPr>
        <mc:AlternateContent>
          <mc:Choice Requires="wpg">
            <w:drawing>
              <wp:anchor distT="0" distB="0" distL="114300" distR="114300" simplePos="0" relativeHeight="2518896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1727" name="Group 54172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7842" name="Rectangle 3784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37843" name="Rectangle 3784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1727" style="width:12.7031pt;height:280.35pt;position:absolute;mso-position-horizontal-relative:page;mso-position-horizontal:absolute;margin-left:681.958pt;mso-position-vertical-relative:page;margin-top:531.65pt;" coordsize="1613,35604">
                <v:rect id="Rectangle 3784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784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224 de 391 </w:t>
                        </w:r>
                      </w:p>
                    </w:txbxContent>
                  </v:textbox>
                </v:rect>
                <w10:wrap type="square"/>
              </v:group>
            </w:pict>
          </mc:Fallback>
        </mc:AlternateContent>
      </w:r>
      <w:r>
        <w:rPr>
          <w:b/>
          <w:color w:val="000080"/>
          <w:u w:val="single" w:color="000080"/>
        </w:rPr>
        <w:t xml:space="preserve"> 8.RECURSOS DEL IV PLAN   ...................................................................................................</w:t>
      </w:r>
      <w:r>
        <w:rPr>
          <w:b/>
          <w:color w:val="000080"/>
          <w:u w:val="single" w:color="000080"/>
        </w:rPr>
        <w:t xml:space="preserve">                                                                                                                   251</w:t>
      </w:r>
    </w:p>
    <w:p w:rsidR="00E23B86" w:rsidRDefault="00BA7C13">
      <w:pPr>
        <w:spacing w:after="109" w:line="249" w:lineRule="auto"/>
        <w:ind w:left="353" w:hanging="8"/>
      </w:pPr>
      <w:r>
        <w:rPr>
          <w:b/>
          <w:color w:val="000080"/>
          <w:u w:val="single" w:color="000080"/>
        </w:rPr>
        <w:t xml:space="preserve"> 9.EVALUACIÓN Y SEGUIMIENTO DEL PLAN  ..........................................................................</w:t>
      </w:r>
      <w:r>
        <w:rPr>
          <w:b/>
          <w:color w:val="000080"/>
          <w:u w:val="single" w:color="000080"/>
        </w:rPr>
        <w:t xml:space="preserve">                                                                                      252</w:t>
      </w:r>
    </w:p>
    <w:p w:rsidR="00E23B86" w:rsidRDefault="00BA7C13">
      <w:pPr>
        <w:spacing w:after="116" w:line="257" w:lineRule="auto"/>
        <w:ind w:left="800" w:hanging="10"/>
      </w:pPr>
      <w:r>
        <w:rPr>
          <w:color w:val="000080"/>
          <w:u w:val="single" w:color="000080"/>
        </w:rPr>
        <w:t xml:space="preserve"> Ley 16/2019, de 2 de mayo, de Servicios Sociales de Canarias.  ........................................                                            257</w:t>
      </w:r>
    </w:p>
    <w:p w:rsidR="00E23B86" w:rsidRDefault="00BA7C13">
      <w:pPr>
        <w:numPr>
          <w:ilvl w:val="0"/>
          <w:numId w:val="116"/>
        </w:numPr>
        <w:spacing w:after="9" w:line="249" w:lineRule="auto"/>
        <w:ind w:hanging="220"/>
      </w:pPr>
      <w:r>
        <w:rPr>
          <w:b/>
          <w:color w:val="000080"/>
          <w:u w:val="single" w:color="000080"/>
        </w:rPr>
        <w:t>COMPETENCIAS D</w:t>
      </w:r>
      <w:r>
        <w:rPr>
          <w:b/>
          <w:color w:val="000080"/>
          <w:u w:val="single" w:color="000080"/>
        </w:rPr>
        <w:t xml:space="preserve">EL AYUNTAMIENTO EN MATERIA DE PREVENCIÓN DE </w:t>
      </w:r>
    </w:p>
    <w:p w:rsidR="00E23B86" w:rsidRDefault="00BA7C13">
      <w:pPr>
        <w:spacing w:after="109" w:line="249" w:lineRule="auto"/>
        <w:ind w:left="353" w:hanging="8"/>
      </w:pPr>
      <w:r>
        <w:rPr>
          <w:b/>
          <w:color w:val="000080"/>
          <w:u w:val="single" w:color="000080"/>
        </w:rPr>
        <w:t xml:space="preserve"> DROGODEPENDENCIAS.  ......................................................................................................                                                                                        </w:t>
      </w:r>
      <w:r>
        <w:rPr>
          <w:b/>
          <w:color w:val="000080"/>
          <w:u w:val="single" w:color="000080"/>
        </w:rPr>
        <w:t xml:space="preserve">                              265</w:t>
      </w:r>
    </w:p>
    <w:p w:rsidR="00E23B86" w:rsidRDefault="00BA7C13">
      <w:pPr>
        <w:numPr>
          <w:ilvl w:val="0"/>
          <w:numId w:val="116"/>
        </w:numPr>
        <w:spacing w:after="9" w:line="249" w:lineRule="auto"/>
        <w:ind w:hanging="220"/>
      </w:pPr>
      <w:r>
        <w:rPr>
          <w:b/>
          <w:color w:val="000080"/>
          <w:u w:val="single" w:color="000080"/>
        </w:rPr>
        <w:t xml:space="preserve">ANÁLISIS DE LA PROBLEMÁTICA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                                    </w:t>
      </w:r>
      <w:r>
        <w:rPr>
          <w:b/>
          <w:color w:val="000080"/>
          <w:u w:val="single" w:color="000080"/>
        </w:rPr>
        <w:t xml:space="preserve">                                              265</w:t>
      </w:r>
    </w:p>
    <w:p w:rsidR="00E23B86" w:rsidRDefault="00BA7C13">
      <w:pPr>
        <w:numPr>
          <w:ilvl w:val="1"/>
          <w:numId w:val="116"/>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w:t>
      </w:r>
      <w:r>
        <w:rPr>
          <w:color w:val="000080"/>
          <w:u w:val="single" w:color="000080"/>
        </w:rPr>
        <w:t>.......................                                                                                                                                                              266</w:t>
      </w:r>
    </w:p>
    <w:p w:rsidR="00E23B86" w:rsidRDefault="00BA7C13">
      <w:pPr>
        <w:numPr>
          <w:ilvl w:val="1"/>
          <w:numId w:val="116"/>
        </w:numPr>
        <w:spacing w:after="2" w:line="257" w:lineRule="auto"/>
        <w:ind w:hanging="383"/>
      </w:pPr>
      <w:r>
        <w:rPr>
          <w:color w:val="000080"/>
          <w:u w:val="single" w:color="000080"/>
        </w:rPr>
        <w:t>La prevalencia del consumo en Canarias e indicaciones para la planifica</w:t>
      </w:r>
      <w:r>
        <w:rPr>
          <w:color w:val="000080"/>
          <w:u w:val="single" w:color="000080"/>
        </w:rPr>
        <w:t xml:space="preserve">ción de las </w:t>
      </w:r>
    </w:p>
    <w:p w:rsidR="00E23B86" w:rsidRDefault="00BA7C13">
      <w:pPr>
        <w:spacing w:after="116" w:line="257" w:lineRule="auto"/>
        <w:ind w:left="580" w:hanging="10"/>
      </w:pPr>
      <w:r>
        <w:rPr>
          <w:color w:val="000080"/>
          <w:u w:val="single" w:color="000080"/>
        </w:rPr>
        <w:t xml:space="preserve"> acciones de prevención e inserción.   ...................................................................................                                                                                             267</w:t>
      </w:r>
    </w:p>
    <w:p w:rsidR="00E23B86" w:rsidRDefault="00BA7C13">
      <w:pPr>
        <w:numPr>
          <w:ilvl w:val="1"/>
          <w:numId w:val="116"/>
        </w:numPr>
        <w:spacing w:after="116" w:line="257" w:lineRule="auto"/>
        <w:ind w:hanging="383"/>
      </w:pPr>
      <w:r>
        <w:rPr>
          <w:color w:val="000080"/>
          <w:u w:val="single" w:color="000080"/>
        </w:rPr>
        <w:t>Descripción del contexto</w:t>
      </w:r>
      <w:r>
        <w:rPr>
          <w:color w:val="000080"/>
          <w:u w:val="single" w:color="000080"/>
        </w:rPr>
        <w:t xml:space="preserve"> municipal    ............................................................................                                                                                     268</w:t>
      </w:r>
    </w:p>
    <w:p w:rsidR="00E23B86" w:rsidRDefault="00BA7C13">
      <w:pPr>
        <w:spacing w:after="116" w:line="257" w:lineRule="auto"/>
        <w:ind w:left="800" w:hanging="10"/>
      </w:pPr>
      <w:r>
        <w:rPr>
          <w:color w:val="000080"/>
          <w:u w:val="single" w:color="000080"/>
        </w:rPr>
        <w:t xml:space="preserve"> 2.3.1. Contexto demográfico y laboral  .....................................</w:t>
      </w:r>
      <w:r>
        <w:rPr>
          <w:color w:val="000080"/>
          <w:u w:val="single" w:color="000080"/>
        </w:rPr>
        <w:t>.........................................                                                                                       269</w:t>
      </w:r>
    </w:p>
    <w:p w:rsidR="00E23B86" w:rsidRDefault="00BA7C13">
      <w:pPr>
        <w:numPr>
          <w:ilvl w:val="1"/>
          <w:numId w:val="116"/>
        </w:numPr>
        <w:spacing w:after="116" w:line="257" w:lineRule="auto"/>
        <w:ind w:hanging="383"/>
      </w:pPr>
      <w:r>
        <w:rPr>
          <w:color w:val="000080"/>
          <w:u w:val="single" w:color="000080"/>
        </w:rPr>
        <w:t xml:space="preserve">Recomendaciones para el diseño del IV Plan    ..............................................................                </w:t>
      </w:r>
      <w:r>
        <w:rPr>
          <w:color w:val="000080"/>
          <w:u w:val="single" w:color="000080"/>
        </w:rPr>
        <w:t xml:space="preserve">                                                      273</w:t>
      </w:r>
    </w:p>
    <w:p w:rsidR="00E23B86" w:rsidRDefault="00BA7C13">
      <w:pPr>
        <w:spacing w:after="109" w:line="249" w:lineRule="auto"/>
        <w:ind w:left="353" w:hanging="8"/>
      </w:pPr>
      <w:r>
        <w:rPr>
          <w:b/>
          <w:color w:val="000080"/>
          <w:u w:val="single" w:color="000080"/>
        </w:rPr>
        <w:t xml:space="preserve"> 10.LOS PRINCIPIOS DEL IV PLAN  ...........................................................................................                                                                           </w:t>
      </w:r>
      <w:r>
        <w:rPr>
          <w:b/>
          <w:color w:val="000080"/>
          <w:u w:val="single" w:color="000080"/>
        </w:rPr>
        <w:t xml:space="preserve">                              274</w:t>
      </w:r>
    </w:p>
    <w:p w:rsidR="00E23B86" w:rsidRDefault="00BA7C13">
      <w:pPr>
        <w:spacing w:after="109" w:line="249" w:lineRule="auto"/>
        <w:ind w:left="353" w:hanging="8"/>
      </w:pPr>
      <w:r>
        <w:rPr>
          <w:b/>
          <w:color w:val="000080"/>
          <w:u w:val="single" w:color="000080"/>
        </w:rPr>
        <w:t xml:space="preserve"> 11.CAMPO DE ACTUACIÓN   .................................................................................................                                                                                                    </w:t>
      </w:r>
      <w:r>
        <w:rPr>
          <w:b/>
          <w:color w:val="000080"/>
          <w:u w:val="single" w:color="000080"/>
        </w:rPr>
        <w:t xml:space="preserve">            275</w:t>
      </w:r>
    </w:p>
    <w:p w:rsidR="00E23B86" w:rsidRDefault="00BA7C13">
      <w:pPr>
        <w:spacing w:after="109" w:line="249" w:lineRule="auto"/>
        <w:ind w:left="353" w:hanging="8"/>
      </w:pPr>
      <w:r>
        <w:rPr>
          <w:b/>
          <w:color w:val="000080"/>
          <w:u w:val="single" w:color="000080"/>
        </w:rPr>
        <w:t xml:space="preserve"> 12.META Y OBJETIVOS GENERALES DEL IV PLAN SOBRE ADICCIONES DE CANDELARIA   .......       276</w:t>
      </w:r>
    </w:p>
    <w:p w:rsidR="00E23B86" w:rsidRDefault="00BA7C13">
      <w:pPr>
        <w:spacing w:after="109" w:line="249" w:lineRule="auto"/>
        <w:ind w:left="353" w:hanging="8"/>
      </w:pPr>
      <w:r>
        <w:rPr>
          <w:b/>
          <w:color w:val="000080"/>
          <w:u w:val="single" w:color="000080"/>
        </w:rPr>
        <w:t xml:space="preserve"> 13.ÁREAS DE ACTUACIÓN  ...................................................................................................</w:t>
      </w:r>
      <w:r>
        <w:rPr>
          <w:b/>
          <w:color w:val="000080"/>
          <w:u w:val="single" w:color="000080"/>
        </w:rPr>
        <w:t xml:space="preserve">                                                                                                                   276</w:t>
      </w:r>
    </w:p>
    <w:p w:rsidR="00E23B86" w:rsidRDefault="00BA7C13">
      <w:pPr>
        <w:spacing w:after="116" w:line="257" w:lineRule="auto"/>
        <w:ind w:left="580" w:hanging="10"/>
      </w:pPr>
      <w:r>
        <w:rPr>
          <w:color w:val="000080"/>
          <w:u w:val="single" w:color="000080"/>
        </w:rPr>
        <w:t xml:space="preserve"> 6.1. ÁREA DE PREVENCIÓN Y SENSIBILIZACIÓN  ...................................................................                          </w:t>
      </w:r>
      <w:r>
        <w:rPr>
          <w:color w:val="000080"/>
          <w:u w:val="single" w:color="000080"/>
        </w:rPr>
        <w:t xml:space="preserve">                                                 277</w:t>
      </w:r>
    </w:p>
    <w:p w:rsidR="00E23B86" w:rsidRDefault="00BA7C13">
      <w:pPr>
        <w:numPr>
          <w:ilvl w:val="2"/>
          <w:numId w:val="118"/>
        </w:numPr>
        <w:spacing w:after="116" w:line="257" w:lineRule="auto"/>
        <w:ind w:hanging="551"/>
      </w:pPr>
      <w:r>
        <w:rPr>
          <w:color w:val="000080"/>
          <w:u w:val="single" w:color="000080"/>
        </w:rPr>
        <w:t xml:space="preserve">Ámbito Educativo  ...................................................................................................                                                                                      </w:t>
      </w:r>
      <w:r>
        <w:rPr>
          <w:color w:val="000080"/>
          <w:u w:val="single" w:color="000080"/>
        </w:rPr>
        <w:t xml:space="preserve">                         277</w:t>
      </w:r>
    </w:p>
    <w:p w:rsidR="00E23B86" w:rsidRDefault="00BA7C13">
      <w:pPr>
        <w:numPr>
          <w:ilvl w:val="2"/>
          <w:numId w:val="118"/>
        </w:numPr>
        <w:spacing w:after="116" w:line="257" w:lineRule="auto"/>
        <w:ind w:hanging="551"/>
      </w:pPr>
      <w:r>
        <w:rPr>
          <w:color w:val="000080"/>
          <w:u w:val="single" w:color="000080"/>
        </w:rPr>
        <w:t xml:space="preserve">Ámbito Familiar  ......................................................................................................                                                                                                            </w:t>
      </w:r>
      <w:r>
        <w:rPr>
          <w:color w:val="000080"/>
          <w:u w:val="single" w:color="000080"/>
        </w:rPr>
        <w:t xml:space="preserve">      278</w:t>
      </w:r>
    </w:p>
    <w:p w:rsidR="00E23B86" w:rsidRDefault="00BA7C13">
      <w:pPr>
        <w:numPr>
          <w:ilvl w:val="2"/>
          <w:numId w:val="118"/>
        </w:numPr>
        <w:spacing w:after="116" w:line="257" w:lineRule="auto"/>
        <w:ind w:hanging="551"/>
      </w:pPr>
      <w:r>
        <w:rPr>
          <w:color w:val="000080"/>
          <w:u w:val="single" w:color="000080"/>
        </w:rPr>
        <w:t>Ámbito Comunitario  ..............................................................................................                                                                                                          279</w:t>
      </w:r>
    </w:p>
    <w:p w:rsidR="00E23B86" w:rsidRDefault="00BA7C13">
      <w:pPr>
        <w:spacing w:after="116" w:line="257" w:lineRule="auto"/>
        <w:ind w:left="580" w:hanging="10"/>
      </w:pPr>
      <w:r>
        <w:rPr>
          <w:color w:val="000080"/>
          <w:u w:val="single" w:color="000080"/>
        </w:rPr>
        <w:t xml:space="preserve"> 6.2. ÁREA DE INSERCIÓ</w:t>
      </w:r>
      <w:r>
        <w:rPr>
          <w:color w:val="000080"/>
          <w:u w:val="single" w:color="000080"/>
        </w:rPr>
        <w:t>N SOCIAL  ..........................................................................................                                                                                                     282</w:t>
      </w:r>
    </w:p>
    <w:p w:rsidR="00E23B86" w:rsidRDefault="00BA7C13">
      <w:pPr>
        <w:spacing w:after="116" w:line="257" w:lineRule="auto"/>
        <w:ind w:left="580" w:hanging="10"/>
      </w:pPr>
      <w:r>
        <w:rPr>
          <w:color w:val="000080"/>
          <w:u w:val="single" w:color="000080"/>
        </w:rPr>
        <w:t xml:space="preserve"> 13.3.ÁREA DE SOPORTE Y APOYO  ....................</w:t>
      </w:r>
      <w:r>
        <w:rPr>
          <w:color w:val="000080"/>
          <w:u w:val="single" w:color="000080"/>
        </w:rPr>
        <w:t>....................................................................                                                                                                   283</w:t>
      </w:r>
    </w:p>
    <w:p w:rsidR="00E23B86" w:rsidRDefault="00BA7C13">
      <w:pPr>
        <w:spacing w:after="109" w:line="249" w:lineRule="auto"/>
        <w:ind w:left="353" w:hanging="8"/>
      </w:pPr>
      <w:r>
        <w:rPr>
          <w:b/>
          <w:color w:val="000080"/>
          <w:u w:val="single" w:color="000080"/>
        </w:rPr>
        <w:t xml:space="preserve"> 14.COORDINACIÓN DE LAS ACTUACIONES DEL IV PLAN  ....................................</w:t>
      </w:r>
      <w:r>
        <w:rPr>
          <w:b/>
          <w:color w:val="000080"/>
          <w:u w:val="single" w:color="000080"/>
        </w:rPr>
        <w:t>...................                                                                283</w:t>
      </w:r>
    </w:p>
    <w:p w:rsidR="00E23B86" w:rsidRDefault="00BA7C13">
      <w:pPr>
        <w:numPr>
          <w:ilvl w:val="1"/>
          <w:numId w:val="117"/>
        </w:numPr>
        <w:spacing w:after="116" w:line="257" w:lineRule="auto"/>
        <w:ind w:hanging="383"/>
      </w:pPr>
      <w:r>
        <w:rPr>
          <w:color w:val="000080"/>
          <w:u w:val="single" w:color="000080"/>
        </w:rPr>
        <w:t>Comisión Municipal de Prevención de Adicciones de Candelaria  ..................................                                     284</w:t>
      </w:r>
    </w:p>
    <w:p w:rsidR="00E23B86" w:rsidRDefault="00BA7C13">
      <w:pPr>
        <w:numPr>
          <w:ilvl w:val="1"/>
          <w:numId w:val="117"/>
        </w:numPr>
        <w:spacing w:after="116" w:line="257" w:lineRule="auto"/>
        <w:ind w:hanging="383"/>
      </w:pPr>
      <w:r>
        <w:rPr>
          <w:color w:val="000080"/>
          <w:u w:val="single" w:color="000080"/>
        </w:rPr>
        <w:t xml:space="preserve">Comisión Mixta de Prevención de </w:t>
      </w:r>
      <w:r>
        <w:rPr>
          <w:color w:val="000080"/>
          <w:u w:val="single" w:color="000080"/>
        </w:rPr>
        <w:t>Adicciones de Candelaria  .........................................                                             284</w:t>
      </w:r>
    </w:p>
    <w:p w:rsidR="00E23B86" w:rsidRDefault="00BA7C13">
      <w:pPr>
        <w:spacing w:after="109" w:line="249" w:lineRule="auto"/>
        <w:ind w:left="353" w:hanging="8"/>
      </w:pPr>
      <w:r>
        <w:rPr>
          <w:b/>
          <w:color w:val="000080"/>
          <w:u w:val="single" w:color="000080"/>
        </w:rPr>
        <w:t xml:space="preserve"> 15.RECURSOS DEL IV PLAN   .................................................................................................                </w:t>
      </w:r>
      <w:r>
        <w:rPr>
          <w:b/>
          <w:color w:val="000080"/>
          <w:u w:val="single" w:color="000080"/>
        </w:rPr>
        <w:t xml:space="preserve">                                                                                                 285</w:t>
      </w:r>
    </w:p>
    <w:p w:rsidR="00E23B86" w:rsidRDefault="00BA7C13">
      <w:pPr>
        <w:spacing w:after="109" w:line="249" w:lineRule="auto"/>
        <w:ind w:left="353" w:hanging="8"/>
      </w:pPr>
      <w:r>
        <w:rPr>
          <w:b/>
          <w:color w:val="000080"/>
          <w:u w:val="single" w:color="000080"/>
        </w:rPr>
        <w:t xml:space="preserve"> 16.EVALUACIÓN Y SEGUIMIENTO DEL PLAN  ........................................................................                                            </w:t>
      </w:r>
      <w:r>
        <w:rPr>
          <w:b/>
          <w:color w:val="000080"/>
          <w:u w:val="single" w:color="000080"/>
        </w:rPr>
        <w:t xml:space="preserve">                                        286</w:t>
      </w:r>
    </w:p>
    <w:p w:rsidR="00E23B86" w:rsidRDefault="00BA7C13">
      <w:pPr>
        <w:numPr>
          <w:ilvl w:val="0"/>
          <w:numId w:val="119"/>
        </w:numPr>
        <w:spacing w:after="9" w:line="249" w:lineRule="auto"/>
        <w:ind w:hanging="220"/>
      </w:pPr>
      <w:r>
        <w:rPr>
          <w:b/>
          <w:color w:val="000080"/>
          <w:u w:val="single" w:color="000080"/>
        </w:rPr>
        <w:t xml:space="preserve">COMPETENCIAS DEL AYUNTAMIENTO EN MATERIA DE PREVENCIÓN DE </w:t>
      </w:r>
    </w:p>
    <w:p w:rsidR="00E23B86" w:rsidRDefault="00BA7C13">
      <w:pPr>
        <w:spacing w:after="109" w:line="249" w:lineRule="auto"/>
        <w:ind w:left="353" w:hanging="8"/>
      </w:pPr>
      <w:r>
        <w:rPr>
          <w:b/>
          <w:color w:val="000080"/>
          <w:u w:val="single" w:color="000080"/>
        </w:rPr>
        <w:t xml:space="preserve"> DROGODEPENDENCIAS.  ......................................................................................................                              </w:t>
      </w:r>
      <w:r>
        <w:rPr>
          <w:b/>
          <w:color w:val="000080"/>
          <w:u w:val="single" w:color="000080"/>
        </w:rPr>
        <w:t xml:space="preserve">                                                                                        291</w:t>
      </w:r>
    </w:p>
    <w:p w:rsidR="00E23B86" w:rsidRDefault="00BA7C13">
      <w:pPr>
        <w:numPr>
          <w:ilvl w:val="0"/>
          <w:numId w:val="119"/>
        </w:numPr>
        <w:spacing w:after="9" w:line="249" w:lineRule="auto"/>
        <w:ind w:hanging="220"/>
      </w:pPr>
      <w:r>
        <w:rPr>
          <w:b/>
          <w:color w:val="000080"/>
          <w:u w:val="single" w:color="000080"/>
        </w:rPr>
        <w:t xml:space="preserve">ANÁLISIS DE LA PROBLEMÁTICA Y APROXIMACIÓN EPIDEMIOLÓGICA Y CONTEXTUAL DE </w:t>
      </w:r>
    </w:p>
    <w:p w:rsidR="00E23B86" w:rsidRDefault="00BA7C13">
      <w:pPr>
        <w:spacing w:after="109" w:line="249" w:lineRule="auto"/>
        <w:ind w:left="353" w:hanging="8"/>
      </w:pPr>
      <w:r>
        <w:rPr>
          <w:b/>
          <w:color w:val="000080"/>
          <w:u w:val="single" w:color="000080"/>
        </w:rPr>
        <w:t xml:space="preserve"> LAS ADICCIONES EN EL AMBITO MUNICIPAL   ................................................</w:t>
      </w:r>
      <w:r>
        <w:rPr>
          <w:b/>
          <w:color w:val="000080"/>
          <w:u w:val="single" w:color="000080"/>
        </w:rPr>
        <w:t>......................                                                                                  291</w:t>
      </w:r>
    </w:p>
    <w:p w:rsidR="00E23B86" w:rsidRDefault="00BA7C13">
      <w:pPr>
        <w:numPr>
          <w:ilvl w:val="1"/>
          <w:numId w:val="119"/>
        </w:numPr>
        <w:spacing w:after="2" w:line="257" w:lineRule="auto"/>
        <w:ind w:hanging="383"/>
      </w:pPr>
      <w:r>
        <w:rPr>
          <w:color w:val="000080"/>
          <w:u w:val="single" w:color="000080"/>
        </w:rPr>
        <w:t>Resultados de la evaluación del III Plan Municipal sobre Drogodependencias (2013-2017)</w:t>
      </w:r>
    </w:p>
    <w:p w:rsidR="00E23B86" w:rsidRDefault="00BA7C13">
      <w:pPr>
        <w:spacing w:after="116" w:line="257" w:lineRule="auto"/>
        <w:ind w:left="580" w:hanging="10"/>
      </w:pPr>
      <w:r>
        <w:rPr>
          <w:color w:val="000080"/>
          <w:u w:val="single" w:color="000080"/>
        </w:rPr>
        <w:t xml:space="preserve"> ............................................................</w:t>
      </w:r>
      <w:r>
        <w:rPr>
          <w:color w:val="000080"/>
          <w:u w:val="single" w:color="000080"/>
        </w:rPr>
        <w:t>.................................................................................                                                                                                                                                              292</w:t>
      </w:r>
    </w:p>
    <w:p w:rsidR="00E23B86" w:rsidRDefault="00BA7C13">
      <w:pPr>
        <w:numPr>
          <w:ilvl w:val="1"/>
          <w:numId w:val="119"/>
        </w:numPr>
        <w:spacing w:after="2" w:line="257" w:lineRule="auto"/>
        <w:ind w:hanging="383"/>
      </w:pPr>
      <w:r>
        <w:rPr>
          <w:color w:val="000080"/>
          <w:u w:val="single" w:color="000080"/>
        </w:rPr>
        <w:t>La prevalenci</w:t>
      </w:r>
      <w:r>
        <w:rPr>
          <w:color w:val="000080"/>
          <w:u w:val="single" w:color="000080"/>
        </w:rPr>
        <w:t xml:space="preserve">a del consumo en Canarias e indicaciones para la planificación de las </w:t>
      </w:r>
    </w:p>
    <w:p w:rsidR="00E23B86" w:rsidRDefault="00BA7C13">
      <w:pPr>
        <w:spacing w:after="116" w:line="257" w:lineRule="auto"/>
        <w:ind w:left="580" w:hanging="10"/>
      </w:pPr>
      <w:r>
        <w:rPr>
          <w:noProof/>
        </w:rPr>
        <mc:AlternateContent>
          <mc:Choice Requires="wpg">
            <w:drawing>
              <wp:anchor distT="0" distB="0" distL="114300" distR="114300" simplePos="0" relativeHeight="2518906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2963" name="Group 54296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8312" name="Rectangle 3831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8313" name="Rectangle 3831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2963" style="width:12.7031pt;height:280.35pt;position:absolute;mso-position-horizontal-relative:page;mso-position-horizontal:absolute;margin-left:681.958pt;mso-position-vertical-relative:page;margin-top:531.65pt;" coordsize="1613,35604">
                <v:rect id="Rectangle 3831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831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225 de 391 </w:t>
                        </w:r>
                      </w:p>
                    </w:txbxContent>
                  </v:textbox>
                </v:rect>
                <w10:wrap type="square"/>
              </v:group>
            </w:pict>
          </mc:Fallback>
        </mc:AlternateContent>
      </w:r>
      <w:r>
        <w:rPr>
          <w:color w:val="000080"/>
          <w:u w:val="single" w:color="000080"/>
        </w:rPr>
        <w:t xml:space="preserve"> acciones de prevención e inserción.   ...................................................................................</w:t>
      </w:r>
      <w:r>
        <w:rPr>
          <w:color w:val="000080"/>
          <w:u w:val="single" w:color="000080"/>
        </w:rPr>
        <w:t xml:space="preserve">                                                                                             293</w:t>
      </w:r>
    </w:p>
    <w:p w:rsidR="00E23B86" w:rsidRDefault="00BA7C13">
      <w:pPr>
        <w:numPr>
          <w:ilvl w:val="1"/>
          <w:numId w:val="119"/>
        </w:numPr>
        <w:spacing w:after="116" w:line="257" w:lineRule="auto"/>
        <w:ind w:hanging="383"/>
      </w:pPr>
      <w:r>
        <w:rPr>
          <w:color w:val="000080"/>
          <w:u w:val="single" w:color="000080"/>
        </w:rPr>
        <w:t xml:space="preserve">Descripción del contexto municipal    ............................................................................                                             </w:t>
      </w:r>
      <w:r>
        <w:rPr>
          <w:color w:val="000080"/>
          <w:u w:val="single" w:color="000080"/>
        </w:rPr>
        <w:t xml:space="preserve">                                        294</w:t>
      </w:r>
    </w:p>
    <w:p w:rsidR="00E23B86" w:rsidRDefault="00BA7C13">
      <w:pPr>
        <w:spacing w:after="116" w:line="257" w:lineRule="auto"/>
        <w:ind w:left="800" w:hanging="10"/>
      </w:pPr>
      <w:r>
        <w:rPr>
          <w:color w:val="000080"/>
          <w:u w:val="single" w:color="000080"/>
        </w:rPr>
        <w:t xml:space="preserve"> 2.3.1. Contexto demográfico y laboral  ..............................................................................                                                                                       295</w:t>
      </w:r>
    </w:p>
    <w:p w:rsidR="00E23B86" w:rsidRDefault="00BA7C13">
      <w:pPr>
        <w:numPr>
          <w:ilvl w:val="1"/>
          <w:numId w:val="119"/>
        </w:numPr>
        <w:spacing w:after="116" w:line="257" w:lineRule="auto"/>
        <w:ind w:hanging="383"/>
      </w:pPr>
      <w:r>
        <w:rPr>
          <w:color w:val="000080"/>
          <w:u w:val="single" w:color="000080"/>
        </w:rPr>
        <w:t>Rec</w:t>
      </w:r>
      <w:r>
        <w:rPr>
          <w:color w:val="000080"/>
          <w:u w:val="single" w:color="000080"/>
        </w:rPr>
        <w:t>omendaciones para el diseño del IV Plan    ..............................................................                                                                      299</w:t>
      </w:r>
    </w:p>
    <w:p w:rsidR="00E23B86" w:rsidRDefault="00BA7C13">
      <w:pPr>
        <w:spacing w:after="109" w:line="249" w:lineRule="auto"/>
        <w:ind w:left="353" w:hanging="8"/>
      </w:pPr>
      <w:r>
        <w:rPr>
          <w:b/>
          <w:color w:val="000080"/>
          <w:u w:val="single" w:color="000080"/>
        </w:rPr>
        <w:t xml:space="preserve"> 17.LOS PRINCIPIOS DEL IV PLAN  .............................................</w:t>
      </w:r>
      <w:r>
        <w:rPr>
          <w:b/>
          <w:color w:val="000080"/>
          <w:u w:val="single" w:color="000080"/>
        </w:rPr>
        <w:t>..............................................                                                                                                         300</w:t>
      </w:r>
    </w:p>
    <w:p w:rsidR="00E23B86" w:rsidRDefault="00BA7C13">
      <w:pPr>
        <w:spacing w:after="109" w:line="249" w:lineRule="auto"/>
        <w:ind w:left="353" w:hanging="8"/>
      </w:pPr>
      <w:r>
        <w:rPr>
          <w:b/>
          <w:color w:val="000080"/>
          <w:u w:val="single" w:color="000080"/>
        </w:rPr>
        <w:t xml:space="preserve"> 18.CAMPO DE ACTUACIÓN   ............................................................................</w:t>
      </w:r>
      <w:r>
        <w:rPr>
          <w:b/>
          <w:color w:val="000080"/>
          <w:u w:val="single" w:color="000080"/>
        </w:rPr>
        <w:t>.....................                                                                                                                301</w:t>
      </w:r>
    </w:p>
    <w:p w:rsidR="00E23B86" w:rsidRDefault="00BA7C13">
      <w:pPr>
        <w:spacing w:after="109" w:line="249" w:lineRule="auto"/>
        <w:ind w:left="353" w:hanging="8"/>
      </w:pPr>
      <w:r>
        <w:rPr>
          <w:b/>
          <w:color w:val="000080"/>
          <w:u w:val="single" w:color="000080"/>
        </w:rPr>
        <w:t xml:space="preserve"> 19.META Y OBJETIVOS GENERALES DEL IV PLAN SOBRE ADICCIONES DE CANDELARIA   .......       302</w:t>
      </w:r>
    </w:p>
    <w:p w:rsidR="00E23B86" w:rsidRDefault="00BA7C13">
      <w:pPr>
        <w:spacing w:after="109" w:line="249" w:lineRule="auto"/>
        <w:ind w:left="353" w:hanging="8"/>
      </w:pPr>
      <w:r>
        <w:rPr>
          <w:b/>
          <w:color w:val="000080"/>
          <w:u w:val="single" w:color="000080"/>
        </w:rPr>
        <w:t xml:space="preserve"> 20.ÁREAS DE ACTUACIÓN  .</w:t>
      </w:r>
      <w:r>
        <w:rPr>
          <w:b/>
          <w:color w:val="000080"/>
          <w:u w:val="single" w:color="000080"/>
        </w:rPr>
        <w:t>..................................................................................................                                                                                                                   302</w:t>
      </w:r>
    </w:p>
    <w:p w:rsidR="00E23B86" w:rsidRDefault="00BA7C13">
      <w:pPr>
        <w:spacing w:after="116" w:line="257" w:lineRule="auto"/>
        <w:ind w:left="580" w:hanging="10"/>
      </w:pPr>
      <w:r>
        <w:rPr>
          <w:color w:val="000080"/>
          <w:u w:val="single" w:color="000080"/>
        </w:rPr>
        <w:t xml:space="preserve"> 6.1. ÁREA DE PREVENCIÓN Y SENSIBILIZAC</w:t>
      </w:r>
      <w:r>
        <w:rPr>
          <w:color w:val="000080"/>
          <w:u w:val="single" w:color="000080"/>
        </w:rPr>
        <w:t>IÓN  ...................................................................                                                                           302</w:t>
      </w:r>
    </w:p>
    <w:p w:rsidR="00E23B86" w:rsidRDefault="00BA7C13">
      <w:pPr>
        <w:numPr>
          <w:ilvl w:val="2"/>
          <w:numId w:val="120"/>
        </w:numPr>
        <w:spacing w:after="116" w:line="257" w:lineRule="auto"/>
        <w:ind w:hanging="551"/>
      </w:pPr>
      <w:r>
        <w:rPr>
          <w:color w:val="000080"/>
          <w:u w:val="single" w:color="000080"/>
        </w:rPr>
        <w:t>Ámbito Educativo  .......................................................................................</w:t>
      </w:r>
      <w:r>
        <w:rPr>
          <w:color w:val="000080"/>
          <w:u w:val="single" w:color="000080"/>
        </w:rPr>
        <w:t>............                                                                                                               303</w:t>
      </w:r>
    </w:p>
    <w:p w:rsidR="00E23B86" w:rsidRDefault="00BA7C13">
      <w:pPr>
        <w:numPr>
          <w:ilvl w:val="2"/>
          <w:numId w:val="120"/>
        </w:numPr>
        <w:spacing w:after="116" w:line="257" w:lineRule="auto"/>
        <w:ind w:hanging="551"/>
      </w:pPr>
      <w:r>
        <w:rPr>
          <w:color w:val="000080"/>
          <w:u w:val="single" w:color="000080"/>
        </w:rPr>
        <w:t xml:space="preserve">Ámbito Familiar  ......................................................................................................          </w:t>
      </w:r>
      <w:r>
        <w:rPr>
          <w:color w:val="000080"/>
          <w:u w:val="single" w:color="000080"/>
        </w:rPr>
        <w:t xml:space="preserve">                                                                                                        304</w:t>
      </w:r>
    </w:p>
    <w:p w:rsidR="00E23B86" w:rsidRDefault="00BA7C13">
      <w:pPr>
        <w:numPr>
          <w:ilvl w:val="2"/>
          <w:numId w:val="120"/>
        </w:numPr>
        <w:spacing w:after="116" w:line="257" w:lineRule="auto"/>
        <w:ind w:hanging="551"/>
      </w:pPr>
      <w:r>
        <w:rPr>
          <w:color w:val="000080"/>
          <w:u w:val="single" w:color="000080"/>
        </w:rPr>
        <w:t xml:space="preserve">Ámbito Comunitario  ..............................................................................................                                  </w:t>
      </w:r>
      <w:r>
        <w:rPr>
          <w:color w:val="000080"/>
          <w:u w:val="single" w:color="000080"/>
        </w:rPr>
        <w:t xml:space="preserve">                                                                        305</w:t>
      </w:r>
    </w:p>
    <w:p w:rsidR="00E23B86" w:rsidRDefault="00BA7C13">
      <w:pPr>
        <w:spacing w:after="116" w:line="257" w:lineRule="auto"/>
        <w:ind w:left="580" w:hanging="10"/>
      </w:pPr>
      <w:r>
        <w:rPr>
          <w:color w:val="000080"/>
          <w:u w:val="single" w:color="000080"/>
        </w:rPr>
        <w:t xml:space="preserve"> 6.2. ÁREA DE INSERCIÓN SOCIAL  ..........................................................................................                                                          </w:t>
      </w:r>
      <w:r>
        <w:rPr>
          <w:color w:val="000080"/>
          <w:u w:val="single" w:color="000080"/>
        </w:rPr>
        <w:t xml:space="preserve">                                           307</w:t>
      </w:r>
    </w:p>
    <w:p w:rsidR="00E23B86" w:rsidRDefault="00BA7C13">
      <w:pPr>
        <w:spacing w:after="116" w:line="257" w:lineRule="auto"/>
        <w:ind w:left="580" w:hanging="10"/>
      </w:pPr>
      <w:r>
        <w:rPr>
          <w:color w:val="000080"/>
          <w:u w:val="single" w:color="000080"/>
        </w:rPr>
        <w:t xml:space="preserve"> 20.3.REA DE SOPORTE Y APOYO  ..........................................................................................                                                                                         </w:t>
      </w:r>
      <w:r>
        <w:rPr>
          <w:color w:val="000080"/>
          <w:u w:val="single" w:color="000080"/>
        </w:rPr>
        <w:t xml:space="preserve">            308</w:t>
      </w:r>
    </w:p>
    <w:p w:rsidR="00E23B86" w:rsidRDefault="00BA7C13">
      <w:pPr>
        <w:spacing w:after="109" w:line="249" w:lineRule="auto"/>
        <w:ind w:left="353" w:hanging="8"/>
      </w:pPr>
      <w:r>
        <w:rPr>
          <w:b/>
          <w:color w:val="000080"/>
          <w:u w:val="single" w:color="000080"/>
        </w:rPr>
        <w:t xml:space="preserve"> 21.COORDINACIÓN DE LAS ACTUACIONES DEL IV PLAN  .......................................................                                                                309</w:t>
      </w:r>
    </w:p>
    <w:p w:rsidR="00E23B86" w:rsidRDefault="00BA7C13">
      <w:pPr>
        <w:numPr>
          <w:ilvl w:val="1"/>
          <w:numId w:val="121"/>
        </w:numPr>
        <w:spacing w:after="116" w:line="257" w:lineRule="auto"/>
        <w:ind w:hanging="383"/>
      </w:pPr>
      <w:r>
        <w:rPr>
          <w:color w:val="000080"/>
          <w:u w:val="single" w:color="000080"/>
        </w:rPr>
        <w:t xml:space="preserve">Comisión Municipal de Prevención de Adicciones de Candelaria  </w:t>
      </w:r>
      <w:r>
        <w:rPr>
          <w:color w:val="000080"/>
          <w:u w:val="single" w:color="000080"/>
        </w:rPr>
        <w:t>..................................                                     309</w:t>
      </w:r>
    </w:p>
    <w:p w:rsidR="00E23B86" w:rsidRDefault="00BA7C13">
      <w:pPr>
        <w:numPr>
          <w:ilvl w:val="1"/>
          <w:numId w:val="121"/>
        </w:numPr>
        <w:spacing w:after="116" w:line="257" w:lineRule="auto"/>
        <w:ind w:hanging="383"/>
      </w:pPr>
      <w:r>
        <w:rPr>
          <w:color w:val="000080"/>
          <w:u w:val="single" w:color="000080"/>
        </w:rPr>
        <w:t>Comisión Mixta de Prevención de Adicciones de Candelaria  .........................................                                             309</w:t>
      </w:r>
    </w:p>
    <w:p w:rsidR="00E23B86" w:rsidRDefault="00BA7C13">
      <w:pPr>
        <w:spacing w:after="109" w:line="249" w:lineRule="auto"/>
        <w:ind w:left="353" w:hanging="8"/>
      </w:pPr>
      <w:r>
        <w:rPr>
          <w:b/>
          <w:color w:val="000080"/>
          <w:u w:val="single" w:color="000080"/>
        </w:rPr>
        <w:t xml:space="preserve"> 22.RECURSOS DEL IV PLAN   ......</w:t>
      </w:r>
      <w:r>
        <w:rPr>
          <w:b/>
          <w:color w:val="000080"/>
          <w:u w:val="single" w:color="000080"/>
        </w:rPr>
        <w:t>...........................................................................................                                                                                                                 310</w:t>
      </w:r>
    </w:p>
    <w:p w:rsidR="00E23B86" w:rsidRDefault="00BA7C13">
      <w:pPr>
        <w:spacing w:after="109" w:line="249" w:lineRule="auto"/>
        <w:ind w:left="353" w:hanging="8"/>
      </w:pPr>
      <w:r>
        <w:rPr>
          <w:b/>
          <w:color w:val="000080"/>
          <w:u w:val="single" w:color="000080"/>
        </w:rPr>
        <w:t xml:space="preserve"> 23.EVALUACIÓN Y SEGUIMIENTO DEL PLAN  .........</w:t>
      </w:r>
      <w:r>
        <w:rPr>
          <w:b/>
          <w:color w:val="000080"/>
          <w:u w:val="single" w:color="000080"/>
        </w:rPr>
        <w:t>...............................................................                                                                                    311</w:t>
      </w:r>
    </w:p>
    <w:p w:rsidR="00E23B86" w:rsidRDefault="00BA7C13">
      <w:pPr>
        <w:spacing w:after="2" w:line="257" w:lineRule="auto"/>
        <w:ind w:left="802" w:hanging="10"/>
      </w:pPr>
      <w:r>
        <w:rPr>
          <w:color w:val="000080"/>
          <w:u w:val="single" w:color="000080"/>
        </w:rPr>
        <w:t xml:space="preserve">III. Ley Orgánica 1/1996, de 15 de enero, de protección jurídica del menor, de </w:t>
      </w:r>
    </w:p>
    <w:p w:rsidR="00E23B86" w:rsidRDefault="00BA7C13">
      <w:pPr>
        <w:spacing w:after="116" w:line="257" w:lineRule="auto"/>
        <w:ind w:left="800" w:hanging="10"/>
      </w:pPr>
      <w:r>
        <w:rPr>
          <w:color w:val="000080"/>
          <w:u w:val="single" w:color="000080"/>
        </w:rPr>
        <w:t xml:space="preserve"> modificación del Código </w:t>
      </w:r>
      <w:r>
        <w:rPr>
          <w:color w:val="000080"/>
          <w:u w:val="single" w:color="000080"/>
        </w:rPr>
        <w:t>Civil y de la Ley de Enjuiciamiento Civil  .....................................                                         322</w:t>
      </w:r>
    </w:p>
    <w:p w:rsidR="00E23B86" w:rsidRDefault="00BA7C13">
      <w:pPr>
        <w:spacing w:after="116" w:line="257" w:lineRule="auto"/>
        <w:ind w:left="800" w:hanging="10"/>
      </w:pPr>
      <w:r>
        <w:rPr>
          <w:color w:val="000080"/>
          <w:u w:val="single" w:color="000080"/>
        </w:rPr>
        <w:t xml:space="preserve"> Derechos del menor  .........................................................................................................     </w:t>
      </w:r>
      <w:r>
        <w:rPr>
          <w:color w:val="000080"/>
          <w:u w:val="single" w:color="000080"/>
        </w:rPr>
        <w:t xml:space="preserve">                                                                                                                 322</w:t>
      </w:r>
    </w:p>
    <w:p w:rsidR="00E23B86" w:rsidRDefault="00BA7C13">
      <w:pPr>
        <w:spacing w:after="116" w:line="257" w:lineRule="auto"/>
        <w:ind w:left="800" w:hanging="10"/>
      </w:pPr>
      <w:r>
        <w:rPr>
          <w:color w:val="000080"/>
          <w:u w:val="single" w:color="000080"/>
        </w:rPr>
        <w:t xml:space="preserve"> IV.- Ley 1/1997, de 7 de febrero, de atención integral a los menores  ...............................                                  327</w:t>
      </w:r>
    </w:p>
    <w:p w:rsidR="00E23B86" w:rsidRDefault="00BA7C13">
      <w:pPr>
        <w:spacing w:after="2" w:line="257" w:lineRule="auto"/>
        <w:ind w:left="802" w:hanging="10"/>
      </w:pPr>
      <w:r>
        <w:rPr>
          <w:color w:val="000080"/>
          <w:u w:val="single" w:color="000080"/>
        </w:rPr>
        <w:t xml:space="preserve">V.- Ley Orgánica 3/2018, de 5 de diciembre, de Protección de Datos Personales y garantía </w:t>
      </w:r>
    </w:p>
    <w:p w:rsidR="00E23B86" w:rsidRDefault="00BA7C13">
      <w:pPr>
        <w:spacing w:after="116" w:line="257" w:lineRule="auto"/>
        <w:ind w:left="800" w:hanging="10"/>
      </w:pPr>
      <w:r>
        <w:rPr>
          <w:color w:val="000080"/>
          <w:u w:val="single" w:color="000080"/>
        </w:rPr>
        <w:t xml:space="preserve"> de los derechos digitales  ..................................................................................................                                       </w:t>
      </w:r>
      <w:r>
        <w:rPr>
          <w:color w:val="000080"/>
          <w:u w:val="single" w:color="000080"/>
        </w:rPr>
        <w:t xml:space="preserve">                                                                       329</w:t>
      </w:r>
    </w:p>
    <w:p w:rsidR="00E23B86" w:rsidRDefault="00BA7C13">
      <w:pPr>
        <w:spacing w:after="116" w:line="257" w:lineRule="auto"/>
        <w:ind w:left="800" w:hanging="10"/>
      </w:pPr>
      <w:r>
        <w:rPr>
          <w:color w:val="000080"/>
          <w:u w:val="single" w:color="000080"/>
        </w:rPr>
        <w:t xml:space="preserve"> Ley 7/1985, de 2 de abril, reguladora de las Bases del Régimen Local  .............................                                330</w:t>
      </w:r>
    </w:p>
    <w:p w:rsidR="00E23B86" w:rsidRDefault="00BA7C13">
      <w:pPr>
        <w:spacing w:after="116" w:line="257" w:lineRule="auto"/>
        <w:ind w:left="800" w:hanging="10"/>
      </w:pPr>
      <w:r>
        <w:rPr>
          <w:color w:val="000080"/>
          <w:u w:val="single" w:color="000080"/>
        </w:rPr>
        <w:t xml:space="preserve"> Ley 7/2015, de 1 de abril, de los municipios</w:t>
      </w:r>
      <w:r>
        <w:rPr>
          <w:color w:val="000080"/>
          <w:u w:val="single" w:color="000080"/>
        </w:rPr>
        <w:t xml:space="preserve"> de Canarias  .................................................                                                      330</w:t>
      </w:r>
    </w:p>
    <w:p w:rsidR="00E23B86" w:rsidRDefault="00BA7C13">
      <w:pPr>
        <w:spacing w:after="116" w:line="257" w:lineRule="auto"/>
        <w:ind w:left="800" w:hanging="10"/>
      </w:pPr>
      <w:r>
        <w:rPr>
          <w:color w:val="000080"/>
          <w:u w:val="single" w:color="000080"/>
        </w:rPr>
        <w:t xml:space="preserve"> Ley 1/1997, de 7 de febrero, de atención integral a los menores  ....................................                                 </w:t>
      </w:r>
      <w:r>
        <w:rPr>
          <w:color w:val="000080"/>
          <w:u w:val="single" w:color="000080"/>
        </w:rPr>
        <w:t xml:space="preserve">      331</w:t>
      </w:r>
    </w:p>
    <w:p w:rsidR="00E23B86" w:rsidRDefault="00BA7C13">
      <w:pPr>
        <w:spacing w:after="116" w:line="257" w:lineRule="auto"/>
        <w:ind w:left="800" w:hanging="10"/>
      </w:pPr>
      <w:r>
        <w:rPr>
          <w:color w:val="000080"/>
          <w:u w:val="single" w:color="000080"/>
        </w:rPr>
        <w:t xml:space="preserve"> Ley 7/1985, de 2 de abril, reguladora de las Bases del Régimen Local  .............................                                331</w:t>
      </w:r>
    </w:p>
    <w:p w:rsidR="00E23B86" w:rsidRDefault="00BA7C13">
      <w:pPr>
        <w:spacing w:after="116" w:line="257" w:lineRule="auto"/>
        <w:ind w:left="800" w:hanging="10"/>
      </w:pPr>
      <w:r>
        <w:rPr>
          <w:color w:val="000080"/>
          <w:u w:val="single" w:color="000080"/>
        </w:rPr>
        <w:t xml:space="preserve"> Ley 7/2015, de 1 de abril, de los municipios de Canarias  .................................................  </w:t>
      </w:r>
      <w:r>
        <w:rPr>
          <w:color w:val="000080"/>
          <w:u w:val="single" w:color="000080"/>
        </w:rPr>
        <w:t xml:space="preserve">                                                    331</w:t>
      </w:r>
    </w:p>
    <w:p w:rsidR="00E23B86" w:rsidRDefault="00BA7C13">
      <w:pPr>
        <w:spacing w:after="2" w:line="257" w:lineRule="auto"/>
        <w:ind w:left="802" w:hanging="10"/>
      </w:pPr>
      <w:r>
        <w:rPr>
          <w:noProof/>
        </w:rPr>
        <mc:AlternateContent>
          <mc:Choice Requires="wpg">
            <w:drawing>
              <wp:anchor distT="0" distB="0" distL="114300" distR="114300" simplePos="0" relativeHeight="2518917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0892" name="Group 54089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8676" name="Rectangle 3867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8677" name="Rectangle 3867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0892" style="width:12.7031pt;height:280.35pt;position:absolute;mso-position-horizontal-relative:page;mso-position-horizontal:absolute;margin-left:681.958pt;mso-position-vertical-relative:page;margin-top:531.65pt;" coordsize="1613,35604">
                <v:rect id="Rectangle 3867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867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226 de 391 </w:t>
                        </w:r>
                      </w:p>
                    </w:txbxContent>
                  </v:textbox>
                </v:rect>
                <w10:wrap type="square"/>
              </v:group>
            </w:pict>
          </mc:Fallback>
        </mc:AlternateContent>
      </w:r>
      <w:r>
        <w:rPr>
          <w:color w:val="000080"/>
          <w:u w:val="single" w:color="000080"/>
        </w:rPr>
        <w:t xml:space="preserve">III. Ley Orgánica 1/1996, de 15 de enero, de protección jurídica del menor, de </w:t>
      </w:r>
    </w:p>
    <w:p w:rsidR="00E23B86" w:rsidRDefault="00BA7C13">
      <w:pPr>
        <w:spacing w:after="116" w:line="257" w:lineRule="auto"/>
        <w:ind w:left="800" w:hanging="10"/>
      </w:pPr>
      <w:r>
        <w:rPr>
          <w:color w:val="000080"/>
          <w:u w:val="single" w:color="000080"/>
        </w:rPr>
        <w:t xml:space="preserve"> modificación del Código Civil y de la Ley de Enjuiciamiento Civil  .....................................                                         343</w:t>
      </w:r>
    </w:p>
    <w:p w:rsidR="00E23B86" w:rsidRDefault="00BA7C13">
      <w:pPr>
        <w:spacing w:after="116" w:line="257" w:lineRule="auto"/>
        <w:ind w:left="800" w:hanging="10"/>
      </w:pPr>
      <w:r>
        <w:rPr>
          <w:color w:val="000080"/>
          <w:u w:val="single" w:color="000080"/>
        </w:rPr>
        <w:t xml:space="preserve"> Derechos del menor  .....</w:t>
      </w:r>
      <w:r>
        <w:rPr>
          <w:color w:val="000080"/>
          <w:u w:val="single" w:color="000080"/>
        </w:rPr>
        <w:t>....................................................................................................                                                                                                                      343</w:t>
      </w:r>
    </w:p>
    <w:p w:rsidR="00E23B86" w:rsidRDefault="00BA7C13">
      <w:pPr>
        <w:spacing w:after="116" w:line="257" w:lineRule="auto"/>
        <w:ind w:left="800" w:hanging="10"/>
      </w:pPr>
      <w:r>
        <w:rPr>
          <w:color w:val="000080"/>
          <w:u w:val="single" w:color="000080"/>
        </w:rPr>
        <w:t xml:space="preserve"> IV.- Ley 1/1997, de 7 de febrero,</w:t>
      </w:r>
      <w:r>
        <w:rPr>
          <w:color w:val="000080"/>
          <w:u w:val="single" w:color="000080"/>
        </w:rPr>
        <w:t xml:space="preserve"> de atención integral a los menores  ...............................                                  348</w:t>
      </w:r>
    </w:p>
    <w:p w:rsidR="00E23B86" w:rsidRDefault="00BA7C13">
      <w:pPr>
        <w:spacing w:after="2" w:line="257" w:lineRule="auto"/>
        <w:ind w:left="802" w:hanging="10"/>
      </w:pPr>
      <w:r>
        <w:rPr>
          <w:color w:val="000080"/>
          <w:u w:val="single" w:color="000080"/>
        </w:rPr>
        <w:t xml:space="preserve">V.- Ley Orgánica 3/2018, de 5 de diciembre, de Protección de Datos Personales y garantía </w:t>
      </w:r>
    </w:p>
    <w:p w:rsidR="00E23B86" w:rsidRDefault="00BA7C13">
      <w:pPr>
        <w:spacing w:after="116" w:line="257" w:lineRule="auto"/>
        <w:ind w:left="800" w:hanging="10"/>
      </w:pPr>
      <w:r>
        <w:rPr>
          <w:color w:val="000080"/>
          <w:u w:val="single" w:color="000080"/>
        </w:rPr>
        <w:t xml:space="preserve"> de los derechos digitales  </w:t>
      </w:r>
      <w:r>
        <w:rPr>
          <w:color w:val="000080"/>
          <w:u w:val="single" w:color="000080"/>
        </w:rPr>
        <w:t>..................................................................................................                                                                                                              350</w:t>
      </w:r>
    </w:p>
    <w:p w:rsidR="00E23B86" w:rsidRDefault="00BA7C13">
      <w:pPr>
        <w:spacing w:after="116" w:line="257" w:lineRule="auto"/>
        <w:ind w:left="800" w:hanging="10"/>
      </w:pPr>
      <w:r>
        <w:rPr>
          <w:color w:val="000080"/>
          <w:u w:val="single" w:color="000080"/>
        </w:rPr>
        <w:t xml:space="preserve"> Ley 7/1985, de 2 de abril, reguladora de la</w:t>
      </w:r>
      <w:r>
        <w:rPr>
          <w:color w:val="000080"/>
          <w:u w:val="single" w:color="000080"/>
        </w:rPr>
        <w:t>s Bases del Régimen Local  .............................                                351</w:t>
      </w:r>
    </w:p>
    <w:p w:rsidR="00E23B86" w:rsidRDefault="00BA7C13">
      <w:pPr>
        <w:spacing w:after="116" w:line="257" w:lineRule="auto"/>
        <w:ind w:left="800" w:hanging="10"/>
      </w:pPr>
      <w:r>
        <w:rPr>
          <w:color w:val="000080"/>
          <w:u w:val="single" w:color="000080"/>
        </w:rPr>
        <w:t xml:space="preserve"> Ley 7/2015, de 1 de abril, de los municipios de Canarias  .................................................                                                      35</w:t>
      </w:r>
      <w:r>
        <w:rPr>
          <w:color w:val="000080"/>
          <w:u w:val="single" w:color="000080"/>
        </w:rPr>
        <w:t>1</w:t>
      </w:r>
    </w:p>
    <w:p w:rsidR="00E23B86" w:rsidRDefault="00BA7C13">
      <w:pPr>
        <w:spacing w:after="116" w:line="257" w:lineRule="auto"/>
        <w:ind w:left="800" w:hanging="10"/>
      </w:pPr>
      <w:r>
        <w:rPr>
          <w:color w:val="000080"/>
          <w:u w:val="single" w:color="000080"/>
        </w:rPr>
        <w:t xml:space="preserve"> Ley 1/1997, de 7 de febrero, de atención integral a los menores  ....................................                                       352</w:t>
      </w:r>
    </w:p>
    <w:p w:rsidR="00E23B86" w:rsidRDefault="00BA7C13">
      <w:pPr>
        <w:spacing w:after="116" w:line="257" w:lineRule="auto"/>
        <w:ind w:left="800" w:hanging="10"/>
      </w:pPr>
      <w:r>
        <w:rPr>
          <w:color w:val="000080"/>
          <w:u w:val="single" w:color="000080"/>
        </w:rPr>
        <w:t xml:space="preserve"> Ley 7/1985, de 2 de abril, reguladora de las Bases del Régimen Local  .............................         </w:t>
      </w:r>
      <w:r>
        <w:rPr>
          <w:color w:val="000080"/>
          <w:u w:val="single" w:color="000080"/>
        </w:rPr>
        <w:t xml:space="preserve">                       352</w:t>
      </w:r>
    </w:p>
    <w:p w:rsidR="00E23B86" w:rsidRDefault="00BA7C13">
      <w:pPr>
        <w:spacing w:after="116" w:line="257" w:lineRule="auto"/>
        <w:ind w:left="800" w:hanging="10"/>
      </w:pPr>
      <w:r>
        <w:rPr>
          <w:color w:val="000080"/>
          <w:u w:val="single" w:color="000080"/>
        </w:rPr>
        <w:t xml:space="preserve"> Ley 7/2015, de 1 de abril, de los municipios de Canarias  .................................................                                                      353</w:t>
      </w:r>
    </w:p>
    <w:p w:rsidR="00E23B86" w:rsidRDefault="00BA7C13">
      <w:pPr>
        <w:spacing w:after="109" w:line="249" w:lineRule="auto"/>
        <w:ind w:left="353" w:hanging="8"/>
      </w:pPr>
      <w:r>
        <w:rPr>
          <w:b/>
          <w:color w:val="000080"/>
          <w:u w:val="single" w:color="000080"/>
        </w:rPr>
        <w:t xml:space="preserve"> 5.MOCIÓN CON CARÁCTER DE URGENTE DE CC-PNC  ..................</w:t>
      </w:r>
      <w:r>
        <w:rPr>
          <w:b/>
          <w:color w:val="000080"/>
          <w:u w:val="single" w:color="000080"/>
        </w:rPr>
        <w:t>.........................................                                                                     366</w:t>
      </w:r>
    </w:p>
    <w:p w:rsidR="00E23B86" w:rsidRDefault="00BA7C13">
      <w:pPr>
        <w:spacing w:after="292" w:line="249" w:lineRule="auto"/>
        <w:ind w:left="353" w:hanging="8"/>
      </w:pPr>
      <w:r>
        <w:rPr>
          <w:b/>
          <w:color w:val="000080"/>
          <w:u w:val="single" w:color="000080"/>
        </w:rPr>
        <w:t xml:space="preserve"> 6.EN EL GRUPO MUNICIPAL MIXTO  ......................................................................................                        </w:t>
      </w:r>
      <w:r>
        <w:rPr>
          <w:b/>
          <w:color w:val="000080"/>
          <w:u w:val="single" w:color="000080"/>
        </w:rPr>
        <w:t xml:space="preserve">                                                                            366</w:t>
      </w:r>
    </w:p>
    <w:p w:rsidR="00E23B86" w:rsidRDefault="00BA7C13">
      <w:pPr>
        <w:spacing w:after="292" w:line="249" w:lineRule="auto"/>
        <w:ind w:left="353" w:hanging="8"/>
      </w:pPr>
      <w:r>
        <w:rPr>
          <w:rFonts w:ascii="Arial" w:eastAsia="Arial" w:hAnsi="Arial" w:cs="Arial"/>
          <w:i/>
        </w:rPr>
        <w:t xml:space="preserve">INTRODUCCIÓN   </w:t>
      </w:r>
    </w:p>
    <w:p w:rsidR="00E23B86" w:rsidRDefault="00BA7C13">
      <w:pPr>
        <w:spacing w:after="111" w:line="251" w:lineRule="auto"/>
        <w:ind w:left="355" w:right="573" w:hanging="10"/>
        <w:jc w:val="both"/>
      </w:pPr>
      <w:r>
        <w:rPr>
          <w:rFonts w:ascii="Arial" w:eastAsia="Arial" w:hAnsi="Arial" w:cs="Arial"/>
          <w:i/>
        </w:rPr>
        <w:t>Este documento denominado IV Plan Municipal de Prevención de Adicciones de Candelaria (2019-2023), es un instrumento de trabajo técnico que define las políticas</w:t>
      </w:r>
      <w:r>
        <w:rPr>
          <w:rFonts w:ascii="Arial" w:eastAsia="Arial" w:hAnsi="Arial" w:cs="Arial"/>
          <w:i/>
        </w:rPr>
        <w:t xml:space="preserve"> sociales públicas de prevención de adicciones, a llevar a cabo en el espacio local.</w:t>
      </w:r>
    </w:p>
    <w:p w:rsidR="00E23B86" w:rsidRDefault="00BA7C13">
      <w:pPr>
        <w:spacing w:after="111" w:line="251" w:lineRule="auto"/>
        <w:ind w:left="355" w:right="573" w:hanging="10"/>
        <w:jc w:val="both"/>
      </w:pPr>
      <w:r>
        <w:rPr>
          <w:rFonts w:ascii="Arial" w:eastAsia="Arial" w:hAnsi="Arial" w:cs="Arial"/>
          <w:i/>
        </w:rPr>
        <w:t>El IV Plan Municipal, será el referente de planificación-acción para los próximos cinco años en el municipio, siendo un documento que deberá ser evaluado en su proceso, pa</w:t>
      </w:r>
      <w:r>
        <w:rPr>
          <w:rFonts w:ascii="Arial" w:eastAsia="Arial" w:hAnsi="Arial" w:cs="Arial"/>
          <w:i/>
        </w:rPr>
        <w:t>ra ir ajustando las acciones y medidas a las necesidades de la población, así como, la implementación o puesta en marcha de nuevas acciones que se detecten mediante la evaluación e investigación continua.</w:t>
      </w:r>
    </w:p>
    <w:p w:rsidR="00E23B86" w:rsidRDefault="00BA7C13">
      <w:pPr>
        <w:spacing w:after="111" w:line="251" w:lineRule="auto"/>
        <w:ind w:left="355" w:right="573" w:hanging="10"/>
        <w:jc w:val="both"/>
      </w:pPr>
      <w:r>
        <w:rPr>
          <w:rFonts w:ascii="Arial" w:eastAsia="Arial" w:hAnsi="Arial" w:cs="Arial"/>
          <w:i/>
        </w:rPr>
        <w:t>El documento se ha estructurado en nueve apartados.</w:t>
      </w:r>
      <w:r>
        <w:rPr>
          <w:rFonts w:ascii="Arial" w:eastAsia="Arial" w:hAnsi="Arial" w:cs="Arial"/>
          <w:i/>
        </w:rPr>
        <w:t xml:space="preserve"> El apartado primero recoge y explica las competencias de la Corporación Local en materia de prevención e inserción social. En el apartado segundo se desarrolla el análisis de la problemática y aproximación epidemiológica y contextual del riesgo de adiccio</w:t>
      </w:r>
      <w:r>
        <w:rPr>
          <w:rFonts w:ascii="Arial" w:eastAsia="Arial" w:hAnsi="Arial" w:cs="Arial"/>
          <w:i/>
        </w:rPr>
        <w:t xml:space="preserve">nes en el ámbito municipal. En el tercer apartado recoge los principios sobre los que se sustenta el IV Plan Municipal y son los definidos desde la Estrategia Nacional sobre Adicciones 2017-2024 y el Plan de Acción sobre Adicciones 2018-2020. En el cuarto </w:t>
      </w:r>
      <w:r>
        <w:rPr>
          <w:rFonts w:ascii="Arial" w:eastAsia="Arial" w:hAnsi="Arial" w:cs="Arial"/>
          <w:i/>
        </w:rPr>
        <w:t xml:space="preserve">apartado se describen el campo de actuación del IV Plan, mientras que en el quinto y sexto se recoge la meta del IV Plan y los objetivos generales por áreas, respectivamente. </w:t>
      </w:r>
    </w:p>
    <w:p w:rsidR="00E23B86" w:rsidRDefault="00BA7C13">
      <w:pPr>
        <w:spacing w:after="111" w:line="251" w:lineRule="auto"/>
        <w:ind w:left="355" w:right="573" w:hanging="10"/>
        <w:jc w:val="both"/>
      </w:pPr>
      <w:r>
        <w:rPr>
          <w:rFonts w:ascii="Arial" w:eastAsia="Arial" w:hAnsi="Arial" w:cs="Arial"/>
          <w:i/>
        </w:rPr>
        <w:t xml:space="preserve">En el apartado sexto, se describen las acciones para cada una de las tres áreas </w:t>
      </w:r>
      <w:r>
        <w:rPr>
          <w:rFonts w:ascii="Arial" w:eastAsia="Arial" w:hAnsi="Arial" w:cs="Arial"/>
          <w:i/>
        </w:rPr>
        <w:t xml:space="preserve">de actuación y sus ámbitos o sectores prioritarios, donde se han diseñado un total de 35 acciones. </w:t>
      </w:r>
    </w:p>
    <w:p w:rsidR="00E23B86" w:rsidRDefault="00BA7C13">
      <w:pPr>
        <w:spacing w:after="391" w:line="251" w:lineRule="auto"/>
        <w:ind w:left="355" w:right="573" w:hanging="10"/>
        <w:jc w:val="both"/>
      </w:pPr>
      <w:r>
        <w:rPr>
          <w:noProof/>
        </w:rPr>
        <mc:AlternateContent>
          <mc:Choice Requires="wpg">
            <w:drawing>
              <wp:anchor distT="0" distB="0" distL="114300" distR="114300" simplePos="0" relativeHeight="2518927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0183" name="Group 54018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8779" name="Rectangle 3877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8780" name="Rectangle 3878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0183" style="width:12.7031pt;height:280.35pt;position:absolute;mso-position-horizontal-relative:page;mso-position-horizontal:absolute;margin-left:681.958pt;mso-position-vertical-relative:page;margin-top:531.65pt;" coordsize="1613,35604">
                <v:rect id="Rectangle 3877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878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227 de 391 </w:t>
                        </w:r>
                      </w:p>
                    </w:txbxContent>
                  </v:textbox>
                </v:rect>
                <w10:wrap type="square"/>
              </v:group>
            </w:pict>
          </mc:Fallback>
        </mc:AlternateContent>
      </w:r>
      <w:r>
        <w:rPr>
          <w:rFonts w:ascii="Arial" w:eastAsia="Arial" w:hAnsi="Arial" w:cs="Arial"/>
          <w:i/>
        </w:rPr>
        <w:t>En los tres últimos apartados se recoge el sistema de coordinación y organización del IV Plan (séptimo apartado), así como la descripción de los recursos a emple</w:t>
      </w:r>
      <w:r>
        <w:rPr>
          <w:rFonts w:ascii="Arial" w:eastAsia="Arial" w:hAnsi="Arial" w:cs="Arial"/>
          <w:i/>
        </w:rPr>
        <w:t xml:space="preserve">ar (octavo aportado) y los mecanismos de evaluación del IV Plan (noveno apartado). </w:t>
      </w:r>
    </w:p>
    <w:p w:rsidR="00E23B86" w:rsidRDefault="00BA7C13">
      <w:pPr>
        <w:numPr>
          <w:ilvl w:val="0"/>
          <w:numId w:val="122"/>
        </w:numPr>
        <w:pBdr>
          <w:top w:val="single" w:sz="2" w:space="0" w:color="00000A"/>
          <w:left w:val="single" w:sz="2" w:space="0" w:color="00000A"/>
          <w:bottom w:val="single" w:sz="2" w:space="0" w:color="00000A"/>
          <w:right w:val="single" w:sz="2" w:space="0" w:color="00000A"/>
        </w:pBdr>
        <w:spacing w:after="281" w:line="257" w:lineRule="auto"/>
        <w:ind w:hanging="10"/>
      </w:pPr>
      <w:r>
        <w:rPr>
          <w:rFonts w:ascii="Arial" w:eastAsia="Arial" w:hAnsi="Arial" w:cs="Arial"/>
          <w:i/>
        </w:rPr>
        <w:t xml:space="preserve">COMPETENCIAS DEL AYUNTAMIENTO EN MATERIA DE PREVENCIÓN DEDROGODEPENDENCIAS. </w:t>
      </w:r>
    </w:p>
    <w:p w:rsidR="00E23B86" w:rsidRDefault="00BA7C13">
      <w:pPr>
        <w:spacing w:after="111" w:line="251" w:lineRule="auto"/>
        <w:ind w:left="355" w:right="573" w:hanging="10"/>
        <w:jc w:val="both"/>
      </w:pPr>
      <w:r>
        <w:rPr>
          <w:rFonts w:ascii="Arial" w:eastAsia="Arial" w:hAnsi="Arial" w:cs="Arial"/>
          <w:i/>
        </w:rPr>
        <w:t>La Ley 9/1998, de 22 de julio, sobre Prevención, Asistencia, e Inserción social en materia de d</w:t>
      </w:r>
      <w:r>
        <w:rPr>
          <w:rFonts w:ascii="Arial" w:eastAsia="Arial" w:hAnsi="Arial" w:cs="Arial"/>
          <w:i/>
        </w:rPr>
        <w:t>rogodependencias de la Comunidad Autónoma de Canarias, determina las competencias atribuidas en materia de drogodependencias a los municipios, dependiendo del número de habitantes de los mismos, e indica en su artículo 34 aquellas que le son atribuidas a l</w:t>
      </w:r>
      <w:r>
        <w:rPr>
          <w:rFonts w:ascii="Arial" w:eastAsia="Arial" w:hAnsi="Arial" w:cs="Arial"/>
          <w:i/>
        </w:rPr>
        <w:t>as Corporaciones Locales que tengan población superior a los 20.000 habitantes.</w:t>
      </w:r>
    </w:p>
    <w:p w:rsidR="00E23B86" w:rsidRDefault="00BA7C13">
      <w:pPr>
        <w:numPr>
          <w:ilvl w:val="2"/>
          <w:numId w:val="123"/>
        </w:numPr>
        <w:spacing w:after="111" w:line="251" w:lineRule="auto"/>
        <w:ind w:right="573" w:hanging="404"/>
        <w:jc w:val="both"/>
      </w:pPr>
      <w:r>
        <w:rPr>
          <w:rFonts w:ascii="Arial" w:eastAsia="Arial" w:hAnsi="Arial" w:cs="Arial"/>
          <w:i/>
        </w:rPr>
        <w:t>El establecimiento de los criterios que regulan la localización, distancia y características que deberán reunir los establecimientos de suministro y venta de bebidas alcohólica</w:t>
      </w:r>
      <w:r>
        <w:rPr>
          <w:rFonts w:ascii="Arial" w:eastAsia="Arial" w:hAnsi="Arial" w:cs="Arial"/>
          <w:i/>
        </w:rPr>
        <w:t>s.</w:t>
      </w:r>
    </w:p>
    <w:p w:rsidR="00E23B86" w:rsidRDefault="00BA7C13">
      <w:pPr>
        <w:numPr>
          <w:ilvl w:val="2"/>
          <w:numId w:val="123"/>
        </w:numPr>
        <w:spacing w:after="111" w:line="251" w:lineRule="auto"/>
        <w:ind w:right="573" w:hanging="404"/>
        <w:jc w:val="both"/>
      </w:pPr>
      <w:r>
        <w:rPr>
          <w:rFonts w:ascii="Arial" w:eastAsia="Arial" w:hAnsi="Arial" w:cs="Arial"/>
          <w:i/>
        </w:rPr>
        <w:t>El otorgamiento de la autorización de apertura a locales o lugares de suministro y venta de bebidas alcohólicas.</w:t>
      </w:r>
    </w:p>
    <w:p w:rsidR="00E23B86" w:rsidRDefault="00BA7C13">
      <w:pPr>
        <w:numPr>
          <w:ilvl w:val="2"/>
          <w:numId w:val="123"/>
        </w:numPr>
        <w:spacing w:after="111" w:line="251" w:lineRule="auto"/>
        <w:ind w:right="573" w:hanging="404"/>
        <w:jc w:val="both"/>
      </w:pPr>
      <w:r>
        <w:rPr>
          <w:rFonts w:ascii="Arial" w:eastAsia="Arial" w:hAnsi="Arial" w:cs="Arial"/>
          <w:i/>
        </w:rPr>
        <w:t xml:space="preserve">Velar, en el marco de sus competencias, por el cumplimiento de las diferentes medidas de control que se establecen en el título III de esta </w:t>
      </w:r>
      <w:r>
        <w:rPr>
          <w:rFonts w:ascii="Arial" w:eastAsia="Arial" w:hAnsi="Arial" w:cs="Arial"/>
          <w:i/>
        </w:rPr>
        <w:t>Ley.</w:t>
      </w:r>
    </w:p>
    <w:p w:rsidR="00E23B86" w:rsidRDefault="00BA7C13">
      <w:pPr>
        <w:numPr>
          <w:ilvl w:val="2"/>
          <w:numId w:val="123"/>
        </w:numPr>
        <w:spacing w:after="111" w:line="251" w:lineRule="auto"/>
        <w:ind w:right="573" w:hanging="404"/>
        <w:jc w:val="both"/>
      </w:pPr>
      <w:r>
        <w:rPr>
          <w:rFonts w:ascii="Arial" w:eastAsia="Arial" w:hAnsi="Arial" w:cs="Arial"/>
          <w:i/>
        </w:rPr>
        <w:t>La colaboración con los sistemas educativo y sanitario en materia de educación para la salud.</w:t>
      </w:r>
    </w:p>
    <w:p w:rsidR="00E23B86" w:rsidRDefault="00BA7C13">
      <w:pPr>
        <w:spacing w:after="111" w:line="251" w:lineRule="auto"/>
        <w:ind w:left="355" w:right="573" w:hanging="10"/>
        <w:jc w:val="both"/>
      </w:pPr>
      <w:r>
        <w:rPr>
          <w:rFonts w:ascii="Arial" w:eastAsia="Arial" w:hAnsi="Arial" w:cs="Arial"/>
          <w:i/>
        </w:rPr>
        <w:t>Además de las señaladas en el punto anterior, los municipios de más de 20.000 habitantes tienen las siguientes competencias y responsabilidades mínimas:</w:t>
      </w:r>
    </w:p>
    <w:p w:rsidR="00E23B86" w:rsidRDefault="00BA7C13">
      <w:pPr>
        <w:numPr>
          <w:ilvl w:val="2"/>
          <w:numId w:val="124"/>
        </w:numPr>
        <w:spacing w:after="111" w:line="251" w:lineRule="auto"/>
        <w:ind w:right="573" w:hanging="360"/>
        <w:jc w:val="both"/>
      </w:pPr>
      <w:r>
        <w:rPr>
          <w:rFonts w:ascii="Arial" w:eastAsia="Arial" w:hAnsi="Arial" w:cs="Arial"/>
          <w:i/>
        </w:rPr>
        <w:t>La aprobación de Planes Municipales sobre Drogas, elaborados en coordinación y de acuerdo con los criterios y directrices del Plan Canario sobre Drogas, que incluyan programas de prevención e integración social, así como de información, orientación y motiv</w:t>
      </w:r>
      <w:r>
        <w:rPr>
          <w:rFonts w:ascii="Arial" w:eastAsia="Arial" w:hAnsi="Arial" w:cs="Arial"/>
          <w:i/>
        </w:rPr>
        <w:t>ación de drogodependientes a través de los centros de Servicios Sociales.</w:t>
      </w:r>
    </w:p>
    <w:p w:rsidR="00E23B86" w:rsidRDefault="00BA7C13">
      <w:pPr>
        <w:numPr>
          <w:ilvl w:val="2"/>
          <w:numId w:val="124"/>
        </w:numPr>
        <w:spacing w:after="8" w:line="251" w:lineRule="auto"/>
        <w:ind w:right="573" w:hanging="360"/>
        <w:jc w:val="both"/>
      </w:pPr>
      <w:r>
        <w:rPr>
          <w:rFonts w:ascii="Arial" w:eastAsia="Arial" w:hAnsi="Arial" w:cs="Arial"/>
          <w:i/>
        </w:rPr>
        <w:t>La coordinación de los programas de prevención e integración social que se</w:t>
      </w:r>
    </w:p>
    <w:p w:rsidR="00E23B86" w:rsidRDefault="00BA7C13">
      <w:pPr>
        <w:spacing w:after="111" w:line="251" w:lineRule="auto"/>
        <w:ind w:left="355" w:right="573" w:hanging="10"/>
        <w:jc w:val="both"/>
      </w:pPr>
      <w:r>
        <w:rPr>
          <w:rFonts w:ascii="Arial" w:eastAsia="Arial" w:hAnsi="Arial" w:cs="Arial"/>
          <w:i/>
        </w:rPr>
        <w:t>desarrollen exclusivamente en el ámbito de su municipio.</w:t>
      </w:r>
    </w:p>
    <w:p w:rsidR="00E23B86" w:rsidRDefault="00BA7C13">
      <w:pPr>
        <w:numPr>
          <w:ilvl w:val="2"/>
          <w:numId w:val="124"/>
        </w:numPr>
        <w:spacing w:after="8" w:line="251" w:lineRule="auto"/>
        <w:ind w:right="573" w:hanging="360"/>
        <w:jc w:val="both"/>
      </w:pPr>
      <w:r>
        <w:rPr>
          <w:rFonts w:ascii="Arial" w:eastAsia="Arial" w:hAnsi="Arial" w:cs="Arial"/>
          <w:i/>
        </w:rPr>
        <w:t xml:space="preserve">El apoyo a las asociaciones y entidades que en el </w:t>
      </w:r>
      <w:r>
        <w:rPr>
          <w:rFonts w:ascii="Arial" w:eastAsia="Arial" w:hAnsi="Arial" w:cs="Arial"/>
          <w:i/>
        </w:rPr>
        <w:t>municipio desarrollen</w:t>
      </w:r>
    </w:p>
    <w:p w:rsidR="00E23B86" w:rsidRDefault="00BA7C13">
      <w:pPr>
        <w:spacing w:after="111" w:line="251" w:lineRule="auto"/>
        <w:ind w:left="355" w:right="573" w:hanging="10"/>
        <w:jc w:val="both"/>
      </w:pPr>
      <w:r>
        <w:rPr>
          <w:rFonts w:ascii="Arial" w:eastAsia="Arial" w:hAnsi="Arial" w:cs="Arial"/>
          <w:i/>
        </w:rPr>
        <w:t>actividades previstas en el Plan Canario sobre Drogas.</w:t>
      </w:r>
    </w:p>
    <w:p w:rsidR="00E23B86" w:rsidRDefault="00BA7C13">
      <w:pPr>
        <w:numPr>
          <w:ilvl w:val="2"/>
          <w:numId w:val="125"/>
        </w:numPr>
        <w:spacing w:after="527" w:line="251" w:lineRule="auto"/>
        <w:ind w:right="573" w:hanging="404"/>
        <w:jc w:val="both"/>
      </w:pPr>
      <w:r>
        <w:rPr>
          <w:rFonts w:ascii="Arial" w:eastAsia="Arial" w:hAnsi="Arial" w:cs="Arial"/>
          <w:i/>
        </w:rPr>
        <w:t>La formación en materia de drogas del personal propio.</w:t>
      </w:r>
    </w:p>
    <w:p w:rsidR="00E23B86" w:rsidRDefault="00BA7C13">
      <w:pPr>
        <w:numPr>
          <w:ilvl w:val="2"/>
          <w:numId w:val="125"/>
        </w:numPr>
        <w:spacing w:after="415" w:line="251" w:lineRule="auto"/>
        <w:ind w:right="573" w:hanging="404"/>
        <w:jc w:val="both"/>
      </w:pPr>
      <w:r>
        <w:rPr>
          <w:rFonts w:ascii="Arial" w:eastAsia="Arial" w:hAnsi="Arial" w:cs="Arial"/>
          <w:i/>
        </w:rPr>
        <w:t>La promoción de la participación social en esta materia en su ámbito territorial.</w:t>
      </w:r>
    </w:p>
    <w:p w:rsidR="00E23B86" w:rsidRDefault="00BA7C13">
      <w:pPr>
        <w:numPr>
          <w:ilvl w:val="0"/>
          <w:numId w:val="122"/>
        </w:numPr>
        <w:pBdr>
          <w:top w:val="single" w:sz="2" w:space="0" w:color="00000A"/>
          <w:left w:val="single" w:sz="2" w:space="0" w:color="00000A"/>
          <w:bottom w:val="single" w:sz="2" w:space="0" w:color="00000A"/>
          <w:right w:val="single" w:sz="2" w:space="0" w:color="00000A"/>
        </w:pBdr>
        <w:spacing w:after="281" w:line="257" w:lineRule="auto"/>
        <w:ind w:hanging="10"/>
      </w:pPr>
      <w:r>
        <w:rPr>
          <w:rFonts w:ascii="Arial" w:eastAsia="Arial" w:hAnsi="Arial" w:cs="Arial"/>
          <w:i/>
        </w:rPr>
        <w:t>ANÁLISIS DE LA PROBLEMÁTICA Y APROXIMACIÓN</w:t>
      </w:r>
      <w:r>
        <w:rPr>
          <w:rFonts w:ascii="Arial" w:eastAsia="Arial" w:hAnsi="Arial" w:cs="Arial"/>
          <w:i/>
        </w:rPr>
        <w:t xml:space="preserve"> EPIDEMIOLÓGICA YCONTEXTUAL DE LAS ADICCIONES EN EL AMBITO MUNICIPAL  </w:t>
      </w:r>
    </w:p>
    <w:p w:rsidR="00E23B86" w:rsidRDefault="00BA7C13">
      <w:pPr>
        <w:spacing w:after="269" w:line="251" w:lineRule="auto"/>
        <w:ind w:left="355" w:right="573" w:hanging="10"/>
        <w:jc w:val="both"/>
      </w:pPr>
      <w:r>
        <w:rPr>
          <w:noProof/>
        </w:rPr>
        <mc:AlternateContent>
          <mc:Choice Requires="wpg">
            <w:drawing>
              <wp:anchor distT="0" distB="0" distL="114300" distR="114300" simplePos="0" relativeHeight="2518937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1478" name="Group 54147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8849" name="Rectangle 3884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8850" name="Rectangle 3885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1478" style="width:12.7031pt;height:280.35pt;position:absolute;mso-position-horizontal-relative:page;mso-position-horizontal:absolute;margin-left:681.958pt;mso-position-vertical-relative:page;margin-top:531.65pt;" coordsize="1613,35604">
                <v:rect id="Rectangle 3884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885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228 de 391 </w:t>
                        </w:r>
                      </w:p>
                    </w:txbxContent>
                  </v:textbox>
                </v:rect>
                <w10:wrap type="square"/>
              </v:group>
            </w:pict>
          </mc:Fallback>
        </mc:AlternateContent>
      </w:r>
      <w:r>
        <w:rPr>
          <w:rFonts w:ascii="Arial" w:eastAsia="Arial" w:hAnsi="Arial" w:cs="Arial"/>
          <w:i/>
        </w:rPr>
        <w:t xml:space="preserve">En este apartado se presentan datos necesarios para poder disponer de una aproximación más ajustada a la realidad social municipal.  Primeramente, se resumen los resultados de la evaluación del III Plan Municipal (2013-2017), para, a continuación, incluir </w:t>
      </w:r>
      <w:r>
        <w:rPr>
          <w:rFonts w:ascii="Arial" w:eastAsia="Arial" w:hAnsi="Arial" w:cs="Arial"/>
          <w:i/>
        </w:rPr>
        <w:t xml:space="preserve">los datos de la prevalencia del consumo en Canarias y añadir recomendaciones técnicas para la planificación de la prevención en adicciones. Por último, se muestra una descripción del contexto municipal en el ámbito demográfico, laboral y social, prestando </w:t>
      </w:r>
      <w:r>
        <w:rPr>
          <w:rFonts w:ascii="Arial" w:eastAsia="Arial" w:hAnsi="Arial" w:cs="Arial"/>
          <w:i/>
        </w:rPr>
        <w:t>atención a cuestiones relacionadas con los hábitos saludables de la población del municipio. Además, se presentan las principales conclusiones de un estudio sobre hábitos saludables del alumnado de primaria y secundaria, realizado en el año 2019.</w:t>
      </w:r>
    </w:p>
    <w:p w:rsidR="00E23B86" w:rsidRDefault="00BA7C13">
      <w:pPr>
        <w:numPr>
          <w:ilvl w:val="1"/>
          <w:numId w:val="122"/>
        </w:numPr>
        <w:spacing w:after="246" w:line="251" w:lineRule="auto"/>
        <w:ind w:right="573" w:hanging="428"/>
        <w:jc w:val="both"/>
      </w:pPr>
      <w:r>
        <w:rPr>
          <w:rFonts w:ascii="Arial" w:eastAsia="Arial" w:hAnsi="Arial" w:cs="Arial"/>
          <w:i/>
        </w:rPr>
        <w:t>Resultado</w:t>
      </w:r>
      <w:r>
        <w:rPr>
          <w:rFonts w:ascii="Arial" w:eastAsia="Arial" w:hAnsi="Arial" w:cs="Arial"/>
          <w:i/>
        </w:rPr>
        <w:t xml:space="preserve">s de la evaluación del III Plan Municipal sobre Drogodependencias(2013-2017) </w:t>
      </w:r>
    </w:p>
    <w:p w:rsidR="00E23B86" w:rsidRDefault="00BA7C13">
      <w:pPr>
        <w:spacing w:after="144" w:line="251" w:lineRule="auto"/>
        <w:ind w:left="355" w:right="573" w:hanging="10"/>
        <w:jc w:val="both"/>
      </w:pPr>
      <w:r>
        <w:rPr>
          <w:rFonts w:ascii="Arial" w:eastAsia="Arial" w:hAnsi="Arial" w:cs="Arial"/>
          <w:i/>
        </w:rPr>
        <w:t xml:space="preserve">Los resultados más relevantes de la evaluación del III Plan Municipal son:  </w:t>
      </w:r>
    </w:p>
    <w:p w:rsidR="00E23B86" w:rsidRDefault="00BA7C13">
      <w:pPr>
        <w:numPr>
          <w:ilvl w:val="2"/>
          <w:numId w:val="122"/>
        </w:numPr>
        <w:spacing w:after="186" w:line="251" w:lineRule="auto"/>
        <w:ind w:right="573" w:hanging="360"/>
        <w:jc w:val="both"/>
      </w:pPr>
      <w:r>
        <w:rPr>
          <w:rFonts w:ascii="Arial" w:eastAsia="Arial" w:hAnsi="Arial" w:cs="Arial"/>
          <w:i/>
        </w:rPr>
        <w:t xml:space="preserve">Las acciones de prevención escolar llevadas a cabo son periódicas, lo cual hace que estén plenamente </w:t>
      </w:r>
      <w:r>
        <w:rPr>
          <w:rFonts w:ascii="Arial" w:eastAsia="Arial" w:hAnsi="Arial" w:cs="Arial"/>
          <w:i/>
        </w:rPr>
        <w:t>consolidadas, sobre todo las acciones recogidas en los proyectos Renueva-T e Interróga-T. Sin duda, es una estrategia que ha de continuar consolidándose.</w:t>
      </w:r>
    </w:p>
    <w:p w:rsidR="00E23B86" w:rsidRDefault="00BA7C13">
      <w:pPr>
        <w:numPr>
          <w:ilvl w:val="2"/>
          <w:numId w:val="122"/>
        </w:numPr>
        <w:spacing w:after="226" w:line="251" w:lineRule="auto"/>
        <w:ind w:right="573" w:hanging="360"/>
        <w:jc w:val="both"/>
      </w:pPr>
      <w:r>
        <w:rPr>
          <w:rFonts w:ascii="Arial" w:eastAsia="Arial" w:hAnsi="Arial" w:cs="Arial"/>
          <w:i/>
        </w:rPr>
        <w:t>Respecto a las acciones de Prevención de la Concejalía de Servicios Sociales, las acciones con más ben</w:t>
      </w:r>
      <w:r>
        <w:rPr>
          <w:rFonts w:ascii="Arial" w:eastAsia="Arial" w:hAnsi="Arial" w:cs="Arial"/>
          <w:i/>
        </w:rPr>
        <w:t>eficiarios/as son las dirigidas a prevenir el absentismo escolar. Esta acción es fundamental continuarla, pues gran cantidad de menores se exponen al riesgo de poder consumir algún tipo de sustancia cuando se ausentan de los centros escolares.</w:t>
      </w:r>
    </w:p>
    <w:p w:rsidR="00E23B86" w:rsidRDefault="00BA7C13">
      <w:pPr>
        <w:numPr>
          <w:ilvl w:val="2"/>
          <w:numId w:val="122"/>
        </w:numPr>
        <w:spacing w:after="191" w:line="251" w:lineRule="auto"/>
        <w:ind w:right="573" w:hanging="360"/>
        <w:jc w:val="both"/>
      </w:pPr>
      <w:r>
        <w:rPr>
          <w:rFonts w:ascii="Arial" w:eastAsia="Arial" w:hAnsi="Arial" w:cs="Arial"/>
          <w:i/>
        </w:rPr>
        <w:t>Las acciones</w:t>
      </w:r>
      <w:r>
        <w:rPr>
          <w:rFonts w:ascii="Arial" w:eastAsia="Arial" w:hAnsi="Arial" w:cs="Arial"/>
          <w:i/>
        </w:rPr>
        <w:t xml:space="preserve"> del resto de Concejalías del Ayuntamiento (Juventud, Deportes) son numerosas, pero en éstas no se aclara si efectivamente, además de entretener a los/as jóvenes o menores, se implementan medidas dedicadas a la promoción de la salud y prevención del consum</w:t>
      </w:r>
      <w:r>
        <w:rPr>
          <w:rFonts w:ascii="Arial" w:eastAsia="Arial" w:hAnsi="Arial" w:cs="Arial"/>
          <w:i/>
        </w:rPr>
        <w:t>o de drogas. Aun así, se destaca la conexión entre dichas Concejalías y la de Servicios Sociales, pues anualmente intercambian información a la hora de elaborar las memorias.</w:t>
      </w:r>
    </w:p>
    <w:p w:rsidR="00E23B86" w:rsidRDefault="00BA7C13">
      <w:pPr>
        <w:numPr>
          <w:ilvl w:val="2"/>
          <w:numId w:val="122"/>
        </w:numPr>
        <w:spacing w:after="187" w:line="251" w:lineRule="auto"/>
        <w:ind w:right="573" w:hanging="360"/>
        <w:jc w:val="both"/>
      </w:pPr>
      <w:r>
        <w:rPr>
          <w:rFonts w:ascii="Arial" w:eastAsia="Arial" w:hAnsi="Arial" w:cs="Arial"/>
          <w:i/>
        </w:rPr>
        <w:t xml:space="preserve">En lo referido a las atenciones de personas residentes en la Unidad Municipal de </w:t>
      </w:r>
      <w:r>
        <w:rPr>
          <w:rFonts w:ascii="Arial" w:eastAsia="Arial" w:hAnsi="Arial" w:cs="Arial"/>
          <w:i/>
        </w:rPr>
        <w:t>Drogodependencias, casi todas las atenciones son dirigidas a hombres que presentan poli-consumo. Además, las personas que han sido atendidas en alguno de los recursos específicos de atención a las drogodependencias durante el año 2016 y 2017 (San Miguel, P</w:t>
      </w:r>
      <w:r>
        <w:rPr>
          <w:rFonts w:ascii="Arial" w:eastAsia="Arial" w:hAnsi="Arial" w:cs="Arial"/>
          <w:i/>
        </w:rPr>
        <w:t>royecto Hombre y Proyecto Drago), fueron en su mayoría por heroína, seguida de alcohol, cannabis y cocaína. En cuanto al perfil mayoritario, la mayor parte fueron hombres en todas las drogas y mayores de 40 años.</w:t>
      </w:r>
    </w:p>
    <w:p w:rsidR="00E23B86" w:rsidRDefault="00BA7C13">
      <w:pPr>
        <w:numPr>
          <w:ilvl w:val="2"/>
          <w:numId w:val="122"/>
        </w:numPr>
        <w:spacing w:after="186" w:line="251" w:lineRule="auto"/>
        <w:ind w:right="573" w:hanging="360"/>
        <w:jc w:val="both"/>
      </w:pPr>
      <w:r>
        <w:rPr>
          <w:rFonts w:ascii="Arial" w:eastAsia="Arial" w:hAnsi="Arial" w:cs="Arial"/>
          <w:i/>
        </w:rPr>
        <w:t>En términos presupuestarios, la inversión r</w:t>
      </w:r>
      <w:r>
        <w:rPr>
          <w:rFonts w:ascii="Arial" w:eastAsia="Arial" w:hAnsi="Arial" w:cs="Arial"/>
          <w:i/>
        </w:rPr>
        <w:t>ealizada por la Unidad Municipal es inestable en cuanto a importes, pues varía considerablemente de un año a otro.</w:t>
      </w:r>
    </w:p>
    <w:p w:rsidR="00E23B86" w:rsidRDefault="00BA7C13">
      <w:pPr>
        <w:numPr>
          <w:ilvl w:val="2"/>
          <w:numId w:val="122"/>
        </w:numPr>
        <w:spacing w:after="562" w:line="251" w:lineRule="auto"/>
        <w:ind w:right="573" w:hanging="360"/>
        <w:jc w:val="both"/>
      </w:pPr>
      <w:r>
        <w:rPr>
          <w:rFonts w:ascii="Arial" w:eastAsia="Arial" w:hAnsi="Arial" w:cs="Arial"/>
          <w:i/>
        </w:rPr>
        <w:t>Los Recursos Humanos están compartidos con otras áreas, lo cual hace que no dispongan de la dedicación que el área de drogodependencias exige, asumiendo el personal trabajos extra de otras áreas.</w:t>
      </w:r>
    </w:p>
    <w:p w:rsidR="00E23B86" w:rsidRDefault="00BA7C13">
      <w:pPr>
        <w:spacing w:after="601" w:line="251" w:lineRule="auto"/>
        <w:ind w:left="355" w:right="573" w:hanging="10"/>
        <w:jc w:val="both"/>
      </w:pPr>
      <w:r>
        <w:rPr>
          <w:noProof/>
        </w:rPr>
        <mc:AlternateContent>
          <mc:Choice Requires="wpg">
            <w:drawing>
              <wp:anchor distT="0" distB="0" distL="114300" distR="114300" simplePos="0" relativeHeight="2518947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1835" name="Group 54183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8915" name="Rectangle 3891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38916" name="Rectangle 3891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229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1835" style="width:12.7031pt;height:280.35pt;position:absolute;mso-position-horizontal-relative:page;mso-position-horizontal:absolute;margin-left:681.958pt;mso-position-vertical-relative:page;margin-top:531.65pt;" coordsize="1613,35604">
                <v:rect id="Rectangle 3891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891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229 de 391 </w:t>
                        </w:r>
                      </w:p>
                    </w:txbxContent>
                  </v:textbox>
                </v:rect>
                <w10:wrap type="square"/>
              </v:group>
            </w:pict>
          </mc:Fallback>
        </mc:AlternateContent>
      </w:r>
      <w:r>
        <w:rPr>
          <w:rFonts w:ascii="Arial" w:eastAsia="Arial" w:hAnsi="Arial" w:cs="Arial"/>
          <w:i/>
        </w:rPr>
        <w:t>Además de realizar la Evaluación del III Plan, ésta, junto con la estructura del IV Plan, fue presentada a los recurso</w:t>
      </w:r>
      <w:r>
        <w:rPr>
          <w:rFonts w:ascii="Arial" w:eastAsia="Arial" w:hAnsi="Arial" w:cs="Arial"/>
          <w:i/>
        </w:rPr>
        <w:t>s municipales para que realizaran las aportaciones que consideraran que debían ser tenidas en cuenta a la hora de elaborar el presente IV Plan. Dichas aportaciones de los diferentes recursos se caracterizaron por lo siguiente:</w:t>
      </w:r>
    </w:p>
    <w:p w:rsidR="00E23B86" w:rsidRDefault="00BA7C13">
      <w:pPr>
        <w:numPr>
          <w:ilvl w:val="2"/>
          <w:numId w:val="122"/>
        </w:numPr>
        <w:spacing w:after="204" w:line="251" w:lineRule="auto"/>
        <w:ind w:right="573" w:hanging="360"/>
        <w:jc w:val="both"/>
      </w:pPr>
      <w:r>
        <w:rPr>
          <w:rFonts w:ascii="Arial" w:eastAsia="Arial" w:hAnsi="Arial" w:cs="Arial"/>
          <w:i/>
        </w:rPr>
        <w:t>La valoración que hacen las p</w:t>
      </w:r>
      <w:r>
        <w:rPr>
          <w:rFonts w:ascii="Arial" w:eastAsia="Arial" w:hAnsi="Arial" w:cs="Arial"/>
          <w:i/>
        </w:rPr>
        <w:t xml:space="preserve">ersonas participantes sobre la estructura del documento de propuesta de planificación para el IV Plan Municipal de Prevención de Adicciones (2019-2023) del municipio de Candelaria, les parece adecuada. </w:t>
      </w:r>
    </w:p>
    <w:p w:rsidR="00E23B86" w:rsidRDefault="00BA7C13">
      <w:pPr>
        <w:numPr>
          <w:ilvl w:val="2"/>
          <w:numId w:val="122"/>
        </w:numPr>
        <w:spacing w:after="204" w:line="251" w:lineRule="auto"/>
        <w:ind w:right="573" w:hanging="360"/>
        <w:jc w:val="both"/>
      </w:pPr>
      <w:r>
        <w:rPr>
          <w:rFonts w:ascii="Arial" w:eastAsia="Arial" w:hAnsi="Arial" w:cs="Arial"/>
          <w:i/>
        </w:rPr>
        <w:t xml:space="preserve">La participación de los recursos municipales propios </w:t>
      </w:r>
      <w:r>
        <w:rPr>
          <w:rFonts w:ascii="Arial" w:eastAsia="Arial" w:hAnsi="Arial" w:cs="Arial"/>
          <w:i/>
        </w:rPr>
        <w:t xml:space="preserve">y de la comunidad ha sido baja, (pues la tasa de respuesta al documento no ha sido muy elevada), habiéndose enviado en tiempo y forma a los mismos.  </w:t>
      </w:r>
    </w:p>
    <w:p w:rsidR="00E23B86" w:rsidRDefault="00BA7C13">
      <w:pPr>
        <w:numPr>
          <w:ilvl w:val="2"/>
          <w:numId w:val="122"/>
        </w:numPr>
        <w:spacing w:after="203" w:line="251" w:lineRule="auto"/>
        <w:ind w:right="573" w:hanging="360"/>
        <w:jc w:val="both"/>
      </w:pPr>
      <w:r>
        <w:rPr>
          <w:rFonts w:ascii="Arial" w:eastAsia="Arial" w:hAnsi="Arial" w:cs="Arial"/>
          <w:i/>
        </w:rPr>
        <w:t>La valoración percibida sobre otros problemas y/o dificultades, destacan, son los ya expuestos en el diagn</w:t>
      </w:r>
      <w:r>
        <w:rPr>
          <w:rFonts w:ascii="Arial" w:eastAsia="Arial" w:hAnsi="Arial" w:cs="Arial"/>
          <w:i/>
        </w:rPr>
        <w:t>óstico.</w:t>
      </w:r>
    </w:p>
    <w:p w:rsidR="00E23B86" w:rsidRDefault="00BA7C13">
      <w:pPr>
        <w:numPr>
          <w:ilvl w:val="2"/>
          <w:numId w:val="122"/>
        </w:numPr>
        <w:spacing w:after="204" w:line="251" w:lineRule="auto"/>
        <w:ind w:right="573" w:hanging="360"/>
        <w:jc w:val="both"/>
      </w:pPr>
      <w:r>
        <w:rPr>
          <w:rFonts w:ascii="Arial" w:eastAsia="Arial" w:hAnsi="Arial" w:cs="Arial"/>
          <w:i/>
        </w:rPr>
        <w:t>Respecto a las valoraciones/opiniones sobre la información aportada y disponible en el ámbito municipal del documento aportado, es necesario destacar que no se realizan aportaciones relevantes. Las mismas se reiteran en las problemáticas mencionada</w:t>
      </w:r>
      <w:r>
        <w:rPr>
          <w:rFonts w:ascii="Arial" w:eastAsia="Arial" w:hAnsi="Arial" w:cs="Arial"/>
          <w:i/>
        </w:rPr>
        <w:t>s en la evaluación y proponen que mejore la coordinación interna entre áreas municipales a la hora de ofertar recursos, servicios o actividades a la comunidad (escuela, familias, etc.).</w:t>
      </w:r>
    </w:p>
    <w:p w:rsidR="00E23B86" w:rsidRDefault="00BA7C13">
      <w:pPr>
        <w:numPr>
          <w:ilvl w:val="2"/>
          <w:numId w:val="122"/>
        </w:numPr>
        <w:spacing w:after="148" w:line="251" w:lineRule="auto"/>
        <w:ind w:right="573" w:hanging="360"/>
        <w:jc w:val="both"/>
      </w:pPr>
      <w:r>
        <w:rPr>
          <w:rFonts w:ascii="Arial" w:eastAsia="Arial" w:hAnsi="Arial" w:cs="Arial"/>
          <w:i/>
        </w:rPr>
        <w:t>En las propuestas, medidas y sugerencias hechas por los/as participant</w:t>
      </w:r>
      <w:r>
        <w:rPr>
          <w:rFonts w:ascii="Arial" w:eastAsia="Arial" w:hAnsi="Arial" w:cs="Arial"/>
          <w:i/>
        </w:rPr>
        <w:t xml:space="preserve">es, cabe destacar que las podemos agrupar en varias categorías: </w:t>
      </w:r>
    </w:p>
    <w:p w:rsidR="00E23B86" w:rsidRDefault="00BA7C13">
      <w:pPr>
        <w:numPr>
          <w:ilvl w:val="3"/>
          <w:numId w:val="122"/>
        </w:numPr>
        <w:spacing w:after="111" w:line="251" w:lineRule="auto"/>
        <w:ind w:right="573" w:hanging="360"/>
        <w:jc w:val="both"/>
      </w:pPr>
      <w:r>
        <w:rPr>
          <w:rFonts w:ascii="Arial" w:eastAsia="Arial" w:hAnsi="Arial" w:cs="Arial"/>
          <w:i/>
        </w:rPr>
        <w:t>De tipo preventivo, informativo y educativo:  dirigida a menores, familias y profesionales.</w:t>
      </w:r>
    </w:p>
    <w:p w:rsidR="00E23B86" w:rsidRDefault="00BA7C13">
      <w:pPr>
        <w:numPr>
          <w:ilvl w:val="3"/>
          <w:numId w:val="122"/>
        </w:numPr>
        <w:spacing w:after="148" w:line="251" w:lineRule="auto"/>
        <w:ind w:right="573" w:hanging="360"/>
        <w:jc w:val="both"/>
      </w:pPr>
      <w:r>
        <w:rPr>
          <w:rFonts w:ascii="Arial" w:eastAsia="Arial" w:hAnsi="Arial" w:cs="Arial"/>
          <w:i/>
        </w:rPr>
        <w:t>De tipo organizativo: centrada en la coordinación, evaluación, oferta de servicios y actividades y protocolos de actuación.</w:t>
      </w:r>
    </w:p>
    <w:p w:rsidR="00E23B86" w:rsidRDefault="00BA7C13">
      <w:pPr>
        <w:numPr>
          <w:ilvl w:val="3"/>
          <w:numId w:val="122"/>
        </w:numPr>
        <w:spacing w:after="1108" w:line="265" w:lineRule="auto"/>
        <w:ind w:right="573" w:hanging="360"/>
        <w:jc w:val="both"/>
      </w:pPr>
      <w:r>
        <w:rPr>
          <w:rFonts w:ascii="Arial" w:eastAsia="Arial" w:hAnsi="Arial" w:cs="Arial"/>
          <w:i/>
        </w:rPr>
        <w:t>De mejora de recursos (incremento de medios humanos y materiales).</w:t>
      </w:r>
    </w:p>
    <w:p w:rsidR="00E23B86" w:rsidRDefault="00BA7C13">
      <w:pPr>
        <w:numPr>
          <w:ilvl w:val="1"/>
          <w:numId w:val="122"/>
        </w:numPr>
        <w:spacing w:after="249" w:line="251" w:lineRule="auto"/>
        <w:ind w:right="573" w:hanging="428"/>
        <w:jc w:val="both"/>
      </w:pPr>
      <w:r>
        <w:rPr>
          <w:rFonts w:ascii="Arial" w:eastAsia="Arial" w:hAnsi="Arial" w:cs="Arial"/>
          <w:i/>
        </w:rPr>
        <w:t>La prevalencia del consumo en Canarias e indicaciones para la pla</w:t>
      </w:r>
      <w:r>
        <w:rPr>
          <w:rFonts w:ascii="Arial" w:eastAsia="Arial" w:hAnsi="Arial" w:cs="Arial"/>
          <w:i/>
        </w:rPr>
        <w:t xml:space="preserve">nificación delas acciones de prevención e inserción.  </w:t>
      </w:r>
    </w:p>
    <w:p w:rsidR="00E23B86" w:rsidRDefault="00BA7C13">
      <w:pPr>
        <w:spacing w:after="166" w:line="251" w:lineRule="auto"/>
        <w:ind w:left="355" w:right="573" w:hanging="10"/>
        <w:jc w:val="both"/>
      </w:pPr>
      <w:r>
        <w:rPr>
          <w:rFonts w:ascii="Arial" w:eastAsia="Arial" w:hAnsi="Arial" w:cs="Arial"/>
          <w:i/>
        </w:rPr>
        <w:t>Es preciso conocer cómo está la prevalencia del consumo en Canarias, y así poder establecer comparaciones con el escenario municipal y concretar las acciones a llevar a cabo. Los datos de referencia pa</w:t>
      </w:r>
      <w:r>
        <w:rPr>
          <w:rFonts w:ascii="Arial" w:eastAsia="Arial" w:hAnsi="Arial" w:cs="Arial"/>
          <w:i/>
        </w:rPr>
        <w:t>ra conocer esa prevalencia proceden de las siguientes fuentes: Encuesta domiciliaria sobre alcohol y drogas en España 2016-2017 (EDADES 2017, población de 15 a 64 años) y la Encuesta sobre el uso de drogas en estudiantes de enseñanzas secundarias en España</w:t>
      </w:r>
      <w:r>
        <w:rPr>
          <w:rFonts w:ascii="Arial" w:eastAsia="Arial" w:hAnsi="Arial" w:cs="Arial"/>
          <w:i/>
        </w:rPr>
        <w:t xml:space="preserve"> 2016-2017 (ESTUDES, estudiantes de 14 a 18 años).</w:t>
      </w:r>
    </w:p>
    <w:p w:rsidR="00E23B86" w:rsidRDefault="00BA7C13">
      <w:pPr>
        <w:spacing w:after="168" w:line="251" w:lineRule="auto"/>
        <w:ind w:left="355" w:right="573" w:hanging="10"/>
        <w:jc w:val="both"/>
      </w:pPr>
      <w:r>
        <w:rPr>
          <w:rFonts w:ascii="Arial" w:eastAsia="Arial" w:hAnsi="Arial" w:cs="Arial"/>
          <w:i/>
        </w:rPr>
        <w:t>Los datos relevantes para Canarias a destacar son los siguientes:</w:t>
      </w:r>
    </w:p>
    <w:p w:rsidR="00E23B86" w:rsidRDefault="00BA7C13">
      <w:pPr>
        <w:numPr>
          <w:ilvl w:val="2"/>
          <w:numId w:val="126"/>
        </w:numPr>
        <w:spacing w:after="165" w:line="251" w:lineRule="auto"/>
        <w:ind w:right="573" w:hanging="360"/>
        <w:jc w:val="both"/>
      </w:pPr>
      <w:r>
        <w:rPr>
          <w:rFonts w:ascii="Arial" w:eastAsia="Arial" w:hAnsi="Arial" w:cs="Arial"/>
          <w:i/>
        </w:rPr>
        <w:t>Sólo un 5,8% de la población declara no haber consumido alcohol y los hombres declaran un mayor consumo que las mujeres.</w:t>
      </w:r>
    </w:p>
    <w:p w:rsidR="00E23B86" w:rsidRDefault="00BA7C13">
      <w:pPr>
        <w:numPr>
          <w:ilvl w:val="2"/>
          <w:numId w:val="126"/>
        </w:numPr>
        <w:spacing w:after="168" w:line="251" w:lineRule="auto"/>
        <w:ind w:right="573" w:hanging="360"/>
        <w:jc w:val="both"/>
      </w:pPr>
      <w:r>
        <w:rPr>
          <w:noProof/>
        </w:rPr>
        <mc:AlternateContent>
          <mc:Choice Requires="wpg">
            <w:drawing>
              <wp:anchor distT="0" distB="0" distL="114300" distR="114300" simplePos="0" relativeHeight="2518958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2540" name="Group 54254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8973" name="Rectangle 3897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w:t>
                              </w:r>
                              <w:r>
                                <w:rPr>
                                  <w:rFonts w:ascii="Arial" w:eastAsia="Arial" w:hAnsi="Arial" w:cs="Arial"/>
                                  <w:sz w:val="12"/>
                                </w:rPr>
                                <w:t xml:space="preserve">: 5AJ7C4GAAK3P9GMGZC2N3FZWC | Verificación: https://candelaria.sedelectronica.es/ </w:t>
                              </w:r>
                            </w:p>
                          </w:txbxContent>
                        </wps:txbx>
                        <wps:bodyPr horzOverflow="overflow" vert="horz" lIns="0" tIns="0" rIns="0" bIns="0" rtlCol="0">
                          <a:noAutofit/>
                        </wps:bodyPr>
                      </wps:wsp>
                      <wps:wsp>
                        <wps:cNvPr id="38974" name="Rectangle 3897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230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2540" style="width:12.7031pt;height:280.35pt;position:absolute;mso-position-horizontal-relative:page;mso-position-horizontal:absolute;margin-left:681.958pt;mso-position-vertical-relative:page;margin-top:531.65pt;" coordsize="1613,35604">
                <v:rect id="Rectangle 3897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897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230 de 391 </w:t>
                        </w:r>
                      </w:p>
                    </w:txbxContent>
                  </v:textbox>
                </v:rect>
                <w10:wrap type="square"/>
              </v:group>
            </w:pict>
          </mc:Fallback>
        </mc:AlternateContent>
      </w:r>
      <w:r>
        <w:rPr>
          <w:rFonts w:ascii="Arial" w:eastAsia="Arial" w:hAnsi="Arial" w:cs="Arial"/>
          <w:i/>
        </w:rPr>
        <w:t>Existe un consumo de alcohol habitual en la población, pues un 57% ha consumido al menos un día en los últimos 7 días y un 11% declaran un consumo diario a lo largo de la semana. La frecuencia de consumo es superior en las mujeres respecto a los hombres.</w:t>
      </w:r>
    </w:p>
    <w:p w:rsidR="00E23B86" w:rsidRDefault="00BA7C13">
      <w:pPr>
        <w:numPr>
          <w:ilvl w:val="2"/>
          <w:numId w:val="126"/>
        </w:numPr>
        <w:spacing w:after="168" w:line="251" w:lineRule="auto"/>
        <w:ind w:right="573" w:hanging="360"/>
        <w:jc w:val="both"/>
      </w:pPr>
      <w:r>
        <w:rPr>
          <w:rFonts w:ascii="Arial" w:eastAsia="Arial" w:hAnsi="Arial" w:cs="Arial"/>
          <w:i/>
        </w:rPr>
        <w:t>U</w:t>
      </w:r>
      <w:r>
        <w:rPr>
          <w:rFonts w:ascii="Arial" w:eastAsia="Arial" w:hAnsi="Arial" w:cs="Arial"/>
          <w:i/>
        </w:rPr>
        <w:t>n 72% declara haber consumido tabaco alguna vez en su vida y sólo un 36% declara consumir tabaco en los últimos doce meses. Son los hombres los que consumen más tabaco y con más frecuencia que las mujeres.</w:t>
      </w:r>
    </w:p>
    <w:p w:rsidR="00E23B86" w:rsidRDefault="00BA7C13">
      <w:pPr>
        <w:numPr>
          <w:ilvl w:val="2"/>
          <w:numId w:val="126"/>
        </w:numPr>
        <w:spacing w:after="168" w:line="251" w:lineRule="auto"/>
        <w:ind w:right="573" w:hanging="360"/>
        <w:jc w:val="both"/>
      </w:pPr>
      <w:r>
        <w:rPr>
          <w:rFonts w:ascii="Arial" w:eastAsia="Arial" w:hAnsi="Arial" w:cs="Arial"/>
          <w:i/>
        </w:rPr>
        <w:t>Un 21% declara haber consumido tranquilizantes alg</w:t>
      </w:r>
      <w:r>
        <w:rPr>
          <w:rFonts w:ascii="Arial" w:eastAsia="Arial" w:hAnsi="Arial" w:cs="Arial"/>
          <w:i/>
        </w:rPr>
        <w:t>una vez en su vida, pero sólo un 14% dice haberlos consumido los últimos doce meses, y un 9% a diario. El consumo es mayor en las mujeres que en los hombres.</w:t>
      </w:r>
    </w:p>
    <w:p w:rsidR="00E23B86" w:rsidRDefault="00BA7C13">
      <w:pPr>
        <w:numPr>
          <w:ilvl w:val="2"/>
          <w:numId w:val="126"/>
        </w:numPr>
        <w:spacing w:after="165" w:line="251" w:lineRule="auto"/>
        <w:ind w:right="573" w:hanging="360"/>
        <w:jc w:val="both"/>
      </w:pPr>
      <w:r>
        <w:rPr>
          <w:rFonts w:ascii="Arial" w:eastAsia="Arial" w:hAnsi="Arial" w:cs="Arial"/>
          <w:i/>
        </w:rPr>
        <w:t>Una de cada tres personas declara haber consumido derivados del cannabis, siendo los hombres los q</w:t>
      </w:r>
      <w:r>
        <w:rPr>
          <w:rFonts w:ascii="Arial" w:eastAsia="Arial" w:hAnsi="Arial" w:cs="Arial"/>
          <w:i/>
        </w:rPr>
        <w:t>ue más consumen respecto a las mujeres.</w:t>
      </w:r>
    </w:p>
    <w:p w:rsidR="00E23B86" w:rsidRDefault="00BA7C13">
      <w:pPr>
        <w:numPr>
          <w:ilvl w:val="2"/>
          <w:numId w:val="126"/>
        </w:numPr>
        <w:spacing w:after="166" w:line="251" w:lineRule="auto"/>
        <w:ind w:right="573" w:hanging="360"/>
        <w:jc w:val="both"/>
      </w:pPr>
      <w:r>
        <w:rPr>
          <w:rFonts w:ascii="Arial" w:eastAsia="Arial" w:hAnsi="Arial" w:cs="Arial"/>
          <w:i/>
        </w:rPr>
        <w:t>Un 3% declara haber consumido cocaína en lo últimos doce meses, y sólo un 1,8% dice haberlo hecho en los últimos 30 días. El consumo es ocasional y son los hombres lo que más la consumen.</w:t>
      </w:r>
    </w:p>
    <w:p w:rsidR="00E23B86" w:rsidRDefault="00BA7C13">
      <w:pPr>
        <w:numPr>
          <w:ilvl w:val="2"/>
          <w:numId w:val="126"/>
        </w:numPr>
        <w:spacing w:after="166" w:line="251" w:lineRule="auto"/>
        <w:ind w:right="573" w:hanging="360"/>
        <w:jc w:val="both"/>
      </w:pPr>
      <w:r>
        <w:rPr>
          <w:rFonts w:ascii="Arial" w:eastAsia="Arial" w:hAnsi="Arial" w:cs="Arial"/>
          <w:i/>
        </w:rPr>
        <w:t>Un 6% declara haber consumid</w:t>
      </w:r>
      <w:r>
        <w:rPr>
          <w:rFonts w:ascii="Arial" w:eastAsia="Arial" w:hAnsi="Arial" w:cs="Arial"/>
          <w:i/>
        </w:rPr>
        <w:t xml:space="preserve">o anfetaminas alguna vez en su vida, un 5% dice haber consumido alucinógenos y un 0,4% heroína. Son los hombres los que declaran consumir estas sustancias más, respecto a las mujeres. </w:t>
      </w:r>
    </w:p>
    <w:p w:rsidR="00E23B86" w:rsidRDefault="00BA7C13">
      <w:pPr>
        <w:numPr>
          <w:ilvl w:val="2"/>
          <w:numId w:val="126"/>
        </w:numPr>
        <w:spacing w:after="111" w:line="251" w:lineRule="auto"/>
        <w:ind w:right="573" w:hanging="360"/>
        <w:jc w:val="both"/>
      </w:pPr>
      <w:r>
        <w:rPr>
          <w:rFonts w:ascii="Arial" w:eastAsia="Arial" w:hAnsi="Arial" w:cs="Arial"/>
          <w:i/>
        </w:rPr>
        <w:t xml:space="preserve">Un 42% declara haber jugado dinero dentro de la red, un 26% dice jugar </w:t>
      </w:r>
      <w:r>
        <w:rPr>
          <w:rFonts w:ascii="Arial" w:eastAsia="Arial" w:hAnsi="Arial" w:cs="Arial"/>
          <w:i/>
        </w:rPr>
        <w:t xml:space="preserve">dinero un día al mes, mientras un 18% declara que juega fuera de internet entre 2-4 días al mes. Un 97% ha jugado sin dinero de forma online. En general son los hombres los que más juegan.  </w:t>
      </w:r>
    </w:p>
    <w:p w:rsidR="00E23B86" w:rsidRDefault="00BA7C13">
      <w:pPr>
        <w:numPr>
          <w:ilvl w:val="2"/>
          <w:numId w:val="126"/>
        </w:numPr>
        <w:spacing w:after="166" w:line="251" w:lineRule="auto"/>
        <w:ind w:right="573" w:hanging="360"/>
        <w:jc w:val="both"/>
      </w:pPr>
      <w:r>
        <w:rPr>
          <w:rFonts w:ascii="Arial" w:eastAsia="Arial" w:hAnsi="Arial" w:cs="Arial"/>
          <w:i/>
        </w:rPr>
        <w:t>La frecuencia de consumo de alcohol y tabaco en población menor e</w:t>
      </w:r>
      <w:r>
        <w:rPr>
          <w:rFonts w:ascii="Arial" w:eastAsia="Arial" w:hAnsi="Arial" w:cs="Arial"/>
          <w:i/>
        </w:rPr>
        <w:t>n los últimos treinta días, se sitúa en torno al 22%, y un 33% ha consumido tabaco o alcohol alguna vez en su vida.</w:t>
      </w:r>
    </w:p>
    <w:p w:rsidR="00E23B86" w:rsidRDefault="00BA7C13">
      <w:pPr>
        <w:numPr>
          <w:ilvl w:val="2"/>
          <w:numId w:val="126"/>
        </w:numPr>
        <w:spacing w:after="286" w:line="251" w:lineRule="auto"/>
        <w:ind w:right="573" w:hanging="360"/>
        <w:jc w:val="both"/>
      </w:pPr>
      <w:r>
        <w:rPr>
          <w:rFonts w:ascii="Arial" w:eastAsia="Arial" w:hAnsi="Arial" w:cs="Arial"/>
          <w:i/>
        </w:rPr>
        <w:t>Respecto al consumo de derivados del cannabis en población menor, un 27% dice haberlos probado alguna vez en su vida, y un 16% dice haberlas</w:t>
      </w:r>
      <w:r>
        <w:rPr>
          <w:rFonts w:ascii="Arial" w:eastAsia="Arial" w:hAnsi="Arial" w:cs="Arial"/>
          <w:i/>
        </w:rPr>
        <w:t xml:space="preserve"> consumido en los últimos treinta días.     </w:t>
      </w:r>
    </w:p>
    <w:p w:rsidR="00E23B86" w:rsidRDefault="00BA7C13">
      <w:pPr>
        <w:numPr>
          <w:ilvl w:val="1"/>
          <w:numId w:val="122"/>
        </w:numPr>
        <w:spacing w:after="248" w:line="251" w:lineRule="auto"/>
        <w:ind w:right="573" w:hanging="428"/>
        <w:jc w:val="both"/>
      </w:pPr>
      <w:r>
        <w:rPr>
          <w:rFonts w:ascii="Arial" w:eastAsia="Arial" w:hAnsi="Arial" w:cs="Arial"/>
          <w:i/>
        </w:rPr>
        <w:t xml:space="preserve">Descripción del contexto municipal   </w:t>
      </w:r>
    </w:p>
    <w:p w:rsidR="00E23B86" w:rsidRDefault="00BA7C13">
      <w:pPr>
        <w:spacing w:after="111" w:line="251" w:lineRule="auto"/>
        <w:ind w:left="355" w:right="573" w:hanging="10"/>
        <w:jc w:val="both"/>
      </w:pPr>
      <w:r>
        <w:rPr>
          <w:rFonts w:ascii="Arial" w:eastAsia="Arial" w:hAnsi="Arial" w:cs="Arial"/>
          <w:i/>
        </w:rPr>
        <w:t>Candelaria es uno de los municipios de Tenerife que está enclavado en su vertiente meridional en el ámbito del Sureste de la isla. Tiene una extensión superficial de 49,8 Km</w:t>
      </w:r>
      <w:r>
        <w:rPr>
          <w:rFonts w:ascii="Arial" w:eastAsia="Arial" w:hAnsi="Arial" w:cs="Arial"/>
          <w:i/>
        </w:rPr>
        <w:t xml:space="preserve">2 y se halla a unos 19 kilómetros de la capital (Santa Cruz de Tenerife). El desnivel orográfico que presenta todo su territorio hace que existan altitudes desde cero hasta 1.746 metros. </w:t>
      </w:r>
    </w:p>
    <w:p w:rsidR="00E23B86" w:rsidRDefault="00BA7C13">
      <w:pPr>
        <w:spacing w:after="111" w:line="251" w:lineRule="auto"/>
        <w:ind w:left="355" w:right="573" w:hanging="10"/>
        <w:jc w:val="both"/>
      </w:pPr>
      <w:r>
        <w:rPr>
          <w:rFonts w:ascii="Arial" w:eastAsia="Arial" w:hAnsi="Arial" w:cs="Arial"/>
          <w:i/>
        </w:rPr>
        <w:t>El municipio limita al Norte con El Rosario por Barranco Hondo, al S</w:t>
      </w:r>
      <w:r>
        <w:rPr>
          <w:rFonts w:ascii="Arial" w:eastAsia="Arial" w:hAnsi="Arial" w:cs="Arial"/>
          <w:i/>
        </w:rPr>
        <w:t xml:space="preserve">ur, con Arafo por el Barranco de Tapia, al Este con el Océano Atlántico y al Oeste con los montes que corresponden a La Matanza, La Victoria, El Sauzal y Santa Úrsula. El terreno está surcado con varios barrancos que conforman los barrios o caseríos.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968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2541" name="Group 54254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038" name="Rectangle 3903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9039" name="Rectangle 3903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231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2541" style="width:12.7031pt;height:280.35pt;position:absolute;mso-position-horizontal-relative:page;mso-position-horizontal:absolute;margin-left:681.958pt;mso-position-vertical-relative:page;margin-top:531.65pt;" coordsize="1613,35604">
                <v:rect id="Rectangle 3903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03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231 de 391 </w:t>
                        </w:r>
                      </w:p>
                    </w:txbxContent>
                  </v:textbox>
                </v:rect>
                <w10:wrap type="square"/>
              </v:group>
            </w:pict>
          </mc:Fallback>
        </mc:AlternateContent>
      </w:r>
      <w:r>
        <w:rPr>
          <w:rFonts w:ascii="Arial" w:eastAsia="Arial" w:hAnsi="Arial" w:cs="Arial"/>
          <w:i/>
        </w:rPr>
        <w:t>En cuanto a la actividad económica del municipio, siempre se ha basado en la ganadería y la agricultura. Contra la opinión común que se piensa que Candelaria es un pueblo de pescadores/as, la pesca en la economía local ya no tiene la importancia que tuvo e</w:t>
      </w:r>
      <w:r>
        <w:rPr>
          <w:rFonts w:ascii="Arial" w:eastAsia="Arial" w:hAnsi="Arial" w:cs="Arial"/>
          <w:i/>
        </w:rPr>
        <w:t>n las décadas anteriores y hoy apenas tiene significado en la economía municipal. El desarrollo agrícola y ganadero, limitado a los barrios altos, Igueste, Barranco Hondo, Araya, Cuevecitas y Malpaís, siempre se ha visto favorecido por la abundancia de agu</w:t>
      </w:r>
      <w:r>
        <w:rPr>
          <w:rFonts w:ascii="Arial" w:eastAsia="Arial" w:hAnsi="Arial" w:cs="Arial"/>
          <w:i/>
        </w:rPr>
        <w:t xml:space="preserve">as subterráneas, alumbradas por medio de pozos o galerías. </w:t>
      </w:r>
    </w:p>
    <w:p w:rsidR="00E23B86" w:rsidRDefault="00BA7C13">
      <w:pPr>
        <w:spacing w:after="111" w:line="251" w:lineRule="auto"/>
        <w:ind w:left="355" w:right="573" w:hanging="10"/>
        <w:jc w:val="both"/>
      </w:pPr>
      <w:r>
        <w:rPr>
          <w:rFonts w:ascii="Arial" w:eastAsia="Arial" w:hAnsi="Arial" w:cs="Arial"/>
          <w:i/>
        </w:rPr>
        <w:t>Los otros municipios del valle agrupan su núcleo poblacional entorno a un casco. Candelaria cuenta con varias entidades tan significativas como el centro por su población y recursos. Entre ellos s</w:t>
      </w:r>
      <w:r>
        <w:rPr>
          <w:rFonts w:ascii="Arial" w:eastAsia="Arial" w:hAnsi="Arial" w:cs="Arial"/>
          <w:i/>
        </w:rPr>
        <w:t>e encuentra Candelaria casco urbano, Las Caletillas, Punta Larga, La Viuda, El Ramonal, Barranco Hondo, Igueste de Candelaria, Araya, Cuevecitas, Malpaís y La Viuda.</w:t>
      </w:r>
    </w:p>
    <w:p w:rsidR="00E23B86" w:rsidRDefault="00BA7C13">
      <w:pPr>
        <w:spacing w:after="111" w:line="251" w:lineRule="auto"/>
        <w:ind w:left="355" w:right="573" w:hanging="10"/>
        <w:jc w:val="both"/>
      </w:pPr>
      <w:r>
        <w:rPr>
          <w:rFonts w:ascii="Arial" w:eastAsia="Arial" w:hAnsi="Arial" w:cs="Arial"/>
          <w:i/>
        </w:rPr>
        <w:t>Los recursos disponibles en el municipio dependen del tipo de Administración de la que est</w:t>
      </w:r>
      <w:r>
        <w:rPr>
          <w:rFonts w:ascii="Arial" w:eastAsia="Arial" w:hAnsi="Arial" w:cs="Arial"/>
          <w:i/>
        </w:rPr>
        <w:t>emos tratando. Así, desde la propia Administración municipal, se puede contar con las propias Concejalías del Iltre. Ayuntamiento de Candelaria, y en concreto o con carácter prioritario las de Servicios Sociales, Igualdad, Sanidad, Juventud, Deportes, Part</w:t>
      </w:r>
      <w:r>
        <w:rPr>
          <w:rFonts w:ascii="Arial" w:eastAsia="Arial" w:hAnsi="Arial" w:cs="Arial"/>
          <w:i/>
        </w:rPr>
        <w:t xml:space="preserve">icipación Ciudadana y Protección Civil, además de las Fuerzas de Seguridad Local. </w:t>
      </w:r>
    </w:p>
    <w:p w:rsidR="00E23B86" w:rsidRDefault="00BA7C13">
      <w:pPr>
        <w:spacing w:after="111" w:line="251" w:lineRule="auto"/>
        <w:ind w:left="355" w:right="573" w:hanging="10"/>
        <w:jc w:val="both"/>
      </w:pPr>
      <w:r>
        <w:rPr>
          <w:rFonts w:ascii="Arial" w:eastAsia="Arial" w:hAnsi="Arial" w:cs="Arial"/>
          <w:i/>
        </w:rPr>
        <w:t>En cuanto a los recursos educativos, existen cinco Centros de Enseñanza Infantil y Primaria del municipio de Candelaria: C.E.I.P. Igueste, C.E.I.P. Araya, C.E.I.P. Carmen Ál</w:t>
      </w:r>
      <w:r>
        <w:rPr>
          <w:rFonts w:ascii="Arial" w:eastAsia="Arial" w:hAnsi="Arial" w:cs="Arial"/>
          <w:i/>
        </w:rPr>
        <w:t xml:space="preserve">varez de la Rosa, C.E.I.P. Punta Larga y C.E.I.P. Príncipe Felipe”. Además, existen dos centros de enseñanza de secundaria; I.E.S. Punta Larga e I.E.S. Santa Ana, además de la Escuela de Adultos del municipio. </w:t>
      </w:r>
    </w:p>
    <w:p w:rsidR="00E23B86" w:rsidRDefault="00BA7C13">
      <w:pPr>
        <w:spacing w:after="148" w:line="251" w:lineRule="auto"/>
        <w:ind w:left="355" w:right="573" w:hanging="10"/>
        <w:jc w:val="both"/>
      </w:pPr>
      <w:r>
        <w:rPr>
          <w:rFonts w:ascii="Arial" w:eastAsia="Arial" w:hAnsi="Arial" w:cs="Arial"/>
          <w:i/>
        </w:rPr>
        <w:t>En lo relativo a recursos sanitarios se encue</w:t>
      </w:r>
      <w:r>
        <w:rPr>
          <w:rFonts w:ascii="Arial" w:eastAsia="Arial" w:hAnsi="Arial" w:cs="Arial"/>
          <w:i/>
        </w:rPr>
        <w:t>ntran en Candelaria varias farmacias, un Centro de Salud en el casco del municipio de Candelaria y los Consultorios Médicos Periféricos de Barranco Hondo e Igueste. Aunque físicamente no estén en Candelaria, es necesario tener en cuenta que existen recurso</w:t>
      </w:r>
      <w:r>
        <w:rPr>
          <w:rFonts w:ascii="Arial" w:eastAsia="Arial" w:hAnsi="Arial" w:cs="Arial"/>
          <w:i/>
        </w:rPr>
        <w:t>s externos que atienden a personas del municipio como las Unidades de Atención a las Drogodependencias y recursos en materia de desintoxicación/deshabituación y/o reinserción social en general. Por último, es necesario tener en cuenta otros agentes sociale</w:t>
      </w:r>
      <w:r>
        <w:rPr>
          <w:rFonts w:ascii="Arial" w:eastAsia="Arial" w:hAnsi="Arial" w:cs="Arial"/>
          <w:i/>
        </w:rPr>
        <w:t>s como el Servicio Insular de Atención Integral a la Mujer y la Radio municipal, además de las diferentes asociaciones culturales/vecinales/deportivas y las Fuerzas y Cuerpos de Seguridad.</w:t>
      </w:r>
    </w:p>
    <w:p w:rsidR="00E23B86" w:rsidRDefault="00BA7C13">
      <w:pPr>
        <w:spacing w:after="111" w:line="251" w:lineRule="auto"/>
        <w:ind w:left="355" w:right="573" w:hanging="10"/>
        <w:jc w:val="both"/>
      </w:pPr>
      <w:r>
        <w:rPr>
          <w:rFonts w:ascii="Arial" w:eastAsia="Arial" w:hAnsi="Arial" w:cs="Arial"/>
          <w:i/>
        </w:rPr>
        <w:t>2.3.1. Contexto demográfico y laboral</w:t>
      </w:r>
    </w:p>
    <w:p w:rsidR="00E23B86" w:rsidRDefault="00BA7C13">
      <w:pPr>
        <w:spacing w:after="483" w:line="251" w:lineRule="auto"/>
        <w:ind w:left="355" w:right="573" w:hanging="10"/>
        <w:jc w:val="both"/>
      </w:pPr>
      <w:r>
        <w:rPr>
          <w:rFonts w:ascii="Arial" w:eastAsia="Arial" w:hAnsi="Arial" w:cs="Arial"/>
          <w:i/>
        </w:rPr>
        <w:t>En lo referente a la evolució</w:t>
      </w:r>
      <w:r>
        <w:rPr>
          <w:rFonts w:ascii="Arial" w:eastAsia="Arial" w:hAnsi="Arial" w:cs="Arial"/>
          <w:i/>
        </w:rPr>
        <w:t>n de la población, en el periodo analizado (2011-2017), en general, la población ha crecido en torno a dos mil personas. Sin embargo, han existido periodos (2013 y 2015), donde la población decreció, si bien en el resto de las anualidades creció de forma g</w:t>
      </w:r>
      <w:r>
        <w:rPr>
          <w:rFonts w:ascii="Arial" w:eastAsia="Arial" w:hAnsi="Arial" w:cs="Arial"/>
          <w:i/>
        </w:rPr>
        <w:t xml:space="preserve">eneral.  El peso de la población de Candelaria con respecto a la población total de Tenerife, de los años 2010 al 2017, ha ganado peso respecto al total insular. Así, se pasó de un 2,8% en 2010 a un 3% de la población insular en 2017. </w:t>
      </w:r>
    </w:p>
    <w:p w:rsidR="00E23B86" w:rsidRDefault="00BA7C13">
      <w:pPr>
        <w:spacing w:after="111" w:line="251" w:lineRule="auto"/>
        <w:ind w:left="355" w:right="573" w:hanging="10"/>
        <w:jc w:val="both"/>
      </w:pPr>
      <w:r>
        <w:rPr>
          <w:rFonts w:ascii="Arial" w:eastAsia="Arial" w:hAnsi="Arial" w:cs="Arial"/>
          <w:i/>
        </w:rPr>
        <w:t>Según el sexo de las</w:t>
      </w:r>
      <w:r>
        <w:rPr>
          <w:rFonts w:ascii="Arial" w:eastAsia="Arial" w:hAnsi="Arial" w:cs="Arial"/>
          <w:i/>
        </w:rPr>
        <w:t xml:space="preserve"> personas residentes en Candelaria, en general en todo el periodo apenas hay variaciones entre hombres y mujeres, siendo el número de mujeres superior al de hombres, si bien las diferencias son mínimas (51% a 49%).</w:t>
      </w:r>
    </w:p>
    <w:p w:rsidR="00E23B86" w:rsidRDefault="00BA7C13">
      <w:pPr>
        <w:spacing w:after="111" w:line="251" w:lineRule="auto"/>
        <w:ind w:left="355" w:right="573" w:hanging="10"/>
        <w:jc w:val="both"/>
      </w:pPr>
      <w:r>
        <w:rPr>
          <w:rFonts w:ascii="Arial" w:eastAsia="Arial" w:hAnsi="Arial" w:cs="Arial"/>
          <w:i/>
        </w:rPr>
        <w:t>Para determinar la evolución de la poblac</w:t>
      </w:r>
      <w:r>
        <w:rPr>
          <w:rFonts w:ascii="Arial" w:eastAsia="Arial" w:hAnsi="Arial" w:cs="Arial"/>
          <w:i/>
        </w:rPr>
        <w:t>ión de Candelaria según la edad, se han obtenido los índices de juventud y envejecimiento del municipio. Se destaca que en el periodo estudiado (2011-2017), el índice de juventud descendió de un 15,67% a un 15,16%, mientras que el de envejecimiento subió d</w:t>
      </w:r>
      <w:r>
        <w:rPr>
          <w:rFonts w:ascii="Arial" w:eastAsia="Arial" w:hAnsi="Arial" w:cs="Arial"/>
          <w:i/>
        </w:rPr>
        <w:t>e 12,18% a 14,72%. Todo ello indica que se está produciendo un progresivo envejecimiento de la población.</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978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3123" name="Group 54312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099" name="Rectangle 3909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9100" name="Rectangle 3910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232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3123" style="width:12.7031pt;height:280.35pt;position:absolute;mso-position-horizontal-relative:page;mso-position-horizontal:absolute;margin-left:681.958pt;mso-position-vertical-relative:page;margin-top:531.65pt;" coordsize="1613,35604">
                <v:rect id="Rectangle 3909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10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232 de 391 </w:t>
                        </w:r>
                      </w:p>
                    </w:txbxContent>
                  </v:textbox>
                </v:rect>
                <w10:wrap type="square"/>
              </v:group>
            </w:pict>
          </mc:Fallback>
        </mc:AlternateContent>
      </w:r>
      <w:r>
        <w:rPr>
          <w:rFonts w:ascii="Arial" w:eastAsia="Arial" w:hAnsi="Arial" w:cs="Arial"/>
          <w:i/>
        </w:rPr>
        <w:t>Respecto al número de desempleados/as, de 2011 a 2018, en general ha mejorado la situación progresivamente. Así, se inició el periodo con más de 2.500 desemplead</w:t>
      </w:r>
      <w:r>
        <w:rPr>
          <w:rFonts w:ascii="Arial" w:eastAsia="Arial" w:hAnsi="Arial" w:cs="Arial"/>
          <w:i/>
        </w:rPr>
        <w:t>os/as, para aumentar en el periodo más duro de la crisis económica (2012 y 2013), mientras que a partir de esa fecha ha ido progresivamente descendiendo. Analizando el desempleo por sexo, se observa que, si bien partieron de un número de desempleados/as si</w:t>
      </w:r>
      <w:r>
        <w:rPr>
          <w:rFonts w:ascii="Arial" w:eastAsia="Arial" w:hAnsi="Arial" w:cs="Arial"/>
          <w:i/>
        </w:rPr>
        <w:t>milares en 2011, poco a poco con el transcurrir de los años la brecha de género se ha ampliado. Así, en el momento actual es donde más diferencia hay entre el desempleo de hombres y mujeres, perjudicando más a las mujeres.</w:t>
      </w:r>
    </w:p>
    <w:p w:rsidR="00E23B86" w:rsidRDefault="00BA7C13">
      <w:pPr>
        <w:spacing w:after="111" w:line="251" w:lineRule="auto"/>
        <w:ind w:left="355" w:right="573" w:hanging="10"/>
        <w:jc w:val="both"/>
      </w:pPr>
      <w:r>
        <w:rPr>
          <w:rFonts w:ascii="Arial" w:eastAsia="Arial" w:hAnsi="Arial" w:cs="Arial"/>
          <w:i/>
        </w:rPr>
        <w:t>Por último, respecto al desempleo</w:t>
      </w:r>
      <w:r>
        <w:rPr>
          <w:rFonts w:ascii="Arial" w:eastAsia="Arial" w:hAnsi="Arial" w:cs="Arial"/>
          <w:i/>
        </w:rPr>
        <w:t xml:space="preserve"> según grandes grupos de edad, en general el número de desempleados/as mayores de 25 años ha ido disminuyendo, mientras que el/la de menores de 25 años se han mantenido estable. Aun así, se aprecia que afecta más a los/as mayores de 25 que a los/as menores</w:t>
      </w:r>
      <w:r>
        <w:rPr>
          <w:rFonts w:ascii="Arial" w:eastAsia="Arial" w:hAnsi="Arial" w:cs="Arial"/>
          <w:i/>
        </w:rPr>
        <w:t xml:space="preserve"> de dicha edad.</w:t>
      </w:r>
    </w:p>
    <w:p w:rsidR="00E23B86" w:rsidRDefault="00BA7C13">
      <w:pPr>
        <w:spacing w:after="153" w:line="251" w:lineRule="auto"/>
        <w:ind w:left="355" w:right="573" w:hanging="10"/>
        <w:jc w:val="both"/>
      </w:pPr>
      <w:r>
        <w:rPr>
          <w:rFonts w:ascii="Arial" w:eastAsia="Arial" w:hAnsi="Arial" w:cs="Arial"/>
          <w:i/>
        </w:rPr>
        <w:t>2.3.2. Análisis de los datos de atención a las drogodependencias</w:t>
      </w:r>
    </w:p>
    <w:p w:rsidR="00E23B86" w:rsidRDefault="00BA7C13">
      <w:pPr>
        <w:spacing w:after="111" w:line="251" w:lineRule="auto"/>
        <w:ind w:left="355" w:right="573" w:hanging="10"/>
        <w:jc w:val="both"/>
      </w:pPr>
      <w:r>
        <w:rPr>
          <w:rFonts w:ascii="Arial" w:eastAsia="Arial" w:hAnsi="Arial" w:cs="Arial"/>
          <w:i/>
        </w:rPr>
        <w:t>Datos de la Unidad de Prevención Municipal</w:t>
      </w:r>
    </w:p>
    <w:p w:rsidR="00E23B86" w:rsidRDefault="00BA7C13">
      <w:pPr>
        <w:spacing w:after="111" w:line="251" w:lineRule="auto"/>
        <w:ind w:left="355" w:right="573" w:hanging="10"/>
        <w:jc w:val="both"/>
      </w:pPr>
      <w:r>
        <w:rPr>
          <w:rFonts w:ascii="Arial" w:eastAsia="Arial" w:hAnsi="Arial" w:cs="Arial"/>
          <w:i/>
        </w:rPr>
        <w:t xml:space="preserve">El año de mayores atenciones fue en 2013, a partir del cual se fue reduciendo hasta el 2017, donde aumentó mínimamente. </w:t>
      </w:r>
    </w:p>
    <w:p w:rsidR="00E23B86" w:rsidRDefault="00BA7C13">
      <w:pPr>
        <w:spacing w:after="111" w:line="251" w:lineRule="auto"/>
        <w:ind w:left="355" w:right="573" w:hanging="10"/>
        <w:jc w:val="both"/>
      </w:pPr>
      <w:r>
        <w:rPr>
          <w:rFonts w:ascii="Arial" w:eastAsia="Arial" w:hAnsi="Arial" w:cs="Arial"/>
          <w:i/>
        </w:rPr>
        <w:t>Según el ti</w:t>
      </w:r>
      <w:r>
        <w:rPr>
          <w:rFonts w:ascii="Arial" w:eastAsia="Arial" w:hAnsi="Arial" w:cs="Arial"/>
          <w:i/>
        </w:rPr>
        <w:t>po de droga, en general en 2013 la mayor atención fue por el cannabis, mientras que poco a poco el perfil que se impone de 2015 en adelante es el de policonsumo. También cabe destacar que en 2017 se detectaron casos de atención a ludopatías.</w:t>
      </w:r>
    </w:p>
    <w:p w:rsidR="00E23B86" w:rsidRDefault="00BA7C13">
      <w:pPr>
        <w:spacing w:after="111" w:line="251" w:lineRule="auto"/>
        <w:ind w:left="355" w:right="573" w:hanging="10"/>
        <w:jc w:val="both"/>
      </w:pPr>
      <w:r>
        <w:rPr>
          <w:rFonts w:ascii="Arial" w:eastAsia="Arial" w:hAnsi="Arial" w:cs="Arial"/>
          <w:i/>
        </w:rPr>
        <w:t>Según el sexo,</w:t>
      </w:r>
      <w:r>
        <w:rPr>
          <w:rFonts w:ascii="Arial" w:eastAsia="Arial" w:hAnsi="Arial" w:cs="Arial"/>
          <w:i/>
        </w:rPr>
        <w:t xml:space="preserve"> la gran mayoría de las personas atendidas son hombres en todo el periodo analizado.</w:t>
      </w:r>
    </w:p>
    <w:p w:rsidR="00E23B86" w:rsidRDefault="00BA7C13">
      <w:pPr>
        <w:spacing w:after="111" w:line="251" w:lineRule="auto"/>
        <w:ind w:left="355" w:right="573" w:hanging="10"/>
        <w:jc w:val="both"/>
      </w:pPr>
      <w:r>
        <w:rPr>
          <w:rFonts w:ascii="Arial" w:eastAsia="Arial" w:hAnsi="Arial" w:cs="Arial"/>
          <w:i/>
        </w:rPr>
        <w:t>Respecto a la edad, en 2013 la mayor parte son personas de 18 a 30 años, mientras que, en 2014, 2015 y 2017 la mayor parte son de entre 31 y 40 años, sobresaliendo la gran</w:t>
      </w:r>
      <w:r>
        <w:rPr>
          <w:rFonts w:ascii="Arial" w:eastAsia="Arial" w:hAnsi="Arial" w:cs="Arial"/>
          <w:i/>
        </w:rPr>
        <w:t xml:space="preserve"> diferencia por edad en ese último año, donde la gran mayoría son personas de 31 a 40 años, muy por encima del resto de intervalos de edad.</w:t>
      </w:r>
    </w:p>
    <w:p w:rsidR="00E23B86" w:rsidRDefault="00BA7C13">
      <w:pPr>
        <w:spacing w:after="111" w:line="251" w:lineRule="auto"/>
        <w:ind w:left="355" w:right="573" w:hanging="10"/>
        <w:jc w:val="both"/>
      </w:pPr>
      <w:r>
        <w:rPr>
          <w:rFonts w:ascii="Arial" w:eastAsia="Arial" w:hAnsi="Arial" w:cs="Arial"/>
          <w:i/>
        </w:rPr>
        <w:t>Datos de los Recursos de Atención a las Drogodependencias</w:t>
      </w:r>
    </w:p>
    <w:p w:rsidR="00E23B86" w:rsidRDefault="00BA7C13">
      <w:pPr>
        <w:spacing w:after="111" w:line="251" w:lineRule="auto"/>
        <w:ind w:left="355" w:right="573" w:hanging="10"/>
        <w:jc w:val="both"/>
      </w:pPr>
      <w:r>
        <w:rPr>
          <w:rFonts w:ascii="Arial" w:eastAsia="Arial" w:hAnsi="Arial" w:cs="Arial"/>
          <w:i/>
        </w:rPr>
        <w:t>En este apartado se muestran los datos ofrecidos por las d</w:t>
      </w:r>
      <w:r>
        <w:rPr>
          <w:rFonts w:ascii="Arial" w:eastAsia="Arial" w:hAnsi="Arial" w:cs="Arial"/>
          <w:i/>
        </w:rPr>
        <w:t>iferentes entidades autorizadas al tratamiento de población con algún tipo de adicción a sustancias como la Asociación San Miguel, Proyecto Hombre y Proyecto Drago. Es necesario tener en cuenta, que se ha tratado de homogeneizar las medidas, pero no ha sid</w:t>
      </w:r>
      <w:r>
        <w:rPr>
          <w:rFonts w:ascii="Arial" w:eastAsia="Arial" w:hAnsi="Arial" w:cs="Arial"/>
          <w:i/>
        </w:rPr>
        <w:t>o posible en muchos casos, por lo que se presentan datos comparables entre sí (por ello, a veces se suprimen años, ya que no se sabe el número total al estar el porcentaje y no el número absoluto).</w:t>
      </w:r>
    </w:p>
    <w:p w:rsidR="00E23B86" w:rsidRDefault="00BA7C13">
      <w:pPr>
        <w:spacing w:after="111" w:line="251" w:lineRule="auto"/>
        <w:ind w:left="355" w:right="573" w:hanging="10"/>
        <w:jc w:val="both"/>
      </w:pPr>
      <w:r>
        <w:rPr>
          <w:rFonts w:ascii="Arial" w:eastAsia="Arial" w:hAnsi="Arial" w:cs="Arial"/>
          <w:i/>
        </w:rPr>
        <w:t>Respecto al periodo analizado, el año en el que más se ate</w:t>
      </w:r>
      <w:r>
        <w:rPr>
          <w:rFonts w:ascii="Arial" w:eastAsia="Arial" w:hAnsi="Arial" w:cs="Arial"/>
          <w:i/>
        </w:rPr>
        <w:t>ndió a personas con problemáticas de adicciones a drogas de Candelaria fue en 2014, si bien disminuyó en 2015 y aumentó en 2016 y 2017. La entidad que más personas atendió fue San Miguel en la mayor parte de las anualidades, seguida por Proyecto Hombre y P</w:t>
      </w:r>
      <w:r>
        <w:rPr>
          <w:rFonts w:ascii="Arial" w:eastAsia="Arial" w:hAnsi="Arial" w:cs="Arial"/>
          <w:i/>
        </w:rPr>
        <w:t xml:space="preserve">royecto Drago. </w:t>
      </w:r>
    </w:p>
    <w:p w:rsidR="00E23B86" w:rsidRDefault="00BA7C13">
      <w:pPr>
        <w:spacing w:after="111" w:line="251" w:lineRule="auto"/>
        <w:ind w:left="355" w:right="573" w:hanging="10"/>
        <w:jc w:val="both"/>
      </w:pPr>
      <w:r>
        <w:rPr>
          <w:rFonts w:ascii="Arial" w:eastAsia="Arial" w:hAnsi="Arial" w:cs="Arial"/>
          <w:i/>
        </w:rPr>
        <w:t>Respecto al perfil general de la persona usuaria de la UAD San Miguel, la sustancia consumida por la mayor parte de los/as atendidos/as en 2016 y 2017 fue por heroína, seguida del alcohol, cannabis y cocaína. Además, la mayor parte son homb</w:t>
      </w:r>
      <w:r>
        <w:rPr>
          <w:rFonts w:ascii="Arial" w:eastAsia="Arial" w:hAnsi="Arial" w:cs="Arial"/>
          <w:i/>
        </w:rPr>
        <w:t>res y, por edades, el grupo mayoritario en 2016 y 2017 es de 31 a 40 años, seguido de los de 41 a 50 y 51 a 60.</w:t>
      </w:r>
    </w:p>
    <w:p w:rsidR="00E23B86" w:rsidRDefault="00BA7C13">
      <w:pPr>
        <w:spacing w:after="111" w:line="251" w:lineRule="auto"/>
        <w:ind w:left="355" w:right="573" w:hanging="10"/>
        <w:jc w:val="both"/>
      </w:pPr>
      <w:r>
        <w:rPr>
          <w:rFonts w:ascii="Arial" w:eastAsia="Arial" w:hAnsi="Arial" w:cs="Arial"/>
          <w:i/>
        </w:rPr>
        <w:t>En lo referido a Proyecto Hombre, la mayor parte de las personas que atienden son por cocaína y cannabis y, según sexo, la mayor parte son hombr</w:t>
      </w:r>
      <w:r>
        <w:rPr>
          <w:rFonts w:ascii="Arial" w:eastAsia="Arial" w:hAnsi="Arial" w:cs="Arial"/>
          <w:i/>
        </w:rPr>
        <w:t>es. Por otro lado, según edad, la mayor parte son personas de 51 a 60 años.</w:t>
      </w:r>
    </w:p>
    <w:p w:rsidR="00E23B86" w:rsidRDefault="00BA7C13">
      <w:pPr>
        <w:spacing w:after="111" w:line="251" w:lineRule="auto"/>
        <w:ind w:left="355" w:right="573" w:hanging="10"/>
        <w:jc w:val="both"/>
      </w:pPr>
      <w:r>
        <w:rPr>
          <w:rFonts w:ascii="Arial" w:eastAsia="Arial" w:hAnsi="Arial" w:cs="Arial"/>
          <w:i/>
        </w:rPr>
        <w:t>Respecto a la atención del Proyecto Drago, la totalidad de personas atendidas son por adicción al alcohol, siendo fundamentalmente hombres en 2016 y 2017 y con más de 51 años.</w:t>
      </w:r>
    </w:p>
    <w:p w:rsidR="00E23B86" w:rsidRDefault="00BA7C13">
      <w:pPr>
        <w:spacing w:after="8" w:line="251" w:lineRule="auto"/>
        <w:ind w:left="355" w:right="573" w:hanging="10"/>
        <w:jc w:val="both"/>
      </w:pPr>
      <w:r>
        <w:rPr>
          <w:noProof/>
        </w:rPr>
        <mc:AlternateContent>
          <mc:Choice Requires="wpg">
            <w:drawing>
              <wp:anchor distT="0" distB="0" distL="114300" distR="114300" simplePos="0" relativeHeight="2518988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3319" name="Group 54331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165" name="Rectangle 3916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w:t>
                              </w:r>
                              <w:r>
                                <w:rPr>
                                  <w:rFonts w:ascii="Arial" w:eastAsia="Arial" w:hAnsi="Arial" w:cs="Arial"/>
                                  <w:sz w:val="12"/>
                                </w:rPr>
                                <w:t xml:space="preserve">ód. Validación: 5AJ7C4GAAK3P9GMGZC2N3FZWC | Verificación: https://candelaria.sedelectronica.es/ </w:t>
                              </w:r>
                            </w:p>
                          </w:txbxContent>
                        </wps:txbx>
                        <wps:bodyPr horzOverflow="overflow" vert="horz" lIns="0" tIns="0" rIns="0" bIns="0" rtlCol="0">
                          <a:noAutofit/>
                        </wps:bodyPr>
                      </wps:wsp>
                      <wps:wsp>
                        <wps:cNvPr id="39166" name="Rectangle 3916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233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3319" style="width:12.7031pt;height:280.35pt;position:absolute;mso-position-horizontal-relative:page;mso-position-horizontal:absolute;margin-left:681.958pt;mso-position-vertical-relative:page;margin-top:531.65pt;" coordsize="1613,35604">
                <v:rect id="Rectangle 3916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16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233 de 391 </w:t>
                        </w:r>
                      </w:p>
                    </w:txbxContent>
                  </v:textbox>
                </v:rect>
                <w10:wrap type="square"/>
              </v:group>
            </w:pict>
          </mc:Fallback>
        </mc:AlternateContent>
      </w:r>
      <w:r>
        <w:rPr>
          <w:rFonts w:ascii="Arial" w:eastAsia="Arial" w:hAnsi="Arial" w:cs="Arial"/>
          <w:i/>
        </w:rPr>
        <w:t>Datos sobre Atención Farmacéutica</w:t>
      </w:r>
    </w:p>
    <w:p w:rsidR="00E23B86" w:rsidRDefault="00BA7C13">
      <w:pPr>
        <w:spacing w:after="243" w:line="251" w:lineRule="auto"/>
        <w:ind w:left="355" w:right="573" w:hanging="10"/>
        <w:jc w:val="both"/>
      </w:pPr>
      <w:r>
        <w:rPr>
          <w:rFonts w:ascii="Arial" w:eastAsia="Arial" w:hAnsi="Arial" w:cs="Arial"/>
          <w:i/>
        </w:rPr>
        <w:t>Respecto a los datos de atención farmacéutica en Candelaria, exceptuando el 2012, en general las atenciones por drogodependencias fueron entre 11 y 15 personas por año.</w:t>
      </w:r>
    </w:p>
    <w:p w:rsidR="00E23B86" w:rsidRDefault="00BA7C13">
      <w:pPr>
        <w:spacing w:after="8" w:line="251" w:lineRule="auto"/>
        <w:ind w:left="355" w:right="573" w:hanging="10"/>
        <w:jc w:val="both"/>
      </w:pPr>
      <w:r>
        <w:rPr>
          <w:rFonts w:ascii="Arial" w:eastAsia="Arial" w:hAnsi="Arial" w:cs="Arial"/>
          <w:i/>
        </w:rPr>
        <w:t xml:space="preserve">Datos sobre seguridad ciudadana  </w:t>
      </w:r>
    </w:p>
    <w:p w:rsidR="00E23B86" w:rsidRDefault="00BA7C13">
      <w:pPr>
        <w:spacing w:after="111" w:line="251" w:lineRule="auto"/>
        <w:ind w:left="355" w:right="573" w:hanging="10"/>
        <w:jc w:val="both"/>
      </w:pPr>
      <w:r>
        <w:rPr>
          <w:rFonts w:ascii="Arial" w:eastAsia="Arial" w:hAnsi="Arial" w:cs="Arial"/>
          <w:i/>
        </w:rPr>
        <w:t>La mayor parte de las sanciones interpuestas por la G</w:t>
      </w:r>
      <w:r>
        <w:rPr>
          <w:rFonts w:ascii="Arial" w:eastAsia="Arial" w:hAnsi="Arial" w:cs="Arial"/>
          <w:i/>
        </w:rPr>
        <w:t>uardia Civil son a hombres en todas las anualidades, excepto en 2014. Según la edad, la mayor parte de las sanciones fueron a personas de entre 31 y 40 años. Llama la atención la progresiva disminución de las sanciones a las personas de 18 a 30 años, que n</w:t>
      </w:r>
      <w:r>
        <w:rPr>
          <w:rFonts w:ascii="Arial" w:eastAsia="Arial" w:hAnsi="Arial" w:cs="Arial"/>
          <w:i/>
        </w:rPr>
        <w:t xml:space="preserve">o hace más que disminuir de 2013 en adelante. Respecto a la sustancia por la cual la Guardia Civil sanciona, la mayor parte es cocaína, seguida del cannabis, siendo las mayores incautaciones, las de hachís. </w:t>
      </w:r>
    </w:p>
    <w:p w:rsidR="00E23B86" w:rsidRDefault="00BA7C13">
      <w:pPr>
        <w:spacing w:after="111" w:line="251" w:lineRule="auto"/>
        <w:ind w:left="355" w:right="573" w:hanging="10"/>
        <w:jc w:val="both"/>
      </w:pPr>
      <w:r>
        <w:rPr>
          <w:rFonts w:ascii="Arial" w:eastAsia="Arial" w:hAnsi="Arial" w:cs="Arial"/>
          <w:i/>
        </w:rPr>
        <w:t>En cuanto al número de actas realizadas por la P</w:t>
      </w:r>
      <w:r>
        <w:rPr>
          <w:rFonts w:ascii="Arial" w:eastAsia="Arial" w:hAnsi="Arial" w:cs="Arial"/>
          <w:i/>
        </w:rPr>
        <w:t>olicía Local, se observa que en el año 2016 y 2017 han disminuido las sanciones. Al igual que ocurría con la Guardia Civil, la mayor parte son hombres y las mayores incautaciones son por cannabis. Respecto a la edad, las sanciones a menores de edad han aum</w:t>
      </w:r>
      <w:r>
        <w:rPr>
          <w:rFonts w:ascii="Arial" w:eastAsia="Arial" w:hAnsi="Arial" w:cs="Arial"/>
          <w:i/>
        </w:rPr>
        <w:t>entado y las realizadas a mayores de edad han disminuido.</w:t>
      </w:r>
    </w:p>
    <w:p w:rsidR="00E23B86" w:rsidRDefault="00BA7C13">
      <w:pPr>
        <w:spacing w:after="111" w:line="251" w:lineRule="auto"/>
        <w:ind w:left="355" w:right="573" w:hanging="10"/>
        <w:jc w:val="both"/>
      </w:pPr>
      <w:r>
        <w:rPr>
          <w:rFonts w:ascii="Arial" w:eastAsia="Arial" w:hAnsi="Arial" w:cs="Arial"/>
          <w:i/>
        </w:rPr>
        <w:t>Por último, los datos de la Policía Canaria, correspondientes al año 2016, indican que la mayoría de las sanciones son interpuestas a hombres mayores de edad, principalmente por cannabis.</w:t>
      </w:r>
    </w:p>
    <w:p w:rsidR="00E23B86" w:rsidRDefault="00BA7C13">
      <w:pPr>
        <w:spacing w:after="148" w:line="251" w:lineRule="auto"/>
        <w:ind w:left="355" w:right="573" w:hanging="10"/>
        <w:jc w:val="both"/>
      </w:pPr>
      <w:r>
        <w:rPr>
          <w:rFonts w:ascii="Arial" w:eastAsia="Arial" w:hAnsi="Arial" w:cs="Arial"/>
          <w:i/>
        </w:rPr>
        <w:t>Datos sobr</w:t>
      </w:r>
      <w:r>
        <w:rPr>
          <w:rFonts w:ascii="Arial" w:eastAsia="Arial" w:hAnsi="Arial" w:cs="Arial"/>
          <w:i/>
        </w:rPr>
        <w:t xml:space="preserve">e hábitos saludables de la población escolarizada en el municipio </w:t>
      </w:r>
    </w:p>
    <w:p w:rsidR="00E23B86" w:rsidRDefault="00BA7C13">
      <w:pPr>
        <w:spacing w:after="111" w:line="251" w:lineRule="auto"/>
        <w:ind w:left="355" w:right="573" w:hanging="10"/>
        <w:jc w:val="both"/>
      </w:pPr>
      <w:r>
        <w:rPr>
          <w:rFonts w:ascii="Arial" w:eastAsia="Arial" w:hAnsi="Arial" w:cs="Arial"/>
          <w:i/>
        </w:rPr>
        <w:t>En relación al alumnado de primaria, se observa que los hábitos de vida de los y las menores entrevistados/as se encuentran dentro de los parámetros establecidos para un correcto desarrollo</w:t>
      </w:r>
      <w:r>
        <w:rPr>
          <w:rFonts w:ascii="Arial" w:eastAsia="Arial" w:hAnsi="Arial" w:cs="Arial"/>
          <w:i/>
        </w:rPr>
        <w:t xml:space="preserve"> y adquisición de un estilo de vida saludable. Asimismo, respecto a las horas de sueño y descanso, la mitad de las niñas y niños entrevistados/as sí cumplen con las horas de sueño recomendadas como saludables, mientras que existe un porcentaje significativ</w:t>
      </w:r>
      <w:r>
        <w:rPr>
          <w:rFonts w:ascii="Arial" w:eastAsia="Arial" w:hAnsi="Arial" w:cs="Arial"/>
          <w:i/>
        </w:rPr>
        <w:t xml:space="preserve">o de menores que están por debajo, lo que supone consecuencias negativas para su etapa actual de desarrollo, que pueden manifestarse en situaciones de riesgo psicológicas, biológicas y conductuales, así como en un bajo rendimiento académico. </w:t>
      </w:r>
    </w:p>
    <w:p w:rsidR="00E23B86" w:rsidRDefault="00BA7C13">
      <w:pPr>
        <w:spacing w:after="111" w:line="251" w:lineRule="auto"/>
        <w:ind w:left="355" w:right="573" w:hanging="10"/>
        <w:jc w:val="both"/>
      </w:pPr>
      <w:r>
        <w:rPr>
          <w:rFonts w:ascii="Arial" w:eastAsia="Arial" w:hAnsi="Arial" w:cs="Arial"/>
          <w:i/>
        </w:rPr>
        <w:t>En cuanto a l</w:t>
      </w:r>
      <w:r>
        <w:rPr>
          <w:rFonts w:ascii="Arial" w:eastAsia="Arial" w:hAnsi="Arial" w:cs="Arial"/>
          <w:i/>
        </w:rPr>
        <w:t>as actividades y estilos de vida, de los datos recogidos sobre ocio activo son positivos, debido a los beneficios que tiene en el desarrollo y creación de redes sociales y sistemas de apoyo entre el grupo de iguales en su comunidad y el desarrollo de habil</w:t>
      </w:r>
      <w:r>
        <w:rPr>
          <w:rFonts w:ascii="Arial" w:eastAsia="Arial" w:hAnsi="Arial" w:cs="Arial"/>
          <w:i/>
        </w:rPr>
        <w:t>idades sociales. Cabe destacar que el uso de las redes sociales y las TIC, pueden provocar tanto consecuencias negativas (una posible adicción a las mismas), como positivas, siendo esta última una forma de inclusión y relación entre iguales. Por esto, es i</w:t>
      </w:r>
      <w:r>
        <w:rPr>
          <w:rFonts w:ascii="Arial" w:eastAsia="Arial" w:hAnsi="Arial" w:cs="Arial"/>
          <w:i/>
        </w:rPr>
        <w:t>mportante la existencia de acciones preventivas y de sensibilización tanto con los y las menores como con los/as progenitores/as de los y las mismos/as, para así dotarles de herramientas que eviten posibles adicciones. Por consiguiente, los datos recogidos</w:t>
      </w:r>
      <w:r>
        <w:rPr>
          <w:rFonts w:ascii="Arial" w:eastAsia="Arial" w:hAnsi="Arial" w:cs="Arial"/>
          <w:i/>
        </w:rPr>
        <w:t xml:space="preserve"> muestran que estos/as niños y niñas dedican tiempo diariamente a sus tareas escolares, tres o más días a la semana, lo que resulta muy positivo, ya que dichas actividades son beneficiosas para el desarrollo personal y social de los y las mismos/as.</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8999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3369" name="Group 54336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229" name="Rectangle 3922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w:t>
                              </w:r>
                              <w:r>
                                <w:rPr>
                                  <w:rFonts w:ascii="Arial" w:eastAsia="Arial" w:hAnsi="Arial" w:cs="Arial"/>
                                  <w:sz w:val="12"/>
                                </w:rPr>
                                <w:t xml:space="preserve">. Validación: 5AJ7C4GAAK3P9GMGZC2N3FZWC | Verificación: https://candelaria.sedelectronica.es/ </w:t>
                              </w:r>
                            </w:p>
                          </w:txbxContent>
                        </wps:txbx>
                        <wps:bodyPr horzOverflow="overflow" vert="horz" lIns="0" tIns="0" rIns="0" bIns="0" rtlCol="0">
                          <a:noAutofit/>
                        </wps:bodyPr>
                      </wps:wsp>
                      <wps:wsp>
                        <wps:cNvPr id="39230" name="Rectangle 3923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234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3369" style="width:12.7031pt;height:280.35pt;position:absolute;mso-position-horizontal-relative:page;mso-position-horizontal:absolute;margin-left:681.958pt;mso-position-vertical-relative:page;margin-top:531.65pt;" coordsize="1613,35604">
                <v:rect id="Rectangle 3922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23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234 de 391 </w:t>
                        </w:r>
                      </w:p>
                    </w:txbxContent>
                  </v:textbox>
                </v:rect>
                <w10:wrap type="square"/>
              </v:group>
            </w:pict>
          </mc:Fallback>
        </mc:AlternateContent>
      </w:r>
      <w:r>
        <w:rPr>
          <w:rFonts w:ascii="Arial" w:eastAsia="Arial" w:hAnsi="Arial" w:cs="Arial"/>
          <w:i/>
        </w:rPr>
        <w:t xml:space="preserve">Respecto a las situaciones vividas los últimos seis meses, se muestra un alto porcentaje de menores que en los últimos seis meses han tenido sentimientos de pena, tristeza y angustia por algún acontecimiento vivido. Este dato llama la atención puesto que, </w:t>
      </w:r>
      <w:r>
        <w:rPr>
          <w:rFonts w:ascii="Arial" w:eastAsia="Arial" w:hAnsi="Arial" w:cs="Arial"/>
          <w:i/>
        </w:rPr>
        <w:t xml:space="preserve">en estas edades, lo esperado es que predominen los sentimientos de bienestar, por encima de circunstancias negativas, además, de ser un factor protector ante posibles situaciones de riesgo. </w:t>
      </w:r>
    </w:p>
    <w:p w:rsidR="00E23B86" w:rsidRDefault="00BA7C13">
      <w:pPr>
        <w:spacing w:after="111" w:line="251" w:lineRule="auto"/>
        <w:ind w:left="355" w:right="573" w:hanging="10"/>
        <w:jc w:val="both"/>
      </w:pPr>
      <w:r>
        <w:rPr>
          <w:rFonts w:ascii="Arial" w:eastAsia="Arial" w:hAnsi="Arial" w:cs="Arial"/>
          <w:i/>
        </w:rPr>
        <w:t>En lo referente a la información y el conocimiento del alumnado s</w:t>
      </w:r>
      <w:r>
        <w:rPr>
          <w:rFonts w:ascii="Arial" w:eastAsia="Arial" w:hAnsi="Arial" w:cs="Arial"/>
          <w:i/>
        </w:rPr>
        <w:t xml:space="preserve">obre drogas, se destaca que existe concienciación respecto a las adicciones y sus consecuencias, lo que supone un resultado muy positivo en cuanto a la sensibilización hacia el consumo que tienen. </w:t>
      </w:r>
    </w:p>
    <w:p w:rsidR="00E23B86" w:rsidRDefault="00BA7C13">
      <w:pPr>
        <w:spacing w:after="111" w:line="251" w:lineRule="auto"/>
        <w:ind w:left="355" w:right="573" w:hanging="10"/>
        <w:jc w:val="both"/>
      </w:pPr>
      <w:r>
        <w:rPr>
          <w:rFonts w:ascii="Arial" w:eastAsia="Arial" w:hAnsi="Arial" w:cs="Arial"/>
          <w:i/>
        </w:rPr>
        <w:t>Tras analizar los resultados obtenidos del estudiantado de</w:t>
      </w:r>
      <w:r>
        <w:rPr>
          <w:rFonts w:ascii="Arial" w:eastAsia="Arial" w:hAnsi="Arial" w:cs="Arial"/>
          <w:i/>
        </w:rPr>
        <w:t xml:space="preserve"> secundaria, se observa, que, en relación a los hábitos de vida, estas y estos menores entrevistados/as se encuentran dentro de los parámetros establecidos para un correcto desarrollo y adquisición de un estilo de vida saludable. </w:t>
      </w:r>
    </w:p>
    <w:p w:rsidR="00E23B86" w:rsidRDefault="00BA7C13">
      <w:pPr>
        <w:spacing w:after="111" w:line="251" w:lineRule="auto"/>
        <w:ind w:left="355" w:right="573" w:hanging="10"/>
        <w:jc w:val="both"/>
      </w:pPr>
      <w:r>
        <w:rPr>
          <w:rFonts w:ascii="Arial" w:eastAsia="Arial" w:hAnsi="Arial" w:cs="Arial"/>
          <w:i/>
        </w:rPr>
        <w:t xml:space="preserve">Asimismo, respecto a las </w:t>
      </w:r>
      <w:r>
        <w:rPr>
          <w:rFonts w:ascii="Arial" w:eastAsia="Arial" w:hAnsi="Arial" w:cs="Arial"/>
          <w:i/>
        </w:rPr>
        <w:t>horas de sueño, la mayor parte no cumplen con las horas de sueño recomendadas como saludables. Esto supone consecuencias negativas para su etapa actual de desarrollo, que pueden manifestarse en situaciones de riesgo psicológicas, biológicas y conductuales,</w:t>
      </w:r>
      <w:r>
        <w:rPr>
          <w:rFonts w:ascii="Arial" w:eastAsia="Arial" w:hAnsi="Arial" w:cs="Arial"/>
          <w:i/>
        </w:rPr>
        <w:t xml:space="preserve"> produciéndose a su vez un bajo rendimiento académico. </w:t>
      </w:r>
    </w:p>
    <w:p w:rsidR="00E23B86" w:rsidRDefault="00BA7C13">
      <w:pPr>
        <w:spacing w:after="111" w:line="251" w:lineRule="auto"/>
        <w:ind w:left="355" w:right="573" w:hanging="10"/>
        <w:jc w:val="both"/>
      </w:pPr>
      <w:r>
        <w:rPr>
          <w:rFonts w:ascii="Arial" w:eastAsia="Arial" w:hAnsi="Arial" w:cs="Arial"/>
          <w:i/>
        </w:rPr>
        <w:t>En cuanto a las actividades y sus estilos de vida, los datos recogidos sobre ocio activo son positivos, debido a los beneficios que tienen para el desarrollo, la creación de redes sociales y los siste</w:t>
      </w:r>
      <w:r>
        <w:rPr>
          <w:rFonts w:ascii="Arial" w:eastAsia="Arial" w:hAnsi="Arial" w:cs="Arial"/>
          <w:i/>
        </w:rPr>
        <w:t xml:space="preserve">mas de apoyo dentro de la comunidad a través del contacto con otros/as iguales, que además supone el desarrollo de habilidades sociales. </w:t>
      </w:r>
    </w:p>
    <w:p w:rsidR="00E23B86" w:rsidRDefault="00BA7C13">
      <w:pPr>
        <w:spacing w:after="111" w:line="251" w:lineRule="auto"/>
        <w:ind w:left="355" w:right="573" w:hanging="10"/>
        <w:jc w:val="both"/>
      </w:pPr>
      <w:r>
        <w:rPr>
          <w:rFonts w:ascii="Arial" w:eastAsia="Arial" w:hAnsi="Arial" w:cs="Arial"/>
          <w:i/>
        </w:rPr>
        <w:t>Esto es algo que resulta prácticamente imprescindible en la edad en la que encuentran las personas objeto de este estudio, las opiniones de sus iguales son muy valoradas en esta edad, supone un paso más en la búsqueda de su identidad y según la elección de</w:t>
      </w:r>
      <w:r>
        <w:rPr>
          <w:rFonts w:ascii="Arial" w:eastAsia="Arial" w:hAnsi="Arial" w:cs="Arial"/>
          <w:i/>
        </w:rPr>
        <w:t xml:space="preserve"> las amistades que realizan, la presión que pueden sentir por sus iguales pueden ser beneficiosas o perjudiciales, por ello es importante que éstos se sientan apoyados/as, orientados/as y se les ayude a encaminar ese proceso de transición hacia la vida adu</w:t>
      </w:r>
      <w:r>
        <w:rPr>
          <w:rFonts w:ascii="Arial" w:eastAsia="Arial" w:hAnsi="Arial" w:cs="Arial"/>
          <w:i/>
        </w:rPr>
        <w:t>lta de la mejor manera posible.</w:t>
      </w:r>
    </w:p>
    <w:p w:rsidR="00E23B86" w:rsidRDefault="00BA7C13">
      <w:pPr>
        <w:spacing w:after="111" w:line="251" w:lineRule="auto"/>
        <w:ind w:left="355" w:right="573" w:hanging="10"/>
        <w:jc w:val="both"/>
      </w:pPr>
      <w:r>
        <w:rPr>
          <w:rFonts w:ascii="Arial" w:eastAsia="Arial" w:hAnsi="Arial" w:cs="Arial"/>
          <w:i/>
        </w:rPr>
        <w:t xml:space="preserve">Cabe destacar que el uso de las redes sociales y las TIC, pueden provocar tanto consecuencias negativas, una posible adicción a las mismas, como positivas, siendo esta última una forma de inclusión y relación entre iguales. </w:t>
      </w:r>
      <w:r>
        <w:rPr>
          <w:rFonts w:ascii="Arial" w:eastAsia="Arial" w:hAnsi="Arial" w:cs="Arial"/>
          <w:i/>
        </w:rPr>
        <w:t>Por ello, es importante la existencia de acciones preventivas y de sensibilización tanto con los y las menores, como con sus progenitores/as, para así dotarles de herramientas que eviten posibles adicciones. Por consiguiente, los datos recogidos muestran q</w:t>
      </w:r>
      <w:r>
        <w:rPr>
          <w:rFonts w:ascii="Arial" w:eastAsia="Arial" w:hAnsi="Arial" w:cs="Arial"/>
          <w:i/>
        </w:rPr>
        <w:t>ue éstos adolescentes dedican tiempo diariamente a sus tareas escolares, tres o más días a la semana, lo que resulta muy positivo, ya que dichas actividades son beneficiosas para su desarrollo personal y social.</w:t>
      </w:r>
    </w:p>
    <w:p w:rsidR="00E23B86" w:rsidRDefault="00BA7C13">
      <w:pPr>
        <w:spacing w:after="111" w:line="251" w:lineRule="auto"/>
        <w:ind w:left="355" w:right="573" w:hanging="10"/>
        <w:jc w:val="both"/>
      </w:pPr>
      <w:r>
        <w:rPr>
          <w:rFonts w:ascii="Arial" w:eastAsia="Arial" w:hAnsi="Arial" w:cs="Arial"/>
          <w:i/>
        </w:rPr>
        <w:t>Respecto a las situaciones vividas los últim</w:t>
      </w:r>
      <w:r>
        <w:rPr>
          <w:rFonts w:ascii="Arial" w:eastAsia="Arial" w:hAnsi="Arial" w:cs="Arial"/>
          <w:i/>
        </w:rPr>
        <w:t>os seis meses, se muestra un alto porcentaje de menores que en los últimos seis meses han tenido sentimientos de pena, tristeza y angustia por algún acontecimiento vivido. La adolescencia supone un momento de gran incertidumbre para los chicos y las chicas</w:t>
      </w:r>
      <w:r>
        <w:rPr>
          <w:rFonts w:ascii="Arial" w:eastAsia="Arial" w:hAnsi="Arial" w:cs="Arial"/>
          <w:i/>
        </w:rPr>
        <w:t>, ya que con estas edades comienza la transición de la infancia a la adultez, aumentando sus responsabilidades, algo que suele generar angustia ante los cambios y la toma de decisiones que suele ser decisivo para su futuro. Los chicos y las chicas suelen a</w:t>
      </w:r>
      <w:r>
        <w:rPr>
          <w:rFonts w:ascii="Arial" w:eastAsia="Arial" w:hAnsi="Arial" w:cs="Arial"/>
          <w:i/>
        </w:rPr>
        <w:t xml:space="preserve">gobiarse al no saber responder a las dudas que les surgen en esta etapa, lo que conlleva que se sientan incomprendidos/as, algo que habitualmente se relaciona con conductas rebeldes y sentimientos encontrados, por ello es importante llevar a cabo acciones </w:t>
      </w:r>
      <w:r>
        <w:rPr>
          <w:rFonts w:ascii="Arial" w:eastAsia="Arial" w:hAnsi="Arial" w:cs="Arial"/>
          <w:i/>
        </w:rPr>
        <w:t>que ayuden a los y las adolescentes a regular estos sentimientos, para crecer adecuadamente durante esta complicada etapa de su vida.</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9009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3734" name="Group 54373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286" name="Rectangle 3928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9287" name="Rectangle 3928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w:t>
                              </w:r>
                              <w:r>
                                <w:rPr>
                                  <w:rFonts w:ascii="Arial" w:eastAsia="Arial" w:hAnsi="Arial" w:cs="Arial"/>
                                  <w:sz w:val="12"/>
                                </w:rPr>
                                <w:t xml:space="preserve">lectrónicamente desde la plataforma esPublico Gestiona | Página 235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3734" style="width:12.7031pt;height:280.35pt;position:absolute;mso-position-horizontal-relative:page;mso-position-horizontal:absolute;margin-left:681.958pt;mso-position-vertical-relative:page;margin-top:531.65pt;" coordsize="1613,35604">
                <v:rect id="Rectangle 3928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28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235 de 391 </w:t>
                        </w:r>
                      </w:p>
                    </w:txbxContent>
                  </v:textbox>
                </v:rect>
                <w10:wrap type="square"/>
              </v:group>
            </w:pict>
          </mc:Fallback>
        </mc:AlternateContent>
      </w:r>
      <w:r>
        <w:rPr>
          <w:rFonts w:ascii="Arial" w:eastAsia="Arial" w:hAnsi="Arial" w:cs="Arial"/>
          <w:i/>
        </w:rPr>
        <w:t xml:space="preserve">Analizando el consumo de drogas, se destaca el significativo porcentaje de aquellos/as jóvenes que han consumido alcohol alguna vez en su vida, lo que supone un gran riesgo, sobre </w:t>
      </w:r>
      <w:r>
        <w:rPr>
          <w:rFonts w:ascii="Arial" w:eastAsia="Arial" w:hAnsi="Arial" w:cs="Arial"/>
          <w:i/>
        </w:rPr>
        <w:t xml:space="preserve">todo, a su corta edad. Este tipo de actividad puede desencadenar posibles adicciones futuras puesto que, al ser el alcohol una droga legal en España, se normaliza su consumo obviando las graves consecuencias que puede acarrear. Como se menciona a lo largo </w:t>
      </w:r>
      <w:r>
        <w:rPr>
          <w:rFonts w:ascii="Arial" w:eastAsia="Arial" w:hAnsi="Arial" w:cs="Arial"/>
          <w:i/>
        </w:rPr>
        <w:t>del estudio, en esta etapa experimentan una serie de cambios que hacen de ésta un periodo de inseguridad, donde los y las adolescentes tratan de encontrar su sitio dentro de la sociedad, el alcohol se relaciona normalmente con el ocio y la socialización. P</w:t>
      </w:r>
      <w:r>
        <w:rPr>
          <w:rFonts w:ascii="Arial" w:eastAsia="Arial" w:hAnsi="Arial" w:cs="Arial"/>
          <w:i/>
        </w:rPr>
        <w:t>or lo tanto, los altos porcentajes de consumo que se observan se pueden relacionar con la normalización que tiene nuestra sociedad de esta sustancia y lo arraigada que está en el día a día.</w:t>
      </w:r>
    </w:p>
    <w:p w:rsidR="00E23B86" w:rsidRDefault="00BA7C13">
      <w:pPr>
        <w:spacing w:after="111" w:line="251" w:lineRule="auto"/>
        <w:ind w:left="355" w:right="573" w:hanging="10"/>
        <w:jc w:val="both"/>
      </w:pPr>
      <w:r>
        <w:rPr>
          <w:rFonts w:ascii="Arial" w:eastAsia="Arial" w:hAnsi="Arial" w:cs="Arial"/>
          <w:i/>
        </w:rPr>
        <w:t>Existe un bajo consumo de cannabis y de drogas de diseño, destacan</w:t>
      </w:r>
      <w:r>
        <w:rPr>
          <w:rFonts w:ascii="Arial" w:eastAsia="Arial" w:hAnsi="Arial" w:cs="Arial"/>
          <w:i/>
        </w:rPr>
        <w:t>do un bajo porcentaje en ambas, pero aun así altamente significativo debido a la edad del estudiantado entrevistado.</w:t>
      </w:r>
    </w:p>
    <w:p w:rsidR="00E23B86" w:rsidRDefault="00BA7C13">
      <w:pPr>
        <w:spacing w:after="111" w:line="251" w:lineRule="auto"/>
        <w:ind w:left="355" w:right="573" w:hanging="10"/>
        <w:jc w:val="both"/>
      </w:pPr>
      <w:r>
        <w:rPr>
          <w:rFonts w:ascii="Arial" w:eastAsia="Arial" w:hAnsi="Arial" w:cs="Arial"/>
          <w:i/>
        </w:rPr>
        <w:t xml:space="preserve">El consumo de cannabis, tabaco y alcohol en las personas jóvenes entrevistadas, es sin duda un gran riesgo para su salud, ya que supone un </w:t>
      </w:r>
      <w:r>
        <w:rPr>
          <w:rFonts w:ascii="Arial" w:eastAsia="Arial" w:hAnsi="Arial" w:cs="Arial"/>
          <w:i/>
        </w:rPr>
        <w:t xml:space="preserve">problema grave para su desarrollo debido a la etapa vital en la que se encuentran. Este tipo de drogas están cada vez más presentes en sus vidas lo que supone un incentivo para una posible adicción futura. Para combatir esto, es preciso que se establezcan </w:t>
      </w:r>
      <w:r>
        <w:rPr>
          <w:rFonts w:ascii="Arial" w:eastAsia="Arial" w:hAnsi="Arial" w:cs="Arial"/>
          <w:i/>
        </w:rPr>
        <w:t xml:space="preserve">políticas de prevención de las drogas y adicciones dentro del municipio, focalizadas fundamentalmente en estos jóvenes. </w:t>
      </w:r>
    </w:p>
    <w:p w:rsidR="00E23B86" w:rsidRDefault="00BA7C13">
      <w:pPr>
        <w:spacing w:after="111" w:line="251" w:lineRule="auto"/>
        <w:ind w:left="355" w:right="573" w:hanging="10"/>
        <w:jc w:val="both"/>
      </w:pPr>
      <w:r>
        <w:rPr>
          <w:rFonts w:ascii="Arial" w:eastAsia="Arial" w:hAnsi="Arial" w:cs="Arial"/>
          <w:i/>
        </w:rPr>
        <w:t>Cabe destacar que estos/as jóvenes entrevistados/as señalan que consumen drogas con el fin de divertirse. Por ello, es importante que s</w:t>
      </w:r>
      <w:r>
        <w:rPr>
          <w:rFonts w:ascii="Arial" w:eastAsia="Arial" w:hAnsi="Arial" w:cs="Arial"/>
          <w:i/>
        </w:rPr>
        <w:t xml:space="preserve">e desarrollen de tal manera que su personalidad les haga ser capaces de no tener que optar a las drogas para desinhibirse, relacionarse entre sí y divertirse en su día a día. </w:t>
      </w:r>
    </w:p>
    <w:p w:rsidR="00E23B86" w:rsidRDefault="00BA7C13">
      <w:pPr>
        <w:spacing w:after="246" w:line="251" w:lineRule="auto"/>
        <w:ind w:left="355" w:right="573" w:hanging="10"/>
        <w:jc w:val="both"/>
      </w:pPr>
      <w:r>
        <w:rPr>
          <w:rFonts w:ascii="Arial" w:eastAsia="Arial" w:hAnsi="Arial" w:cs="Arial"/>
          <w:i/>
        </w:rPr>
        <w:t xml:space="preserve">2.4. Recomendaciones para el diseño del IV Plan   </w:t>
      </w:r>
    </w:p>
    <w:p w:rsidR="00E23B86" w:rsidRDefault="00BA7C13">
      <w:pPr>
        <w:spacing w:after="147" w:line="251" w:lineRule="auto"/>
        <w:ind w:left="355" w:right="573" w:hanging="10"/>
        <w:jc w:val="both"/>
      </w:pPr>
      <w:r>
        <w:rPr>
          <w:rFonts w:ascii="Arial" w:eastAsia="Arial" w:hAnsi="Arial" w:cs="Arial"/>
          <w:i/>
        </w:rPr>
        <w:t xml:space="preserve">Tras los datos anteriormente </w:t>
      </w:r>
      <w:r>
        <w:rPr>
          <w:rFonts w:ascii="Arial" w:eastAsia="Arial" w:hAnsi="Arial" w:cs="Arial"/>
          <w:i/>
        </w:rPr>
        <w:t>expuestos, se plantean las siguientes recomendaciones a tener en cuenta para el diseño del IV Plan:</w:t>
      </w:r>
    </w:p>
    <w:p w:rsidR="00E23B86" w:rsidRDefault="00BA7C13">
      <w:pPr>
        <w:numPr>
          <w:ilvl w:val="0"/>
          <w:numId w:val="127"/>
        </w:numPr>
        <w:spacing w:after="147" w:line="251" w:lineRule="auto"/>
        <w:ind w:right="573" w:hanging="360"/>
        <w:jc w:val="both"/>
      </w:pPr>
      <w:r>
        <w:rPr>
          <w:rFonts w:ascii="Arial" w:eastAsia="Arial" w:hAnsi="Arial" w:cs="Arial"/>
          <w:i/>
        </w:rPr>
        <w:t>En las estrategias de prevención se debe priorizar el abordaje prioritario de las sustancias psicoactivas legales o ilegales, y las adicciones comportamenta</w:t>
      </w:r>
      <w:r>
        <w:rPr>
          <w:rFonts w:ascii="Arial" w:eastAsia="Arial" w:hAnsi="Arial" w:cs="Arial"/>
          <w:i/>
        </w:rPr>
        <w:t xml:space="preserve">les relacionadas con la ludopatía (juego presencial y online) y videojuegos, y las adicciones comportamentales relacionadas con las Nuevas Tecnologías (Redes Sociales, Internet), así como otras como el sexo y las compras compulsivas. </w:t>
      </w:r>
    </w:p>
    <w:p w:rsidR="00E23B86" w:rsidRDefault="00BA7C13">
      <w:pPr>
        <w:numPr>
          <w:ilvl w:val="0"/>
          <w:numId w:val="127"/>
        </w:numPr>
        <w:spacing w:after="111" w:line="251" w:lineRule="auto"/>
        <w:ind w:right="573" w:hanging="360"/>
        <w:jc w:val="both"/>
      </w:pPr>
      <w:r>
        <w:rPr>
          <w:rFonts w:ascii="Arial" w:eastAsia="Arial" w:hAnsi="Arial" w:cs="Arial"/>
          <w:i/>
        </w:rPr>
        <w:t xml:space="preserve">La prevención debe trabajarse a tres niveles: universal, selectiva e indicada. </w:t>
      </w:r>
    </w:p>
    <w:p w:rsidR="00E23B86" w:rsidRDefault="00BA7C13">
      <w:pPr>
        <w:numPr>
          <w:ilvl w:val="0"/>
          <w:numId w:val="127"/>
        </w:numPr>
        <w:spacing w:after="146" w:line="251" w:lineRule="auto"/>
        <w:ind w:right="573" w:hanging="360"/>
        <w:jc w:val="both"/>
      </w:pPr>
      <w:r>
        <w:rPr>
          <w:rFonts w:ascii="Arial" w:eastAsia="Arial" w:hAnsi="Arial" w:cs="Arial"/>
          <w:i/>
        </w:rPr>
        <w:t xml:space="preserve">Los ámbitos prioritarios de la prevención deben ser el educativo, familiar, laboral, medios de comunicación, Fuerzas y Cuerpos de Seguridad, Hostelería y Restauración, Sistema </w:t>
      </w:r>
      <w:r>
        <w:rPr>
          <w:rFonts w:ascii="Arial" w:eastAsia="Arial" w:hAnsi="Arial" w:cs="Arial"/>
          <w:i/>
        </w:rPr>
        <w:t>Sanitario, y Prevención Ambiental, y dentro de éste, los Contextos y Espacios de Ocio y la Urbanización Saludable.</w:t>
      </w:r>
    </w:p>
    <w:p w:rsidR="00E23B86" w:rsidRDefault="00BA7C13">
      <w:pPr>
        <w:numPr>
          <w:ilvl w:val="0"/>
          <w:numId w:val="127"/>
        </w:numPr>
        <w:spacing w:after="147" w:line="251" w:lineRule="auto"/>
        <w:ind w:right="573" w:hanging="360"/>
        <w:jc w:val="both"/>
      </w:pPr>
      <w:r>
        <w:rPr>
          <w:rFonts w:ascii="Arial" w:eastAsia="Arial" w:hAnsi="Arial" w:cs="Arial"/>
          <w:i/>
        </w:rPr>
        <w:t>En las estrategias de prevención debe incorporarse el enfoque del trabajo comunitario, pues incluye además del ocio y tiempo libre, la preven</w:t>
      </w:r>
      <w:r>
        <w:rPr>
          <w:rFonts w:ascii="Arial" w:eastAsia="Arial" w:hAnsi="Arial" w:cs="Arial"/>
          <w:i/>
        </w:rPr>
        <w:t xml:space="preserve">ción ambiental, principalmente, en espacios de ocio comunitario (fiestas locales) y de música y baile (festivales musicales, fiestas multitudinarias públicas o privadas), y debe ser complementada con acciones comunitarias de prevención en el ámbito local, </w:t>
      </w:r>
      <w:r>
        <w:rPr>
          <w:rFonts w:ascii="Arial" w:eastAsia="Arial" w:hAnsi="Arial" w:cs="Arial"/>
          <w:i/>
        </w:rPr>
        <w:t xml:space="preserve">para reducir los problemas asociados al consumo de alcohol, especialmente en menores. </w:t>
      </w:r>
    </w:p>
    <w:p w:rsidR="00E23B86" w:rsidRDefault="00BA7C13">
      <w:pPr>
        <w:numPr>
          <w:ilvl w:val="0"/>
          <w:numId w:val="127"/>
        </w:numPr>
        <w:spacing w:after="147" w:line="250" w:lineRule="auto"/>
        <w:ind w:right="573" w:hanging="360"/>
        <w:jc w:val="both"/>
      </w:pPr>
      <w:r>
        <w:rPr>
          <w:noProof/>
        </w:rPr>
        <mc:AlternateContent>
          <mc:Choice Requires="wpg">
            <w:drawing>
              <wp:anchor distT="0" distB="0" distL="114300" distR="114300" simplePos="0" relativeHeight="2519019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4052" name="Group 54405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350" name="Rectangle 3935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9351" name="Rectangle 3935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w:t>
                              </w:r>
                              <w:r>
                                <w:rPr>
                                  <w:rFonts w:ascii="Arial" w:eastAsia="Arial" w:hAnsi="Arial" w:cs="Arial"/>
                                  <w:sz w:val="12"/>
                                </w:rPr>
                                <w:t xml:space="preserve">estiona | Página 236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4052" style="width:12.7031pt;height:280.35pt;position:absolute;mso-position-horizontal-relative:page;mso-position-horizontal:absolute;margin-left:681.958pt;mso-position-vertical-relative:page;margin-top:531.65pt;" coordsize="1613,35604">
                <v:rect id="Rectangle 3935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35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236 de 391 </w:t>
                        </w:r>
                      </w:p>
                    </w:txbxContent>
                  </v:textbox>
                </v:rect>
                <w10:wrap type="square"/>
              </v:group>
            </w:pict>
          </mc:Fallback>
        </mc:AlternateContent>
      </w:r>
      <w:r>
        <w:rPr>
          <w:rFonts w:ascii="Arial" w:eastAsia="Arial" w:hAnsi="Arial" w:cs="Arial"/>
          <w:i/>
        </w:rPr>
        <w:t>Es fundamental apostar y apoyar los programas y acciones para la integración social de las personas con problemáticas de adicción a sustancias que puedan incorporarse al empleo y a los que no lo pueden debido a su estado de sal</w:t>
      </w:r>
      <w:r>
        <w:rPr>
          <w:rFonts w:ascii="Arial" w:eastAsia="Arial" w:hAnsi="Arial" w:cs="Arial"/>
          <w:i/>
        </w:rPr>
        <w:t xml:space="preserve">ud y cronificación de su adicción. </w:t>
      </w:r>
    </w:p>
    <w:p w:rsidR="00E23B86" w:rsidRDefault="00BA7C13">
      <w:pPr>
        <w:numPr>
          <w:ilvl w:val="0"/>
          <w:numId w:val="127"/>
        </w:numPr>
        <w:spacing w:after="146" w:line="251" w:lineRule="auto"/>
        <w:ind w:right="573" w:hanging="360"/>
        <w:jc w:val="both"/>
      </w:pPr>
      <w:r>
        <w:rPr>
          <w:rFonts w:ascii="Arial" w:eastAsia="Arial" w:hAnsi="Arial" w:cs="Arial"/>
          <w:i/>
        </w:rPr>
        <w:t>Reforzar el Plan con la formación y sensibilización social a profesionales del municipio, fomentar una concienciación para que las personas o entidades (deportivas, comunitarias…) sepan que no pueden vender alcohol en ev</w:t>
      </w:r>
      <w:r>
        <w:rPr>
          <w:rFonts w:ascii="Arial" w:eastAsia="Arial" w:hAnsi="Arial" w:cs="Arial"/>
          <w:i/>
        </w:rPr>
        <w:t xml:space="preserve">entos deportivos, etc. </w:t>
      </w:r>
    </w:p>
    <w:p w:rsidR="00E23B86" w:rsidRDefault="00BA7C13">
      <w:pPr>
        <w:numPr>
          <w:ilvl w:val="0"/>
          <w:numId w:val="127"/>
        </w:numPr>
        <w:spacing w:after="147" w:line="251" w:lineRule="auto"/>
        <w:ind w:right="573" w:hanging="360"/>
        <w:jc w:val="both"/>
      </w:pPr>
      <w:r>
        <w:rPr>
          <w:rFonts w:ascii="Arial" w:eastAsia="Arial" w:hAnsi="Arial" w:cs="Arial"/>
          <w:i/>
        </w:rPr>
        <w:t>Insistir en la prevención con población menor y adolescente sobre el consumo del riesgo del alcohol y otras sustancias, junto a una baja percepción del riesgo y “normalización” social del consumo lúdico de sustancias (alcohol, canna</w:t>
      </w:r>
      <w:r>
        <w:rPr>
          <w:rFonts w:ascii="Arial" w:eastAsia="Arial" w:hAnsi="Arial" w:cs="Arial"/>
          <w:i/>
        </w:rPr>
        <w:t>bis, cocaína, nuevas sustancias psicoactivas, etc.). El consumo en la calle, contribuye a ese aspecto de normalización y banalización, a pesar de que el acceso de menores a los juegos de azar (bares, salones sin control de acceso, online, etc.) esté regula</w:t>
      </w:r>
      <w:r>
        <w:rPr>
          <w:rFonts w:ascii="Arial" w:eastAsia="Arial" w:hAnsi="Arial" w:cs="Arial"/>
          <w:i/>
        </w:rPr>
        <w:t>do.</w:t>
      </w:r>
    </w:p>
    <w:p w:rsidR="00E23B86" w:rsidRDefault="00BA7C13">
      <w:pPr>
        <w:numPr>
          <w:ilvl w:val="0"/>
          <w:numId w:val="127"/>
        </w:numPr>
        <w:spacing w:after="186" w:line="251" w:lineRule="auto"/>
        <w:ind w:right="573" w:hanging="360"/>
        <w:jc w:val="both"/>
      </w:pPr>
      <w:r>
        <w:rPr>
          <w:rFonts w:ascii="Arial" w:eastAsia="Arial" w:hAnsi="Arial" w:cs="Arial"/>
          <w:i/>
        </w:rPr>
        <w:t>Incorporar en las acciones preventivas a las personas de edad avanzada (como colectivo de riesgo) sobre las que no existen datos suficientes, pero sobre las que sabemos que consumen fármacos (psicofármacos, entre ellos) de forma más frecuente que el re</w:t>
      </w:r>
      <w:r>
        <w:rPr>
          <w:rFonts w:ascii="Arial" w:eastAsia="Arial" w:hAnsi="Arial" w:cs="Arial"/>
          <w:i/>
        </w:rPr>
        <w:t>sto de la población.</w:t>
      </w:r>
    </w:p>
    <w:p w:rsidR="00E23B86" w:rsidRDefault="00BA7C13">
      <w:pPr>
        <w:numPr>
          <w:ilvl w:val="0"/>
          <w:numId w:val="127"/>
        </w:numPr>
        <w:spacing w:after="152" w:line="251" w:lineRule="auto"/>
        <w:ind w:right="573" w:hanging="360"/>
        <w:jc w:val="both"/>
      </w:pPr>
      <w:r>
        <w:rPr>
          <w:rFonts w:ascii="Arial" w:eastAsia="Arial" w:hAnsi="Arial" w:cs="Arial"/>
          <w:i/>
        </w:rPr>
        <w:t>Incorporar la perspectiva de género (Ley Orgánica 3/2007, de 22 de marzo, para la igualdad efectiva de mujeres y hombres, art. 20), como marco analítico, desarrollando las herramientas necesarias que permitan visibilizar, analizar y ha</w:t>
      </w:r>
      <w:r>
        <w:rPr>
          <w:rFonts w:ascii="Arial" w:eastAsia="Arial" w:hAnsi="Arial" w:cs="Arial"/>
          <w:i/>
        </w:rPr>
        <w:t>cer frente a la diferente presentación y afectación de las adicciones en las mujeres y poder hacer un mejor diagnóstico de la realidad, e incorporar las necesidades y realidad de las mujeres en todas las acciones e intervenciones estratégicas.</w:t>
      </w:r>
    </w:p>
    <w:p w:rsidR="00E23B86" w:rsidRDefault="00BA7C13">
      <w:pPr>
        <w:numPr>
          <w:ilvl w:val="0"/>
          <w:numId w:val="127"/>
        </w:numPr>
        <w:spacing w:after="146" w:line="251" w:lineRule="auto"/>
        <w:ind w:right="573" w:hanging="360"/>
        <w:jc w:val="both"/>
      </w:pPr>
      <w:r>
        <w:rPr>
          <w:rFonts w:ascii="Arial" w:eastAsia="Arial" w:hAnsi="Arial" w:cs="Arial"/>
          <w:i/>
        </w:rPr>
        <w:t>Trabajar las respuestas preventivas adaptándolas a los nuevos contextos y formas de relación en las que se producen los consumos, especialmente las redes sociales, y aprovechar las oportunidades que dichos contextos ofrecen para la prevención.</w:t>
      </w:r>
    </w:p>
    <w:p w:rsidR="00E23B86" w:rsidRDefault="00BA7C13">
      <w:pPr>
        <w:numPr>
          <w:ilvl w:val="0"/>
          <w:numId w:val="127"/>
        </w:numPr>
        <w:spacing w:after="111" w:line="251" w:lineRule="auto"/>
        <w:ind w:right="573" w:hanging="360"/>
        <w:jc w:val="both"/>
      </w:pPr>
      <w:r>
        <w:rPr>
          <w:noProof/>
        </w:rPr>
        <mc:AlternateContent>
          <mc:Choice Requires="wpg">
            <w:drawing>
              <wp:anchor distT="0" distB="0" distL="114300" distR="114300" simplePos="0" relativeHeight="251902976"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4087" name="Group 60408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475" name="Rectangle 3947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w:t>
                              </w:r>
                              <w:r>
                                <w:rPr>
                                  <w:rFonts w:ascii="Arial" w:eastAsia="Arial" w:hAnsi="Arial" w:cs="Arial"/>
                                  <w:sz w:val="12"/>
                                </w:rPr>
                                <w:t xml:space="preserve">dación: 5AJ7C4GAAK3P9GMGZC2N3FZWC | Verificación: https://candelaria.sedelectronica.es/ </w:t>
                              </w:r>
                            </w:p>
                          </w:txbxContent>
                        </wps:txbx>
                        <wps:bodyPr horzOverflow="overflow" vert="horz" lIns="0" tIns="0" rIns="0" bIns="0" rtlCol="0">
                          <a:noAutofit/>
                        </wps:bodyPr>
                      </wps:wsp>
                      <wps:wsp>
                        <wps:cNvPr id="39476" name="Rectangle 3947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237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4087" style="width:12.7031pt;height:280.35pt;position:absolute;mso-position-horizontal-relative:page;mso-position-horizontal:absolute;margin-left:681.958pt;mso-position-vertical-relative:page;margin-top:531.65pt;" coordsize="1613,35604">
                <v:rect id="Rectangle 3947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47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237 de 391 </w:t>
                        </w:r>
                      </w:p>
                    </w:txbxContent>
                  </v:textbox>
                </v:rect>
                <w10:wrap type="topAndBottom"/>
              </v:group>
            </w:pict>
          </mc:Fallback>
        </mc:AlternateContent>
      </w:r>
      <w:r>
        <w:rPr>
          <w:rFonts w:ascii="Arial" w:eastAsia="Arial" w:hAnsi="Arial" w:cs="Arial"/>
          <w:i/>
        </w:rPr>
        <w:t>Trabajar la prevención dado el aumento del uso “patológico” de Interne</w:t>
      </w:r>
      <w:r>
        <w:rPr>
          <w:rFonts w:ascii="Arial" w:eastAsia="Arial" w:hAnsi="Arial" w:cs="Arial"/>
          <w:i/>
        </w:rPr>
        <w:t>t, los medios digitales y las redes sociales, así como por el papel de las nuevas tecnologías como facilitadoras del acceso y potenciadoras de otras conductas adictivas.</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315"/>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3.</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LOS PRINCIPIOS DEL IV PLAN</w:t>
            </w:r>
          </w:p>
        </w:tc>
      </w:tr>
    </w:tbl>
    <w:p w:rsidR="00E23B86" w:rsidRDefault="00BA7C13">
      <w:pPr>
        <w:spacing w:after="232" w:line="251" w:lineRule="auto"/>
        <w:ind w:left="355" w:right="573" w:hanging="10"/>
        <w:jc w:val="both"/>
      </w:pPr>
      <w:r>
        <w:rPr>
          <w:rFonts w:ascii="Arial" w:eastAsia="Arial" w:hAnsi="Arial" w:cs="Arial"/>
          <w:i/>
        </w:rPr>
        <w:t>Para este IV Plan, se proponen una serie de principios establecidos desde la Estrategia Nacional sobre Adicciones 2017-2024 y desde el Plan de Acción sobre Adicciones 2018-2020.</w:t>
      </w:r>
    </w:p>
    <w:tbl>
      <w:tblPr>
        <w:tblStyle w:val="TableGrid"/>
        <w:tblW w:w="9613" w:type="dxa"/>
        <w:tblInd w:w="-203" w:type="dxa"/>
        <w:tblCellMar>
          <w:top w:w="0" w:type="dxa"/>
          <w:left w:w="0" w:type="dxa"/>
          <w:bottom w:w="0" w:type="dxa"/>
          <w:right w:w="131" w:type="dxa"/>
        </w:tblCellMar>
        <w:tblLook w:val="04A0" w:firstRow="1" w:lastRow="0" w:firstColumn="1" w:lastColumn="0" w:noHBand="0" w:noVBand="1"/>
      </w:tblPr>
      <w:tblGrid>
        <w:gridCol w:w="1"/>
        <w:gridCol w:w="2564"/>
        <w:gridCol w:w="1"/>
        <w:gridCol w:w="456"/>
        <w:gridCol w:w="1"/>
        <w:gridCol w:w="6590"/>
        <w:gridCol w:w="1"/>
      </w:tblGrid>
      <w:tr w:rsidR="00E23B86">
        <w:trPr>
          <w:gridAfter w:val="1"/>
          <w:trHeight w:val="264"/>
        </w:trPr>
        <w:tc>
          <w:tcPr>
            <w:tcW w:w="2565" w:type="dxa"/>
            <w:gridSpan w:val="2"/>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109"/>
              <w:jc w:val="center"/>
            </w:pPr>
            <w:r>
              <w:rPr>
                <w:rFonts w:ascii="Arial" w:eastAsia="Arial" w:hAnsi="Arial" w:cs="Arial"/>
                <w:i/>
              </w:rPr>
              <w:t>Principios</w:t>
            </w:r>
          </w:p>
        </w:tc>
        <w:tc>
          <w:tcPr>
            <w:tcW w:w="457" w:type="dxa"/>
            <w:gridSpan w:val="2"/>
            <w:tcBorders>
              <w:top w:val="single" w:sz="4" w:space="0" w:color="00000A"/>
              <w:left w:val="single" w:sz="5" w:space="0" w:color="00000A"/>
              <w:bottom w:val="single" w:sz="4" w:space="0" w:color="00000A"/>
              <w:right w:val="nil"/>
            </w:tcBorders>
            <w:shd w:val="clear" w:color="auto" w:fill="BFBFBF"/>
          </w:tcPr>
          <w:p w:rsidR="00E23B86" w:rsidRDefault="00E23B86"/>
        </w:tc>
        <w:tc>
          <w:tcPr>
            <w:tcW w:w="6591" w:type="dxa"/>
            <w:gridSpan w:val="2"/>
            <w:tcBorders>
              <w:top w:val="single" w:sz="4" w:space="0" w:color="00000A"/>
              <w:left w:val="nil"/>
              <w:bottom w:val="single" w:sz="4" w:space="0" w:color="00000A"/>
              <w:right w:val="single" w:sz="5" w:space="0" w:color="00000A"/>
            </w:tcBorders>
            <w:shd w:val="clear" w:color="auto" w:fill="BFBFBF"/>
          </w:tcPr>
          <w:p w:rsidR="00E23B86" w:rsidRDefault="00BA7C13">
            <w:pPr>
              <w:spacing w:after="0"/>
              <w:ind w:right="408"/>
              <w:jc w:val="center"/>
            </w:pPr>
            <w:r>
              <w:rPr>
                <w:rFonts w:ascii="Arial" w:eastAsia="Arial" w:hAnsi="Arial" w:cs="Arial"/>
                <w:i/>
              </w:rPr>
              <w:t xml:space="preserve">Énfasis </w:t>
            </w:r>
          </w:p>
        </w:tc>
      </w:tr>
      <w:tr w:rsidR="00E23B86">
        <w:trPr>
          <w:gridAfter w:val="1"/>
          <w:trHeight w:val="1010"/>
        </w:trPr>
        <w:tc>
          <w:tcPr>
            <w:tcW w:w="2565" w:type="dxa"/>
            <w:gridSpan w:val="2"/>
            <w:tcBorders>
              <w:top w:val="single" w:sz="4" w:space="0" w:color="00000A"/>
              <w:left w:val="single" w:sz="4" w:space="0" w:color="00000A"/>
              <w:bottom w:val="single" w:sz="4" w:space="0" w:color="00000A"/>
              <w:right w:val="single" w:sz="5" w:space="0" w:color="00000A"/>
            </w:tcBorders>
            <w:shd w:val="clear" w:color="auto" w:fill="FFFFFF"/>
            <w:vAlign w:val="center"/>
          </w:tcPr>
          <w:p w:rsidR="00E23B86" w:rsidRDefault="00BA7C13">
            <w:pPr>
              <w:spacing w:after="0"/>
              <w:ind w:left="50"/>
              <w:jc w:val="center"/>
            </w:pPr>
            <w:r>
              <w:rPr>
                <w:rFonts w:ascii="Arial" w:eastAsia="Arial" w:hAnsi="Arial" w:cs="Arial"/>
                <w:i/>
              </w:rPr>
              <w:t xml:space="preserve">Enfoque integral </w:t>
            </w:r>
          </w:p>
        </w:tc>
        <w:tc>
          <w:tcPr>
            <w:tcW w:w="457" w:type="dxa"/>
            <w:gridSpan w:val="2"/>
            <w:tcBorders>
              <w:top w:val="single" w:sz="4" w:space="0" w:color="00000A"/>
              <w:left w:val="single" w:sz="5" w:space="0" w:color="00000A"/>
              <w:bottom w:val="single" w:sz="4" w:space="0" w:color="00000A"/>
              <w:right w:val="nil"/>
            </w:tcBorders>
            <w:shd w:val="clear" w:color="auto" w:fill="FFFFFF"/>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single" w:sz="4" w:space="0" w:color="00000A"/>
              <w:right w:val="single" w:sz="5" w:space="0" w:color="00000A"/>
            </w:tcBorders>
            <w:shd w:val="clear" w:color="auto" w:fill="FFFFFF"/>
            <w:vAlign w:val="center"/>
          </w:tcPr>
          <w:p w:rsidR="00E23B86" w:rsidRDefault="00BA7C13">
            <w:pPr>
              <w:spacing w:after="0"/>
              <w:ind w:right="2"/>
              <w:jc w:val="both"/>
            </w:pPr>
            <w:r>
              <w:rPr>
                <w:rFonts w:ascii="Arial" w:eastAsia="Arial" w:hAnsi="Arial" w:cs="Arial"/>
                <w:i/>
              </w:rPr>
              <w:t xml:space="preserve">Por ser las adicciones un fenómeno multicausal, la respuesta debe ser integral, desde equipos profesionales que trabajan desde un enfoque biopsicosocial. </w:t>
            </w:r>
          </w:p>
        </w:tc>
      </w:tr>
      <w:tr w:rsidR="00E23B86">
        <w:trPr>
          <w:gridAfter w:val="1"/>
          <w:trHeight w:val="789"/>
        </w:trPr>
        <w:tc>
          <w:tcPr>
            <w:tcW w:w="2565"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112"/>
              <w:jc w:val="center"/>
            </w:pPr>
            <w:r>
              <w:rPr>
                <w:rFonts w:ascii="Arial" w:eastAsia="Arial" w:hAnsi="Arial" w:cs="Arial"/>
                <w:i/>
              </w:rPr>
              <w:t>Equidad</w:t>
            </w:r>
          </w:p>
        </w:tc>
        <w:tc>
          <w:tcPr>
            <w:tcW w:w="457" w:type="dxa"/>
            <w:gridSpan w:val="2"/>
            <w:tcBorders>
              <w:top w:val="single" w:sz="4" w:space="0" w:color="00000A"/>
              <w:left w:val="single" w:sz="5" w:space="0" w:color="00000A"/>
              <w:bottom w:val="nil"/>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nil"/>
              <w:right w:val="single" w:sz="5" w:space="0" w:color="00000A"/>
            </w:tcBorders>
            <w:vAlign w:val="center"/>
          </w:tcPr>
          <w:p w:rsidR="00E23B86" w:rsidRDefault="00BA7C13">
            <w:pPr>
              <w:spacing w:after="0"/>
              <w:jc w:val="both"/>
            </w:pPr>
            <w:r>
              <w:rPr>
                <w:rFonts w:ascii="Arial" w:eastAsia="Arial" w:hAnsi="Arial" w:cs="Arial"/>
                <w:i/>
              </w:rPr>
              <w:t>Facilidad de acceso a recursos en igualdad de condiciones y sin discriminación a las prestaciones preventivas, asistenciales.</w:t>
            </w:r>
          </w:p>
        </w:tc>
      </w:tr>
      <w:tr w:rsidR="00E23B86">
        <w:trPr>
          <w:gridAfter w:val="1"/>
          <w:trHeight w:val="595"/>
        </w:trPr>
        <w:tc>
          <w:tcPr>
            <w:tcW w:w="2565" w:type="dxa"/>
            <w:gridSpan w:val="2"/>
            <w:tcBorders>
              <w:top w:val="nil"/>
              <w:left w:val="single" w:sz="4"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nil"/>
              <w:left w:val="nil"/>
              <w:bottom w:val="single" w:sz="4" w:space="0" w:color="00000A"/>
              <w:right w:val="single" w:sz="5" w:space="0" w:color="00000A"/>
            </w:tcBorders>
          </w:tcPr>
          <w:p w:rsidR="00E23B86" w:rsidRDefault="00BA7C13">
            <w:pPr>
              <w:spacing w:after="0"/>
              <w:jc w:val="both"/>
            </w:pPr>
            <w:r>
              <w:rPr>
                <w:rFonts w:ascii="Arial" w:eastAsia="Arial" w:hAnsi="Arial" w:cs="Arial"/>
                <w:i/>
              </w:rPr>
              <w:t>Prioridad con grupos sociales más vulnerables o con mayores dificultades para el acceso.</w:t>
            </w:r>
          </w:p>
        </w:tc>
      </w:tr>
      <w:tr w:rsidR="00E23B86">
        <w:trPr>
          <w:gridAfter w:val="1"/>
          <w:trHeight w:val="1010"/>
        </w:trPr>
        <w:tc>
          <w:tcPr>
            <w:tcW w:w="2565"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148"/>
            </w:pPr>
            <w:r>
              <w:rPr>
                <w:rFonts w:ascii="Arial" w:eastAsia="Arial" w:hAnsi="Arial" w:cs="Arial"/>
                <w:i/>
              </w:rPr>
              <w:t>Perspectiva de Género</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ind w:right="3"/>
              <w:jc w:val="both"/>
            </w:pPr>
            <w:r>
              <w:rPr>
                <w:rFonts w:ascii="Arial" w:eastAsia="Arial" w:hAnsi="Arial" w:cs="Arial"/>
                <w:i/>
              </w:rPr>
              <w:t>Se propone perspectiva de género como marco analítico y de acción, así como de forma específica para visibilizar, analizar y hacer frente a las adicciones de las mujeres.</w:t>
            </w:r>
          </w:p>
        </w:tc>
      </w:tr>
      <w:tr w:rsidR="00E23B86">
        <w:trPr>
          <w:gridAfter w:val="1"/>
          <w:trHeight w:val="1262"/>
        </w:trPr>
        <w:tc>
          <w:tcPr>
            <w:tcW w:w="2565"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109"/>
              <w:jc w:val="center"/>
            </w:pPr>
            <w:r>
              <w:rPr>
                <w:rFonts w:ascii="Arial" w:eastAsia="Arial" w:hAnsi="Arial" w:cs="Arial"/>
                <w:i/>
              </w:rPr>
              <w:t>Transparencia</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ind w:right="6"/>
              <w:jc w:val="both"/>
            </w:pPr>
            <w:r>
              <w:rPr>
                <w:rFonts w:ascii="Arial" w:eastAsia="Arial" w:hAnsi="Arial" w:cs="Arial"/>
                <w:i/>
              </w:rPr>
              <w:t xml:space="preserve">Desde el Plan se continuará y mejorará para una mejor publicidad y difusión de los datos, de los resultados de su análisis, de la investigación y evaluación de los resultados y del impacto de las intervenciones. </w:t>
            </w:r>
          </w:p>
        </w:tc>
      </w:tr>
      <w:tr w:rsidR="00E23B86">
        <w:trPr>
          <w:gridAfter w:val="1"/>
          <w:trHeight w:val="1456"/>
        </w:trPr>
        <w:tc>
          <w:tcPr>
            <w:tcW w:w="2565"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111"/>
              <w:jc w:val="center"/>
            </w:pPr>
            <w:r>
              <w:rPr>
                <w:rFonts w:ascii="Arial" w:eastAsia="Arial" w:hAnsi="Arial" w:cs="Arial"/>
                <w:i/>
              </w:rPr>
              <w:t>Evidencia científica</w:t>
            </w:r>
          </w:p>
        </w:tc>
        <w:tc>
          <w:tcPr>
            <w:tcW w:w="457" w:type="dxa"/>
            <w:gridSpan w:val="2"/>
            <w:tcBorders>
              <w:top w:val="single" w:sz="4" w:space="0" w:color="00000A"/>
              <w:left w:val="single" w:sz="5" w:space="0" w:color="00000A"/>
              <w:bottom w:val="nil"/>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single" w:sz="4" w:space="0" w:color="00000A"/>
              <w:left w:val="nil"/>
              <w:bottom w:val="nil"/>
              <w:right w:val="single" w:sz="5" w:space="0" w:color="00000A"/>
            </w:tcBorders>
          </w:tcPr>
          <w:p w:rsidR="00E23B86" w:rsidRDefault="00BA7C13">
            <w:pPr>
              <w:spacing w:after="0"/>
              <w:jc w:val="both"/>
            </w:pPr>
            <w:r>
              <w:rPr>
                <w:rFonts w:ascii="Arial" w:eastAsia="Arial" w:hAnsi="Arial" w:cs="Arial"/>
                <w:i/>
              </w:rPr>
              <w:t>Las acciones dirigidas a prevenir y a disminuir la presencia y los daños asociados a las adicciones, están empíricamente contrastadas, científicamente fundadas y eficientes, persiguiendo resultados realistas y cuantificables que puedan ser evaluados, fomen</w:t>
            </w:r>
            <w:r>
              <w:rPr>
                <w:rFonts w:ascii="Arial" w:eastAsia="Arial" w:hAnsi="Arial" w:cs="Arial"/>
                <w:i/>
              </w:rPr>
              <w:t>tando así las buenas prácticas.</w:t>
            </w:r>
          </w:p>
        </w:tc>
      </w:tr>
      <w:tr w:rsidR="00E23B86">
        <w:trPr>
          <w:gridAfter w:val="1"/>
          <w:trHeight w:val="942"/>
        </w:trPr>
        <w:tc>
          <w:tcPr>
            <w:tcW w:w="2565" w:type="dxa"/>
            <w:gridSpan w:val="2"/>
            <w:tcBorders>
              <w:top w:val="nil"/>
              <w:left w:val="single" w:sz="4"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3"/>
              <w:jc w:val="center"/>
            </w:pPr>
            <w:r>
              <w:rPr>
                <w:rFonts w:ascii="Times New Roman" w:eastAsia="Times New Roman" w:hAnsi="Times New Roman" w:cs="Times New Roman"/>
              </w:rPr>
              <w:t>-</w:t>
            </w:r>
          </w:p>
        </w:tc>
        <w:tc>
          <w:tcPr>
            <w:tcW w:w="6591" w:type="dxa"/>
            <w:gridSpan w:val="2"/>
            <w:tcBorders>
              <w:top w:val="nil"/>
              <w:left w:val="nil"/>
              <w:bottom w:val="single" w:sz="4" w:space="0" w:color="00000A"/>
              <w:right w:val="single" w:sz="5" w:space="0" w:color="00000A"/>
            </w:tcBorders>
          </w:tcPr>
          <w:p w:rsidR="00E23B86" w:rsidRDefault="00BA7C13">
            <w:pPr>
              <w:spacing w:after="0"/>
              <w:ind w:right="2"/>
              <w:jc w:val="both"/>
            </w:pPr>
            <w:r>
              <w:rPr>
                <w:rFonts w:ascii="Arial" w:eastAsia="Arial" w:hAnsi="Arial" w:cs="Arial"/>
                <w:i/>
              </w:rPr>
              <w:t>Las acciones están apoyadas en metodologías de intervención respaldadas por la comunidad profesional y las recomendaciones de las instituciones.</w:t>
            </w:r>
          </w:p>
        </w:tc>
      </w:tr>
      <w:tr w:rsidR="00E23B86">
        <w:trPr>
          <w:gridBefore w:val="1"/>
          <w:trHeight w:val="787"/>
        </w:trPr>
        <w:tc>
          <w:tcPr>
            <w:tcW w:w="2565" w:type="dxa"/>
            <w:gridSpan w:val="2"/>
            <w:tcBorders>
              <w:top w:val="single" w:sz="4" w:space="0" w:color="00000A"/>
              <w:left w:val="single" w:sz="5" w:space="0" w:color="00000A"/>
              <w:bottom w:val="nil"/>
              <w:right w:val="single" w:sz="5" w:space="0" w:color="00000A"/>
            </w:tcBorders>
            <w:vAlign w:val="bottom"/>
          </w:tcPr>
          <w:p w:rsidR="00E23B86" w:rsidRDefault="00BA7C13">
            <w:pPr>
              <w:spacing w:after="0"/>
              <w:ind w:left="113"/>
              <w:jc w:val="center"/>
            </w:pPr>
            <w:r>
              <w:rPr>
                <w:rFonts w:ascii="Arial" w:eastAsia="Arial" w:hAnsi="Arial" w:cs="Arial"/>
                <w:i/>
              </w:rPr>
              <w:t>Participación</w:t>
            </w:r>
          </w:p>
        </w:tc>
        <w:tc>
          <w:tcPr>
            <w:tcW w:w="457" w:type="dxa"/>
            <w:gridSpan w:val="2"/>
            <w:tcBorders>
              <w:top w:val="single" w:sz="4" w:space="0" w:color="00000A"/>
              <w:left w:val="single" w:sz="5" w:space="0" w:color="00000A"/>
              <w:bottom w:val="nil"/>
              <w:right w:val="nil"/>
            </w:tcBorders>
          </w:tcPr>
          <w:p w:rsidR="00E23B86" w:rsidRDefault="00BA7C13">
            <w:pPr>
              <w:spacing w:after="0"/>
              <w:ind w:left="95"/>
              <w:jc w:val="center"/>
            </w:pPr>
            <w:r>
              <w:rPr>
                <w:rFonts w:ascii="Times New Roman" w:eastAsia="Times New Roman" w:hAnsi="Times New Roman" w:cs="Times New Roman"/>
              </w:rPr>
              <w:t>-</w:t>
            </w:r>
          </w:p>
        </w:tc>
        <w:tc>
          <w:tcPr>
            <w:tcW w:w="6591" w:type="dxa"/>
            <w:gridSpan w:val="2"/>
            <w:tcBorders>
              <w:top w:val="single" w:sz="4" w:space="0" w:color="00000A"/>
              <w:left w:val="nil"/>
              <w:bottom w:val="nil"/>
              <w:right w:val="single" w:sz="5" w:space="0" w:color="00000A"/>
            </w:tcBorders>
            <w:vAlign w:val="center"/>
          </w:tcPr>
          <w:p w:rsidR="00E23B86" w:rsidRDefault="00BA7C13">
            <w:pPr>
              <w:spacing w:after="0"/>
              <w:jc w:val="both"/>
            </w:pPr>
            <w:r>
              <w:rPr>
                <w:rFonts w:ascii="Arial" w:eastAsia="Arial" w:hAnsi="Arial" w:cs="Arial"/>
                <w:i/>
              </w:rPr>
              <w:t xml:space="preserve">Información y sensibilización de la sociedad en su conjunto, a fin de que se involucre de forma directa en este tema. </w:t>
            </w:r>
          </w:p>
        </w:tc>
      </w:tr>
      <w:tr w:rsidR="00E23B86">
        <w:trPr>
          <w:gridBefore w:val="1"/>
          <w:trHeight w:val="848"/>
        </w:trPr>
        <w:tc>
          <w:tcPr>
            <w:tcW w:w="2565" w:type="dxa"/>
            <w:gridSpan w:val="2"/>
            <w:tcBorders>
              <w:top w:val="nil"/>
              <w:left w:val="single" w:sz="5"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5"/>
              <w:jc w:val="center"/>
            </w:pPr>
            <w:r>
              <w:rPr>
                <w:rFonts w:ascii="Times New Roman" w:eastAsia="Times New Roman" w:hAnsi="Times New Roman" w:cs="Times New Roman"/>
              </w:rPr>
              <w:t>-</w:t>
            </w:r>
          </w:p>
        </w:tc>
        <w:tc>
          <w:tcPr>
            <w:tcW w:w="6591" w:type="dxa"/>
            <w:gridSpan w:val="2"/>
            <w:tcBorders>
              <w:top w:val="nil"/>
              <w:left w:val="nil"/>
              <w:bottom w:val="single" w:sz="4" w:space="0" w:color="00000A"/>
              <w:right w:val="single" w:sz="5" w:space="0" w:color="00000A"/>
            </w:tcBorders>
          </w:tcPr>
          <w:p w:rsidR="00E23B86" w:rsidRDefault="00BA7C13">
            <w:pPr>
              <w:spacing w:after="0"/>
              <w:ind w:right="1"/>
              <w:jc w:val="both"/>
            </w:pPr>
            <w:r>
              <w:rPr>
                <w:rFonts w:ascii="Arial" w:eastAsia="Arial" w:hAnsi="Arial" w:cs="Arial"/>
                <w:i/>
              </w:rPr>
              <w:t xml:space="preserve">Se trabaja en la identificación, motivación e implicación activa de los grupos poblacionales que se hallan en situaciones de mayor vulnerabilidad. </w:t>
            </w:r>
          </w:p>
        </w:tc>
      </w:tr>
      <w:tr w:rsidR="00E23B86">
        <w:trPr>
          <w:gridBefore w:val="1"/>
          <w:trHeight w:val="1262"/>
        </w:trPr>
        <w:tc>
          <w:tcPr>
            <w:tcW w:w="2565" w:type="dxa"/>
            <w:gridSpan w:val="2"/>
            <w:tcBorders>
              <w:top w:val="single" w:sz="4" w:space="0" w:color="00000A"/>
              <w:left w:val="single" w:sz="5" w:space="0" w:color="00000A"/>
              <w:bottom w:val="single" w:sz="4" w:space="0" w:color="00000A"/>
              <w:right w:val="single" w:sz="5" w:space="0" w:color="00000A"/>
            </w:tcBorders>
            <w:vAlign w:val="center"/>
          </w:tcPr>
          <w:p w:rsidR="00E23B86" w:rsidRDefault="00BA7C13">
            <w:pPr>
              <w:spacing w:after="0"/>
              <w:jc w:val="center"/>
            </w:pPr>
            <w:r>
              <w:rPr>
                <w:rFonts w:ascii="Arial" w:eastAsia="Arial" w:hAnsi="Arial" w:cs="Arial"/>
                <w:i/>
              </w:rPr>
              <w:t>Intersectorialidad e interdisciplinariedad</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95"/>
              <w:jc w:val="center"/>
            </w:pPr>
            <w:r>
              <w:rPr>
                <w:rFonts w:ascii="Times New Roman" w:eastAsia="Times New Roman" w:hAnsi="Times New Roman" w:cs="Times New Roman"/>
              </w:rPr>
              <w:t>-</w:t>
            </w:r>
          </w:p>
        </w:tc>
        <w:tc>
          <w:tcPr>
            <w:tcW w:w="659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jc w:val="both"/>
            </w:pPr>
            <w:r>
              <w:rPr>
                <w:rFonts w:ascii="Arial" w:eastAsia="Arial" w:hAnsi="Arial" w:cs="Arial"/>
                <w:i/>
              </w:rPr>
              <w:t xml:space="preserve">Ofrecer un enfoque y un abordaje multifactorial, intersectorial y multidisciplinar, y aspirar a una optimización de esfuerzos y recursos mediante la coordinación y cooperación de los distintos agentes. </w:t>
            </w:r>
          </w:p>
        </w:tc>
      </w:tr>
      <w:tr w:rsidR="00E23B86">
        <w:trPr>
          <w:gridBefore w:val="1"/>
          <w:trHeight w:val="790"/>
        </w:trPr>
        <w:tc>
          <w:tcPr>
            <w:tcW w:w="2565" w:type="dxa"/>
            <w:gridSpan w:val="2"/>
            <w:tcBorders>
              <w:top w:val="single" w:sz="4" w:space="0" w:color="00000A"/>
              <w:left w:val="single" w:sz="5" w:space="0" w:color="00000A"/>
              <w:bottom w:val="nil"/>
              <w:right w:val="single" w:sz="5" w:space="0" w:color="00000A"/>
            </w:tcBorders>
            <w:vAlign w:val="bottom"/>
          </w:tcPr>
          <w:p w:rsidR="00E23B86" w:rsidRDefault="00BA7C13">
            <w:pPr>
              <w:spacing w:after="0"/>
              <w:ind w:left="111"/>
              <w:jc w:val="center"/>
            </w:pPr>
            <w:r>
              <w:rPr>
                <w:rFonts w:ascii="Arial" w:eastAsia="Arial" w:hAnsi="Arial" w:cs="Arial"/>
                <w:i/>
              </w:rPr>
              <w:t>Calidad</w:t>
            </w:r>
          </w:p>
        </w:tc>
        <w:tc>
          <w:tcPr>
            <w:tcW w:w="457" w:type="dxa"/>
            <w:gridSpan w:val="2"/>
            <w:tcBorders>
              <w:top w:val="single" w:sz="4" w:space="0" w:color="00000A"/>
              <w:left w:val="single" w:sz="5" w:space="0" w:color="00000A"/>
              <w:bottom w:val="nil"/>
              <w:right w:val="nil"/>
            </w:tcBorders>
          </w:tcPr>
          <w:p w:rsidR="00E23B86" w:rsidRDefault="00BA7C13">
            <w:pPr>
              <w:spacing w:after="0"/>
              <w:ind w:left="95"/>
              <w:jc w:val="center"/>
            </w:pPr>
            <w:r>
              <w:rPr>
                <w:rFonts w:ascii="Times New Roman" w:eastAsia="Times New Roman" w:hAnsi="Times New Roman" w:cs="Times New Roman"/>
              </w:rPr>
              <w:t>-</w:t>
            </w:r>
          </w:p>
        </w:tc>
        <w:tc>
          <w:tcPr>
            <w:tcW w:w="6591" w:type="dxa"/>
            <w:gridSpan w:val="2"/>
            <w:tcBorders>
              <w:top w:val="single" w:sz="4" w:space="0" w:color="00000A"/>
              <w:left w:val="nil"/>
              <w:bottom w:val="nil"/>
              <w:right w:val="single" w:sz="5" w:space="0" w:color="00000A"/>
            </w:tcBorders>
            <w:vAlign w:val="center"/>
          </w:tcPr>
          <w:p w:rsidR="00E23B86" w:rsidRDefault="00BA7C13">
            <w:pPr>
              <w:spacing w:after="0"/>
              <w:jc w:val="both"/>
            </w:pPr>
            <w:r>
              <w:rPr>
                <w:rFonts w:ascii="Arial" w:eastAsia="Arial" w:hAnsi="Arial" w:cs="Arial"/>
                <w:i/>
              </w:rPr>
              <w:t xml:space="preserve">Garantizar una acción preventiva a las personas directa o indirectamente afectadas por las adicciones. </w:t>
            </w:r>
          </w:p>
        </w:tc>
      </w:tr>
      <w:tr w:rsidR="00E23B86">
        <w:trPr>
          <w:gridBefore w:val="1"/>
          <w:trHeight w:val="594"/>
        </w:trPr>
        <w:tc>
          <w:tcPr>
            <w:tcW w:w="2565" w:type="dxa"/>
            <w:gridSpan w:val="2"/>
            <w:tcBorders>
              <w:top w:val="nil"/>
              <w:left w:val="single" w:sz="5" w:space="0" w:color="00000A"/>
              <w:bottom w:val="single" w:sz="4" w:space="0" w:color="00000A"/>
              <w:right w:val="single" w:sz="5" w:space="0" w:color="00000A"/>
            </w:tcBorders>
          </w:tcPr>
          <w:p w:rsidR="00E23B86" w:rsidRDefault="00E23B86"/>
        </w:tc>
        <w:tc>
          <w:tcPr>
            <w:tcW w:w="457" w:type="dxa"/>
            <w:gridSpan w:val="2"/>
            <w:tcBorders>
              <w:top w:val="nil"/>
              <w:left w:val="single" w:sz="5" w:space="0" w:color="00000A"/>
              <w:bottom w:val="single" w:sz="4" w:space="0" w:color="00000A"/>
              <w:right w:val="nil"/>
            </w:tcBorders>
          </w:tcPr>
          <w:p w:rsidR="00E23B86" w:rsidRDefault="00BA7C13">
            <w:pPr>
              <w:spacing w:after="0"/>
              <w:ind w:left="95"/>
              <w:jc w:val="center"/>
            </w:pPr>
            <w:r>
              <w:rPr>
                <w:rFonts w:ascii="Times New Roman" w:eastAsia="Times New Roman" w:hAnsi="Times New Roman" w:cs="Times New Roman"/>
              </w:rPr>
              <w:t>-</w:t>
            </w:r>
          </w:p>
        </w:tc>
        <w:tc>
          <w:tcPr>
            <w:tcW w:w="6591" w:type="dxa"/>
            <w:gridSpan w:val="2"/>
            <w:tcBorders>
              <w:top w:val="nil"/>
              <w:left w:val="nil"/>
              <w:bottom w:val="single" w:sz="4" w:space="0" w:color="00000A"/>
              <w:right w:val="single" w:sz="5" w:space="0" w:color="00000A"/>
            </w:tcBorders>
          </w:tcPr>
          <w:p w:rsidR="00E23B86" w:rsidRDefault="00BA7C13">
            <w:pPr>
              <w:spacing w:after="0"/>
            </w:pPr>
            <w:r>
              <w:rPr>
                <w:rFonts w:ascii="Arial" w:eastAsia="Arial" w:hAnsi="Arial" w:cs="Arial"/>
                <w:i/>
              </w:rPr>
              <w:t>Este principio se respalda en el descrito en la “evidencia científica”.</w:t>
            </w:r>
          </w:p>
        </w:tc>
      </w:tr>
      <w:tr w:rsidR="00E23B86">
        <w:trPr>
          <w:gridBefore w:val="1"/>
          <w:trHeight w:val="1539"/>
        </w:trPr>
        <w:tc>
          <w:tcPr>
            <w:tcW w:w="2565" w:type="dxa"/>
            <w:gridSpan w:val="2"/>
            <w:tcBorders>
              <w:top w:val="single" w:sz="4" w:space="0" w:color="00000A"/>
              <w:left w:val="single" w:sz="5" w:space="0" w:color="00000A"/>
              <w:bottom w:val="single" w:sz="4" w:space="0" w:color="00000A"/>
              <w:right w:val="single" w:sz="5" w:space="0" w:color="00000A"/>
            </w:tcBorders>
          </w:tcPr>
          <w:p w:rsidR="00E23B86" w:rsidRDefault="00BA7C13">
            <w:pPr>
              <w:spacing w:after="0"/>
              <w:ind w:left="51"/>
              <w:jc w:val="center"/>
            </w:pPr>
            <w:r>
              <w:rPr>
                <w:rFonts w:ascii="Arial" w:eastAsia="Arial" w:hAnsi="Arial" w:cs="Arial"/>
                <w:i/>
              </w:rPr>
              <w:t>Eficiencia y sostenibilidad</w:t>
            </w:r>
          </w:p>
        </w:tc>
        <w:tc>
          <w:tcPr>
            <w:tcW w:w="457" w:type="dxa"/>
            <w:gridSpan w:val="2"/>
            <w:tcBorders>
              <w:top w:val="single" w:sz="4" w:space="0" w:color="00000A"/>
              <w:left w:val="single" w:sz="5" w:space="0" w:color="00000A"/>
              <w:bottom w:val="single" w:sz="4" w:space="0" w:color="00000A"/>
              <w:right w:val="nil"/>
            </w:tcBorders>
          </w:tcPr>
          <w:p w:rsidR="00E23B86" w:rsidRDefault="00BA7C13">
            <w:pPr>
              <w:spacing w:after="0"/>
              <w:ind w:left="102"/>
              <w:jc w:val="center"/>
            </w:pPr>
            <w:r>
              <w:rPr>
                <w:rFonts w:ascii="Times New Roman" w:eastAsia="Times New Roman" w:hAnsi="Times New Roman" w:cs="Times New Roman"/>
                <w:sz w:val="24"/>
              </w:rPr>
              <w:t>-</w:t>
            </w:r>
          </w:p>
        </w:tc>
        <w:tc>
          <w:tcPr>
            <w:tcW w:w="659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jc w:val="both"/>
            </w:pPr>
            <w:r>
              <w:rPr>
                <w:rFonts w:ascii="Arial" w:eastAsia="Arial" w:hAnsi="Arial" w:cs="Arial"/>
                <w:i/>
              </w:rPr>
              <w:t>Apostando por una gestión eficiente de los recursos que garanticen la eficacia y la sostenibilidad del sistema y su evaluación; y que permita asegurar la ejecución de las políticas acordadas, mediante la consignación presupuestaria correspondiente.</w:t>
            </w:r>
          </w:p>
        </w:tc>
      </w:tr>
    </w:tbl>
    <w:p w:rsidR="00E23B86" w:rsidRDefault="00BA7C13">
      <w:pPr>
        <w:spacing w:after="111" w:line="251" w:lineRule="auto"/>
        <w:ind w:left="355" w:right="573" w:hanging="10"/>
        <w:jc w:val="both"/>
      </w:pPr>
      <w:r>
        <w:rPr>
          <w:rFonts w:ascii="Arial" w:eastAsia="Arial" w:hAnsi="Arial" w:cs="Arial"/>
          <w:i/>
        </w:rPr>
        <w:t xml:space="preserve">Fuente: Estrategia Nacional sobre Adicciones 2017 – 2024. </w:t>
      </w:r>
    </w:p>
    <w:tbl>
      <w:tblPr>
        <w:tblStyle w:val="TableGrid"/>
        <w:tblW w:w="8483" w:type="dxa"/>
        <w:tblInd w:w="361" w:type="dxa"/>
        <w:tblCellMar>
          <w:top w:w="42" w:type="dxa"/>
          <w:left w:w="0" w:type="dxa"/>
          <w:bottom w:w="0" w:type="dxa"/>
          <w:right w:w="115" w:type="dxa"/>
        </w:tblCellMar>
        <w:tblLook w:val="04A0" w:firstRow="1" w:lastRow="0" w:firstColumn="1" w:lastColumn="0" w:noHBand="0" w:noVBand="1"/>
      </w:tblPr>
      <w:tblGrid>
        <w:gridCol w:w="677"/>
        <w:gridCol w:w="7806"/>
      </w:tblGrid>
      <w:tr w:rsidR="00E23B86">
        <w:trPr>
          <w:trHeight w:val="339"/>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Times New Roman" w:eastAsia="Times New Roman" w:hAnsi="Times New Roman" w:cs="Times New Roman"/>
                <w:sz w:val="24"/>
              </w:rPr>
              <w:t>4.</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CAMPO DE ACTUACIÓN  </w:t>
            </w:r>
          </w:p>
        </w:tc>
      </w:tr>
    </w:tbl>
    <w:p w:rsidR="00E23B86" w:rsidRDefault="00BA7C13">
      <w:pPr>
        <w:spacing w:after="111" w:line="251" w:lineRule="auto"/>
        <w:ind w:left="355" w:right="573" w:hanging="10"/>
        <w:jc w:val="both"/>
      </w:pPr>
      <w:r>
        <w:rPr>
          <w:rFonts w:ascii="Arial" w:eastAsia="Arial" w:hAnsi="Arial" w:cs="Arial"/>
          <w:i/>
        </w:rPr>
        <w:t>Para este IV Plan, y en consonancia con la Estrategia Nacional sobre Adicciones 2017-2024, la prevención y las acciones para la reducción de riesgos se centrarán en las siguientes adicciones:</w:t>
      </w:r>
    </w:p>
    <w:p w:rsidR="00E23B86" w:rsidRDefault="00BA7C13">
      <w:pPr>
        <w:numPr>
          <w:ilvl w:val="1"/>
          <w:numId w:val="127"/>
        </w:numPr>
        <w:spacing w:after="111" w:line="251" w:lineRule="auto"/>
        <w:ind w:right="573" w:hanging="360"/>
        <w:jc w:val="both"/>
      </w:pPr>
      <w:r>
        <w:rPr>
          <w:rFonts w:ascii="Arial" w:eastAsia="Arial" w:hAnsi="Arial" w:cs="Arial"/>
          <w:i/>
        </w:rPr>
        <w:t>Drogas legales: tabaco, alcohol.</w:t>
      </w:r>
    </w:p>
    <w:p w:rsidR="00E23B86" w:rsidRDefault="00BA7C13">
      <w:pPr>
        <w:numPr>
          <w:ilvl w:val="1"/>
          <w:numId w:val="127"/>
        </w:numPr>
        <w:spacing w:after="111" w:line="251" w:lineRule="auto"/>
        <w:ind w:right="573" w:hanging="360"/>
        <w:jc w:val="both"/>
      </w:pPr>
      <w:r>
        <w:rPr>
          <w:rFonts w:ascii="Arial" w:eastAsia="Arial" w:hAnsi="Arial" w:cs="Arial"/>
          <w:i/>
        </w:rPr>
        <w:t>Fármacos de prescripción médica</w:t>
      </w:r>
      <w:r>
        <w:rPr>
          <w:rFonts w:ascii="Arial" w:eastAsia="Arial" w:hAnsi="Arial" w:cs="Arial"/>
          <w:i/>
        </w:rPr>
        <w:t xml:space="preserve"> y otras sustancias con potencial adictivo.</w:t>
      </w:r>
    </w:p>
    <w:p w:rsidR="00E23B86" w:rsidRDefault="00BA7C13">
      <w:pPr>
        <w:numPr>
          <w:ilvl w:val="1"/>
          <w:numId w:val="127"/>
        </w:numPr>
        <w:spacing w:after="111" w:line="251" w:lineRule="auto"/>
        <w:ind w:right="573" w:hanging="360"/>
        <w:jc w:val="both"/>
      </w:pPr>
      <w:r>
        <w:rPr>
          <w:rFonts w:ascii="Arial" w:eastAsia="Arial" w:hAnsi="Arial" w:cs="Arial"/>
          <w:i/>
        </w:rPr>
        <w:t>Drogas ilegales, incluidas las nuevas sustancias psicoactivas.</w:t>
      </w:r>
    </w:p>
    <w:p w:rsidR="00E23B86" w:rsidRDefault="00BA7C13">
      <w:pPr>
        <w:numPr>
          <w:ilvl w:val="1"/>
          <w:numId w:val="127"/>
        </w:numPr>
        <w:spacing w:after="111" w:line="251" w:lineRule="auto"/>
        <w:ind w:right="573" w:hanging="360"/>
        <w:jc w:val="both"/>
      </w:pPr>
      <w:r>
        <w:rPr>
          <w:noProof/>
        </w:rPr>
        <mc:AlternateContent>
          <mc:Choice Requires="wpg">
            <w:drawing>
              <wp:anchor distT="0" distB="0" distL="114300" distR="114300" simplePos="0" relativeHeight="2519040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4816" name="Group 60481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592" name="Rectangle 3959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9593" name="Rectangle 3959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238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4816" style="width:12.7031pt;height:280.35pt;position:absolute;mso-position-horizontal-relative:page;mso-position-horizontal:absolute;margin-left:681.958pt;mso-position-vertical-relative:page;margin-top:531.65pt;" coordsize="1613,35604">
                <v:rect id="Rectangle 3959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59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238 de 391 </w:t>
                        </w:r>
                      </w:p>
                    </w:txbxContent>
                  </v:textbox>
                </v:rect>
                <w10:wrap type="square"/>
              </v:group>
            </w:pict>
          </mc:Fallback>
        </mc:AlternateContent>
      </w:r>
      <w:r>
        <w:rPr>
          <w:rFonts w:ascii="Arial" w:eastAsia="Arial" w:hAnsi="Arial" w:cs="Arial"/>
          <w:i/>
        </w:rPr>
        <w:t>Adicciones comportamentales relacionadas con la ludopatía (juego presencial y online) y videojuegos.</w:t>
      </w:r>
    </w:p>
    <w:p w:rsidR="00E23B86" w:rsidRDefault="00BA7C13">
      <w:pPr>
        <w:numPr>
          <w:ilvl w:val="1"/>
          <w:numId w:val="127"/>
        </w:numPr>
        <w:spacing w:after="111" w:line="251" w:lineRule="auto"/>
        <w:ind w:right="573" w:hanging="360"/>
        <w:jc w:val="both"/>
      </w:pPr>
      <w:r>
        <w:rPr>
          <w:rFonts w:ascii="Arial" w:eastAsia="Arial" w:hAnsi="Arial" w:cs="Arial"/>
          <w:i/>
        </w:rPr>
        <w:t>Adicciones comportamentales relacionadas con las Tecnologías</w:t>
      </w:r>
      <w:r>
        <w:rPr>
          <w:rFonts w:ascii="Arial" w:eastAsia="Arial" w:hAnsi="Arial" w:cs="Arial"/>
          <w:i/>
        </w:rPr>
        <w:t xml:space="preserve"> de la Información y la Comunicación (Redes Sociales, Internet).</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589"/>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5.</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META Y OBJETIVOS GENERALES DEL IV PLAN SOBRE ADICCIONES DE CANDELARIA  </w:t>
            </w:r>
          </w:p>
        </w:tc>
      </w:tr>
    </w:tbl>
    <w:p w:rsidR="00E23B86" w:rsidRDefault="00BA7C13">
      <w:pPr>
        <w:spacing w:after="111" w:line="251" w:lineRule="auto"/>
        <w:ind w:left="355" w:right="573" w:hanging="10"/>
        <w:jc w:val="both"/>
      </w:pPr>
      <w:r>
        <w:rPr>
          <w:rFonts w:ascii="Arial" w:eastAsia="Arial" w:hAnsi="Arial" w:cs="Arial"/>
          <w:i/>
        </w:rPr>
        <w:t>La meta principal de este IV Plan de Adicciones es lograr una comunidad saludable, más informada y sensibilizada ante las drogas y otras adicciones, haciendo énfasis en los siguientes objetivos generales según las áreas de actuación.</w:t>
      </w:r>
    </w:p>
    <w:p w:rsidR="00E23B86" w:rsidRDefault="00BA7C13">
      <w:pPr>
        <w:numPr>
          <w:ilvl w:val="0"/>
          <w:numId w:val="128"/>
        </w:numPr>
        <w:spacing w:after="111" w:line="251" w:lineRule="auto"/>
        <w:ind w:right="573" w:hanging="360"/>
        <w:jc w:val="both"/>
      </w:pPr>
      <w:r>
        <w:rPr>
          <w:rFonts w:ascii="Arial" w:eastAsia="Arial" w:hAnsi="Arial" w:cs="Arial"/>
          <w:i/>
        </w:rPr>
        <w:t>Área de prevención y s</w:t>
      </w:r>
      <w:r>
        <w:rPr>
          <w:rFonts w:ascii="Arial" w:eastAsia="Arial" w:hAnsi="Arial" w:cs="Arial"/>
          <w:i/>
        </w:rPr>
        <w:t xml:space="preserve">ensibilización.  </w:t>
      </w:r>
    </w:p>
    <w:p w:rsidR="00E23B86" w:rsidRDefault="00BA7C13">
      <w:pPr>
        <w:spacing w:after="111" w:line="251" w:lineRule="auto"/>
        <w:ind w:left="1082" w:right="573" w:hanging="10"/>
        <w:jc w:val="both"/>
      </w:pPr>
      <w:r>
        <w:rPr>
          <w:rFonts w:ascii="Arial" w:eastAsia="Arial" w:hAnsi="Arial" w:cs="Arial"/>
          <w:i/>
        </w:rPr>
        <w:t>Objetivo general: potenciar acciones encaminadas a reducir los factores de riesgo y potenciar los de protección frente al consumo de drogas y otras adicciones relacionadas con conductas con potencial adictivo.</w:t>
      </w:r>
    </w:p>
    <w:p w:rsidR="00E23B86" w:rsidRDefault="00BA7C13">
      <w:pPr>
        <w:numPr>
          <w:ilvl w:val="0"/>
          <w:numId w:val="128"/>
        </w:numPr>
        <w:spacing w:after="111" w:line="251" w:lineRule="auto"/>
        <w:ind w:right="573" w:hanging="360"/>
        <w:jc w:val="both"/>
      </w:pPr>
      <w:r>
        <w:rPr>
          <w:rFonts w:ascii="Arial" w:eastAsia="Arial" w:hAnsi="Arial" w:cs="Arial"/>
          <w:i/>
        </w:rPr>
        <w:t>Área de incorporación social</w:t>
      </w:r>
      <w:r>
        <w:rPr>
          <w:rFonts w:ascii="Arial" w:eastAsia="Arial" w:hAnsi="Arial" w:cs="Arial"/>
          <w:i/>
        </w:rPr>
        <w:t>.</w:t>
      </w:r>
    </w:p>
    <w:p w:rsidR="00E23B86" w:rsidRDefault="00BA7C13">
      <w:pPr>
        <w:spacing w:after="111" w:line="251" w:lineRule="auto"/>
        <w:ind w:left="1082" w:right="573" w:hanging="10"/>
        <w:jc w:val="both"/>
      </w:pPr>
      <w:r>
        <w:rPr>
          <w:rFonts w:ascii="Arial" w:eastAsia="Arial" w:hAnsi="Arial" w:cs="Arial"/>
          <w:i/>
        </w:rPr>
        <w:t>Objetivo general: promover la coordinación y participación de los distintos agentes sociales de la comunidad y los recursos existentes, en los procesos de incorporación laboral y social de las personas en situación de riesgo o vulnerabilidad.</w:t>
      </w:r>
    </w:p>
    <w:p w:rsidR="00E23B86" w:rsidRDefault="00BA7C13">
      <w:pPr>
        <w:numPr>
          <w:ilvl w:val="0"/>
          <w:numId w:val="128"/>
        </w:numPr>
        <w:spacing w:after="111" w:line="251" w:lineRule="auto"/>
        <w:ind w:right="573" w:hanging="360"/>
        <w:jc w:val="both"/>
      </w:pPr>
      <w:r>
        <w:rPr>
          <w:rFonts w:ascii="Arial" w:eastAsia="Arial" w:hAnsi="Arial" w:cs="Arial"/>
          <w:i/>
        </w:rPr>
        <w:t xml:space="preserve">Área de soporte y apoyo a los procesos de gestión del IV Plan. </w:t>
      </w:r>
    </w:p>
    <w:p w:rsidR="00E23B86" w:rsidRDefault="00BA7C13">
      <w:pPr>
        <w:spacing w:after="111" w:line="251" w:lineRule="auto"/>
        <w:ind w:left="1082" w:right="573" w:hanging="10"/>
        <w:jc w:val="both"/>
      </w:pPr>
      <w:r>
        <w:rPr>
          <w:rFonts w:ascii="Arial" w:eastAsia="Arial" w:hAnsi="Arial" w:cs="Arial"/>
          <w:i/>
        </w:rPr>
        <w:t>Objetivo general: desarrollar los procesos básicos, de recursos y avanzados de gestión a lo largo de la ejecución de las acciones del IV Plan Municipal, para lograr los objetivos buscados en l</w:t>
      </w:r>
      <w:r>
        <w:rPr>
          <w:rFonts w:ascii="Arial" w:eastAsia="Arial" w:hAnsi="Arial" w:cs="Arial"/>
          <w:i/>
        </w:rPr>
        <w:t>as áreas de prevención e incorporación social.</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315"/>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6.</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ÁREAS DE ACTUACIÓN </w:t>
            </w:r>
          </w:p>
        </w:tc>
      </w:tr>
    </w:tbl>
    <w:p w:rsidR="00E23B86" w:rsidRDefault="00BA7C13">
      <w:pPr>
        <w:spacing w:after="269" w:line="251" w:lineRule="auto"/>
        <w:ind w:left="355" w:right="573" w:hanging="10"/>
        <w:jc w:val="both"/>
      </w:pPr>
      <w:r>
        <w:rPr>
          <w:rFonts w:ascii="Arial" w:eastAsia="Arial" w:hAnsi="Arial" w:cs="Arial"/>
          <w:i/>
        </w:rPr>
        <w:t>Para abordar la prevención de las drogodependencias y otras adicciones, se trabajará sobre las tres áreas comentadas anteriormente. Dentro de cada una de estas áreas, se especificarán l</w:t>
      </w:r>
      <w:r>
        <w:rPr>
          <w:rFonts w:ascii="Arial" w:eastAsia="Arial" w:hAnsi="Arial" w:cs="Arial"/>
          <w:i/>
        </w:rPr>
        <w:t>as acciones y medidas por ámbitos, entendidos como el sector, contexto o colectivo al que van dirigidas las acciones. Los ámbitos de actuación son los que propone la Estrategia Nacional sobre Adicciones 2017-2024 y son los siguientes: escolar, familiar y c</w:t>
      </w:r>
      <w:r>
        <w:rPr>
          <w:rFonts w:ascii="Arial" w:eastAsia="Arial" w:hAnsi="Arial" w:cs="Arial"/>
          <w:i/>
        </w:rPr>
        <w:t xml:space="preserve">omunitario. </w:t>
      </w:r>
    </w:p>
    <w:p w:rsidR="00E23B86" w:rsidRDefault="00BA7C13">
      <w:pPr>
        <w:spacing w:after="248" w:line="251" w:lineRule="auto"/>
        <w:ind w:left="355" w:right="573" w:hanging="10"/>
        <w:jc w:val="both"/>
      </w:pPr>
      <w:r>
        <w:rPr>
          <w:noProof/>
        </w:rPr>
        <mc:AlternateContent>
          <mc:Choice Requires="wpg">
            <w:drawing>
              <wp:anchor distT="0" distB="0" distL="114300" distR="114300" simplePos="0" relativeHeight="2519050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7006" name="Group 54700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661" name="Rectangle 3966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9662" name="Rectangle 3966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239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7006" style="width:12.7031pt;height:280.35pt;position:absolute;mso-position-horizontal-relative:page;mso-position-horizontal:absolute;margin-left:681.958pt;mso-position-vertical-relative:page;margin-top:531.65pt;" coordsize="1613,35604">
                <v:rect id="Rectangle 3966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66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239 de 391 </w:t>
                        </w:r>
                      </w:p>
                    </w:txbxContent>
                  </v:textbox>
                </v:rect>
                <w10:wrap type="square"/>
              </v:group>
            </w:pict>
          </mc:Fallback>
        </mc:AlternateContent>
      </w:r>
      <w:r>
        <w:rPr>
          <w:rFonts w:ascii="Arial" w:eastAsia="Arial" w:hAnsi="Arial" w:cs="Arial"/>
          <w:i/>
        </w:rPr>
        <w:t xml:space="preserve">6.1. ÁREA DE PREVENCIÓN Y SENSIBILIZACIÓN </w:t>
      </w:r>
    </w:p>
    <w:p w:rsidR="00E23B86" w:rsidRDefault="00BA7C13">
      <w:pPr>
        <w:spacing w:after="111" w:line="251" w:lineRule="auto"/>
        <w:ind w:left="355" w:right="573" w:hanging="10"/>
        <w:jc w:val="both"/>
      </w:pPr>
      <w:r>
        <w:rPr>
          <w:rFonts w:ascii="Arial" w:eastAsia="Arial" w:hAnsi="Arial" w:cs="Arial"/>
          <w:i/>
        </w:rPr>
        <w:t>La prevención y sensibilización entendida como todas aquellas acciones e intervenciones dirigidas a reducir los factores de riesgo (evitar el consumo experimental y esporádico y que éste no se convierta en continuado y provoque daños) y potenciar los facto</w:t>
      </w:r>
      <w:r>
        <w:rPr>
          <w:rFonts w:ascii="Arial" w:eastAsia="Arial" w:hAnsi="Arial" w:cs="Arial"/>
          <w:i/>
        </w:rPr>
        <w:t>res de protección (estilo de vida saludable, ocio y tiempo libre, formación…).</w:t>
      </w:r>
    </w:p>
    <w:p w:rsidR="00E23B86" w:rsidRDefault="00BA7C13">
      <w:pPr>
        <w:spacing w:after="111" w:line="251" w:lineRule="auto"/>
        <w:ind w:left="355" w:right="573" w:hanging="10"/>
        <w:jc w:val="both"/>
      </w:pPr>
      <w:r>
        <w:rPr>
          <w:rFonts w:ascii="Arial" w:eastAsia="Arial" w:hAnsi="Arial" w:cs="Arial"/>
          <w:i/>
        </w:rPr>
        <w:t>Las intervenciones preventivas propuestas se clasifican en tres niveles, en función de la población a las que van dirigidas:</w:t>
      </w:r>
    </w:p>
    <w:p w:rsidR="00E23B86" w:rsidRDefault="00BA7C13">
      <w:pPr>
        <w:numPr>
          <w:ilvl w:val="0"/>
          <w:numId w:val="129"/>
        </w:numPr>
        <w:spacing w:after="482" w:line="251" w:lineRule="auto"/>
        <w:ind w:right="573" w:hanging="360"/>
        <w:jc w:val="both"/>
      </w:pPr>
      <w:r>
        <w:rPr>
          <w:rFonts w:ascii="Arial" w:eastAsia="Arial" w:hAnsi="Arial" w:cs="Arial"/>
          <w:i/>
        </w:rPr>
        <w:t>Universal: acciones dirigidas para toda la población</w:t>
      </w:r>
      <w:r>
        <w:rPr>
          <w:rFonts w:ascii="Arial" w:eastAsia="Arial" w:hAnsi="Arial" w:cs="Arial"/>
          <w:i/>
        </w:rPr>
        <w:t xml:space="preserve"> dentro del ámbito concreto (educativo, laboral, familiar).</w:t>
      </w:r>
    </w:p>
    <w:p w:rsidR="00E23B86" w:rsidRDefault="00BA7C13">
      <w:pPr>
        <w:numPr>
          <w:ilvl w:val="0"/>
          <w:numId w:val="129"/>
        </w:numPr>
        <w:spacing w:after="111" w:line="251" w:lineRule="auto"/>
        <w:ind w:right="573" w:hanging="360"/>
        <w:jc w:val="both"/>
      </w:pPr>
      <w:r>
        <w:rPr>
          <w:rFonts w:ascii="Arial" w:eastAsia="Arial" w:hAnsi="Arial" w:cs="Arial"/>
          <w:i/>
        </w:rPr>
        <w:t>Selectiva: acciones dirigidas a un subgrupo o colectivo que presentan unas características que lo hacen potencial consumidor.</w:t>
      </w:r>
    </w:p>
    <w:p w:rsidR="00E23B86" w:rsidRDefault="00BA7C13">
      <w:pPr>
        <w:numPr>
          <w:ilvl w:val="0"/>
          <w:numId w:val="129"/>
        </w:numPr>
        <w:spacing w:after="149" w:line="251" w:lineRule="auto"/>
        <w:ind w:right="573" w:hanging="360"/>
        <w:jc w:val="both"/>
      </w:pPr>
      <w:r>
        <w:rPr>
          <w:rFonts w:ascii="Arial" w:eastAsia="Arial" w:hAnsi="Arial" w:cs="Arial"/>
          <w:i/>
        </w:rPr>
        <w:t>Indicada: acciones dirigidas a un subgrupo con conductas o problemas y</w:t>
      </w:r>
      <w:r>
        <w:rPr>
          <w:rFonts w:ascii="Arial" w:eastAsia="Arial" w:hAnsi="Arial" w:cs="Arial"/>
          <w:i/>
        </w:rPr>
        <w:t xml:space="preserve">a de consumo de sustancias y donde existe una relación problemática con las adicciones. </w:t>
      </w:r>
    </w:p>
    <w:p w:rsidR="00E23B86" w:rsidRDefault="00BA7C13">
      <w:pPr>
        <w:spacing w:after="111" w:line="251" w:lineRule="auto"/>
        <w:ind w:left="355" w:right="573" w:hanging="10"/>
        <w:jc w:val="both"/>
      </w:pPr>
      <w:r>
        <w:rPr>
          <w:rFonts w:ascii="Arial" w:eastAsia="Arial" w:hAnsi="Arial" w:cs="Arial"/>
          <w:i/>
        </w:rPr>
        <w:t xml:space="preserve">6.1.1. Ámbito Educativo </w:t>
      </w:r>
    </w:p>
    <w:p w:rsidR="00E23B86" w:rsidRDefault="00BA7C13">
      <w:pPr>
        <w:spacing w:after="111" w:line="251" w:lineRule="auto"/>
        <w:ind w:left="355" w:right="573" w:hanging="10"/>
        <w:jc w:val="both"/>
      </w:pPr>
      <w:r>
        <w:rPr>
          <w:rFonts w:ascii="Arial" w:eastAsia="Arial" w:hAnsi="Arial" w:cs="Arial"/>
          <w:i/>
        </w:rPr>
        <w:t xml:space="preserve">Para este ámbito se proponen acciones encaminadas a la prevención del consumo de drogas y otras adicciones en el ámbito educativo formal. Son </w:t>
      </w:r>
      <w:r>
        <w:rPr>
          <w:rFonts w:ascii="Arial" w:eastAsia="Arial" w:hAnsi="Arial" w:cs="Arial"/>
          <w:i/>
        </w:rPr>
        <w:t xml:space="preserve">necesarias estas acciones para prevenir el riesgo y que no suceda el consumo en estas edades tempranas.  Las acciones van dirigidas al estudiantado, profesorado, padres, madres, y/o tutores/as legales.  </w:t>
      </w:r>
    </w:p>
    <w:p w:rsidR="00E23B86" w:rsidRDefault="00BA7C13">
      <w:pPr>
        <w:spacing w:after="111" w:line="251" w:lineRule="auto"/>
        <w:ind w:left="355" w:right="573" w:hanging="10"/>
        <w:jc w:val="both"/>
      </w:pPr>
      <w:r>
        <w:rPr>
          <w:rFonts w:ascii="Arial" w:eastAsia="Arial" w:hAnsi="Arial" w:cs="Arial"/>
          <w:i/>
        </w:rPr>
        <w:t>Objetivo general</w:t>
      </w:r>
    </w:p>
    <w:p w:rsidR="00E23B86" w:rsidRDefault="00BA7C13">
      <w:pPr>
        <w:spacing w:after="232" w:line="251" w:lineRule="auto"/>
        <w:ind w:left="355" w:right="573" w:hanging="10"/>
        <w:jc w:val="both"/>
      </w:pPr>
      <w:r>
        <w:rPr>
          <w:noProof/>
        </w:rPr>
        <mc:AlternateContent>
          <mc:Choice Requires="wpg">
            <w:drawing>
              <wp:anchor distT="0" distB="0" distL="114300" distR="114300" simplePos="0" relativeHeight="2519060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5512" name="Group 60551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760" name="Rectangle 3976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9761" name="Rectangle 3976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240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5512" style="width:12.7031pt;height:280.35pt;position:absolute;mso-position-horizontal-relative:page;mso-position-horizontal:absolute;margin-left:681.958pt;mso-position-vertical-relative:page;margin-top:531.65pt;" coordsize="1613,35604">
                <v:rect id="Rectangle 3976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76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240 de 391 </w:t>
                        </w:r>
                      </w:p>
                    </w:txbxContent>
                  </v:textbox>
                </v:rect>
                <w10:wrap type="square"/>
              </v:group>
            </w:pict>
          </mc:Fallback>
        </mc:AlternateContent>
      </w:r>
      <w:r>
        <w:rPr>
          <w:rFonts w:ascii="Arial" w:eastAsia="Arial" w:hAnsi="Arial" w:cs="Arial"/>
          <w:i/>
        </w:rPr>
        <w:t>Llevar a cabo acciones y medidas preventivas en el ámbito esc</w:t>
      </w:r>
      <w:r>
        <w:rPr>
          <w:rFonts w:ascii="Arial" w:eastAsia="Arial" w:hAnsi="Arial" w:cs="Arial"/>
          <w:i/>
        </w:rPr>
        <w:t>olar de manera conjunta entre profesorado, padres/madres/tutores/as y estudiantado, destinadas a reducir los factores de riesgo y potenciar los de protección, frente a las drogas y las nuevas adicciones.</w:t>
      </w:r>
    </w:p>
    <w:tbl>
      <w:tblPr>
        <w:tblStyle w:val="TableGrid"/>
        <w:tblW w:w="9340" w:type="dxa"/>
        <w:tblInd w:w="-67" w:type="dxa"/>
        <w:tblCellMar>
          <w:top w:w="13" w:type="dxa"/>
          <w:left w:w="109" w:type="dxa"/>
          <w:bottom w:w="0" w:type="dxa"/>
          <w:right w:w="132" w:type="dxa"/>
        </w:tblCellMar>
        <w:tblLook w:val="04A0" w:firstRow="1" w:lastRow="0" w:firstColumn="1" w:lastColumn="0" w:noHBand="0" w:noVBand="1"/>
      </w:tblPr>
      <w:tblGrid>
        <w:gridCol w:w="6183"/>
        <w:gridCol w:w="3158"/>
      </w:tblGrid>
      <w:tr w:rsidR="00E23B86">
        <w:trPr>
          <w:trHeight w:val="454"/>
        </w:trPr>
        <w:tc>
          <w:tcPr>
            <w:tcW w:w="6183" w:type="dxa"/>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right="1"/>
              <w:jc w:val="center"/>
            </w:pPr>
            <w:r>
              <w:rPr>
                <w:rFonts w:ascii="Arial" w:eastAsia="Arial" w:hAnsi="Arial" w:cs="Arial"/>
                <w:i/>
              </w:rPr>
              <w:t>Actuaciones a desarrollar según nivel de prevención</w:t>
            </w:r>
          </w:p>
        </w:tc>
        <w:tc>
          <w:tcPr>
            <w:tcW w:w="3158" w:type="dxa"/>
            <w:tcBorders>
              <w:top w:val="nil"/>
              <w:left w:val="single" w:sz="5" w:space="0" w:color="00000A"/>
              <w:bottom w:val="single" w:sz="4" w:space="0" w:color="00000A"/>
              <w:right w:val="nil"/>
            </w:tcBorders>
          </w:tcPr>
          <w:p w:rsidR="00E23B86" w:rsidRDefault="00E23B86"/>
        </w:tc>
      </w:tr>
      <w:tr w:rsidR="00E23B86">
        <w:trPr>
          <w:trHeight w:val="454"/>
        </w:trPr>
        <w:tc>
          <w:tcPr>
            <w:tcW w:w="9340" w:type="dxa"/>
            <w:gridSpan w:val="2"/>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2"/>
              <w:jc w:val="center"/>
            </w:pPr>
            <w:r>
              <w:rPr>
                <w:rFonts w:ascii="Arial" w:eastAsia="Arial" w:hAnsi="Arial" w:cs="Arial"/>
                <w:i/>
              </w:rPr>
              <w:t>Actuación</w:t>
            </w:r>
          </w:p>
        </w:tc>
      </w:tr>
      <w:tr w:rsidR="00E23B86">
        <w:trPr>
          <w:trHeight w:val="1022"/>
        </w:trPr>
        <w:tc>
          <w:tcPr>
            <w:tcW w:w="9340" w:type="dxa"/>
            <w:gridSpan w:val="2"/>
            <w:tcBorders>
              <w:top w:val="single" w:sz="4" w:space="0" w:color="00000A"/>
              <w:left w:val="single" w:sz="4" w:space="0" w:color="00000A"/>
              <w:bottom w:val="single" w:sz="4" w:space="0" w:color="00000A"/>
              <w:right w:val="single" w:sz="4" w:space="0" w:color="00000A"/>
            </w:tcBorders>
            <w:shd w:val="clear" w:color="auto" w:fill="FFFFFF"/>
          </w:tcPr>
          <w:p w:rsidR="00E23B86" w:rsidRDefault="00BA7C13">
            <w:pPr>
              <w:spacing w:after="0"/>
              <w:ind w:right="5"/>
              <w:jc w:val="both"/>
            </w:pPr>
            <w:r>
              <w:rPr>
                <w:rFonts w:ascii="Arial" w:eastAsia="Arial" w:hAnsi="Arial" w:cs="Arial"/>
                <w:i/>
              </w:rPr>
              <w:t>Acción E1. Diseño e implementación de programas, proyectos y actividades preventivas dentro del espacio escolar, con la implicación de profesorado, padres, madres y/o tutores/as legales destinados a mejorar la competencia social del estudiantado ante los r</w:t>
            </w:r>
            <w:r>
              <w:rPr>
                <w:rFonts w:ascii="Arial" w:eastAsia="Arial" w:hAnsi="Arial" w:cs="Arial"/>
                <w:i/>
              </w:rPr>
              <w:t xml:space="preserve">iegos de consumo y adicciones. </w:t>
            </w:r>
          </w:p>
        </w:tc>
      </w:tr>
      <w:tr w:rsidR="00E23B86">
        <w:trPr>
          <w:trHeight w:val="768"/>
        </w:trPr>
        <w:tc>
          <w:tcPr>
            <w:tcW w:w="9340"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Acción E2. Poner en marcha programas o proyectos de intervención temprana  dirigidos a menores adolescentes, que presentan dentro o fuera  del contexto escolar conductas de riesgo.</w:t>
            </w:r>
          </w:p>
        </w:tc>
      </w:tr>
      <w:tr w:rsidR="00E23B86">
        <w:trPr>
          <w:trHeight w:val="770"/>
        </w:trPr>
        <w:tc>
          <w:tcPr>
            <w:tcW w:w="9340"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ind w:right="9"/>
              <w:jc w:val="both"/>
            </w:pPr>
            <w:r>
              <w:rPr>
                <w:rFonts w:ascii="Arial" w:eastAsia="Arial" w:hAnsi="Arial" w:cs="Arial"/>
                <w:i/>
              </w:rPr>
              <w:t>Acción E3. Ofertar a los centros educativos un proyecto/programa de orientación personalizada, ya sea de manera individual o grupal, dirigido a estudiantes que presentan vulnerabilidad ante riesgo de consumo o  adicciones.</w:t>
            </w:r>
          </w:p>
        </w:tc>
      </w:tr>
      <w:tr w:rsidR="00E23B86">
        <w:trPr>
          <w:trHeight w:val="768"/>
        </w:trPr>
        <w:tc>
          <w:tcPr>
            <w:tcW w:w="9340"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ind w:right="3"/>
              <w:jc w:val="both"/>
            </w:pPr>
            <w:r>
              <w:rPr>
                <w:rFonts w:ascii="Arial" w:eastAsia="Arial" w:hAnsi="Arial" w:cs="Arial"/>
                <w:i/>
              </w:rPr>
              <w:t>Acción E4. Llevar a cabo durante</w:t>
            </w:r>
            <w:r>
              <w:rPr>
                <w:rFonts w:ascii="Arial" w:eastAsia="Arial" w:hAnsi="Arial" w:cs="Arial"/>
                <w:i/>
              </w:rPr>
              <w:t xml:space="preserve"> el desarrollo del curso académico y en coordinación con profesorado, estudiantado y progenitores/as y/o tutores/as, campañas específicas destinadas al estudiantado, sobre factores de riesgo y protección de la salud. </w:t>
            </w:r>
          </w:p>
        </w:tc>
      </w:tr>
      <w:tr w:rsidR="00E23B86">
        <w:trPr>
          <w:trHeight w:val="770"/>
        </w:trPr>
        <w:tc>
          <w:tcPr>
            <w:tcW w:w="9340"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ind w:right="2"/>
              <w:jc w:val="both"/>
            </w:pPr>
            <w:r>
              <w:rPr>
                <w:rFonts w:ascii="Arial" w:eastAsia="Arial" w:hAnsi="Arial" w:cs="Arial"/>
                <w:i/>
              </w:rPr>
              <w:t>Acción E5. Ofertar espacios de encuen</w:t>
            </w:r>
            <w:r>
              <w:rPr>
                <w:rFonts w:ascii="Arial" w:eastAsia="Arial" w:hAnsi="Arial" w:cs="Arial"/>
                <w:i/>
              </w:rPr>
              <w:t>tro y formación al profesorado, sobre herramientas de detección y actuación ante situaciones de riesgo relacionadas con el consumo de drogas y las adicciones.</w:t>
            </w:r>
          </w:p>
        </w:tc>
      </w:tr>
      <w:tr w:rsidR="00E23B86">
        <w:trPr>
          <w:trHeight w:val="768"/>
        </w:trPr>
        <w:tc>
          <w:tcPr>
            <w:tcW w:w="9340"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ind w:right="4"/>
              <w:jc w:val="both"/>
            </w:pPr>
            <w:r>
              <w:rPr>
                <w:rFonts w:ascii="Arial" w:eastAsia="Arial" w:hAnsi="Arial" w:cs="Arial"/>
                <w:i/>
              </w:rPr>
              <w:t xml:space="preserve">Acción E6.  Prestar un apoyo y asesoramiento al profesorado que participa en las acciones preventivas, para ayudarles a mejorar las actuaciones y aportar nuevas herramientas preventivas. </w:t>
            </w:r>
          </w:p>
        </w:tc>
      </w:tr>
      <w:tr w:rsidR="00E23B86">
        <w:trPr>
          <w:trHeight w:val="1023"/>
        </w:trPr>
        <w:tc>
          <w:tcPr>
            <w:tcW w:w="9340" w:type="dxa"/>
            <w:gridSpan w:val="2"/>
            <w:tcBorders>
              <w:top w:val="single" w:sz="4" w:space="0" w:color="00000A"/>
              <w:left w:val="single" w:sz="4" w:space="0" w:color="00000A"/>
              <w:bottom w:val="single" w:sz="4" w:space="0" w:color="00000A"/>
              <w:right w:val="single" w:sz="4" w:space="0" w:color="00000A"/>
            </w:tcBorders>
          </w:tcPr>
          <w:p w:rsidR="00E23B86" w:rsidRDefault="00BA7C13">
            <w:pPr>
              <w:spacing w:after="0"/>
              <w:ind w:right="1"/>
              <w:jc w:val="both"/>
            </w:pPr>
            <w:r>
              <w:rPr>
                <w:rFonts w:ascii="Arial" w:eastAsia="Arial" w:hAnsi="Arial" w:cs="Arial"/>
                <w:i/>
              </w:rPr>
              <w:t>Acción E7.  Crear un espacio y sistema de coordinación entre equipo</w:t>
            </w:r>
            <w:r>
              <w:rPr>
                <w:rFonts w:ascii="Arial" w:eastAsia="Arial" w:hAnsi="Arial" w:cs="Arial"/>
                <w:i/>
              </w:rPr>
              <w:t xml:space="preserve">s docentes de los centros educativos y profesionales externos que intervienen, para evaluar resultados, potenciar la participación, análisis de necesidades y la búsqueda de soluciones viables para la prevención de adicciones y promoción de la salud en los </w:t>
            </w:r>
            <w:r>
              <w:rPr>
                <w:rFonts w:ascii="Arial" w:eastAsia="Arial" w:hAnsi="Arial" w:cs="Arial"/>
                <w:i/>
              </w:rPr>
              <w:t xml:space="preserve">centros. </w:t>
            </w:r>
          </w:p>
        </w:tc>
      </w:tr>
    </w:tbl>
    <w:p w:rsidR="00E23B86" w:rsidRDefault="00BA7C13">
      <w:pPr>
        <w:spacing w:after="141"/>
        <w:ind w:left="352"/>
      </w:pPr>
      <w:r>
        <w:rPr>
          <w:rFonts w:ascii="Arial" w:eastAsia="Arial" w:hAnsi="Arial" w:cs="Arial"/>
          <w:i/>
        </w:rPr>
        <w:t xml:space="preserve">   </w:t>
      </w:r>
    </w:p>
    <w:p w:rsidR="00E23B86" w:rsidRDefault="00BA7C13">
      <w:pPr>
        <w:spacing w:after="111" w:line="251" w:lineRule="auto"/>
        <w:ind w:left="355" w:right="573" w:hanging="10"/>
        <w:jc w:val="both"/>
      </w:pPr>
      <w:r>
        <w:rPr>
          <w:rFonts w:ascii="Arial" w:eastAsia="Arial" w:hAnsi="Arial" w:cs="Arial"/>
          <w:i/>
        </w:rPr>
        <w:t xml:space="preserve">6.1.2. Ámbito Familiar </w:t>
      </w:r>
    </w:p>
    <w:p w:rsidR="00E23B86" w:rsidRDefault="00BA7C13">
      <w:pPr>
        <w:spacing w:after="483" w:line="251" w:lineRule="auto"/>
        <w:ind w:left="355" w:right="573" w:hanging="10"/>
        <w:jc w:val="both"/>
      </w:pPr>
      <w:r>
        <w:rPr>
          <w:rFonts w:ascii="Arial" w:eastAsia="Arial" w:hAnsi="Arial" w:cs="Arial"/>
          <w:i/>
        </w:rPr>
        <w:t>La familia es considerada el agente de la socialización primaria y en ella es donde se construye el carácter, personalidad, valores, de los niños y las niñas. La prevención centrada en la familia es clave para promover estilos de vida sana en sus miembros/</w:t>
      </w:r>
      <w:r>
        <w:rPr>
          <w:rFonts w:ascii="Arial" w:eastAsia="Arial" w:hAnsi="Arial" w:cs="Arial"/>
          <w:i/>
        </w:rPr>
        <w:t>as y cumple una función clave en el desarrollo evolutivo de los y las menores. La prevención hacia la familia debe ir encaminada a dotar de recursos a las mismas para que sean agentes de prevención y dotarles de estrategias para hacer frente a las situacio</w:t>
      </w:r>
      <w:r>
        <w:rPr>
          <w:rFonts w:ascii="Arial" w:eastAsia="Arial" w:hAnsi="Arial" w:cs="Arial"/>
          <w:i/>
        </w:rPr>
        <w:t xml:space="preserve">nes de la vida a las que se deberán enfrentar sus hijos/as, y/o algún progenitor/a. </w:t>
      </w:r>
    </w:p>
    <w:p w:rsidR="00E23B86" w:rsidRDefault="00BA7C13">
      <w:pPr>
        <w:spacing w:after="111" w:line="251" w:lineRule="auto"/>
        <w:ind w:left="355" w:right="573" w:hanging="10"/>
        <w:jc w:val="both"/>
      </w:pPr>
      <w:r>
        <w:rPr>
          <w:rFonts w:ascii="Arial" w:eastAsia="Arial" w:hAnsi="Arial" w:cs="Arial"/>
          <w:i/>
        </w:rPr>
        <w:t xml:space="preserve">Objetivo general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9070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7320" name="Group 60732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863" name="Rectangle 3986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9864" name="Rectangle 3986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w:t>
                              </w:r>
                              <w:r>
                                <w:rPr>
                                  <w:rFonts w:ascii="Arial" w:eastAsia="Arial" w:hAnsi="Arial" w:cs="Arial"/>
                                  <w:sz w:val="12"/>
                                </w:rPr>
                                <w:t xml:space="preserve">orma esPublico Gestiona | Página 241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7320" style="width:12.7031pt;height:280.35pt;position:absolute;mso-position-horizontal-relative:page;mso-position-horizontal:absolute;margin-left:681.958pt;mso-position-vertical-relative:page;margin-top:531.65pt;" coordsize="1613,35604">
                <v:rect id="Rectangle 3986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86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241 de 391 </w:t>
                        </w:r>
                      </w:p>
                    </w:txbxContent>
                  </v:textbox>
                </v:rect>
                <w10:wrap type="square"/>
              </v:group>
            </w:pict>
          </mc:Fallback>
        </mc:AlternateContent>
      </w:r>
      <w:r>
        <w:rPr>
          <w:rFonts w:ascii="Arial" w:eastAsia="Arial" w:hAnsi="Arial" w:cs="Arial"/>
          <w:i/>
        </w:rPr>
        <w:t xml:space="preserve">Potenciar y promover modelos familiares positivos en lo referido a la educación para la salud, además de ofertar programas preventivos para todas las familias, así como para las familias cuyos hijos/as están en </w:t>
      </w:r>
      <w:r>
        <w:rPr>
          <w:rFonts w:ascii="Arial" w:eastAsia="Arial" w:hAnsi="Arial" w:cs="Arial"/>
          <w:i/>
        </w:rPr>
        <w:t xml:space="preserve">riesgo de consumo de drogas u otros comportamientos adictivos. </w:t>
      </w:r>
    </w:p>
    <w:tbl>
      <w:tblPr>
        <w:tblStyle w:val="TableGrid"/>
        <w:tblW w:w="9607" w:type="dxa"/>
        <w:tblInd w:w="-201" w:type="dxa"/>
        <w:tblCellMar>
          <w:top w:w="13" w:type="dxa"/>
          <w:left w:w="110" w:type="dxa"/>
          <w:bottom w:w="0" w:type="dxa"/>
          <w:right w:w="132" w:type="dxa"/>
        </w:tblCellMar>
        <w:tblLook w:val="04A0" w:firstRow="1" w:lastRow="0" w:firstColumn="1" w:lastColumn="0" w:noHBand="0" w:noVBand="1"/>
      </w:tblPr>
      <w:tblGrid>
        <w:gridCol w:w="6540"/>
        <w:gridCol w:w="3066"/>
      </w:tblGrid>
      <w:tr w:rsidR="00E23B86">
        <w:trPr>
          <w:trHeight w:val="454"/>
        </w:trPr>
        <w:tc>
          <w:tcPr>
            <w:tcW w:w="6540" w:type="dxa"/>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782"/>
            </w:pPr>
            <w:r>
              <w:rPr>
                <w:rFonts w:ascii="Arial" w:eastAsia="Arial" w:hAnsi="Arial" w:cs="Arial"/>
                <w:i/>
              </w:rPr>
              <w:t>Actuaciones a desarrollar según nivel de prevención</w:t>
            </w:r>
          </w:p>
        </w:tc>
        <w:tc>
          <w:tcPr>
            <w:tcW w:w="3066" w:type="dxa"/>
            <w:tcBorders>
              <w:top w:val="nil"/>
              <w:left w:val="single" w:sz="4" w:space="0" w:color="00000A"/>
              <w:bottom w:val="single" w:sz="4" w:space="0" w:color="00000A"/>
              <w:right w:val="nil"/>
            </w:tcBorders>
          </w:tcPr>
          <w:p w:rsidR="00E23B86" w:rsidRDefault="00E23B86"/>
        </w:tc>
      </w:tr>
      <w:tr w:rsidR="00E23B86">
        <w:trPr>
          <w:trHeight w:val="454"/>
        </w:trPr>
        <w:tc>
          <w:tcPr>
            <w:tcW w:w="9607" w:type="dxa"/>
            <w:gridSpan w:val="2"/>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363"/>
              <w:jc w:val="center"/>
            </w:pPr>
            <w:r>
              <w:rPr>
                <w:rFonts w:ascii="Arial" w:eastAsia="Arial" w:hAnsi="Arial" w:cs="Arial"/>
                <w:i/>
              </w:rPr>
              <w:t>Actuación</w:t>
            </w:r>
          </w:p>
        </w:tc>
      </w:tr>
      <w:tr w:rsidR="00E23B86">
        <w:trPr>
          <w:trHeight w:val="1022"/>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6"/>
              <w:jc w:val="both"/>
            </w:pPr>
            <w:r>
              <w:rPr>
                <w:rFonts w:ascii="Arial" w:eastAsia="Arial" w:hAnsi="Arial" w:cs="Arial"/>
                <w:i/>
              </w:rPr>
              <w:t>Acción F1. Ofertar, a los padres/madres/tutores/as que presentan dificultades relacionadas con el consumo o adicciones de los hijos/as o algún/a progenitor/a o figura educativa, un programa/proyecto de orientación personalizada, ya sea de manera individual</w:t>
            </w:r>
            <w:r>
              <w:rPr>
                <w:rFonts w:ascii="Arial" w:eastAsia="Arial" w:hAnsi="Arial" w:cs="Arial"/>
                <w:i/>
              </w:rPr>
              <w:t xml:space="preserve"> o grupal, para apoyarles y revertir las situaciones de riesgo. </w:t>
            </w:r>
          </w:p>
        </w:tc>
      </w:tr>
      <w:tr w:rsidR="00E23B86">
        <w:trPr>
          <w:trHeight w:val="768"/>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10"/>
              <w:jc w:val="both"/>
            </w:pPr>
            <w:r>
              <w:rPr>
                <w:rFonts w:ascii="Arial" w:eastAsia="Arial" w:hAnsi="Arial" w:cs="Arial"/>
                <w:i/>
              </w:rPr>
              <w:t>Acción F2. Ofertar espacios de formación y encuentro en el municipio dirigido a padres/madres/tutores/as con el fin de dotarles de herramientas y estrategias educativas que promuevan los factores de protección ante el consumo y adicciones.</w:t>
            </w:r>
          </w:p>
        </w:tc>
      </w:tr>
      <w:tr w:rsidR="00E23B86">
        <w:trPr>
          <w:trHeight w:val="770"/>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4"/>
              <w:jc w:val="both"/>
            </w:pPr>
            <w:r>
              <w:rPr>
                <w:rFonts w:ascii="Arial" w:eastAsia="Arial" w:hAnsi="Arial" w:cs="Arial"/>
                <w:i/>
              </w:rPr>
              <w:t>Acción F3. Orga</w:t>
            </w:r>
            <w:r>
              <w:rPr>
                <w:rFonts w:ascii="Arial" w:eastAsia="Arial" w:hAnsi="Arial" w:cs="Arial"/>
                <w:i/>
              </w:rPr>
              <w:t>nizar espacios de encuentro e intercambio entre las familias del municipio, mediante la celebración de días internacionales, eventos, actividades comunitarias, con el fin de potenciar las redes de apoyo entre éstas y el intercambio de experiencias educativ</w:t>
            </w:r>
            <w:r>
              <w:rPr>
                <w:rFonts w:ascii="Arial" w:eastAsia="Arial" w:hAnsi="Arial" w:cs="Arial"/>
                <w:i/>
              </w:rPr>
              <w:t>as.</w:t>
            </w:r>
          </w:p>
        </w:tc>
      </w:tr>
      <w:tr w:rsidR="00E23B86">
        <w:trPr>
          <w:trHeight w:val="768"/>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ind w:right="7"/>
              <w:jc w:val="both"/>
            </w:pPr>
            <w:r>
              <w:rPr>
                <w:rFonts w:ascii="Arial" w:eastAsia="Arial" w:hAnsi="Arial" w:cs="Arial"/>
                <w:i/>
              </w:rPr>
              <w:t>Acción F4.  Llevar a cabo formación de los/as agentes sociales de la comunidad que intervienen o se relacionan con las familias del municipio con el fin de que sean agentes de prevención y detección de riesgos.</w:t>
            </w:r>
          </w:p>
        </w:tc>
      </w:tr>
      <w:tr w:rsidR="00E23B86">
        <w:trPr>
          <w:trHeight w:val="516"/>
        </w:trPr>
        <w:tc>
          <w:tcPr>
            <w:tcW w:w="9607" w:type="dxa"/>
            <w:gridSpan w:val="2"/>
            <w:tcBorders>
              <w:top w:val="single" w:sz="4" w:space="0" w:color="00000A"/>
              <w:left w:val="single" w:sz="4" w:space="0" w:color="00000A"/>
              <w:bottom w:val="single" w:sz="4" w:space="0" w:color="00000A"/>
              <w:right w:val="single" w:sz="5" w:space="0" w:color="00000A"/>
            </w:tcBorders>
          </w:tcPr>
          <w:p w:rsidR="00E23B86" w:rsidRDefault="00BA7C13">
            <w:pPr>
              <w:spacing w:after="0"/>
              <w:jc w:val="both"/>
            </w:pPr>
            <w:r>
              <w:rPr>
                <w:rFonts w:ascii="Arial" w:eastAsia="Arial" w:hAnsi="Arial" w:cs="Arial"/>
                <w:i/>
              </w:rPr>
              <w:t xml:space="preserve">Acción F5. Poner en marcha protocolos o procedimientos de detección e intervención familiar dirigidos a los/as agentes sociales del municipio con el fin de coordinar las acciones. </w:t>
            </w:r>
          </w:p>
        </w:tc>
      </w:tr>
      <w:tr w:rsidR="00E23B86">
        <w:trPr>
          <w:trHeight w:val="1011"/>
        </w:trPr>
        <w:tc>
          <w:tcPr>
            <w:tcW w:w="9607"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jc w:val="both"/>
            </w:pPr>
            <w:r>
              <w:rPr>
                <w:rFonts w:ascii="Arial" w:eastAsia="Arial" w:hAnsi="Arial" w:cs="Arial"/>
                <w:i/>
              </w:rPr>
              <w:t>Acción F6. Ofertar un espacio de encuentro para la información y orientación sobre competencias educativas para promover hábitos saludables en progenitores/as y/o tutores/as, de niños/as del ciclo de infantil (0-4 años) (escuela infantil municipal y escuel</w:t>
            </w:r>
            <w:r>
              <w:rPr>
                <w:rFonts w:ascii="Arial" w:eastAsia="Arial" w:hAnsi="Arial" w:cs="Arial"/>
                <w:i/>
              </w:rPr>
              <w:t xml:space="preserve">as privadas). </w:t>
            </w:r>
          </w:p>
        </w:tc>
      </w:tr>
    </w:tbl>
    <w:p w:rsidR="00E23B86" w:rsidRDefault="00BA7C13">
      <w:pPr>
        <w:spacing w:after="111" w:line="251" w:lineRule="auto"/>
        <w:ind w:left="355" w:right="573" w:hanging="10"/>
        <w:jc w:val="both"/>
      </w:pPr>
      <w:r>
        <w:rPr>
          <w:rFonts w:ascii="Arial" w:eastAsia="Arial" w:hAnsi="Arial" w:cs="Arial"/>
          <w:i/>
        </w:rPr>
        <w:t xml:space="preserve">6.1.3. Ámbito Comunitario </w:t>
      </w:r>
    </w:p>
    <w:p w:rsidR="00E23B86" w:rsidRDefault="00BA7C13">
      <w:pPr>
        <w:spacing w:after="111" w:line="251" w:lineRule="auto"/>
        <w:ind w:left="355" w:right="573" w:hanging="10"/>
        <w:jc w:val="both"/>
      </w:pPr>
      <w:r>
        <w:rPr>
          <w:rFonts w:ascii="Arial" w:eastAsia="Arial" w:hAnsi="Arial" w:cs="Arial"/>
          <w:i/>
        </w:rPr>
        <w:t>Nos referimos con comunidad, al escenario donde se dan interacciones, oferta y demanda, uso del espacio público, ocio y tiempo libre, etc. Incluye este ámbito a la ciudadanía, la idiosincrasia de cada zona, realiz</w:t>
      </w:r>
      <w:r>
        <w:rPr>
          <w:rFonts w:ascii="Arial" w:eastAsia="Arial" w:hAnsi="Arial" w:cs="Arial"/>
          <w:i/>
        </w:rPr>
        <w:t>ando intervenciones por barrios, a través de las asociaciones vecinales, juveniles, jóvenes, adultos/as, niños/as, mediadores/as, líderes/esas comunitarios/as, etc.</w:t>
      </w:r>
    </w:p>
    <w:p w:rsidR="00E23B86" w:rsidRDefault="00BA7C13">
      <w:pPr>
        <w:spacing w:after="111" w:line="251" w:lineRule="auto"/>
        <w:ind w:left="355" w:right="573" w:hanging="10"/>
        <w:jc w:val="both"/>
      </w:pPr>
      <w:r>
        <w:rPr>
          <w:rFonts w:ascii="Arial" w:eastAsia="Arial" w:hAnsi="Arial" w:cs="Arial"/>
          <w:i/>
        </w:rPr>
        <w:t>Las acciones deben apoyarse desde las asociaciones y organizaciones juveniles, profesionale</w:t>
      </w:r>
      <w:r>
        <w:rPr>
          <w:rFonts w:ascii="Arial" w:eastAsia="Arial" w:hAnsi="Arial" w:cs="Arial"/>
          <w:i/>
        </w:rPr>
        <w:t>s, líderes/esas comunitarios/as (educadores/as de calle, animadores/as socioculturales, monitores/as deportivos y de tiempo libre, miembros/as de asociaciones juveniles, etc.).</w:t>
      </w:r>
    </w:p>
    <w:p w:rsidR="00E23B86" w:rsidRDefault="00BA7C13">
      <w:pPr>
        <w:spacing w:after="111" w:line="251" w:lineRule="auto"/>
        <w:ind w:left="355" w:right="573" w:hanging="10"/>
        <w:jc w:val="both"/>
      </w:pPr>
      <w:r>
        <w:rPr>
          <w:rFonts w:ascii="Arial" w:eastAsia="Arial" w:hAnsi="Arial" w:cs="Arial"/>
          <w:i/>
        </w:rPr>
        <w:t xml:space="preserve">Objetivo general </w:t>
      </w:r>
    </w:p>
    <w:p w:rsidR="00E23B86" w:rsidRDefault="00BA7C13">
      <w:pPr>
        <w:spacing w:after="111" w:line="251" w:lineRule="auto"/>
        <w:ind w:left="355" w:right="573" w:hanging="10"/>
        <w:jc w:val="both"/>
      </w:pPr>
      <w:r>
        <w:rPr>
          <w:rFonts w:ascii="Arial" w:eastAsia="Arial" w:hAnsi="Arial" w:cs="Arial"/>
          <w:i/>
        </w:rPr>
        <w:t>Promover la educación para la salud y prevención de las condu</w:t>
      </w:r>
      <w:r>
        <w:rPr>
          <w:rFonts w:ascii="Arial" w:eastAsia="Arial" w:hAnsi="Arial" w:cs="Arial"/>
          <w:i/>
        </w:rPr>
        <w:t>ctas adictivas tanto para la población residente como agentes sociales municipales, velando por una mejora de la prevención y detección precoz del consumo de sustancias y otras adicciones a través de los/as agentes sociales presentes en el territorio.</w:t>
      </w:r>
    </w:p>
    <w:tbl>
      <w:tblPr>
        <w:tblStyle w:val="TableGrid"/>
        <w:tblW w:w="9624" w:type="dxa"/>
        <w:tblInd w:w="-209" w:type="dxa"/>
        <w:tblCellMar>
          <w:top w:w="49" w:type="dxa"/>
          <w:left w:w="109" w:type="dxa"/>
          <w:bottom w:w="0" w:type="dxa"/>
          <w:right w:w="115" w:type="dxa"/>
        </w:tblCellMar>
        <w:tblLook w:val="04A0" w:firstRow="1" w:lastRow="0" w:firstColumn="1" w:lastColumn="0" w:noHBand="0" w:noVBand="1"/>
      </w:tblPr>
      <w:tblGrid>
        <w:gridCol w:w="6565"/>
        <w:gridCol w:w="3060"/>
      </w:tblGrid>
      <w:tr w:rsidR="00E23B86">
        <w:trPr>
          <w:trHeight w:val="454"/>
        </w:trPr>
        <w:tc>
          <w:tcPr>
            <w:tcW w:w="6565" w:type="dxa"/>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794"/>
            </w:pPr>
            <w:r>
              <w:rPr>
                <w:rFonts w:ascii="Arial" w:eastAsia="Arial" w:hAnsi="Arial" w:cs="Arial"/>
                <w:i/>
              </w:rPr>
              <w:t>Actuaciones a desarrollar según nivel de prevención</w:t>
            </w:r>
          </w:p>
        </w:tc>
        <w:tc>
          <w:tcPr>
            <w:tcW w:w="3060" w:type="dxa"/>
            <w:tcBorders>
              <w:top w:val="nil"/>
              <w:left w:val="single" w:sz="5" w:space="0" w:color="00000A"/>
              <w:bottom w:val="single" w:sz="4" w:space="0" w:color="00000A"/>
              <w:right w:val="nil"/>
            </w:tcBorders>
          </w:tcPr>
          <w:p w:rsidR="00E23B86" w:rsidRDefault="00E23B86"/>
        </w:tc>
      </w:tr>
      <w:tr w:rsidR="00E23B86">
        <w:trPr>
          <w:trHeight w:val="454"/>
        </w:trPr>
        <w:tc>
          <w:tcPr>
            <w:tcW w:w="9624" w:type="dxa"/>
            <w:gridSpan w:val="2"/>
            <w:tcBorders>
              <w:top w:val="single" w:sz="4" w:space="0" w:color="00000A"/>
              <w:left w:val="single" w:sz="4" w:space="0" w:color="00000A"/>
              <w:bottom w:val="single" w:sz="4" w:space="0" w:color="00000A"/>
              <w:right w:val="single" w:sz="4" w:space="0" w:color="00000A"/>
            </w:tcBorders>
            <w:shd w:val="clear" w:color="auto" w:fill="BFBFBF"/>
          </w:tcPr>
          <w:p w:rsidR="00E23B86" w:rsidRDefault="00BA7C13">
            <w:pPr>
              <w:spacing w:after="0"/>
              <w:ind w:left="345"/>
              <w:jc w:val="center"/>
            </w:pPr>
            <w:r>
              <w:rPr>
                <w:rFonts w:ascii="Arial" w:eastAsia="Arial" w:hAnsi="Arial" w:cs="Arial"/>
                <w:i/>
              </w:rPr>
              <w:t>Actuación</w:t>
            </w:r>
          </w:p>
        </w:tc>
      </w:tr>
      <w:tr w:rsidR="00E23B86">
        <w:trPr>
          <w:trHeight w:val="756"/>
        </w:trPr>
        <w:tc>
          <w:tcPr>
            <w:tcW w:w="9624"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E23B86" w:rsidRDefault="00BA7C13">
            <w:pPr>
              <w:spacing w:after="0"/>
            </w:pPr>
            <w:r>
              <w:rPr>
                <w:rFonts w:ascii="Arial" w:eastAsia="Arial" w:hAnsi="Arial" w:cs="Arial"/>
                <w:i/>
              </w:rPr>
              <w:t xml:space="preserve">Acción C1. Poner en marcha programas, proyectos y/o actividades de educación para la salud y prevención de conductas adictivas dirigidas a los/as agentes sociales del municipio.  </w:t>
            </w:r>
          </w:p>
        </w:tc>
      </w:tr>
    </w:tbl>
    <w:tbl>
      <w:tblPr>
        <w:tblStyle w:val="TableGrid"/>
        <w:tblpPr w:vertAnchor="text" w:tblpX="-209"/>
        <w:tblOverlap w:val="never"/>
        <w:tblW w:w="9624" w:type="dxa"/>
        <w:tblInd w:w="0" w:type="dxa"/>
        <w:tblCellMar>
          <w:top w:w="0" w:type="dxa"/>
          <w:left w:w="109" w:type="dxa"/>
          <w:bottom w:w="0" w:type="dxa"/>
          <w:right w:w="132" w:type="dxa"/>
        </w:tblCellMar>
        <w:tblLook w:val="04A0" w:firstRow="1" w:lastRow="0" w:firstColumn="1" w:lastColumn="0" w:noHBand="0" w:noVBand="1"/>
      </w:tblPr>
      <w:tblGrid>
        <w:gridCol w:w="9624"/>
      </w:tblGrid>
      <w:tr w:rsidR="00E23B86">
        <w:trPr>
          <w:trHeight w:val="1008"/>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0"/>
              <w:jc w:val="both"/>
            </w:pPr>
            <w:r>
              <w:rPr>
                <w:rFonts w:ascii="Arial" w:eastAsia="Arial" w:hAnsi="Arial" w:cs="Arial"/>
                <w:i/>
              </w:rPr>
              <w:t xml:space="preserve">Acción C2. Ofrecer información y formación a los/as agentes sociales de la comunidad, dando prioridad a quiénes intervienen a través de ocio, cultura, deporte, con menores y adolescentes del municipio y personal propio de la Corporación Local. </w:t>
            </w:r>
          </w:p>
        </w:tc>
      </w:tr>
      <w:tr w:rsidR="00E23B86">
        <w:trPr>
          <w:trHeight w:val="756"/>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C3. Poner en marcha protocolos y procedimientos para la detección precoz y coordinación de las actuaciones con persona en riesgo de consumo o adicciones.</w:t>
            </w:r>
          </w:p>
        </w:tc>
      </w:tr>
      <w:tr w:rsidR="00E23B86">
        <w:trPr>
          <w:trHeight w:val="1008"/>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Acción C4. Llevar a cabo un seguimiento y supervisión de la prevención ambiental municipal (cu</w:t>
            </w:r>
            <w:r>
              <w:rPr>
                <w:rFonts w:ascii="Arial" w:eastAsia="Arial" w:hAnsi="Arial" w:cs="Arial"/>
                <w:i/>
              </w:rPr>
              <w:t>mplimiento de ordenanzas municipales, publicidad de drogas, tiendas y clubes de consumidores/as de derivados cannábicos, espacios de juegos de apuestas, etc.).</w:t>
            </w:r>
          </w:p>
        </w:tc>
      </w:tr>
      <w:tr w:rsidR="00E23B86">
        <w:trPr>
          <w:trHeight w:val="1010"/>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C5. Ofertar o aprovechar los espacios de encuentro de la ciudadanía (espacios de uso com</w:t>
            </w:r>
            <w:r>
              <w:rPr>
                <w:rFonts w:ascii="Arial" w:eastAsia="Arial" w:hAnsi="Arial" w:cs="Arial"/>
                <w:i/>
              </w:rPr>
              <w:t>partidos, días de celebración, etc.), para  llevar a cabo educación para la salud y prevención de las adicciones.</w:t>
            </w:r>
          </w:p>
        </w:tc>
      </w:tr>
      <w:tr w:rsidR="00E23B86">
        <w:trPr>
          <w:trHeight w:val="1008"/>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 xml:space="preserve">Acción C6. Ofertar al tejido asociativo municipal (jóvenes, mayores,  vecinos/as, etc.) un catálogo de actividades informativas, de sensibilización y de orientación sobre educación para la salud y prevención de adicciones </w:t>
            </w:r>
          </w:p>
        </w:tc>
      </w:tr>
      <w:tr w:rsidR="00E23B86">
        <w:trPr>
          <w:trHeight w:val="1010"/>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Acción C7. Llevar a cabo campaña</w:t>
            </w:r>
            <w:r>
              <w:rPr>
                <w:rFonts w:ascii="Arial" w:eastAsia="Arial" w:hAnsi="Arial" w:cs="Arial"/>
                <w:i/>
              </w:rPr>
              <w:t xml:space="preserve">s de sensibilización sobre hábitos saludables para toda la comunidad y/o específica por sectores sobre hábitos de vida saludable y prevención de adicciones. </w:t>
            </w:r>
          </w:p>
        </w:tc>
      </w:tr>
      <w:tr w:rsidR="00E23B86">
        <w:trPr>
          <w:trHeight w:val="756"/>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C8.  Crear un espacio virtual interactivo (residentes) dentro de la web institucional, cen</w:t>
            </w:r>
            <w:r>
              <w:rPr>
                <w:rFonts w:ascii="Arial" w:eastAsia="Arial" w:hAnsi="Arial" w:cs="Arial"/>
                <w:i/>
              </w:rPr>
              <w:t>trado en la promoción de hábitos de vida saludable y prevención de adicciones.</w:t>
            </w:r>
          </w:p>
        </w:tc>
      </w:tr>
      <w:tr w:rsidR="00E23B86">
        <w:trPr>
          <w:trHeight w:val="1262"/>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3"/>
              <w:jc w:val="both"/>
            </w:pPr>
            <w:r>
              <w:rPr>
                <w:rFonts w:ascii="Arial" w:eastAsia="Arial" w:hAnsi="Arial" w:cs="Arial"/>
                <w:i/>
              </w:rPr>
              <w:t>Acción C9. Organizar y poner en marcha actividades de prevención de adicciones y promoción de la salud en eventos y fiestas municipales, dirigidas a sensibilizar, informar y hacer seguimiento de la comprobación de la prevención ambiental (menores y venta d</w:t>
            </w:r>
            <w:r>
              <w:rPr>
                <w:rFonts w:ascii="Arial" w:eastAsia="Arial" w:hAnsi="Arial" w:cs="Arial"/>
                <w:i/>
              </w:rPr>
              <w:t xml:space="preserve">e alcohol, menores y eventos, publicidad, ordenanza municipal de fiestas, etc.). </w:t>
            </w:r>
          </w:p>
        </w:tc>
      </w:tr>
      <w:tr w:rsidR="00E23B86">
        <w:trPr>
          <w:trHeight w:val="1008"/>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8"/>
              <w:jc w:val="both"/>
            </w:pPr>
            <w:r>
              <w:rPr>
                <w:rFonts w:ascii="Arial" w:eastAsia="Arial" w:hAnsi="Arial" w:cs="Arial"/>
                <w:i/>
              </w:rPr>
              <w:t>Acción C10. Llevar a cabo acciones en los distintos barrios del municipio educación de calle centrada en la promoción de la participación en la educación para la salud, coor</w:t>
            </w:r>
            <w:r>
              <w:rPr>
                <w:rFonts w:ascii="Arial" w:eastAsia="Arial" w:hAnsi="Arial" w:cs="Arial"/>
                <w:i/>
              </w:rPr>
              <w:t>dinando las mismas  con el tejido asociativo existente.</w:t>
            </w:r>
          </w:p>
        </w:tc>
      </w:tr>
      <w:tr w:rsidR="00E23B86">
        <w:trPr>
          <w:trHeight w:val="1010"/>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Acción C11. Editar material de orientación, información y sensibilización, en formato digital  y papel,  para toda la comunidad o sectores específicos de la población, centrado en hábitos de vida saludable y prevención de adicciones.</w:t>
            </w:r>
          </w:p>
        </w:tc>
      </w:tr>
      <w:tr w:rsidR="00E23B86">
        <w:trPr>
          <w:trHeight w:val="1008"/>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 xml:space="preserve">Acción C12. Llevar a </w:t>
            </w:r>
            <w:r>
              <w:rPr>
                <w:rFonts w:ascii="Arial" w:eastAsia="Arial" w:hAnsi="Arial" w:cs="Arial"/>
                <w:i/>
              </w:rPr>
              <w:t>cabo  campañas de información, sensibilización y orientación al sector servicios del municipio sobre prevención ambiental (cumplimiento de normativas menoresalcohol-tabaco, evitar  mensajes no saludables,  eliminar publicidad  y reclamos sexistas, etc.).</w:t>
            </w:r>
          </w:p>
        </w:tc>
      </w:tr>
      <w:tr w:rsidR="00E23B86">
        <w:trPr>
          <w:trHeight w:val="756"/>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 xml:space="preserve">Acción C13. Realizar, a través del espacio de radio municipal, programas sobre promoción de la salud y prevención de adicciones. </w:t>
            </w:r>
          </w:p>
        </w:tc>
      </w:tr>
      <w:tr w:rsidR="00E23B86">
        <w:trPr>
          <w:trHeight w:val="1263"/>
        </w:trPr>
        <w:tc>
          <w:tcPr>
            <w:tcW w:w="9624" w:type="dxa"/>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right="5"/>
              <w:jc w:val="both"/>
            </w:pPr>
            <w:r>
              <w:rPr>
                <w:rFonts w:ascii="Arial" w:eastAsia="Arial" w:hAnsi="Arial" w:cs="Arial"/>
                <w:i/>
              </w:rPr>
              <w:t>Acción C14. Llevar a cabo acciones específicas de prevención de adicciones y promoción de la salud con personas de edad avanzada (como colectivo de riesgo) por no existir datos suficientes, pero sobre las que sabemos que consumen fármacos (psicofármacos, e</w:t>
            </w:r>
            <w:r>
              <w:rPr>
                <w:rFonts w:ascii="Arial" w:eastAsia="Arial" w:hAnsi="Arial" w:cs="Arial"/>
                <w:i/>
              </w:rPr>
              <w:t>ntre ellos) de forma más frecuente que el resto de la población.</w:t>
            </w:r>
          </w:p>
        </w:tc>
      </w:tr>
    </w:tbl>
    <w:p w:rsidR="00E23B86" w:rsidRDefault="00BA7C13">
      <w:pPr>
        <w:spacing w:after="0"/>
        <w:ind w:left="-2486" w:right="11894"/>
      </w:pPr>
      <w:r>
        <w:rPr>
          <w:noProof/>
        </w:rPr>
        <mc:AlternateContent>
          <mc:Choice Requires="wpg">
            <w:drawing>
              <wp:anchor distT="0" distB="0" distL="114300" distR="114300" simplePos="0" relativeHeight="251908096"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45814" name="Group 54581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39967" name="Rectangle 3996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39968" name="Rectangle 3996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242 </w:t>
                              </w:r>
                              <w:r>
                                <w:rPr>
                                  <w:rFonts w:ascii="Arial" w:eastAsia="Arial" w:hAnsi="Arial" w:cs="Arial"/>
                                  <w:sz w:val="12"/>
                                </w:rPr>
                                <w:t xml:space="preserve">de 391 </w:t>
                              </w:r>
                            </w:p>
                          </w:txbxContent>
                        </wps:txbx>
                        <wps:bodyPr horzOverflow="overflow" vert="horz" lIns="0" tIns="0" rIns="0" bIns="0" rtlCol="0">
                          <a:noAutofit/>
                        </wps:bodyPr>
                      </wps:wsp>
                    </wpg:wgp>
                  </a:graphicData>
                </a:graphic>
              </wp:anchor>
            </w:drawing>
          </mc:Choice>
          <mc:Fallback xmlns:a="http://schemas.openxmlformats.org/drawingml/2006/main">
            <w:pict>
              <v:group id="Group 545814" style="width:12.7031pt;height:280.35pt;position:absolute;mso-position-horizontal-relative:page;mso-position-horizontal:absolute;margin-left:681.958pt;mso-position-vertical-relative:page;margin-top:531.65pt;" coordsize="1613,35604">
                <v:rect id="Rectangle 3996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3996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242 de 391 </w:t>
                        </w:r>
                      </w:p>
                    </w:txbxContent>
                  </v:textbox>
                </v:rect>
                <w10:wrap type="topAndBottom"/>
              </v:group>
            </w:pict>
          </mc:Fallback>
        </mc:AlternateContent>
      </w:r>
      <w:r>
        <w:br w:type="page"/>
      </w:r>
    </w:p>
    <w:p w:rsidR="00E23B86" w:rsidRDefault="00BA7C13">
      <w:pPr>
        <w:spacing w:after="246" w:line="251" w:lineRule="auto"/>
        <w:ind w:left="355" w:right="573" w:hanging="10"/>
        <w:jc w:val="both"/>
      </w:pPr>
      <w:r>
        <w:rPr>
          <w:rFonts w:ascii="Arial" w:eastAsia="Arial" w:hAnsi="Arial" w:cs="Arial"/>
          <w:i/>
        </w:rPr>
        <w:t>6.2. ÁREA DE INSERCIÓN SOCIAL</w:t>
      </w:r>
    </w:p>
    <w:p w:rsidR="00E23B86" w:rsidRDefault="00BA7C13">
      <w:pPr>
        <w:spacing w:after="111" w:line="251" w:lineRule="auto"/>
        <w:ind w:left="355" w:right="573" w:hanging="10"/>
        <w:jc w:val="both"/>
      </w:pPr>
      <w:r>
        <w:rPr>
          <w:rFonts w:ascii="Arial" w:eastAsia="Arial" w:hAnsi="Arial" w:cs="Arial"/>
          <w:i/>
        </w:rPr>
        <w:t>La Corporación Local, tiene dentro de sus competencias (Ley 9/1998, de 22 de julio, sobre prevención, asistencia, e inserción social en materia de drogodependencias de la Comunidad Canaria), apoyar en los procesos de incorporación social.</w:t>
      </w:r>
    </w:p>
    <w:p w:rsidR="00E23B86" w:rsidRDefault="00BA7C13">
      <w:pPr>
        <w:spacing w:after="111" w:line="251" w:lineRule="auto"/>
        <w:ind w:left="355" w:right="573" w:hanging="10"/>
        <w:jc w:val="both"/>
      </w:pPr>
      <w:r>
        <w:rPr>
          <w:rFonts w:ascii="Arial" w:eastAsia="Arial" w:hAnsi="Arial" w:cs="Arial"/>
          <w:i/>
        </w:rPr>
        <w:t>Así mismo, la Ley</w:t>
      </w:r>
      <w:r>
        <w:rPr>
          <w:rFonts w:ascii="Arial" w:eastAsia="Arial" w:hAnsi="Arial" w:cs="Arial"/>
          <w:i/>
        </w:rPr>
        <w:t xml:space="preserve"> 16/2019 de 2 de mayo de Servicios Sociales de Canarias, en su artículo 4 apartado 5, indica que los Servicios Sociales se dirigen especialmente a prevenir y a compensar el déficit de apoyo social y económico en situaciones de riesgo y exclusión social, pr</w:t>
      </w:r>
      <w:r>
        <w:rPr>
          <w:rFonts w:ascii="Arial" w:eastAsia="Arial" w:hAnsi="Arial" w:cs="Arial"/>
          <w:i/>
        </w:rPr>
        <w:t>omoviendo actitudes y capacidades que faciliten la inclusión de las personas, desde una perspectiva integral y participada. En el apartado 7, se define que los Servicios Sociales coordinarán con todos los sistemas que inciden en la calidad de vida, como lo</w:t>
      </w:r>
      <w:r>
        <w:rPr>
          <w:rFonts w:ascii="Arial" w:eastAsia="Arial" w:hAnsi="Arial" w:cs="Arial"/>
          <w:i/>
        </w:rPr>
        <w:t>s de salud, igualdad de género, prevención y protección de las mujeres contra la violencia de género, educativos, culturales, de empleo, de vivienda, urbanísticos, judiciales, entre otros.</w:t>
      </w:r>
    </w:p>
    <w:p w:rsidR="00E23B86" w:rsidRDefault="00BA7C13">
      <w:pPr>
        <w:spacing w:after="483" w:line="251" w:lineRule="auto"/>
        <w:ind w:left="355" w:right="573" w:hanging="10"/>
        <w:jc w:val="both"/>
      </w:pPr>
      <w:r>
        <w:rPr>
          <w:rFonts w:ascii="Arial" w:eastAsia="Arial" w:hAnsi="Arial" w:cs="Arial"/>
          <w:i/>
        </w:rPr>
        <w:t>También en el apoyo a la inserción, se debe tener en cuenta la Estrategia Canaria de Inclusión Social 2019-2021, que en su eje I (Inclusión Social Activa) desarrolla una serie de objetivos y actuaciones, destinadas a la inserción laboral y el acceso a serv</w:t>
      </w:r>
      <w:r>
        <w:rPr>
          <w:rFonts w:ascii="Arial" w:eastAsia="Arial" w:hAnsi="Arial" w:cs="Arial"/>
          <w:i/>
        </w:rPr>
        <w:t>icios básicos.</w:t>
      </w:r>
    </w:p>
    <w:p w:rsidR="00E23B86" w:rsidRDefault="00BA7C13">
      <w:pPr>
        <w:spacing w:after="111" w:line="251" w:lineRule="auto"/>
        <w:ind w:left="355" w:right="573" w:hanging="10"/>
        <w:jc w:val="both"/>
      </w:pPr>
      <w:r>
        <w:rPr>
          <w:rFonts w:ascii="Arial" w:eastAsia="Arial" w:hAnsi="Arial" w:cs="Arial"/>
          <w:i/>
        </w:rPr>
        <w:t xml:space="preserve">Objetivo general </w:t>
      </w:r>
    </w:p>
    <w:p w:rsidR="00E23B86" w:rsidRDefault="00BA7C13">
      <w:pPr>
        <w:spacing w:after="111" w:line="251" w:lineRule="auto"/>
        <w:ind w:left="355" w:right="573" w:hanging="10"/>
        <w:jc w:val="both"/>
      </w:pPr>
      <w:r>
        <w:rPr>
          <w:noProof/>
        </w:rPr>
        <mc:AlternateContent>
          <mc:Choice Requires="wpg">
            <w:drawing>
              <wp:anchor distT="0" distB="0" distL="114300" distR="114300" simplePos="0" relativeHeight="251909120"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94476" name="Group 59447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045" name="Rectangle 4004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046" name="Rectangle 4004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243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4476" style="width:12.7031pt;height:280.35pt;position:absolute;mso-position-horizontal-relative:page;mso-position-horizontal:absolute;margin-left:681.958pt;mso-position-vertical-relative:page;margin-top:531.65pt;" coordsize="1613,35604">
                <v:rect id="Rectangle 4004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04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243 de 391 </w:t>
                        </w:r>
                      </w:p>
                    </w:txbxContent>
                  </v:textbox>
                </v:rect>
                <w10:wrap type="topAndBottom"/>
              </v:group>
            </w:pict>
          </mc:Fallback>
        </mc:AlternateContent>
      </w:r>
      <w:r>
        <w:rPr>
          <w:rFonts w:ascii="Arial" w:eastAsia="Arial" w:hAnsi="Arial" w:cs="Arial"/>
          <w:i/>
        </w:rPr>
        <w:t>Potenciar la colaboración</w:t>
      </w:r>
      <w:r>
        <w:rPr>
          <w:rFonts w:ascii="Arial" w:eastAsia="Arial" w:hAnsi="Arial" w:cs="Arial"/>
          <w:i/>
        </w:rPr>
        <w:t xml:space="preserve"> y participación de los recursos y agentes sociales municipales en el apoyo a la población consumidora y su entorno familiar, facilitando la implantación de medidas formativas, laborales y sociales que favorezcan su proceso de incorporación social y labora</w:t>
      </w:r>
      <w:r>
        <w:rPr>
          <w:rFonts w:ascii="Arial" w:eastAsia="Arial" w:hAnsi="Arial" w:cs="Arial"/>
          <w:i/>
        </w:rPr>
        <w:t>l para una adecuada integración social.</w:t>
      </w:r>
    </w:p>
    <w:tbl>
      <w:tblPr>
        <w:tblStyle w:val="TableGrid"/>
        <w:tblW w:w="9624" w:type="dxa"/>
        <w:tblInd w:w="-209" w:type="dxa"/>
        <w:tblCellMar>
          <w:top w:w="13" w:type="dxa"/>
          <w:left w:w="109" w:type="dxa"/>
          <w:bottom w:w="0" w:type="dxa"/>
          <w:right w:w="136" w:type="dxa"/>
        </w:tblCellMar>
        <w:tblLook w:val="04A0" w:firstRow="1" w:lastRow="0" w:firstColumn="1" w:lastColumn="0" w:noHBand="0" w:noVBand="1"/>
      </w:tblPr>
      <w:tblGrid>
        <w:gridCol w:w="6564"/>
        <w:gridCol w:w="3060"/>
      </w:tblGrid>
      <w:tr w:rsidR="00E23B86">
        <w:trPr>
          <w:trHeight w:val="454"/>
        </w:trPr>
        <w:tc>
          <w:tcPr>
            <w:tcW w:w="6564" w:type="dxa"/>
            <w:tcBorders>
              <w:top w:val="single" w:sz="4" w:space="0" w:color="00000A"/>
              <w:left w:val="single" w:sz="5" w:space="0" w:color="00000A"/>
              <w:bottom w:val="single" w:sz="4" w:space="0" w:color="00000A"/>
              <w:right w:val="single" w:sz="4" w:space="0" w:color="00000A"/>
            </w:tcBorders>
            <w:shd w:val="clear" w:color="auto" w:fill="BFBFBF"/>
          </w:tcPr>
          <w:p w:rsidR="00E23B86" w:rsidRDefault="00BA7C13">
            <w:pPr>
              <w:spacing w:after="0"/>
              <w:ind w:left="794"/>
            </w:pPr>
            <w:r>
              <w:rPr>
                <w:rFonts w:ascii="Arial" w:eastAsia="Arial" w:hAnsi="Arial" w:cs="Arial"/>
                <w:i/>
              </w:rPr>
              <w:t>Actuaciones a desarrollar según nivel de prevención</w:t>
            </w:r>
          </w:p>
        </w:tc>
        <w:tc>
          <w:tcPr>
            <w:tcW w:w="3060" w:type="dxa"/>
            <w:tcBorders>
              <w:top w:val="nil"/>
              <w:left w:val="single" w:sz="4" w:space="0" w:color="00000A"/>
              <w:bottom w:val="single" w:sz="4" w:space="0" w:color="00000A"/>
              <w:right w:val="nil"/>
            </w:tcBorders>
          </w:tcPr>
          <w:p w:rsidR="00E23B86" w:rsidRDefault="00E23B86"/>
        </w:tc>
      </w:tr>
      <w:tr w:rsidR="00E23B86">
        <w:trPr>
          <w:trHeight w:val="454"/>
        </w:trPr>
        <w:tc>
          <w:tcPr>
            <w:tcW w:w="9624" w:type="dxa"/>
            <w:gridSpan w:val="2"/>
            <w:tcBorders>
              <w:top w:val="single" w:sz="4" w:space="0" w:color="00000A"/>
              <w:left w:val="single" w:sz="5" w:space="0" w:color="00000A"/>
              <w:bottom w:val="single" w:sz="4" w:space="0" w:color="00000A"/>
              <w:right w:val="single" w:sz="4" w:space="0" w:color="00000A"/>
            </w:tcBorders>
            <w:shd w:val="clear" w:color="auto" w:fill="BFBFBF"/>
          </w:tcPr>
          <w:p w:rsidR="00E23B86" w:rsidRDefault="00BA7C13">
            <w:pPr>
              <w:spacing w:after="0"/>
              <w:ind w:left="366"/>
              <w:jc w:val="center"/>
            </w:pPr>
            <w:r>
              <w:rPr>
                <w:rFonts w:ascii="Arial" w:eastAsia="Arial" w:hAnsi="Arial" w:cs="Arial"/>
                <w:i/>
              </w:rPr>
              <w:t>Actuación</w:t>
            </w:r>
          </w:p>
        </w:tc>
      </w:tr>
      <w:tr w:rsidR="00E23B86">
        <w:trPr>
          <w:trHeight w:val="1142"/>
        </w:trPr>
        <w:tc>
          <w:tcPr>
            <w:tcW w:w="9624" w:type="dxa"/>
            <w:gridSpan w:val="2"/>
            <w:tcBorders>
              <w:top w:val="single" w:sz="4" w:space="0" w:color="00000A"/>
              <w:left w:val="single" w:sz="5" w:space="0" w:color="00000A"/>
              <w:bottom w:val="single" w:sz="4" w:space="0" w:color="00000A"/>
              <w:right w:val="single" w:sz="4" w:space="0" w:color="00000A"/>
            </w:tcBorders>
            <w:shd w:val="clear" w:color="auto" w:fill="FFFFFF"/>
          </w:tcPr>
          <w:p w:rsidR="00E23B86" w:rsidRDefault="00BA7C13">
            <w:pPr>
              <w:spacing w:after="0"/>
              <w:ind w:right="2"/>
              <w:jc w:val="both"/>
            </w:pPr>
            <w:r>
              <w:rPr>
                <w:rFonts w:ascii="Arial" w:eastAsia="Arial" w:hAnsi="Arial" w:cs="Arial"/>
                <w:i/>
              </w:rPr>
              <w:t>Acción ISL1. Ofertar un espacio para la atención individualizada a las familias con algún miembro/a con problemas de consumo (mayor o menor de edad), en su proceso de recuperación e integración social y que estén en tratamiento en la red de atención de adi</w:t>
            </w:r>
            <w:r>
              <w:rPr>
                <w:rFonts w:ascii="Arial" w:eastAsia="Arial" w:hAnsi="Arial" w:cs="Arial"/>
                <w:i/>
              </w:rPr>
              <w:t xml:space="preserve">cciones. </w:t>
            </w:r>
          </w:p>
        </w:tc>
      </w:tr>
      <w:tr w:rsidR="00E23B86">
        <w:trPr>
          <w:trHeight w:val="636"/>
        </w:trPr>
        <w:tc>
          <w:tcPr>
            <w:tcW w:w="9624" w:type="dxa"/>
            <w:gridSpan w:val="2"/>
            <w:tcBorders>
              <w:top w:val="single" w:sz="4" w:space="0" w:color="00000A"/>
              <w:left w:val="single" w:sz="5" w:space="0" w:color="00000A"/>
              <w:bottom w:val="single" w:sz="4" w:space="0" w:color="00000A"/>
              <w:right w:val="single" w:sz="4" w:space="0" w:color="00000A"/>
            </w:tcBorders>
          </w:tcPr>
          <w:p w:rsidR="00E23B86" w:rsidRDefault="00BA7C13">
            <w:pPr>
              <w:spacing w:after="0"/>
            </w:pPr>
            <w:r>
              <w:rPr>
                <w:rFonts w:ascii="Arial" w:eastAsia="Arial" w:hAnsi="Arial" w:cs="Arial"/>
                <w:i/>
              </w:rPr>
              <w:t xml:space="preserve">Acción ISL2. Diseñar itinerarios de inserción laboral personalizados para las personas y familias en coordinación con los/as agentes sociales y Servicios Sociales y recursos de la comunidad. </w:t>
            </w:r>
          </w:p>
        </w:tc>
      </w:tr>
      <w:tr w:rsidR="00E23B86">
        <w:trPr>
          <w:trHeight w:val="888"/>
        </w:trPr>
        <w:tc>
          <w:tcPr>
            <w:tcW w:w="9624" w:type="dxa"/>
            <w:gridSpan w:val="2"/>
            <w:tcBorders>
              <w:top w:val="single" w:sz="4" w:space="0" w:color="00000A"/>
              <w:left w:val="single" w:sz="5"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 xml:space="preserve">Acción ISL3. Ofertar, desde los Servicios Sociales, el apoyo social y los recursos, prestaciones y otras ayudas técnicas a las personas y familias que precisan apoyo en su proceso de recuperación e inserción social. </w:t>
            </w:r>
          </w:p>
        </w:tc>
      </w:tr>
      <w:tr w:rsidR="00E23B86">
        <w:trPr>
          <w:trHeight w:val="637"/>
        </w:trPr>
        <w:tc>
          <w:tcPr>
            <w:tcW w:w="9624" w:type="dxa"/>
            <w:gridSpan w:val="2"/>
            <w:tcBorders>
              <w:top w:val="single" w:sz="4" w:space="0" w:color="00000A"/>
              <w:left w:val="single" w:sz="5" w:space="0" w:color="00000A"/>
              <w:bottom w:val="single" w:sz="4" w:space="0" w:color="00000A"/>
              <w:right w:val="single" w:sz="4" w:space="0" w:color="00000A"/>
            </w:tcBorders>
          </w:tcPr>
          <w:p w:rsidR="00E23B86" w:rsidRDefault="00BA7C13">
            <w:pPr>
              <w:spacing w:after="0"/>
              <w:jc w:val="both"/>
            </w:pPr>
            <w:r>
              <w:rPr>
                <w:rFonts w:ascii="Arial" w:eastAsia="Arial" w:hAnsi="Arial" w:cs="Arial"/>
                <w:i/>
              </w:rPr>
              <w:t xml:space="preserve">Acción ISL4. Ofertar a las personas con problemas de consumo y sus familias, los recursos de ocio, culturales, deportivos, etc, como parte del apoyo en su proceso de inserción. </w:t>
            </w:r>
          </w:p>
        </w:tc>
      </w:tr>
    </w:tbl>
    <w:p w:rsidR="00E23B86" w:rsidRDefault="00BA7C13">
      <w:pPr>
        <w:spacing w:after="0"/>
        <w:ind w:left="352"/>
      </w:pPr>
      <w:r>
        <w:rPr>
          <w:rFonts w:ascii="Arial" w:eastAsia="Arial" w:hAnsi="Arial" w:cs="Arial"/>
          <w:i/>
        </w:rPr>
        <w:t xml:space="preserve"> </w:t>
      </w:r>
    </w:p>
    <w:p w:rsidR="00E23B86" w:rsidRDefault="00BA7C13">
      <w:pPr>
        <w:tabs>
          <w:tab w:val="center" w:pos="535"/>
          <w:tab w:val="center" w:pos="2634"/>
        </w:tabs>
        <w:spacing w:after="255" w:line="251" w:lineRule="auto"/>
      </w:pPr>
      <w:r>
        <w:tab/>
      </w:r>
      <w:r>
        <w:rPr>
          <w:rFonts w:ascii="Arial" w:eastAsia="Arial" w:hAnsi="Arial" w:cs="Arial"/>
          <w:i/>
        </w:rPr>
        <w:t>6.3.</w:t>
      </w:r>
      <w:r>
        <w:rPr>
          <w:rFonts w:ascii="Arial" w:eastAsia="Arial" w:hAnsi="Arial" w:cs="Arial"/>
          <w:i/>
        </w:rPr>
        <w:tab/>
        <w:t xml:space="preserve">ÁREA DE SOPORTE Y APOYO </w:t>
      </w:r>
    </w:p>
    <w:p w:rsidR="00E23B86" w:rsidRDefault="00BA7C13">
      <w:pPr>
        <w:spacing w:after="111" w:line="251" w:lineRule="auto"/>
        <w:ind w:left="355" w:right="573" w:hanging="10"/>
        <w:jc w:val="both"/>
      </w:pPr>
      <w:r>
        <w:rPr>
          <w:rFonts w:ascii="Arial" w:eastAsia="Arial" w:hAnsi="Arial" w:cs="Arial"/>
          <w:i/>
        </w:rPr>
        <w:t>El área de soporte y apoyo es clave en los p</w:t>
      </w:r>
      <w:r>
        <w:rPr>
          <w:rFonts w:ascii="Arial" w:eastAsia="Arial" w:hAnsi="Arial" w:cs="Arial"/>
          <w:i/>
        </w:rPr>
        <w:t xml:space="preserve">rocesos de gestión y las acciones van encaminadas a facilitar la implementación y ejecución del IV Plan Municipal. </w:t>
      </w:r>
    </w:p>
    <w:p w:rsidR="00E23B86" w:rsidRDefault="00BA7C13">
      <w:pPr>
        <w:spacing w:after="111" w:line="251" w:lineRule="auto"/>
        <w:ind w:left="355" w:right="573" w:hanging="10"/>
        <w:jc w:val="both"/>
      </w:pPr>
      <w:r>
        <w:rPr>
          <w:rFonts w:ascii="Arial" w:eastAsia="Arial" w:hAnsi="Arial" w:cs="Arial"/>
          <w:i/>
        </w:rPr>
        <w:t>Objetivo general</w:t>
      </w:r>
    </w:p>
    <w:p w:rsidR="00E23B86" w:rsidRDefault="00BA7C13">
      <w:pPr>
        <w:spacing w:after="0" w:line="251" w:lineRule="auto"/>
        <w:ind w:left="355" w:right="573" w:hanging="10"/>
        <w:jc w:val="both"/>
      </w:pPr>
      <w:r>
        <w:rPr>
          <w:rFonts w:ascii="Arial" w:eastAsia="Arial" w:hAnsi="Arial" w:cs="Arial"/>
          <w:i/>
        </w:rPr>
        <w:t>Desarrollar y ejecutar por parte del equipo del IV Plan, los procesos básicos de gestión (investigación, evaluación, planificación e interlocución (coordinación) interna y externa), los procesos de gestión de recursos (recursos humanos, materiales, económi</w:t>
      </w:r>
      <w:r>
        <w:rPr>
          <w:rFonts w:ascii="Arial" w:eastAsia="Arial" w:hAnsi="Arial" w:cs="Arial"/>
          <w:i/>
        </w:rPr>
        <w:t>cos y metodológicos necesarios), y los procesos avanzados de gestión</w:t>
      </w:r>
    </w:p>
    <w:p w:rsidR="00E23B86" w:rsidRDefault="00BA7C13">
      <w:pPr>
        <w:spacing w:after="232" w:line="251" w:lineRule="auto"/>
        <w:ind w:left="355" w:right="573" w:hanging="10"/>
        <w:jc w:val="both"/>
      </w:pPr>
      <w:r>
        <w:rPr>
          <w:noProof/>
        </w:rPr>
        <mc:AlternateContent>
          <mc:Choice Requires="wpg">
            <w:drawing>
              <wp:anchor distT="0" distB="0" distL="114300" distR="114300" simplePos="0" relativeHeight="2519101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8295" name="Group 55829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134" name="Rectangle 4013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135" name="Rectangle 4013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Página 2</w:t>
                              </w:r>
                              <w:r>
                                <w:rPr>
                                  <w:rFonts w:ascii="Arial" w:eastAsia="Arial" w:hAnsi="Arial" w:cs="Arial"/>
                                  <w:sz w:val="12"/>
                                </w:rPr>
                                <w:t xml:space="preserve">44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8295" style="width:12.7031pt;height:280.35pt;position:absolute;mso-position-horizontal-relative:page;mso-position-horizontal:absolute;margin-left:681.958pt;mso-position-vertical-relative:page;margin-top:531.65pt;" coordsize="1613,35604">
                <v:rect id="Rectangle 4013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13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244 de 391 </w:t>
                        </w:r>
                      </w:p>
                    </w:txbxContent>
                  </v:textbox>
                </v:rect>
                <w10:wrap type="square"/>
              </v:group>
            </w:pict>
          </mc:Fallback>
        </mc:AlternateContent>
      </w:r>
      <w:r>
        <w:rPr>
          <w:rFonts w:ascii="Arial" w:eastAsia="Arial" w:hAnsi="Arial" w:cs="Arial"/>
          <w:i/>
        </w:rPr>
        <w:t xml:space="preserve">(calidad, marketing social, participación, etc.,). </w:t>
      </w:r>
    </w:p>
    <w:tbl>
      <w:tblPr>
        <w:tblStyle w:val="TableGrid"/>
        <w:tblW w:w="8611" w:type="dxa"/>
        <w:tblInd w:w="297" w:type="dxa"/>
        <w:tblCellMar>
          <w:top w:w="13" w:type="dxa"/>
          <w:left w:w="109" w:type="dxa"/>
          <w:bottom w:w="0" w:type="dxa"/>
          <w:right w:w="131" w:type="dxa"/>
        </w:tblCellMar>
        <w:tblLook w:val="04A0" w:firstRow="1" w:lastRow="0" w:firstColumn="1" w:lastColumn="0" w:noHBand="0" w:noVBand="1"/>
      </w:tblPr>
      <w:tblGrid>
        <w:gridCol w:w="66"/>
        <w:gridCol w:w="677"/>
        <w:gridCol w:w="7806"/>
        <w:gridCol w:w="62"/>
      </w:tblGrid>
      <w:tr w:rsidR="00E23B86">
        <w:trPr>
          <w:trHeight w:val="384"/>
        </w:trPr>
        <w:tc>
          <w:tcPr>
            <w:tcW w:w="8611" w:type="dxa"/>
            <w:gridSpan w:val="4"/>
            <w:tcBorders>
              <w:top w:val="single" w:sz="4" w:space="0" w:color="00000A"/>
              <w:left w:val="single" w:sz="5" w:space="0" w:color="00000A"/>
              <w:bottom w:val="single" w:sz="4" w:space="0" w:color="00000A"/>
              <w:right w:val="single" w:sz="4" w:space="0" w:color="00000A"/>
            </w:tcBorders>
            <w:shd w:val="clear" w:color="auto" w:fill="BFBFBF"/>
          </w:tcPr>
          <w:p w:rsidR="00E23B86" w:rsidRDefault="00BA7C13">
            <w:pPr>
              <w:spacing w:after="0"/>
              <w:jc w:val="center"/>
            </w:pPr>
            <w:r>
              <w:rPr>
                <w:rFonts w:ascii="Arial" w:eastAsia="Arial" w:hAnsi="Arial" w:cs="Arial"/>
                <w:i/>
              </w:rPr>
              <w:t>Actuaciones a desarrollar</w:t>
            </w:r>
          </w:p>
        </w:tc>
      </w:tr>
      <w:tr w:rsidR="00E23B86">
        <w:trPr>
          <w:trHeight w:val="1262"/>
        </w:trPr>
        <w:tc>
          <w:tcPr>
            <w:tcW w:w="8611" w:type="dxa"/>
            <w:gridSpan w:val="4"/>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SA1: Promover la participación activa en la comisión mixta municipal de coordinación, y las comisiones de trabajo específico, de todos los recursos de la comun</w:t>
            </w:r>
            <w:r>
              <w:rPr>
                <w:rFonts w:ascii="Arial" w:eastAsia="Arial" w:hAnsi="Arial" w:cs="Arial"/>
                <w:i/>
              </w:rPr>
              <w:t>idad y agentes implicados/as, como espacio  de coordinación, planificación, evaluación y toma de decisiones.</w:t>
            </w:r>
          </w:p>
        </w:tc>
      </w:tr>
      <w:tr w:rsidR="00E23B86">
        <w:trPr>
          <w:trHeight w:val="888"/>
        </w:trPr>
        <w:tc>
          <w:tcPr>
            <w:tcW w:w="8611" w:type="dxa"/>
            <w:gridSpan w:val="4"/>
            <w:tcBorders>
              <w:top w:val="single" w:sz="4" w:space="0" w:color="00000A"/>
              <w:left w:val="single" w:sz="5" w:space="0" w:color="00000A"/>
              <w:bottom w:val="single" w:sz="4" w:space="0" w:color="00000A"/>
              <w:right w:val="single" w:sz="4" w:space="0" w:color="00000A"/>
            </w:tcBorders>
          </w:tcPr>
          <w:p w:rsidR="00E23B86" w:rsidRDefault="00BA7C13">
            <w:pPr>
              <w:spacing w:after="0"/>
              <w:ind w:right="11"/>
              <w:jc w:val="both"/>
            </w:pPr>
            <w:r>
              <w:rPr>
                <w:rFonts w:ascii="Arial" w:eastAsia="Arial" w:hAnsi="Arial" w:cs="Arial"/>
                <w:i/>
              </w:rPr>
              <w:t xml:space="preserve">Acción SA2. Difundir y comunicar de una forma adecuada este IV Plan Municipal, a todos los recursos implicados, facilitando el lenguaje y la transmisión de información, así como emplear los soportes adecuados. </w:t>
            </w:r>
          </w:p>
        </w:tc>
      </w:tr>
      <w:tr w:rsidR="00E23B86">
        <w:trPr>
          <w:trHeight w:val="890"/>
        </w:trPr>
        <w:tc>
          <w:tcPr>
            <w:tcW w:w="8611" w:type="dxa"/>
            <w:gridSpan w:val="4"/>
            <w:tcBorders>
              <w:top w:val="single" w:sz="4" w:space="0" w:color="00000A"/>
              <w:left w:val="single" w:sz="5" w:space="0" w:color="00000A"/>
              <w:bottom w:val="single" w:sz="4" w:space="0" w:color="00000A"/>
              <w:right w:val="single" w:sz="4" w:space="0" w:color="00000A"/>
            </w:tcBorders>
          </w:tcPr>
          <w:p w:rsidR="00E23B86" w:rsidRDefault="00BA7C13">
            <w:pPr>
              <w:spacing w:after="0"/>
              <w:ind w:right="2"/>
              <w:jc w:val="both"/>
            </w:pPr>
            <w:r>
              <w:rPr>
                <w:rFonts w:ascii="Arial" w:eastAsia="Arial" w:hAnsi="Arial" w:cs="Arial"/>
                <w:i/>
              </w:rPr>
              <w:t>Acción SA3. Llevar a cabo estudios, análisis</w:t>
            </w:r>
            <w:r>
              <w:rPr>
                <w:rFonts w:ascii="Arial" w:eastAsia="Arial" w:hAnsi="Arial" w:cs="Arial"/>
                <w:i/>
              </w:rPr>
              <w:t xml:space="preserve"> de necesidades e investigaciones, con el fin de conocer en todo momento la realidad social en el ámbito de promoción de la salud, empleando, si es necesario, recursos externos al Ayuntamiento.</w:t>
            </w:r>
          </w:p>
        </w:tc>
      </w:tr>
      <w:tr w:rsidR="00E23B86">
        <w:trPr>
          <w:trHeight w:val="889"/>
        </w:trPr>
        <w:tc>
          <w:tcPr>
            <w:tcW w:w="8611" w:type="dxa"/>
            <w:gridSpan w:val="4"/>
            <w:tcBorders>
              <w:top w:val="single" w:sz="4" w:space="0" w:color="00000A"/>
              <w:left w:val="single" w:sz="5" w:space="0" w:color="00000A"/>
              <w:bottom w:val="single" w:sz="4" w:space="0" w:color="00000A"/>
              <w:right w:val="single" w:sz="4" w:space="0" w:color="00000A"/>
            </w:tcBorders>
          </w:tcPr>
          <w:p w:rsidR="00E23B86" w:rsidRDefault="00BA7C13">
            <w:pPr>
              <w:spacing w:after="0"/>
              <w:ind w:right="8"/>
              <w:jc w:val="both"/>
            </w:pPr>
            <w:r>
              <w:rPr>
                <w:rFonts w:ascii="Arial" w:eastAsia="Arial" w:hAnsi="Arial" w:cs="Arial"/>
                <w:i/>
              </w:rPr>
              <w:t xml:space="preserve">Acción SA4. Promover la organización y realización de acciones formativas, dirigidas al personal implicado en el ámbito de las adicciones, procurando que dichas acciones formativas, estén avaladas por algún organismo oficial. </w:t>
            </w:r>
          </w:p>
        </w:tc>
      </w:tr>
      <w:tr w:rsidR="00E23B86">
        <w:tblPrEx>
          <w:tblCellMar>
            <w:top w:w="39" w:type="dxa"/>
            <w:left w:w="0" w:type="dxa"/>
            <w:right w:w="115" w:type="dxa"/>
          </w:tblCellMar>
        </w:tblPrEx>
        <w:trPr>
          <w:gridBefore w:val="1"/>
          <w:gridAfter w:val="1"/>
          <w:wBefore w:w="66" w:type="dxa"/>
          <w:wAfter w:w="62" w:type="dxa"/>
          <w:trHeight w:val="315"/>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7.</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COORDINACIÓN DE LAS ACTUA</w:t>
            </w:r>
            <w:r>
              <w:rPr>
                <w:rFonts w:ascii="Arial" w:eastAsia="Arial" w:hAnsi="Arial" w:cs="Arial"/>
                <w:i/>
              </w:rPr>
              <w:t>CIONES DEL IV PLAN</w:t>
            </w:r>
          </w:p>
        </w:tc>
      </w:tr>
    </w:tbl>
    <w:p w:rsidR="00E23B86" w:rsidRDefault="00BA7C13">
      <w:pPr>
        <w:spacing w:after="141" w:line="251" w:lineRule="auto"/>
        <w:ind w:left="355" w:right="573" w:hanging="10"/>
        <w:jc w:val="both"/>
      </w:pPr>
      <w:r>
        <w:rPr>
          <w:rFonts w:ascii="Arial" w:eastAsia="Arial" w:hAnsi="Arial" w:cs="Arial"/>
          <w:i/>
        </w:rPr>
        <w:t xml:space="preserve">La coordinación del IV Plan es la clave para su ejecución y el logro de resultados, para que ésta sea operativa se propone la coordinación a dos niveles: </w:t>
      </w:r>
    </w:p>
    <w:p w:rsidR="00E23B86" w:rsidRDefault="00BA7C13">
      <w:pPr>
        <w:numPr>
          <w:ilvl w:val="0"/>
          <w:numId w:val="130"/>
        </w:numPr>
        <w:spacing w:after="165" w:line="251" w:lineRule="auto"/>
        <w:ind w:right="573" w:hanging="360"/>
        <w:jc w:val="both"/>
      </w:pPr>
      <w:r>
        <w:rPr>
          <w:rFonts w:ascii="Arial" w:eastAsia="Arial" w:hAnsi="Arial" w:cs="Arial"/>
          <w:i/>
        </w:rPr>
        <w:t>Coordinación interna o institucional: Se desarrollará entre responsables políticos/as y personal técnico de la Concejalía de Servicios Sociales y otras Concejalías.</w:t>
      </w:r>
    </w:p>
    <w:p w:rsidR="00E23B86" w:rsidRDefault="00BA7C13">
      <w:pPr>
        <w:numPr>
          <w:ilvl w:val="0"/>
          <w:numId w:val="130"/>
        </w:numPr>
        <w:spacing w:after="168" w:line="251" w:lineRule="auto"/>
        <w:ind w:right="573" w:hanging="360"/>
        <w:jc w:val="both"/>
      </w:pPr>
      <w:r>
        <w:rPr>
          <w:rFonts w:ascii="Arial" w:eastAsia="Arial" w:hAnsi="Arial" w:cs="Arial"/>
          <w:i/>
        </w:rPr>
        <w:t>Coordinación externa o de participación social. Se realizará con otras instituciones de car</w:t>
      </w:r>
      <w:r>
        <w:rPr>
          <w:rFonts w:ascii="Arial" w:eastAsia="Arial" w:hAnsi="Arial" w:cs="Arial"/>
          <w:i/>
        </w:rPr>
        <w:t xml:space="preserve">ácter público o privado, que tengan competencias en materia de adicciones. </w:t>
      </w:r>
    </w:p>
    <w:p w:rsidR="00E23B86" w:rsidRDefault="00BA7C13">
      <w:pPr>
        <w:spacing w:after="111" w:line="251" w:lineRule="auto"/>
        <w:ind w:left="355" w:right="573" w:hanging="10"/>
        <w:jc w:val="both"/>
      </w:pPr>
      <w:r>
        <w:rPr>
          <w:rFonts w:ascii="Arial" w:eastAsia="Arial" w:hAnsi="Arial" w:cs="Arial"/>
          <w:i/>
        </w:rPr>
        <w:t xml:space="preserve">Para lleva a la práctica dicha coordinación, es preciso la creación de dos comisiones: </w:t>
      </w:r>
    </w:p>
    <w:p w:rsidR="00E23B86" w:rsidRDefault="00BA7C13">
      <w:pPr>
        <w:spacing w:after="3" w:line="265" w:lineRule="auto"/>
        <w:ind w:left="10" w:right="583" w:hanging="10"/>
        <w:jc w:val="right"/>
      </w:pPr>
      <w:r>
        <w:rPr>
          <w:rFonts w:ascii="Arial" w:eastAsia="Arial" w:hAnsi="Arial" w:cs="Arial"/>
          <w:i/>
        </w:rPr>
        <w:t>1. La Comisión Municipal de Prevención de Adicciones de Candelaria</w:t>
      </w:r>
    </w:p>
    <w:p w:rsidR="00E23B86" w:rsidRDefault="00BA7C13">
      <w:pPr>
        <w:spacing w:after="111" w:line="251" w:lineRule="auto"/>
        <w:ind w:left="1082" w:right="573" w:hanging="10"/>
        <w:jc w:val="both"/>
      </w:pPr>
      <w:r>
        <w:rPr>
          <w:rFonts w:ascii="Arial" w:eastAsia="Arial" w:hAnsi="Arial" w:cs="Arial"/>
          <w:i/>
        </w:rPr>
        <w:t xml:space="preserve">(coordinación interna). </w:t>
      </w:r>
    </w:p>
    <w:p w:rsidR="00E23B86" w:rsidRDefault="00BA7C13">
      <w:pPr>
        <w:spacing w:after="111" w:line="251" w:lineRule="auto"/>
        <w:ind w:left="722" w:right="573" w:hanging="10"/>
        <w:jc w:val="both"/>
      </w:pPr>
      <w:r>
        <w:rPr>
          <w:rFonts w:ascii="Arial" w:eastAsia="Arial" w:hAnsi="Arial" w:cs="Arial"/>
          <w:i/>
        </w:rPr>
        <w:t xml:space="preserve">1. La Comisión Mixta de Prevención de Adicciones de Candelaria. </w:t>
      </w:r>
    </w:p>
    <w:p w:rsidR="00E23B86" w:rsidRDefault="00BA7C13">
      <w:pPr>
        <w:spacing w:after="248" w:line="251" w:lineRule="auto"/>
        <w:ind w:left="355" w:right="573" w:hanging="10"/>
        <w:jc w:val="both"/>
      </w:pPr>
      <w:r>
        <w:rPr>
          <w:rFonts w:ascii="Arial" w:eastAsia="Arial" w:hAnsi="Arial" w:cs="Arial"/>
          <w:i/>
        </w:rPr>
        <w:t>7.1. Comisión Municipal de Prevención de Adicciones de Candelaria</w:t>
      </w:r>
    </w:p>
    <w:p w:rsidR="00E23B86" w:rsidRDefault="00BA7C13">
      <w:pPr>
        <w:spacing w:after="144" w:line="251" w:lineRule="auto"/>
        <w:ind w:left="355" w:right="573" w:hanging="10"/>
        <w:jc w:val="both"/>
      </w:pPr>
      <w:r>
        <w:rPr>
          <w:rFonts w:ascii="Arial" w:eastAsia="Arial" w:hAnsi="Arial" w:cs="Arial"/>
          <w:i/>
        </w:rPr>
        <w:t xml:space="preserve">Sus integrantes serán: </w:t>
      </w:r>
    </w:p>
    <w:p w:rsidR="00E23B86" w:rsidRDefault="00BA7C13">
      <w:pPr>
        <w:numPr>
          <w:ilvl w:val="0"/>
          <w:numId w:val="131"/>
        </w:numPr>
        <w:spacing w:after="146" w:line="251" w:lineRule="auto"/>
        <w:ind w:right="573" w:hanging="360"/>
        <w:jc w:val="both"/>
      </w:pPr>
      <w:r>
        <w:rPr>
          <w:rFonts w:ascii="Arial" w:eastAsia="Arial" w:hAnsi="Arial" w:cs="Arial"/>
          <w:i/>
        </w:rPr>
        <w:t>Quien ostente la Alcaldía o Presidencia del Ayuntamiento, o Concejalía en quien delegue, que ostentar</w:t>
      </w:r>
      <w:r>
        <w:rPr>
          <w:rFonts w:ascii="Arial" w:eastAsia="Arial" w:hAnsi="Arial" w:cs="Arial"/>
          <w:i/>
        </w:rPr>
        <w:t>á la Presidencia de la Comisión.</w:t>
      </w:r>
    </w:p>
    <w:p w:rsidR="00E23B86" w:rsidRDefault="00BA7C13">
      <w:pPr>
        <w:numPr>
          <w:ilvl w:val="0"/>
          <w:numId w:val="131"/>
        </w:numPr>
        <w:spacing w:after="145" w:line="251" w:lineRule="auto"/>
        <w:ind w:right="573" w:hanging="360"/>
        <w:jc w:val="both"/>
      </w:pPr>
      <w:r>
        <w:rPr>
          <w:rFonts w:ascii="Arial" w:eastAsia="Arial" w:hAnsi="Arial" w:cs="Arial"/>
          <w:i/>
        </w:rPr>
        <w:t>La persona que ostente la Concejalía con competencias en prevención de adicciones/drogodependencias.</w:t>
      </w:r>
    </w:p>
    <w:p w:rsidR="00E23B86" w:rsidRDefault="00BA7C13">
      <w:pPr>
        <w:numPr>
          <w:ilvl w:val="0"/>
          <w:numId w:val="131"/>
        </w:numPr>
        <w:spacing w:after="111" w:line="251" w:lineRule="auto"/>
        <w:ind w:right="573" w:hanging="360"/>
        <w:jc w:val="both"/>
      </w:pPr>
      <w:r>
        <w:rPr>
          <w:rFonts w:ascii="Arial" w:eastAsia="Arial" w:hAnsi="Arial" w:cs="Arial"/>
          <w:i/>
        </w:rPr>
        <w:t>Representantes de los grupos políticos municipales.</w:t>
      </w:r>
    </w:p>
    <w:p w:rsidR="00E23B86" w:rsidRDefault="00BA7C13">
      <w:pPr>
        <w:numPr>
          <w:ilvl w:val="0"/>
          <w:numId w:val="131"/>
        </w:numPr>
        <w:spacing w:after="111" w:line="251" w:lineRule="auto"/>
        <w:ind w:right="573" w:hanging="360"/>
        <w:jc w:val="both"/>
      </w:pPr>
      <w:r>
        <w:rPr>
          <w:rFonts w:ascii="Arial" w:eastAsia="Arial" w:hAnsi="Arial" w:cs="Arial"/>
          <w:i/>
        </w:rPr>
        <w:t>Personal de Secretaría del Ayuntamiento o funcionariado en quien deleg</w:t>
      </w:r>
      <w:r>
        <w:rPr>
          <w:rFonts w:ascii="Arial" w:eastAsia="Arial" w:hAnsi="Arial" w:cs="Arial"/>
          <w:i/>
        </w:rPr>
        <w:t>ue, que asumirá las funciones derivadas de la Secretaría de la Comisión Municipal.</w:t>
      </w:r>
    </w:p>
    <w:p w:rsidR="00E23B86" w:rsidRDefault="00BA7C13">
      <w:pPr>
        <w:spacing w:after="147" w:line="251" w:lineRule="auto"/>
        <w:ind w:left="355" w:right="573" w:hanging="10"/>
        <w:jc w:val="both"/>
      </w:pPr>
      <w:r>
        <w:rPr>
          <w:rFonts w:ascii="Arial" w:eastAsia="Arial" w:hAnsi="Arial" w:cs="Arial"/>
          <w:i/>
        </w:rPr>
        <w:t>Esta Comisión estará asistida en la celebración de sus reuniones periódicas por el/la Técnico/a Municipal en Prevención de Adicciones. Se reunirá con una periodicidad anual y sus funciones serán:</w:t>
      </w:r>
    </w:p>
    <w:p w:rsidR="00E23B86" w:rsidRDefault="00BA7C13">
      <w:pPr>
        <w:numPr>
          <w:ilvl w:val="0"/>
          <w:numId w:val="131"/>
        </w:numPr>
        <w:spacing w:after="146" w:line="251" w:lineRule="auto"/>
        <w:ind w:right="573" w:hanging="360"/>
        <w:jc w:val="both"/>
      </w:pPr>
      <w:r>
        <w:rPr>
          <w:rFonts w:ascii="Arial" w:eastAsia="Arial" w:hAnsi="Arial" w:cs="Arial"/>
          <w:i/>
        </w:rPr>
        <w:t>Definir y aprobar anualmente las líneas de actuación prioritarias del Plan Municipal.</w:t>
      </w:r>
    </w:p>
    <w:p w:rsidR="00E23B86" w:rsidRDefault="00BA7C13">
      <w:pPr>
        <w:numPr>
          <w:ilvl w:val="0"/>
          <w:numId w:val="131"/>
        </w:numPr>
        <w:spacing w:after="0" w:line="515" w:lineRule="auto"/>
        <w:ind w:right="573" w:hanging="360"/>
        <w:jc w:val="both"/>
      </w:pPr>
      <w:r>
        <w:rPr>
          <w:rFonts w:ascii="Arial" w:eastAsia="Arial" w:hAnsi="Arial" w:cs="Arial"/>
          <w:i/>
        </w:rPr>
        <w:t>Aprobar las líneas de trabajo y realizar el seguimiento. 7.2. Comisión Mixta de Prevención de Adicciones de Candelaria</w:t>
      </w:r>
    </w:p>
    <w:p w:rsidR="00E23B86" w:rsidRDefault="00BA7C13">
      <w:pPr>
        <w:spacing w:after="144" w:line="251" w:lineRule="auto"/>
        <w:ind w:left="355" w:right="573" w:hanging="10"/>
        <w:jc w:val="both"/>
      </w:pPr>
      <w:r>
        <w:rPr>
          <w:rFonts w:ascii="Arial" w:eastAsia="Arial" w:hAnsi="Arial" w:cs="Arial"/>
          <w:i/>
        </w:rPr>
        <w:t xml:space="preserve">Sus integrantes serán: </w:t>
      </w:r>
    </w:p>
    <w:p w:rsidR="00E23B86" w:rsidRDefault="00BA7C13">
      <w:pPr>
        <w:numPr>
          <w:ilvl w:val="0"/>
          <w:numId w:val="131"/>
        </w:numPr>
        <w:spacing w:after="111" w:line="251" w:lineRule="auto"/>
        <w:ind w:right="573" w:hanging="360"/>
        <w:jc w:val="both"/>
      </w:pPr>
      <w:r>
        <w:rPr>
          <w:rFonts w:ascii="Arial" w:eastAsia="Arial" w:hAnsi="Arial" w:cs="Arial"/>
          <w:i/>
        </w:rPr>
        <w:t>La persona que ostente la C</w:t>
      </w:r>
      <w:r>
        <w:rPr>
          <w:rFonts w:ascii="Arial" w:eastAsia="Arial" w:hAnsi="Arial" w:cs="Arial"/>
          <w:i/>
        </w:rPr>
        <w:t>oncejalía con competencias en adicciones.</w:t>
      </w:r>
    </w:p>
    <w:p w:rsidR="00E23B86" w:rsidRDefault="00BA7C13">
      <w:pPr>
        <w:numPr>
          <w:ilvl w:val="0"/>
          <w:numId w:val="131"/>
        </w:numPr>
        <w:spacing w:after="111" w:line="251" w:lineRule="auto"/>
        <w:ind w:right="573" w:hanging="360"/>
        <w:jc w:val="both"/>
      </w:pPr>
      <w:r>
        <w:rPr>
          <w:noProof/>
        </w:rPr>
        <mc:AlternateContent>
          <mc:Choice Requires="wpg">
            <w:drawing>
              <wp:anchor distT="0" distB="0" distL="114300" distR="114300" simplePos="0" relativeHeight="2519111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5077" name="Group 54507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207" name="Rectangle 4020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208" name="Rectangle 4020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245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5077" style="width:12.7031pt;height:280.35pt;position:absolute;mso-position-horizontal-relative:page;mso-position-horizontal:absolute;margin-left:681.958pt;mso-position-vertical-relative:page;margin-top:531.65pt;" coordsize="1613,35604">
                <v:rect id="Rectangle 4020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20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245 de 391 </w:t>
                        </w:r>
                      </w:p>
                    </w:txbxContent>
                  </v:textbox>
                </v:rect>
                <w10:wrap type="square"/>
              </v:group>
            </w:pict>
          </mc:Fallback>
        </mc:AlternateContent>
      </w:r>
      <w:r>
        <w:rPr>
          <w:rFonts w:ascii="Arial" w:eastAsia="Arial" w:hAnsi="Arial" w:cs="Arial"/>
          <w:i/>
        </w:rPr>
        <w:t>Representantes d</w:t>
      </w:r>
      <w:r>
        <w:rPr>
          <w:rFonts w:ascii="Arial" w:eastAsia="Arial" w:hAnsi="Arial" w:cs="Arial"/>
          <w:i/>
        </w:rPr>
        <w:t>e los grupos políticos municipales.</w:t>
      </w:r>
    </w:p>
    <w:p w:rsidR="00E23B86" w:rsidRDefault="00BA7C13">
      <w:pPr>
        <w:numPr>
          <w:ilvl w:val="0"/>
          <w:numId w:val="131"/>
        </w:numPr>
        <w:spacing w:after="145" w:line="251" w:lineRule="auto"/>
        <w:ind w:right="573" w:hanging="360"/>
        <w:jc w:val="both"/>
      </w:pPr>
      <w:r>
        <w:rPr>
          <w:rFonts w:ascii="Arial" w:eastAsia="Arial" w:hAnsi="Arial" w:cs="Arial"/>
          <w:i/>
        </w:rPr>
        <w:t>Los/las técnicos/as municipales de las Áreas del Ayuntamiento adscritas al Plan Municipal en Prevención de Adicciones.</w:t>
      </w:r>
    </w:p>
    <w:p w:rsidR="00E23B86" w:rsidRDefault="00BA7C13">
      <w:pPr>
        <w:numPr>
          <w:ilvl w:val="0"/>
          <w:numId w:val="131"/>
        </w:numPr>
        <w:spacing w:after="111" w:line="251" w:lineRule="auto"/>
        <w:ind w:right="573" w:hanging="360"/>
        <w:jc w:val="both"/>
      </w:pPr>
      <w:r>
        <w:rPr>
          <w:rFonts w:ascii="Arial" w:eastAsia="Arial" w:hAnsi="Arial" w:cs="Arial"/>
          <w:i/>
        </w:rPr>
        <w:t>Los/las representantes de los recursos institucionales del municipio.</w:t>
      </w:r>
    </w:p>
    <w:p w:rsidR="00E23B86" w:rsidRDefault="00BA7C13">
      <w:pPr>
        <w:numPr>
          <w:ilvl w:val="0"/>
          <w:numId w:val="131"/>
        </w:numPr>
        <w:spacing w:after="111" w:line="251" w:lineRule="auto"/>
        <w:ind w:right="573" w:hanging="360"/>
        <w:jc w:val="both"/>
      </w:pPr>
      <w:r>
        <w:rPr>
          <w:rFonts w:ascii="Arial" w:eastAsia="Arial" w:hAnsi="Arial" w:cs="Arial"/>
          <w:i/>
        </w:rPr>
        <w:t>Los/las representantes de las a</w:t>
      </w:r>
      <w:r>
        <w:rPr>
          <w:rFonts w:ascii="Arial" w:eastAsia="Arial" w:hAnsi="Arial" w:cs="Arial"/>
          <w:i/>
        </w:rPr>
        <w:t>sociaciones y entidades ciudadanas.</w:t>
      </w:r>
    </w:p>
    <w:p w:rsidR="00E23B86" w:rsidRDefault="00BA7C13">
      <w:pPr>
        <w:numPr>
          <w:ilvl w:val="0"/>
          <w:numId w:val="131"/>
        </w:numPr>
        <w:spacing w:after="111" w:line="251" w:lineRule="auto"/>
        <w:ind w:right="573" w:hanging="360"/>
        <w:jc w:val="both"/>
      </w:pPr>
      <w:r>
        <w:rPr>
          <w:rFonts w:ascii="Arial" w:eastAsia="Arial" w:hAnsi="Arial" w:cs="Arial"/>
          <w:i/>
        </w:rPr>
        <w:t>El/la técnico/a municipal en Prevención de Adicciones que actuará como Secretario/a de la Comisión.</w:t>
      </w:r>
    </w:p>
    <w:p w:rsidR="00E23B86" w:rsidRDefault="00BA7C13">
      <w:pPr>
        <w:spacing w:after="147" w:line="251" w:lineRule="auto"/>
        <w:ind w:left="355" w:right="573" w:hanging="10"/>
        <w:jc w:val="both"/>
      </w:pPr>
      <w:r>
        <w:rPr>
          <w:rFonts w:ascii="Arial" w:eastAsia="Arial" w:hAnsi="Arial" w:cs="Arial"/>
          <w:i/>
        </w:rPr>
        <w:t>La periodicidad de las reuniones de la Comisión Mixta se establecerá según la necesidad de las mismas, y las funciones serán:</w:t>
      </w:r>
    </w:p>
    <w:p w:rsidR="00E23B86" w:rsidRDefault="00BA7C13">
      <w:pPr>
        <w:numPr>
          <w:ilvl w:val="0"/>
          <w:numId w:val="131"/>
        </w:numPr>
        <w:spacing w:after="111" w:line="251" w:lineRule="auto"/>
        <w:ind w:right="573" w:hanging="360"/>
        <w:jc w:val="both"/>
      </w:pPr>
      <w:r>
        <w:rPr>
          <w:rFonts w:ascii="Arial" w:eastAsia="Arial" w:hAnsi="Arial" w:cs="Arial"/>
          <w:i/>
        </w:rPr>
        <w:t>El seguimiento y evaluación del Plan.</w:t>
      </w:r>
    </w:p>
    <w:p w:rsidR="00E23B86" w:rsidRDefault="00BA7C13">
      <w:pPr>
        <w:numPr>
          <w:ilvl w:val="0"/>
          <w:numId w:val="131"/>
        </w:numPr>
        <w:spacing w:after="111" w:line="251" w:lineRule="auto"/>
        <w:ind w:right="573" w:hanging="360"/>
        <w:jc w:val="both"/>
      </w:pPr>
      <w:r>
        <w:rPr>
          <w:rFonts w:ascii="Arial" w:eastAsia="Arial" w:hAnsi="Arial" w:cs="Arial"/>
          <w:i/>
        </w:rPr>
        <w:t>Establecer las líneas de actuación.</w:t>
      </w:r>
    </w:p>
    <w:p w:rsidR="00E23B86" w:rsidRDefault="00BA7C13">
      <w:pPr>
        <w:numPr>
          <w:ilvl w:val="0"/>
          <w:numId w:val="131"/>
        </w:numPr>
        <w:spacing w:after="111" w:line="251" w:lineRule="auto"/>
        <w:ind w:right="573" w:hanging="360"/>
        <w:jc w:val="both"/>
      </w:pPr>
      <w:r>
        <w:rPr>
          <w:rFonts w:ascii="Arial" w:eastAsia="Arial" w:hAnsi="Arial" w:cs="Arial"/>
          <w:i/>
        </w:rPr>
        <w:t>Coordinar las actuaciones y programas en Adicciones de l</w:t>
      </w:r>
      <w:r>
        <w:rPr>
          <w:rFonts w:ascii="Arial" w:eastAsia="Arial" w:hAnsi="Arial" w:cs="Arial"/>
          <w:i/>
        </w:rPr>
        <w:t>as distintas instituciones, entidades y grupos sociales.</w:t>
      </w:r>
    </w:p>
    <w:p w:rsidR="00E23B86" w:rsidRDefault="00BA7C13">
      <w:pPr>
        <w:spacing w:after="146" w:line="251" w:lineRule="auto"/>
        <w:ind w:left="355" w:right="573" w:hanging="10"/>
        <w:jc w:val="both"/>
      </w:pPr>
      <w:r>
        <w:rPr>
          <w:rFonts w:ascii="Arial" w:eastAsia="Arial" w:hAnsi="Arial" w:cs="Arial"/>
          <w:i/>
        </w:rPr>
        <w:t>Esta comisión podrá operativizarse en grupos de trabajo sobre la base de los ámbitos de intervención ya señalados (educativo, familiar, laboral y de ocio y tiempo libre), estableciéndose las reunione</w:t>
      </w:r>
      <w:r>
        <w:rPr>
          <w:rFonts w:ascii="Arial" w:eastAsia="Arial" w:hAnsi="Arial" w:cs="Arial"/>
          <w:i/>
        </w:rPr>
        <w:t>s según cada grupo de trabajo y tendrán como funciones proponer y elevar a la Comisión Mixta las siguientes cuestiones:</w:t>
      </w:r>
    </w:p>
    <w:p w:rsidR="00E23B86" w:rsidRDefault="00BA7C13">
      <w:pPr>
        <w:numPr>
          <w:ilvl w:val="0"/>
          <w:numId w:val="131"/>
        </w:numPr>
        <w:spacing w:after="111" w:line="251" w:lineRule="auto"/>
        <w:ind w:right="573" w:hanging="360"/>
        <w:jc w:val="both"/>
      </w:pPr>
      <w:r>
        <w:rPr>
          <w:rFonts w:ascii="Arial" w:eastAsia="Arial" w:hAnsi="Arial" w:cs="Arial"/>
          <w:i/>
        </w:rPr>
        <w:t>Nuevas propuestas de intervención.</w:t>
      </w:r>
    </w:p>
    <w:p w:rsidR="00E23B86" w:rsidRDefault="00BA7C13">
      <w:pPr>
        <w:numPr>
          <w:ilvl w:val="0"/>
          <w:numId w:val="131"/>
        </w:numPr>
        <w:spacing w:after="111" w:line="251" w:lineRule="auto"/>
        <w:ind w:right="573" w:hanging="360"/>
        <w:jc w:val="both"/>
      </w:pPr>
      <w:r>
        <w:rPr>
          <w:rFonts w:ascii="Arial" w:eastAsia="Arial" w:hAnsi="Arial" w:cs="Arial"/>
          <w:i/>
        </w:rPr>
        <w:t xml:space="preserve">La elaboración de diagnósticos y exposición de necesidades. </w:t>
      </w:r>
    </w:p>
    <w:p w:rsidR="00E23B86" w:rsidRDefault="00BA7C13">
      <w:pPr>
        <w:numPr>
          <w:ilvl w:val="0"/>
          <w:numId w:val="131"/>
        </w:numPr>
        <w:spacing w:after="111" w:line="251" w:lineRule="auto"/>
        <w:ind w:right="573" w:hanging="360"/>
        <w:jc w:val="both"/>
      </w:pPr>
      <w:r>
        <w:rPr>
          <w:rFonts w:ascii="Arial" w:eastAsia="Arial" w:hAnsi="Arial" w:cs="Arial"/>
          <w:i/>
        </w:rPr>
        <w:t>Estudios e Investigaciones.</w:t>
      </w:r>
    </w:p>
    <w:p w:rsidR="00E23B86" w:rsidRDefault="00BA7C13">
      <w:pPr>
        <w:numPr>
          <w:ilvl w:val="0"/>
          <w:numId w:val="131"/>
        </w:numPr>
        <w:spacing w:after="63" w:line="251" w:lineRule="auto"/>
        <w:ind w:right="573" w:hanging="360"/>
        <w:jc w:val="both"/>
      </w:pPr>
      <w:r>
        <w:rPr>
          <w:rFonts w:ascii="Arial" w:eastAsia="Arial" w:hAnsi="Arial" w:cs="Arial"/>
          <w:i/>
        </w:rPr>
        <w:t xml:space="preserve">Seguimiento </w:t>
      </w:r>
      <w:r>
        <w:rPr>
          <w:rFonts w:ascii="Arial" w:eastAsia="Arial" w:hAnsi="Arial" w:cs="Arial"/>
          <w:i/>
        </w:rPr>
        <w:t xml:space="preserve">y evaluación de las intervenciones llevadas en cada ámbito. </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317"/>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8.</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RECURSOS DEL IV PLAN  </w:t>
            </w:r>
          </w:p>
        </w:tc>
      </w:tr>
    </w:tbl>
    <w:p w:rsidR="00E23B86" w:rsidRDefault="00BA7C13">
      <w:pPr>
        <w:spacing w:after="111" w:line="251" w:lineRule="auto"/>
        <w:ind w:left="355" w:right="573" w:hanging="10"/>
        <w:jc w:val="both"/>
      </w:pPr>
      <w:r>
        <w:rPr>
          <w:rFonts w:ascii="Arial" w:eastAsia="Arial" w:hAnsi="Arial" w:cs="Arial"/>
          <w:i/>
        </w:rPr>
        <w:t>Para la implementación y ejecución del IV Plan Municipal de Prevención de Adicciones (2019-2023) del municipio de Candelaria, se dispondrá de los recursos ya existentes y se adjudicarán los recursos necesarios para desarrollar las medidas.</w:t>
      </w:r>
    </w:p>
    <w:p w:rsidR="00E23B86" w:rsidRDefault="00BA7C13">
      <w:pPr>
        <w:spacing w:after="111" w:line="251" w:lineRule="auto"/>
        <w:ind w:left="355" w:right="573" w:hanging="10"/>
        <w:jc w:val="both"/>
      </w:pPr>
      <w:r>
        <w:rPr>
          <w:rFonts w:ascii="Arial" w:eastAsia="Arial" w:hAnsi="Arial" w:cs="Arial"/>
          <w:i/>
        </w:rPr>
        <w:t>Como recursos re</w:t>
      </w:r>
      <w:r>
        <w:rPr>
          <w:rFonts w:ascii="Arial" w:eastAsia="Arial" w:hAnsi="Arial" w:cs="Arial"/>
          <w:i/>
        </w:rPr>
        <w:t>lacionados con el Plan que ya existen (sin dedicación exclusiva, responsables de otras áreas y funciones):</w:t>
      </w:r>
    </w:p>
    <w:p w:rsidR="00E23B86" w:rsidRDefault="00BA7C13">
      <w:pPr>
        <w:numPr>
          <w:ilvl w:val="1"/>
          <w:numId w:val="131"/>
        </w:numPr>
        <w:spacing w:after="173" w:line="251" w:lineRule="auto"/>
        <w:ind w:right="573" w:hanging="360"/>
        <w:jc w:val="both"/>
      </w:pPr>
      <w:r>
        <w:rPr>
          <w:rFonts w:ascii="Arial" w:eastAsia="Arial" w:hAnsi="Arial" w:cs="Arial"/>
          <w:i/>
        </w:rPr>
        <w:t>1 Trabajadora Social (responsable del Plan)</w:t>
      </w:r>
    </w:p>
    <w:p w:rsidR="00E23B86" w:rsidRDefault="00BA7C13">
      <w:pPr>
        <w:numPr>
          <w:ilvl w:val="1"/>
          <w:numId w:val="131"/>
        </w:numPr>
        <w:spacing w:after="173" w:line="251" w:lineRule="auto"/>
        <w:ind w:right="573" w:hanging="360"/>
        <w:jc w:val="both"/>
      </w:pPr>
      <w:r>
        <w:rPr>
          <w:rFonts w:ascii="Arial" w:eastAsia="Arial" w:hAnsi="Arial" w:cs="Arial"/>
          <w:i/>
        </w:rPr>
        <w:t xml:space="preserve">1 Pedagoga </w:t>
      </w:r>
    </w:p>
    <w:p w:rsidR="00E23B86" w:rsidRDefault="00BA7C13">
      <w:pPr>
        <w:numPr>
          <w:ilvl w:val="1"/>
          <w:numId w:val="131"/>
        </w:numPr>
        <w:spacing w:after="607" w:line="251" w:lineRule="auto"/>
        <w:ind w:right="573" w:hanging="360"/>
        <w:jc w:val="both"/>
      </w:pPr>
      <w:r>
        <w:rPr>
          <w:rFonts w:ascii="Arial" w:eastAsia="Arial" w:hAnsi="Arial" w:cs="Arial"/>
          <w:i/>
        </w:rPr>
        <w:t xml:space="preserve">1 Trabajadora Social   </w:t>
      </w:r>
    </w:p>
    <w:p w:rsidR="00E23B86" w:rsidRDefault="00BA7C13">
      <w:pPr>
        <w:spacing w:after="169" w:line="251" w:lineRule="auto"/>
        <w:ind w:left="355" w:right="573" w:hanging="10"/>
        <w:jc w:val="both"/>
      </w:pPr>
      <w:r>
        <w:rPr>
          <w:rFonts w:ascii="Arial" w:eastAsia="Arial" w:hAnsi="Arial" w:cs="Arial"/>
          <w:i/>
        </w:rPr>
        <w:t>Como recursos relacionados con el Plan, que no existen y sería necesa</w:t>
      </w:r>
      <w:r>
        <w:rPr>
          <w:rFonts w:ascii="Arial" w:eastAsia="Arial" w:hAnsi="Arial" w:cs="Arial"/>
          <w:i/>
        </w:rPr>
        <w:t>rio implementar:</w:t>
      </w:r>
    </w:p>
    <w:p w:rsidR="00E23B86" w:rsidRDefault="00BA7C13">
      <w:pPr>
        <w:numPr>
          <w:ilvl w:val="1"/>
          <w:numId w:val="131"/>
        </w:numPr>
        <w:spacing w:after="173" w:line="251" w:lineRule="auto"/>
        <w:ind w:right="573" w:hanging="360"/>
        <w:jc w:val="both"/>
      </w:pPr>
      <w:r>
        <w:rPr>
          <w:rFonts w:ascii="Arial" w:eastAsia="Arial" w:hAnsi="Arial" w:cs="Arial"/>
          <w:i/>
        </w:rPr>
        <w:t>Educadores/as de calle para trabajar en los barrios.</w:t>
      </w:r>
    </w:p>
    <w:p w:rsidR="00E23B86" w:rsidRDefault="00BA7C13">
      <w:pPr>
        <w:numPr>
          <w:ilvl w:val="1"/>
          <w:numId w:val="131"/>
        </w:numPr>
        <w:spacing w:after="168" w:line="251" w:lineRule="auto"/>
        <w:ind w:right="573" w:hanging="360"/>
        <w:jc w:val="both"/>
      </w:pPr>
      <w:r>
        <w:rPr>
          <w:noProof/>
        </w:rPr>
        <mc:AlternateContent>
          <mc:Choice Requires="wpg">
            <w:drawing>
              <wp:anchor distT="0" distB="0" distL="114300" distR="114300" simplePos="0" relativeHeight="2519121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0732" name="Group 56073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282" name="Rectangle 4028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283" name="Rectangle 4028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246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0732" style="width:12.7031pt;height:280.35pt;position:absolute;mso-position-horizontal-relative:page;mso-position-horizontal:absolute;margin-left:681.958pt;mso-position-vertical-relative:page;margin-top:531.65pt;" coordsize="1613,35604">
                <v:rect id="Rectangle 4028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28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246 de 391 </w:t>
                        </w:r>
                      </w:p>
                    </w:txbxContent>
                  </v:textbox>
                </v:rect>
                <w10:wrap type="square"/>
              </v:group>
            </w:pict>
          </mc:Fallback>
        </mc:AlternateContent>
      </w:r>
      <w:r>
        <w:rPr>
          <w:rFonts w:ascii="Arial" w:eastAsia="Arial" w:hAnsi="Arial" w:cs="Arial"/>
          <w:i/>
        </w:rPr>
        <w:t>Equipo de expertos con perfiles de trabajadores/as sociales, Psicólogos/as y expertos/as en familia para ofertar servicios de atención temprana, asesoramiento, e</w:t>
      </w:r>
      <w:r>
        <w:rPr>
          <w:rFonts w:ascii="Arial" w:eastAsia="Arial" w:hAnsi="Arial" w:cs="Arial"/>
          <w:i/>
        </w:rPr>
        <w:t>tc.</w:t>
      </w:r>
    </w:p>
    <w:p w:rsidR="00E23B86" w:rsidRDefault="00BA7C13">
      <w:pPr>
        <w:numPr>
          <w:ilvl w:val="1"/>
          <w:numId w:val="131"/>
        </w:numPr>
        <w:spacing w:after="165" w:line="251" w:lineRule="auto"/>
        <w:ind w:right="573" w:hanging="360"/>
        <w:jc w:val="both"/>
      </w:pPr>
      <w:r>
        <w:rPr>
          <w:rFonts w:ascii="Arial" w:eastAsia="Arial" w:hAnsi="Arial" w:cs="Arial"/>
          <w:i/>
        </w:rPr>
        <w:t>Experto/a en redes sociales para gestionar la prevención desde un ámbito virtual.</w:t>
      </w:r>
    </w:p>
    <w:p w:rsidR="00E23B86" w:rsidRDefault="00BA7C13">
      <w:pPr>
        <w:numPr>
          <w:ilvl w:val="1"/>
          <w:numId w:val="131"/>
        </w:numPr>
        <w:spacing w:after="167" w:line="251" w:lineRule="auto"/>
        <w:ind w:right="573" w:hanging="360"/>
        <w:jc w:val="both"/>
      </w:pPr>
      <w:r>
        <w:rPr>
          <w:rFonts w:ascii="Arial" w:eastAsia="Arial" w:hAnsi="Arial" w:cs="Arial"/>
          <w:i/>
        </w:rPr>
        <w:t>Contratación de servicios para asesorar, evaluar e investigar sobre prevención de adicciones.</w:t>
      </w:r>
    </w:p>
    <w:p w:rsidR="00E23B86" w:rsidRDefault="00BA7C13">
      <w:pPr>
        <w:numPr>
          <w:ilvl w:val="1"/>
          <w:numId w:val="131"/>
        </w:numPr>
        <w:spacing w:after="599" w:line="251" w:lineRule="auto"/>
        <w:ind w:right="573" w:hanging="360"/>
        <w:jc w:val="both"/>
      </w:pPr>
      <w:r>
        <w:rPr>
          <w:rFonts w:ascii="Arial" w:eastAsia="Arial" w:hAnsi="Arial" w:cs="Arial"/>
          <w:i/>
        </w:rPr>
        <w:t xml:space="preserve">Recursos presupuestarios para contratar servicios de publicidad, edición de </w:t>
      </w:r>
      <w:r>
        <w:rPr>
          <w:rFonts w:ascii="Arial" w:eastAsia="Arial" w:hAnsi="Arial" w:cs="Arial"/>
          <w:i/>
        </w:rPr>
        <w:t>folletos, cursos, talleres, charlas, etc. en el ámbito comunitario y educativo.</w:t>
      </w:r>
    </w:p>
    <w:p w:rsidR="00E23B86" w:rsidRDefault="00BA7C13">
      <w:pPr>
        <w:spacing w:after="111" w:line="251" w:lineRule="auto"/>
        <w:ind w:left="355" w:right="573" w:hanging="10"/>
        <w:jc w:val="both"/>
      </w:pPr>
      <w:r>
        <w:rPr>
          <w:rFonts w:ascii="Arial" w:eastAsia="Arial" w:hAnsi="Arial" w:cs="Arial"/>
          <w:i/>
        </w:rPr>
        <w:t>El Ayuntamiento de Candelaria cuanta con la aplicación presupuestaria 23100.22616 correspondiente a la Unidad de Prevención, Absentismo y Drogodependencias, así como la aplicac</w:t>
      </w:r>
      <w:r>
        <w:rPr>
          <w:rFonts w:ascii="Arial" w:eastAsia="Arial" w:hAnsi="Arial" w:cs="Arial"/>
          <w:i/>
        </w:rPr>
        <w:t xml:space="preserve">ión 23100.48002 de Prevención y Reinserción del Plan Concertado de Prestaciones Básicas de los Servicios Sociales Municipales. </w:t>
      </w:r>
    </w:p>
    <w:p w:rsidR="00E23B86" w:rsidRDefault="00BA7C13">
      <w:pPr>
        <w:spacing w:after="111" w:line="251" w:lineRule="auto"/>
        <w:ind w:left="355" w:right="573" w:hanging="10"/>
        <w:jc w:val="both"/>
      </w:pPr>
      <w:r>
        <w:rPr>
          <w:rFonts w:ascii="Arial" w:eastAsia="Arial" w:hAnsi="Arial" w:cs="Arial"/>
          <w:i/>
        </w:rPr>
        <w:t xml:space="preserve">Así mismo, deberá dotar de los recursos materiales necesarios para el desarrollo de las actuaciones de dicho Plan. </w:t>
      </w:r>
    </w:p>
    <w:tbl>
      <w:tblPr>
        <w:tblStyle w:val="TableGrid"/>
        <w:tblW w:w="8483" w:type="dxa"/>
        <w:tblInd w:w="361" w:type="dxa"/>
        <w:tblCellMar>
          <w:top w:w="39" w:type="dxa"/>
          <w:left w:w="0" w:type="dxa"/>
          <w:bottom w:w="0" w:type="dxa"/>
          <w:right w:w="115" w:type="dxa"/>
        </w:tblCellMar>
        <w:tblLook w:val="04A0" w:firstRow="1" w:lastRow="0" w:firstColumn="1" w:lastColumn="0" w:noHBand="0" w:noVBand="1"/>
      </w:tblPr>
      <w:tblGrid>
        <w:gridCol w:w="677"/>
        <w:gridCol w:w="7806"/>
      </w:tblGrid>
      <w:tr w:rsidR="00E23B86">
        <w:trPr>
          <w:trHeight w:val="315"/>
        </w:trPr>
        <w:tc>
          <w:tcPr>
            <w:tcW w:w="677"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Arial" w:eastAsia="Arial" w:hAnsi="Arial" w:cs="Arial"/>
                <w:i/>
              </w:rPr>
              <w:t>9.</w:t>
            </w:r>
          </w:p>
        </w:tc>
        <w:tc>
          <w:tcPr>
            <w:tcW w:w="7806"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EVALUACIÓN Y SEGUIMIENTO DEL PLAN </w:t>
            </w:r>
          </w:p>
        </w:tc>
      </w:tr>
    </w:tbl>
    <w:p w:rsidR="00E23B86" w:rsidRDefault="00BA7C13">
      <w:pPr>
        <w:spacing w:after="111" w:line="251" w:lineRule="auto"/>
        <w:ind w:left="355" w:right="573" w:hanging="10"/>
        <w:jc w:val="both"/>
      </w:pPr>
      <w:r>
        <w:rPr>
          <w:rFonts w:ascii="Arial" w:eastAsia="Arial" w:hAnsi="Arial" w:cs="Arial"/>
          <w:i/>
        </w:rPr>
        <w:t xml:space="preserve">El IV Plan Municipal de Prevención de Drogodependencias y otras Adicciones (20192023) del municipio de Candelaria, precisa de un sistema de evaluación y seguimiento que garantice el logro de los objetivos marcados. </w:t>
      </w:r>
    </w:p>
    <w:p w:rsidR="00E23B86" w:rsidRDefault="00BA7C13">
      <w:pPr>
        <w:spacing w:after="111" w:line="251" w:lineRule="auto"/>
        <w:ind w:left="355" w:right="573" w:hanging="10"/>
        <w:jc w:val="both"/>
      </w:pPr>
      <w:r>
        <w:rPr>
          <w:rFonts w:ascii="Arial" w:eastAsia="Arial" w:hAnsi="Arial" w:cs="Arial"/>
          <w:i/>
        </w:rPr>
        <w:t xml:space="preserve">Los objetivos de la evaluación serán: </w:t>
      </w:r>
    </w:p>
    <w:p w:rsidR="00E23B86" w:rsidRDefault="00BA7C13">
      <w:pPr>
        <w:numPr>
          <w:ilvl w:val="0"/>
          <w:numId w:val="131"/>
        </w:numPr>
        <w:spacing w:after="146" w:line="251" w:lineRule="auto"/>
        <w:ind w:right="573" w:hanging="360"/>
        <w:jc w:val="both"/>
      </w:pPr>
      <w:r>
        <w:rPr>
          <w:rFonts w:ascii="Arial" w:eastAsia="Arial" w:hAnsi="Arial" w:cs="Arial"/>
          <w:i/>
        </w:rPr>
        <w:t>Evaluar la ejecución de las acciones de las distintas estrategias del Plan Municipal tanto en su diseño, proceso, resultados e impacto.</w:t>
      </w:r>
    </w:p>
    <w:p w:rsidR="00E23B86" w:rsidRDefault="00BA7C13">
      <w:pPr>
        <w:numPr>
          <w:ilvl w:val="0"/>
          <w:numId w:val="131"/>
        </w:numPr>
        <w:spacing w:after="111" w:line="251" w:lineRule="auto"/>
        <w:ind w:right="573" w:hanging="360"/>
        <w:jc w:val="both"/>
      </w:pPr>
      <w:r>
        <w:rPr>
          <w:rFonts w:ascii="Arial" w:eastAsia="Arial" w:hAnsi="Arial" w:cs="Arial"/>
          <w:i/>
        </w:rPr>
        <w:t>Hacer partícipes del proceso evaluativo a los/as técnicos/as, agentes sociales pa</w:t>
      </w:r>
      <w:r>
        <w:rPr>
          <w:rFonts w:ascii="Arial" w:eastAsia="Arial" w:hAnsi="Arial" w:cs="Arial"/>
          <w:i/>
        </w:rPr>
        <w:t>rticipantes y a la población.</w:t>
      </w:r>
    </w:p>
    <w:p w:rsidR="00E23B86" w:rsidRDefault="00BA7C13">
      <w:pPr>
        <w:spacing w:after="147" w:line="251" w:lineRule="auto"/>
        <w:ind w:left="355" w:right="573" w:hanging="10"/>
        <w:jc w:val="both"/>
      </w:pPr>
      <w:r>
        <w:rPr>
          <w:rFonts w:ascii="Arial" w:eastAsia="Arial" w:hAnsi="Arial" w:cs="Arial"/>
          <w:i/>
        </w:rPr>
        <w:t>Como procedimiento para evaluar y hacer un seguimiento del mismo se tendrán en cuenta los siguientes aspectos:</w:t>
      </w:r>
    </w:p>
    <w:p w:rsidR="00E23B86" w:rsidRDefault="00BA7C13">
      <w:pPr>
        <w:numPr>
          <w:ilvl w:val="0"/>
          <w:numId w:val="131"/>
        </w:numPr>
        <w:spacing w:after="146" w:line="251" w:lineRule="auto"/>
        <w:ind w:right="573" w:hanging="360"/>
        <w:jc w:val="both"/>
      </w:pPr>
      <w:r>
        <w:rPr>
          <w:rFonts w:ascii="Arial" w:eastAsia="Arial" w:hAnsi="Arial" w:cs="Arial"/>
          <w:i/>
        </w:rPr>
        <w:t>Comprobación de los indicadores de las medidas, acciones y actividades de la Planificación.</w:t>
      </w:r>
    </w:p>
    <w:p w:rsidR="00E23B86" w:rsidRDefault="00BA7C13">
      <w:pPr>
        <w:numPr>
          <w:ilvl w:val="0"/>
          <w:numId w:val="131"/>
        </w:numPr>
        <w:spacing w:after="111" w:line="251" w:lineRule="auto"/>
        <w:ind w:right="573" w:hanging="360"/>
        <w:jc w:val="both"/>
      </w:pPr>
      <w:r>
        <w:rPr>
          <w:rFonts w:ascii="Arial" w:eastAsia="Arial" w:hAnsi="Arial" w:cs="Arial"/>
          <w:i/>
        </w:rPr>
        <w:t>Evaluación externa de los resultados de la evaluación.</w:t>
      </w:r>
    </w:p>
    <w:p w:rsidR="00E23B86" w:rsidRDefault="00BA7C13">
      <w:pPr>
        <w:numPr>
          <w:ilvl w:val="0"/>
          <w:numId w:val="131"/>
        </w:numPr>
        <w:spacing w:after="111" w:line="251" w:lineRule="auto"/>
        <w:ind w:right="573" w:hanging="360"/>
        <w:jc w:val="both"/>
      </w:pPr>
      <w:r>
        <w:rPr>
          <w:rFonts w:ascii="Arial" w:eastAsia="Arial" w:hAnsi="Arial" w:cs="Arial"/>
          <w:i/>
        </w:rPr>
        <w:t>Presentación de informe anual ante la Comisión Municipal y Comisión Mixta órganos de control y seguimiento del IV Plan Municipal en Drogodependencias y otras Adicciones.</w:t>
      </w:r>
    </w:p>
    <w:p w:rsidR="00E23B86" w:rsidRDefault="00BA7C13">
      <w:pPr>
        <w:spacing w:after="163" w:line="251" w:lineRule="auto"/>
        <w:ind w:left="355" w:right="573" w:hanging="10"/>
        <w:jc w:val="both"/>
      </w:pPr>
      <w:r>
        <w:rPr>
          <w:rFonts w:ascii="Arial" w:eastAsia="Arial" w:hAnsi="Arial" w:cs="Arial"/>
          <w:i/>
        </w:rPr>
        <w:t xml:space="preserve">A continuación, se recogen los </w:t>
      </w:r>
      <w:r>
        <w:rPr>
          <w:rFonts w:ascii="Arial" w:eastAsia="Arial" w:hAnsi="Arial" w:cs="Arial"/>
          <w:i/>
        </w:rPr>
        <w:t xml:space="preserve">indicadores de evaluación a tener en cuenta para la evaluación del proceso y resultados del IV Plan Municipal y que concreta en: </w:t>
      </w:r>
      <w:r>
        <w:rPr>
          <w:rFonts w:ascii="Segoe UI Symbol" w:eastAsia="Segoe UI Symbol" w:hAnsi="Segoe UI Symbol" w:cs="Segoe UI Symbol"/>
        </w:rPr>
        <w:t xml:space="preserve"> </w:t>
      </w:r>
      <w:r>
        <w:rPr>
          <w:rFonts w:ascii="Arial" w:eastAsia="Arial" w:hAnsi="Arial" w:cs="Arial"/>
          <w:i/>
        </w:rPr>
        <w:t xml:space="preserve">Grado de cobertura de población con las acciones preventivas. </w:t>
      </w:r>
    </w:p>
    <w:p w:rsidR="00E23B86" w:rsidRDefault="00BA7C13">
      <w:pPr>
        <w:numPr>
          <w:ilvl w:val="0"/>
          <w:numId w:val="132"/>
        </w:numPr>
        <w:spacing w:after="170" w:line="251" w:lineRule="auto"/>
        <w:ind w:right="573" w:hanging="360"/>
        <w:jc w:val="both"/>
      </w:pPr>
      <w:r>
        <w:rPr>
          <w:rFonts w:ascii="Arial" w:eastAsia="Arial" w:hAnsi="Arial" w:cs="Arial"/>
          <w:i/>
        </w:rPr>
        <w:t xml:space="preserve">Tipología de las acciones preventivas ejecutadas. </w:t>
      </w:r>
    </w:p>
    <w:p w:rsidR="00E23B86" w:rsidRDefault="00BA7C13">
      <w:pPr>
        <w:numPr>
          <w:ilvl w:val="0"/>
          <w:numId w:val="132"/>
        </w:numPr>
        <w:spacing w:after="172" w:line="251" w:lineRule="auto"/>
        <w:ind w:right="573" w:hanging="360"/>
        <w:jc w:val="both"/>
      </w:pPr>
      <w:r>
        <w:rPr>
          <w:rFonts w:ascii="Arial" w:eastAsia="Arial" w:hAnsi="Arial" w:cs="Arial"/>
          <w:i/>
        </w:rPr>
        <w:t>Beneficiari</w:t>
      </w:r>
      <w:r>
        <w:rPr>
          <w:rFonts w:ascii="Arial" w:eastAsia="Arial" w:hAnsi="Arial" w:cs="Arial"/>
          <w:i/>
        </w:rPr>
        <w:t>os/as de las acciones (perfil).</w:t>
      </w:r>
    </w:p>
    <w:p w:rsidR="00E23B86" w:rsidRDefault="00BA7C13">
      <w:pPr>
        <w:numPr>
          <w:ilvl w:val="0"/>
          <w:numId w:val="132"/>
        </w:numPr>
        <w:spacing w:after="170" w:line="251" w:lineRule="auto"/>
        <w:ind w:right="573" w:hanging="360"/>
        <w:jc w:val="both"/>
      </w:pPr>
      <w:r>
        <w:rPr>
          <w:rFonts w:ascii="Arial" w:eastAsia="Arial" w:hAnsi="Arial" w:cs="Arial"/>
          <w:i/>
        </w:rPr>
        <w:t>Participación, coordinación y diseño de actuaciones conjuntas.</w:t>
      </w:r>
    </w:p>
    <w:p w:rsidR="00E23B86" w:rsidRDefault="00BA7C13">
      <w:pPr>
        <w:numPr>
          <w:ilvl w:val="0"/>
          <w:numId w:val="132"/>
        </w:numPr>
        <w:spacing w:after="172" w:line="251" w:lineRule="auto"/>
        <w:ind w:right="573" w:hanging="360"/>
        <w:jc w:val="both"/>
      </w:pPr>
      <w:r>
        <w:rPr>
          <w:noProof/>
        </w:rPr>
        <mc:AlternateContent>
          <mc:Choice Requires="wpg">
            <w:drawing>
              <wp:anchor distT="0" distB="0" distL="114300" distR="114300" simplePos="0" relativeHeight="2519132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5903" name="Group 54590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356" name="Rectangle 4035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357" name="Rectangle 4035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w:t>
                              </w:r>
                              <w:r>
                                <w:rPr>
                                  <w:rFonts w:ascii="Arial" w:eastAsia="Arial" w:hAnsi="Arial" w:cs="Arial"/>
                                  <w:sz w:val="12"/>
                                </w:rPr>
                                <w:t xml:space="preserve">ublico Gestiona | Página 247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5903" style="width:12.7031pt;height:280.35pt;position:absolute;mso-position-horizontal-relative:page;mso-position-horizontal:absolute;margin-left:681.958pt;mso-position-vertical-relative:page;margin-top:531.65pt;" coordsize="1613,35604">
                <v:rect id="Rectangle 4035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35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247 de 391 </w:t>
                        </w:r>
                      </w:p>
                    </w:txbxContent>
                  </v:textbox>
                </v:rect>
                <w10:wrap type="square"/>
              </v:group>
            </w:pict>
          </mc:Fallback>
        </mc:AlternateContent>
      </w:r>
      <w:r>
        <w:rPr>
          <w:rFonts w:ascii="Arial" w:eastAsia="Arial" w:hAnsi="Arial" w:cs="Arial"/>
          <w:i/>
        </w:rPr>
        <w:t xml:space="preserve">Procesos básicos, de recursos y avanzados de gestión llevados a cabo. </w:t>
      </w:r>
    </w:p>
    <w:p w:rsidR="00E23B86" w:rsidRDefault="00BA7C13">
      <w:pPr>
        <w:numPr>
          <w:ilvl w:val="0"/>
          <w:numId w:val="132"/>
        </w:numPr>
        <w:spacing w:after="170" w:line="251" w:lineRule="auto"/>
        <w:ind w:right="573" w:hanging="360"/>
        <w:jc w:val="both"/>
      </w:pPr>
      <w:r>
        <w:rPr>
          <w:rFonts w:ascii="Arial" w:eastAsia="Arial" w:hAnsi="Arial" w:cs="Arial"/>
          <w:i/>
        </w:rPr>
        <w:t xml:space="preserve">Valoración de las acciones por parte de los/as participantes. </w:t>
      </w:r>
    </w:p>
    <w:p w:rsidR="00E23B86" w:rsidRDefault="00BA7C13">
      <w:pPr>
        <w:numPr>
          <w:ilvl w:val="0"/>
          <w:numId w:val="132"/>
        </w:numPr>
        <w:spacing w:after="172" w:line="251" w:lineRule="auto"/>
        <w:ind w:right="573" w:hanging="360"/>
        <w:jc w:val="both"/>
      </w:pPr>
      <w:r>
        <w:rPr>
          <w:rFonts w:ascii="Arial" w:eastAsia="Arial" w:hAnsi="Arial" w:cs="Arial"/>
          <w:i/>
        </w:rPr>
        <w:t>Nuevas propuestas y acciones y tipología.</w:t>
      </w:r>
    </w:p>
    <w:p w:rsidR="00E23B86" w:rsidRDefault="00BA7C13">
      <w:pPr>
        <w:numPr>
          <w:ilvl w:val="0"/>
          <w:numId w:val="132"/>
        </w:numPr>
        <w:spacing w:after="203" w:line="251" w:lineRule="auto"/>
        <w:ind w:right="573" w:hanging="360"/>
        <w:jc w:val="both"/>
      </w:pPr>
      <w:r>
        <w:rPr>
          <w:rFonts w:ascii="Arial" w:eastAsia="Arial" w:hAnsi="Arial" w:cs="Arial"/>
          <w:i/>
        </w:rPr>
        <w:t>Comprobación de cambios o mejorías de indic</w:t>
      </w:r>
      <w:r>
        <w:rPr>
          <w:rFonts w:ascii="Arial" w:eastAsia="Arial" w:hAnsi="Arial" w:cs="Arial"/>
          <w:i/>
        </w:rPr>
        <w:t>adores epidemiológicos en el ámbito municipal.</w:t>
      </w:r>
    </w:p>
    <w:p w:rsidR="00E23B86" w:rsidRDefault="00BA7C13">
      <w:pPr>
        <w:numPr>
          <w:ilvl w:val="0"/>
          <w:numId w:val="132"/>
        </w:numPr>
        <w:spacing w:after="508" w:line="251" w:lineRule="auto"/>
        <w:ind w:right="573" w:hanging="360"/>
        <w:jc w:val="both"/>
      </w:pPr>
      <w:r>
        <w:rPr>
          <w:rFonts w:ascii="Arial" w:eastAsia="Arial" w:hAnsi="Arial" w:cs="Arial"/>
          <w:i/>
        </w:rPr>
        <w:t>Número de acciones diseñadas que han sido ejecutadas.”</w:t>
      </w:r>
    </w:p>
    <w:p w:rsidR="00E23B86" w:rsidRDefault="00BA7C13">
      <w:pPr>
        <w:spacing w:after="110" w:line="248" w:lineRule="auto"/>
        <w:ind w:left="373" w:right="552" w:hanging="10"/>
        <w:jc w:val="both"/>
      </w:pPr>
      <w:r>
        <w:rPr>
          <w:rFonts w:ascii="Arial" w:eastAsia="Arial" w:hAnsi="Arial" w:cs="Arial"/>
        </w:rPr>
        <w:t>Tercero.- Consta en el expediente informe de las Técnicas de la Concejalía de Servicios Sociales Doña María Begoña Rodríguez Pérez –Pedagoga- y Doña Jessica Castillo Betancor –Trabajadora Social-, de fecha 10 de diciembre de 2019, del siguiente tenor liter</w:t>
      </w:r>
      <w:r>
        <w:rPr>
          <w:rFonts w:ascii="Arial" w:eastAsia="Arial" w:hAnsi="Arial" w:cs="Arial"/>
        </w:rPr>
        <w:t>al:</w:t>
      </w:r>
    </w:p>
    <w:p w:rsidR="00E23B86" w:rsidRDefault="00BA7C13">
      <w:pPr>
        <w:spacing w:after="243" w:line="251" w:lineRule="auto"/>
        <w:ind w:left="355" w:right="573" w:hanging="10"/>
        <w:jc w:val="both"/>
      </w:pPr>
      <w:r>
        <w:rPr>
          <w:rFonts w:ascii="Arial" w:eastAsia="Arial" w:hAnsi="Arial" w:cs="Arial"/>
          <w:i/>
        </w:rPr>
        <w:t>“Con el objeto de proceder a la aprobación del IV Plan Municipal de Prevención de Adicciones de Candelaria 2019 – 2023, las técnicas de la Concejalía de Servicios Sociales; Mª Begoña Rodríguez Pérez (pedagoga) y Jessica Castillo Betancor (Trabajadora S</w:t>
      </w:r>
      <w:r>
        <w:rPr>
          <w:rFonts w:ascii="Arial" w:eastAsia="Arial" w:hAnsi="Arial" w:cs="Arial"/>
          <w:i/>
        </w:rPr>
        <w:t>ocial nº 578) emiten el siguiente Informe:</w:t>
      </w:r>
    </w:p>
    <w:p w:rsidR="00E23B86" w:rsidRDefault="00BA7C13">
      <w:pPr>
        <w:spacing w:after="8" w:line="251" w:lineRule="auto"/>
        <w:ind w:left="355" w:right="573" w:hanging="10"/>
        <w:jc w:val="both"/>
      </w:pPr>
      <w:r>
        <w:rPr>
          <w:rFonts w:ascii="Arial" w:eastAsia="Arial" w:hAnsi="Arial" w:cs="Arial"/>
          <w:i/>
        </w:rPr>
        <w:t>1.- CONTEXTO</w:t>
      </w:r>
    </w:p>
    <w:p w:rsidR="00E23B86" w:rsidRDefault="00BA7C13">
      <w:pPr>
        <w:spacing w:after="111" w:line="251" w:lineRule="auto"/>
        <w:ind w:left="355" w:right="573" w:hanging="10"/>
        <w:jc w:val="both"/>
      </w:pPr>
      <w:r>
        <w:rPr>
          <w:rFonts w:ascii="Arial" w:eastAsia="Arial" w:hAnsi="Arial" w:cs="Arial"/>
          <w:i/>
        </w:rPr>
        <w:t>El IV Plan Municipal de Prevención de Adicciones (2019-2023) del municipio de Candelaria, es el documento marco donde se concretan las medidas y acciones para los próximos años en materia de promoción</w:t>
      </w:r>
      <w:r>
        <w:rPr>
          <w:rFonts w:ascii="Arial" w:eastAsia="Arial" w:hAnsi="Arial" w:cs="Arial"/>
          <w:i/>
        </w:rPr>
        <w:t xml:space="preserve"> de la salud y prevención de las drogodependencias y otras adicciones en este municipio.</w:t>
      </w:r>
    </w:p>
    <w:p w:rsidR="00E23B86" w:rsidRDefault="00BA7C13">
      <w:pPr>
        <w:spacing w:after="243" w:line="251" w:lineRule="auto"/>
        <w:ind w:left="355" w:right="573" w:hanging="10"/>
        <w:jc w:val="both"/>
      </w:pPr>
      <w:r>
        <w:rPr>
          <w:rFonts w:ascii="Arial" w:eastAsia="Arial" w:hAnsi="Arial" w:cs="Arial"/>
          <w:i/>
        </w:rPr>
        <w:t>En dicho documento, se establecen las acciones a desarrollar correspondiendo a las distintas áreas de intervención y en coordinación con los/las agentes involucrados/a</w:t>
      </w:r>
      <w:r>
        <w:rPr>
          <w:rFonts w:ascii="Arial" w:eastAsia="Arial" w:hAnsi="Arial" w:cs="Arial"/>
          <w:i/>
        </w:rPr>
        <w:t xml:space="preserve">s. </w:t>
      </w:r>
    </w:p>
    <w:p w:rsidR="00E23B86" w:rsidRDefault="00BA7C13">
      <w:pPr>
        <w:spacing w:after="243" w:line="251" w:lineRule="auto"/>
        <w:ind w:left="355" w:right="573" w:hanging="10"/>
        <w:jc w:val="both"/>
      </w:pPr>
      <w:r>
        <w:rPr>
          <w:rFonts w:ascii="Arial" w:eastAsia="Arial" w:hAnsi="Arial" w:cs="Arial"/>
          <w:i/>
        </w:rPr>
        <w:t>Para ello, se ha tenido en cuenta las aportaciones de los distintos recursos implicados en el trabajo en materia de prevención, así como la red de recursos de atención y fuerzas de seguridad local, que han aportado desde su área de intervención, la inf</w:t>
      </w:r>
      <w:r>
        <w:rPr>
          <w:rFonts w:ascii="Arial" w:eastAsia="Arial" w:hAnsi="Arial" w:cs="Arial"/>
          <w:i/>
        </w:rPr>
        <w:t xml:space="preserve">ormación necesaria a la hora de redactar el presente documento. </w:t>
      </w:r>
    </w:p>
    <w:p w:rsidR="00E23B86" w:rsidRDefault="00BA7C13">
      <w:pPr>
        <w:spacing w:after="243" w:line="251" w:lineRule="auto"/>
        <w:ind w:left="355" w:right="573" w:hanging="10"/>
        <w:jc w:val="both"/>
      </w:pPr>
      <w:r>
        <w:rPr>
          <w:rFonts w:ascii="Arial" w:eastAsia="Arial" w:hAnsi="Arial" w:cs="Arial"/>
          <w:i/>
        </w:rPr>
        <w:t>Todo ello, con el objeto de promover la promoción de la salud y los hábitos de vida saludable como medidas de prevención.</w:t>
      </w:r>
    </w:p>
    <w:p w:rsidR="00E23B86" w:rsidRDefault="00BA7C13">
      <w:pPr>
        <w:spacing w:after="8" w:line="251" w:lineRule="auto"/>
        <w:ind w:left="355" w:right="573" w:hanging="10"/>
        <w:jc w:val="both"/>
      </w:pPr>
      <w:r>
        <w:rPr>
          <w:rFonts w:ascii="Arial" w:eastAsia="Arial" w:hAnsi="Arial" w:cs="Arial"/>
          <w:i/>
        </w:rPr>
        <w:t>2.- FUNDAMENTACIÓN</w:t>
      </w:r>
    </w:p>
    <w:p w:rsidR="00E23B86" w:rsidRDefault="00BA7C13">
      <w:pPr>
        <w:spacing w:after="243" w:line="251" w:lineRule="auto"/>
        <w:ind w:left="355" w:right="573" w:hanging="10"/>
        <w:jc w:val="both"/>
      </w:pPr>
      <w:r>
        <w:rPr>
          <w:rFonts w:ascii="Arial" w:eastAsia="Arial" w:hAnsi="Arial" w:cs="Arial"/>
          <w:i/>
        </w:rPr>
        <w:t>La Ley 9/1998, de 22 de julio, sobre Prevención, A</w:t>
      </w:r>
      <w:r>
        <w:rPr>
          <w:rFonts w:ascii="Arial" w:eastAsia="Arial" w:hAnsi="Arial" w:cs="Arial"/>
          <w:i/>
        </w:rPr>
        <w:t>sistencia, e Inserción social en materia de drogodependencias de la Comunidad Autónoma de Canarias, determina las competencias atribuidas en materia de drogodependencias a los municipios, dependiendo del número de habitantes de los mismos, e indica en su a</w:t>
      </w:r>
      <w:r>
        <w:rPr>
          <w:rFonts w:ascii="Arial" w:eastAsia="Arial" w:hAnsi="Arial" w:cs="Arial"/>
          <w:i/>
        </w:rPr>
        <w:t xml:space="preserve">rtículo 34 aquellas que le son atribuídas a las Corporaciones Locales que tengan población superior a los 20.000 habitantes. </w:t>
      </w:r>
    </w:p>
    <w:p w:rsidR="00E23B86" w:rsidRDefault="00BA7C13">
      <w:pPr>
        <w:spacing w:after="8" w:line="251" w:lineRule="auto"/>
        <w:ind w:left="355" w:right="573" w:hanging="10"/>
        <w:jc w:val="both"/>
      </w:pPr>
      <w:r>
        <w:rPr>
          <w:rFonts w:ascii="Arial" w:eastAsia="Arial" w:hAnsi="Arial" w:cs="Arial"/>
          <w:i/>
        </w:rPr>
        <w:t>Las competencias atribuidas en la Ley a los municipios canarios son las siguientes:</w:t>
      </w:r>
    </w:p>
    <w:p w:rsidR="00E23B86" w:rsidRDefault="00BA7C13">
      <w:pPr>
        <w:numPr>
          <w:ilvl w:val="0"/>
          <w:numId w:val="133"/>
        </w:numPr>
        <w:spacing w:after="0" w:line="251" w:lineRule="auto"/>
        <w:ind w:right="573" w:hanging="404"/>
        <w:jc w:val="both"/>
      </w:pPr>
      <w:r>
        <w:rPr>
          <w:rFonts w:ascii="Arial" w:eastAsia="Arial" w:hAnsi="Arial" w:cs="Arial"/>
          <w:i/>
        </w:rPr>
        <w:t>El establecimiento de los criterios que regula</w:t>
      </w:r>
      <w:r>
        <w:rPr>
          <w:rFonts w:ascii="Arial" w:eastAsia="Arial" w:hAnsi="Arial" w:cs="Arial"/>
          <w:i/>
        </w:rPr>
        <w:t>n la localización, distancia y características que deberán reunir los establecimientos de suministro y venta de bebidas alcohólicas.</w:t>
      </w:r>
    </w:p>
    <w:p w:rsidR="00E23B86" w:rsidRDefault="00BA7C13">
      <w:pPr>
        <w:numPr>
          <w:ilvl w:val="0"/>
          <w:numId w:val="133"/>
        </w:numPr>
        <w:spacing w:after="0" w:line="251" w:lineRule="auto"/>
        <w:ind w:right="573" w:hanging="404"/>
        <w:jc w:val="both"/>
      </w:pPr>
      <w:r>
        <w:rPr>
          <w:rFonts w:ascii="Arial" w:eastAsia="Arial" w:hAnsi="Arial" w:cs="Arial"/>
          <w:i/>
        </w:rPr>
        <w:t>El otorgamiento de la autorización de apertura a locales o lugares de suministro y venta de bebidas alcohólicas.</w:t>
      </w:r>
    </w:p>
    <w:p w:rsidR="00E23B86" w:rsidRDefault="00BA7C13">
      <w:pPr>
        <w:numPr>
          <w:ilvl w:val="0"/>
          <w:numId w:val="133"/>
        </w:numPr>
        <w:spacing w:after="0" w:line="251" w:lineRule="auto"/>
        <w:ind w:right="573" w:hanging="404"/>
        <w:jc w:val="both"/>
      </w:pPr>
      <w:r>
        <w:rPr>
          <w:noProof/>
        </w:rPr>
        <mc:AlternateContent>
          <mc:Choice Requires="wpg">
            <w:drawing>
              <wp:anchor distT="0" distB="0" distL="114300" distR="114300" simplePos="0" relativeHeight="2519142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6304" name="Group 54630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430" name="Rectangle 4043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431" name="Rectangle 4043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248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6304" style="width:12.7031pt;height:280.35pt;position:absolute;mso-position-horizontal-relative:page;mso-position-horizontal:absolute;margin-left:681.958pt;mso-position-vertical-relative:page;margin-top:531.65pt;" coordsize="1613,35604">
                <v:rect id="Rectangle 4043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43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248 de 391 </w:t>
                        </w:r>
                      </w:p>
                    </w:txbxContent>
                  </v:textbox>
                </v:rect>
                <w10:wrap type="square"/>
              </v:group>
            </w:pict>
          </mc:Fallback>
        </mc:AlternateContent>
      </w:r>
      <w:r>
        <w:rPr>
          <w:rFonts w:ascii="Arial" w:eastAsia="Arial" w:hAnsi="Arial" w:cs="Arial"/>
          <w:i/>
        </w:rPr>
        <w:t>Velar, en el marco de sus competencias, por el cumplimiento d</w:t>
      </w:r>
      <w:r>
        <w:rPr>
          <w:rFonts w:ascii="Arial" w:eastAsia="Arial" w:hAnsi="Arial" w:cs="Arial"/>
          <w:i/>
        </w:rPr>
        <w:t>e las diferentes medidas de control que se establecen en el título III de esta ley.</w:t>
      </w:r>
    </w:p>
    <w:p w:rsidR="00E23B86" w:rsidRDefault="00BA7C13">
      <w:pPr>
        <w:numPr>
          <w:ilvl w:val="0"/>
          <w:numId w:val="133"/>
        </w:numPr>
        <w:spacing w:after="242" w:line="251" w:lineRule="auto"/>
        <w:ind w:right="573" w:hanging="404"/>
        <w:jc w:val="both"/>
      </w:pPr>
      <w:r>
        <w:rPr>
          <w:rFonts w:ascii="Arial" w:eastAsia="Arial" w:hAnsi="Arial" w:cs="Arial"/>
          <w:i/>
        </w:rPr>
        <w:t>La colaboración con los sistemas educativo y sanitario en materia de educación para la salud.</w:t>
      </w:r>
    </w:p>
    <w:p w:rsidR="00E23B86" w:rsidRDefault="00BA7C13">
      <w:pPr>
        <w:spacing w:after="21" w:line="251" w:lineRule="auto"/>
        <w:ind w:left="355" w:right="573" w:hanging="10"/>
        <w:jc w:val="both"/>
      </w:pPr>
      <w:r>
        <w:rPr>
          <w:rFonts w:ascii="Arial" w:eastAsia="Arial" w:hAnsi="Arial" w:cs="Arial"/>
          <w:i/>
        </w:rPr>
        <w:t xml:space="preserve">Además de las señaladas en el punto anterior, los municipios de más de 20.000 </w:t>
      </w:r>
      <w:r>
        <w:rPr>
          <w:rFonts w:ascii="Arial" w:eastAsia="Arial" w:hAnsi="Arial" w:cs="Arial"/>
          <w:i/>
        </w:rPr>
        <w:t>habitantes tienen las siguientes competencias y responsabilidades mínimas:</w:t>
      </w:r>
    </w:p>
    <w:p w:rsidR="00E23B86" w:rsidRDefault="00BA7C13">
      <w:pPr>
        <w:numPr>
          <w:ilvl w:val="0"/>
          <w:numId w:val="134"/>
        </w:numPr>
        <w:spacing w:after="0" w:line="251" w:lineRule="auto"/>
        <w:ind w:right="573" w:hanging="360"/>
        <w:jc w:val="both"/>
      </w:pPr>
      <w:r>
        <w:rPr>
          <w:rFonts w:ascii="Arial" w:eastAsia="Arial" w:hAnsi="Arial" w:cs="Arial"/>
          <w:i/>
        </w:rPr>
        <w:t>La aprobación de Planes Municipales sobre Drogas, elaborados en coordinación y de acuerdo con los criterios y directrices del Plan Canario sobre Drogas, que incluyan programas de prevención e integración social, así como de información, orientación y motiv</w:t>
      </w:r>
      <w:r>
        <w:rPr>
          <w:rFonts w:ascii="Arial" w:eastAsia="Arial" w:hAnsi="Arial" w:cs="Arial"/>
          <w:i/>
        </w:rPr>
        <w:t>ación de drogodependientes a través de los centros de servicios sociales.</w:t>
      </w:r>
    </w:p>
    <w:p w:rsidR="00E23B86" w:rsidRDefault="00BA7C13">
      <w:pPr>
        <w:numPr>
          <w:ilvl w:val="0"/>
          <w:numId w:val="134"/>
        </w:numPr>
        <w:spacing w:after="0" w:line="251" w:lineRule="auto"/>
        <w:ind w:right="573" w:hanging="360"/>
        <w:jc w:val="both"/>
      </w:pPr>
      <w:r>
        <w:rPr>
          <w:rFonts w:ascii="Arial" w:eastAsia="Arial" w:hAnsi="Arial" w:cs="Arial"/>
          <w:i/>
        </w:rPr>
        <w:t>La coordinación de los programas de prevención e integración social que se desarrollen exclusivamente en el ámbito de su municipio.</w:t>
      </w:r>
    </w:p>
    <w:p w:rsidR="00E23B86" w:rsidRDefault="00BA7C13">
      <w:pPr>
        <w:numPr>
          <w:ilvl w:val="0"/>
          <w:numId w:val="134"/>
        </w:numPr>
        <w:spacing w:after="0" w:line="251" w:lineRule="auto"/>
        <w:ind w:right="573" w:hanging="360"/>
        <w:jc w:val="both"/>
      </w:pPr>
      <w:r>
        <w:rPr>
          <w:rFonts w:ascii="Arial" w:eastAsia="Arial" w:hAnsi="Arial" w:cs="Arial"/>
          <w:i/>
        </w:rPr>
        <w:t xml:space="preserve">El apoyo a las asociaciones y entidades que en el </w:t>
      </w:r>
      <w:r>
        <w:rPr>
          <w:rFonts w:ascii="Arial" w:eastAsia="Arial" w:hAnsi="Arial" w:cs="Arial"/>
          <w:i/>
        </w:rPr>
        <w:t>municipio desarrollen actividades previstas en el Plan Canario sobre Drogas.</w:t>
      </w:r>
    </w:p>
    <w:p w:rsidR="00E23B86" w:rsidRDefault="00BA7C13">
      <w:pPr>
        <w:numPr>
          <w:ilvl w:val="0"/>
          <w:numId w:val="135"/>
        </w:numPr>
        <w:spacing w:after="8" w:line="251" w:lineRule="auto"/>
        <w:ind w:right="573" w:hanging="404"/>
        <w:jc w:val="both"/>
      </w:pPr>
      <w:r>
        <w:rPr>
          <w:rFonts w:ascii="Arial" w:eastAsia="Arial" w:hAnsi="Arial" w:cs="Arial"/>
          <w:i/>
        </w:rPr>
        <w:t>La formación en materia de drogas del personal propio.</w:t>
      </w:r>
    </w:p>
    <w:p w:rsidR="00E23B86" w:rsidRDefault="00BA7C13">
      <w:pPr>
        <w:numPr>
          <w:ilvl w:val="0"/>
          <w:numId w:val="135"/>
        </w:numPr>
        <w:spacing w:after="247" w:line="251" w:lineRule="auto"/>
        <w:ind w:right="573" w:hanging="404"/>
        <w:jc w:val="both"/>
      </w:pPr>
      <w:r>
        <w:rPr>
          <w:rFonts w:ascii="Arial" w:eastAsia="Arial" w:hAnsi="Arial" w:cs="Arial"/>
          <w:i/>
        </w:rPr>
        <w:t>La promoción de la participación social en esta materia en su ámbito territorial.</w:t>
      </w:r>
    </w:p>
    <w:p w:rsidR="00E23B86" w:rsidRDefault="00BA7C13">
      <w:pPr>
        <w:spacing w:after="223" w:line="251" w:lineRule="auto"/>
        <w:ind w:left="355" w:right="573" w:hanging="10"/>
        <w:jc w:val="both"/>
      </w:pPr>
      <w:r>
        <w:rPr>
          <w:rFonts w:ascii="Arial" w:eastAsia="Arial" w:hAnsi="Arial" w:cs="Arial"/>
          <w:i/>
        </w:rPr>
        <w:t xml:space="preserve">Además, según la Ley 16/2019 de 2 de mayo </w:t>
      </w:r>
      <w:r>
        <w:rPr>
          <w:rFonts w:ascii="Arial" w:eastAsia="Arial" w:hAnsi="Arial" w:cs="Arial"/>
          <w:i/>
        </w:rPr>
        <w:t>de Servicios Sociales de Canarias, en su artículo 4, apartado 5, indica que éstos “se dirigen especialmente a prevenir y a compensar el déficit de apoyo social y económico en situaciones de riesgo y exclusión social, promoviendo actitudes y capacidades que</w:t>
      </w:r>
      <w:r>
        <w:rPr>
          <w:rFonts w:ascii="Arial" w:eastAsia="Arial" w:hAnsi="Arial" w:cs="Arial"/>
          <w:i/>
        </w:rPr>
        <w:t xml:space="preserve"> faciliten la inclusión de las personas, desde una perspectiva integral y participada”. Asimismo, en el apartado 7, define que “los servicios sociales se coordinarán con todos los sistemas que inciden en la calidad de vida, como los de salud, igualdad de g</w:t>
      </w:r>
      <w:r>
        <w:rPr>
          <w:rFonts w:ascii="Arial" w:eastAsia="Arial" w:hAnsi="Arial" w:cs="Arial"/>
          <w:i/>
        </w:rPr>
        <w:t>énero, prevención y protección de las mujeres contra la violencia de género, educativos, culturales, de empleo, de vivienda, urbanísticos, judiciales, entre otros”.</w:t>
      </w:r>
    </w:p>
    <w:p w:rsidR="00E23B86" w:rsidRDefault="00BA7C13">
      <w:pPr>
        <w:spacing w:after="8" w:line="251" w:lineRule="auto"/>
        <w:ind w:left="355" w:right="573" w:hanging="10"/>
        <w:jc w:val="both"/>
      </w:pPr>
      <w:r>
        <w:rPr>
          <w:rFonts w:ascii="Arial" w:eastAsia="Arial" w:hAnsi="Arial" w:cs="Arial"/>
          <w:i/>
        </w:rPr>
        <w:t>3.- SITUACIÓN MUNICIPAL REFERENTE AL ÁREA DE DROGODEPENDENCIAS</w:t>
      </w:r>
    </w:p>
    <w:p w:rsidR="00E23B86" w:rsidRDefault="00BA7C13">
      <w:pPr>
        <w:spacing w:after="243" w:line="251" w:lineRule="auto"/>
        <w:ind w:left="355" w:right="573" w:hanging="10"/>
        <w:jc w:val="both"/>
      </w:pPr>
      <w:r>
        <w:rPr>
          <w:rFonts w:ascii="Arial" w:eastAsia="Arial" w:hAnsi="Arial" w:cs="Arial"/>
          <w:i/>
        </w:rPr>
        <w:t>El Ayuntamiento de Candelaria, inicia su labor preventiva en materia de prevención de drogodependencias desde el año 2002, con la creación de la Unidad de Prevención Municipal de Drogodependencias. Es en ese año, cuando se inician programas, proyectos y ac</w:t>
      </w:r>
      <w:r>
        <w:rPr>
          <w:rFonts w:ascii="Arial" w:eastAsia="Arial" w:hAnsi="Arial" w:cs="Arial"/>
          <w:i/>
        </w:rPr>
        <w:t>tividades relacionados con dicha labor preventiva. Sin embargo, no estaban enmarcadas dentro de un Plan. Por ello, se realiza el I Plan Municipal de Drogodependencias de Candelaria, un plan con vigencia desde el año 2003 hasta el año 2006, en el que se con</w:t>
      </w:r>
      <w:r>
        <w:rPr>
          <w:rFonts w:ascii="Arial" w:eastAsia="Arial" w:hAnsi="Arial" w:cs="Arial"/>
          <w:i/>
        </w:rPr>
        <w:t>taba con una serie de estrategias; preventiva, de incorporación social, asistencial y transversal, así como los correspondientes ámbitos de actuación; laboral, comunitario, familiar y educativo. Dicho Plan se ejecutó aún cuando este municipio no tenía la o</w:t>
      </w:r>
      <w:r>
        <w:rPr>
          <w:rFonts w:ascii="Arial" w:eastAsia="Arial" w:hAnsi="Arial" w:cs="Arial"/>
          <w:i/>
        </w:rPr>
        <w:t xml:space="preserve">bligatoriedad de llevarlo a cabo, dado que contaba con 18.882 habitantes a fecha 31 de diciembre de 2002. </w:t>
      </w:r>
    </w:p>
    <w:p w:rsidR="00E23B86" w:rsidRDefault="00BA7C13">
      <w:pPr>
        <w:spacing w:after="243" w:line="251" w:lineRule="auto"/>
        <w:ind w:left="355" w:right="573" w:hanging="10"/>
        <w:jc w:val="both"/>
      </w:pPr>
      <w:r>
        <w:rPr>
          <w:rFonts w:ascii="Arial" w:eastAsia="Arial" w:hAnsi="Arial" w:cs="Arial"/>
          <w:i/>
        </w:rPr>
        <w:t>El II Plan Municipal de Drogodependencias de Candelaria 2007 – 2010, preveía la oportuna revisión, una vez que se produjera la de la Estrategia Nacio</w:t>
      </w:r>
      <w:r>
        <w:rPr>
          <w:rFonts w:ascii="Arial" w:eastAsia="Arial" w:hAnsi="Arial" w:cs="Arial"/>
          <w:i/>
        </w:rPr>
        <w:t>nal sobre Drogas y el correspondiente II Plan Canario sobre Drogas, estimada para diciembre del año 2008. Asimismo, continuaba con el trabajo que se venía desarrollando en materia preventiva desde el Plan anterior, y evaluaba los resultados del I Plan, man</w:t>
      </w:r>
      <w:r>
        <w:rPr>
          <w:rFonts w:ascii="Arial" w:eastAsia="Arial" w:hAnsi="Arial" w:cs="Arial"/>
          <w:i/>
        </w:rPr>
        <w:t>teniendo la misma identificación de estrategias y ámbitos de actuación. Se concluía, por dicha evaluación externa, que de las acciones planteadas en el I Plan, se habían llevado a cabo un 71,43% de las mismas, considerándose que era un alto porcentaje de e</w:t>
      </w:r>
      <w:r>
        <w:rPr>
          <w:rFonts w:ascii="Arial" w:eastAsia="Arial" w:hAnsi="Arial" w:cs="Arial"/>
          <w:i/>
        </w:rPr>
        <w:t xml:space="preserve">fectividad, máxime si se tenía en cuenta, la no obligatoriedad del mismo durante ese período. </w:t>
      </w:r>
    </w:p>
    <w:p w:rsidR="00E23B86" w:rsidRDefault="00BA7C13">
      <w:pPr>
        <w:spacing w:after="243" w:line="251" w:lineRule="auto"/>
        <w:ind w:left="355" w:right="573" w:hanging="10"/>
        <w:jc w:val="both"/>
      </w:pPr>
      <w:r>
        <w:rPr>
          <w:noProof/>
        </w:rPr>
        <mc:AlternateContent>
          <mc:Choice Requires="wpg">
            <w:drawing>
              <wp:anchor distT="0" distB="0" distL="114300" distR="114300" simplePos="0" relativeHeight="2519152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6196" name="Group 54619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489" name="Rectangle 4048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490" name="Rectangle 4049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w:t>
                              </w:r>
                              <w:r>
                                <w:rPr>
                                  <w:rFonts w:ascii="Arial" w:eastAsia="Arial" w:hAnsi="Arial" w:cs="Arial"/>
                                  <w:sz w:val="12"/>
                                </w:rPr>
                                <w:t xml:space="preserve">ublico Gestiona | Página 249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6196" style="width:12.7031pt;height:280.35pt;position:absolute;mso-position-horizontal-relative:page;mso-position-horizontal:absolute;margin-left:681.958pt;mso-position-vertical-relative:page;margin-top:531.65pt;" coordsize="1613,35604">
                <v:rect id="Rectangle 4048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49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249 de 391 </w:t>
                        </w:r>
                      </w:p>
                    </w:txbxContent>
                  </v:textbox>
                </v:rect>
                <w10:wrap type="square"/>
              </v:group>
            </w:pict>
          </mc:Fallback>
        </mc:AlternateContent>
      </w:r>
      <w:r>
        <w:rPr>
          <w:rFonts w:ascii="Arial" w:eastAsia="Arial" w:hAnsi="Arial" w:cs="Arial"/>
          <w:i/>
        </w:rPr>
        <w:t>El III Plan Municipal de Drogodependencias 2011 – 2017, desarrolla asimismo las acciones de tres estrategias, según recomendación de la propia Dirección General de Atención a las Drogodependencias del Gobierno de Canari</w:t>
      </w:r>
      <w:r>
        <w:rPr>
          <w:rFonts w:ascii="Arial" w:eastAsia="Arial" w:hAnsi="Arial" w:cs="Arial"/>
          <w:i/>
        </w:rPr>
        <w:t>as, y en este sentido, se acuerda la preventiva, de incorporación social y transversal. Define las acciones a desarrollar durante este período y en los distintos ámbitos, y acordó la posibilidad de revisión en el año 2014, teniendo en cuenta que el III Pla</w:t>
      </w:r>
      <w:r>
        <w:rPr>
          <w:rFonts w:ascii="Arial" w:eastAsia="Arial" w:hAnsi="Arial" w:cs="Arial"/>
          <w:i/>
        </w:rPr>
        <w:t>n Canario sobre Drogas la tendría que realizar en el año 2013.</w:t>
      </w:r>
    </w:p>
    <w:p w:rsidR="00E23B86" w:rsidRDefault="00BA7C13">
      <w:pPr>
        <w:spacing w:after="243" w:line="251" w:lineRule="auto"/>
        <w:ind w:left="355" w:right="573" w:hanging="10"/>
        <w:jc w:val="both"/>
      </w:pPr>
      <w:r>
        <w:rPr>
          <w:rFonts w:ascii="Arial" w:eastAsia="Arial" w:hAnsi="Arial" w:cs="Arial"/>
          <w:i/>
        </w:rPr>
        <w:t xml:space="preserve">Se adjunta en el III Plan, la evaluación externa del II, y se recoge “Que de las acciones de las estrategias preventivas y de incorporación social se han ejecutado 87,5 % de las acciones de la </w:t>
      </w:r>
      <w:r>
        <w:rPr>
          <w:rFonts w:ascii="Arial" w:eastAsia="Arial" w:hAnsi="Arial" w:cs="Arial"/>
          <w:i/>
        </w:rPr>
        <w:t>estrategia preventiva y 100% de las acciones de la estrategia de incorporación social (…)”. Asimismo, destaca el que en “las dos estrategias del Plan; la asistencial y la trasversal, el logro alcanzado de ejecución alcanza el 75% de las acciones, lo que in</w:t>
      </w:r>
      <w:r>
        <w:rPr>
          <w:rFonts w:ascii="Arial" w:eastAsia="Arial" w:hAnsi="Arial" w:cs="Arial"/>
          <w:i/>
        </w:rPr>
        <w:t>dica un alto alcance”.</w:t>
      </w:r>
    </w:p>
    <w:p w:rsidR="00E23B86" w:rsidRDefault="00BA7C13">
      <w:pPr>
        <w:spacing w:after="495" w:line="251" w:lineRule="auto"/>
        <w:ind w:left="355" w:right="573" w:hanging="10"/>
        <w:jc w:val="both"/>
      </w:pPr>
      <w:r>
        <w:rPr>
          <w:rFonts w:ascii="Arial" w:eastAsia="Arial" w:hAnsi="Arial" w:cs="Arial"/>
          <w:i/>
        </w:rPr>
        <w:t xml:space="preserve">Se concluye que “El II Plan Municipal de Prevención de Drogodependencias 2007 – 2010, puede valorarse como exitoso, al constatarse el alto grado del logro de acciones en los distintos ámbitos del mismo. La forma de llevar a cabo los </w:t>
      </w:r>
      <w:r>
        <w:rPr>
          <w:rFonts w:ascii="Arial" w:eastAsia="Arial" w:hAnsi="Arial" w:cs="Arial"/>
          <w:i/>
        </w:rPr>
        <w:t>procesos básicos de gestión (planificación, interlocución y evaluación), han sido la clave principal de su éxito”.</w:t>
      </w:r>
    </w:p>
    <w:p w:rsidR="00E23B86" w:rsidRDefault="00BA7C13">
      <w:pPr>
        <w:spacing w:after="8" w:line="251" w:lineRule="auto"/>
        <w:ind w:left="355" w:right="573" w:hanging="10"/>
        <w:jc w:val="both"/>
      </w:pPr>
      <w:r>
        <w:rPr>
          <w:rFonts w:ascii="Arial" w:eastAsia="Arial" w:hAnsi="Arial" w:cs="Arial"/>
          <w:i/>
        </w:rPr>
        <w:t>4.- PROPUESTA DE APROBACIÓN DEL PLAN</w:t>
      </w:r>
    </w:p>
    <w:p w:rsidR="00E23B86" w:rsidRDefault="00BA7C13">
      <w:pPr>
        <w:spacing w:after="111" w:line="251" w:lineRule="auto"/>
        <w:ind w:left="355" w:right="573" w:hanging="10"/>
        <w:jc w:val="both"/>
      </w:pPr>
      <w:r>
        <w:rPr>
          <w:rFonts w:ascii="Arial" w:eastAsia="Arial" w:hAnsi="Arial" w:cs="Arial"/>
          <w:i/>
        </w:rPr>
        <w:t>El documento que se adjunta, denominado IV Plan Municipal de Prevención de Adicciones de Candelaria (201</w:t>
      </w:r>
      <w:r>
        <w:rPr>
          <w:rFonts w:ascii="Arial" w:eastAsia="Arial" w:hAnsi="Arial" w:cs="Arial"/>
          <w:i/>
        </w:rPr>
        <w:t>9-2023), es un instrumento de trabajo técnico que define las políticas sociales públicas de prevención de adicciones, a llevar a cabo en el municipio de Candelaria.</w:t>
      </w:r>
    </w:p>
    <w:p w:rsidR="00E23B86" w:rsidRDefault="00BA7C13">
      <w:pPr>
        <w:spacing w:after="243" w:line="251" w:lineRule="auto"/>
        <w:ind w:left="355" w:right="573" w:hanging="10"/>
        <w:jc w:val="both"/>
      </w:pPr>
      <w:r>
        <w:rPr>
          <w:rFonts w:ascii="Arial" w:eastAsia="Arial" w:hAnsi="Arial" w:cs="Arial"/>
          <w:i/>
        </w:rPr>
        <w:t>Dicho Plan Municipal será el referente de planificación-acción para los próximos años en el</w:t>
      </w:r>
      <w:r>
        <w:rPr>
          <w:rFonts w:ascii="Arial" w:eastAsia="Arial" w:hAnsi="Arial" w:cs="Arial"/>
          <w:i/>
        </w:rPr>
        <w:t xml:space="preserve"> municipio, siendo un documento que deberá ser evaluado en su proceso para ir ajustando las acciones y medidas a las necesidades de la población, así como la implementación o puesta en marcha de nuevas acciones que se detecten mediante la evaluación e inve</w:t>
      </w:r>
      <w:r>
        <w:rPr>
          <w:rFonts w:ascii="Arial" w:eastAsia="Arial" w:hAnsi="Arial" w:cs="Arial"/>
          <w:i/>
        </w:rPr>
        <w:t>stigación continua.</w:t>
      </w:r>
    </w:p>
    <w:p w:rsidR="00E23B86" w:rsidRDefault="00BA7C13">
      <w:pPr>
        <w:spacing w:after="0" w:line="251" w:lineRule="auto"/>
        <w:ind w:left="355" w:right="573" w:hanging="10"/>
        <w:jc w:val="both"/>
      </w:pPr>
      <w:r>
        <w:rPr>
          <w:rFonts w:ascii="Arial" w:eastAsia="Arial" w:hAnsi="Arial" w:cs="Arial"/>
          <w:i/>
        </w:rPr>
        <w:t>El documento se ha estructurado en nueve apartados. El apartado primero recoge y explica las competencias de la Corporación Local en materia de prevención e inserción social. En el apartado segundo, se desarrolla el análisis de la probl</w:t>
      </w:r>
      <w:r>
        <w:rPr>
          <w:rFonts w:ascii="Arial" w:eastAsia="Arial" w:hAnsi="Arial" w:cs="Arial"/>
          <w:i/>
        </w:rPr>
        <w:t>emática y aproximación epidemiológica y contextual del riesgo de adicciones en el ámbito municipal. En el tercer apartado, se recogen los principios sobre los que se sustenta el IV Plan Municipal y definidos desde la Estrategia Nacional sobre Adicciones 20</w:t>
      </w:r>
      <w:r>
        <w:rPr>
          <w:rFonts w:ascii="Arial" w:eastAsia="Arial" w:hAnsi="Arial" w:cs="Arial"/>
          <w:i/>
        </w:rPr>
        <w:t xml:space="preserve">172024 y el Plan de Acción sobre Adicciones 2018-2020. En el cuarto apartado, se describe el campo de actuación del IV Plan, mientras que en el quinto, se recoge la meta del IV Plan y los objetivos generales por áreas, respectivamente. </w:t>
      </w:r>
    </w:p>
    <w:p w:rsidR="00E23B86" w:rsidRDefault="00BA7C13">
      <w:pPr>
        <w:spacing w:after="0" w:line="251" w:lineRule="auto"/>
        <w:ind w:left="355" w:right="573" w:hanging="10"/>
        <w:jc w:val="both"/>
      </w:pPr>
      <w:r>
        <w:rPr>
          <w:rFonts w:ascii="Arial" w:eastAsia="Arial" w:hAnsi="Arial" w:cs="Arial"/>
          <w:i/>
        </w:rPr>
        <w:t>En el apartado sexto, se describen las acciones para cada una de las tres áreas de actuación y sus ámbitos o sectores prioritarios, donde se han diseñado un total de 35 acciones, Área de prevención y sensibilización, Área de Inserción Social y Área de Sopo</w:t>
      </w:r>
      <w:r>
        <w:rPr>
          <w:rFonts w:ascii="Arial" w:eastAsia="Arial" w:hAnsi="Arial" w:cs="Arial"/>
          <w:i/>
        </w:rPr>
        <w:t>rte y Apoyo.</w:t>
      </w:r>
    </w:p>
    <w:p w:rsidR="00E23B86" w:rsidRDefault="00BA7C13">
      <w:pPr>
        <w:spacing w:after="363" w:line="251" w:lineRule="auto"/>
        <w:ind w:left="355" w:right="573" w:hanging="10"/>
        <w:jc w:val="both"/>
      </w:pPr>
      <w:r>
        <w:rPr>
          <w:rFonts w:ascii="Arial" w:eastAsia="Arial" w:hAnsi="Arial" w:cs="Arial"/>
          <w:i/>
        </w:rPr>
        <w:t>En los tres últimos apartados se recoge el sistema de coordinación y organización del IV Plan (apartado séptimo), así como la descripción de los recursos a emplear (apartado octavo) y los mecanismos de evaluación del IV Plan (apartado noveno).</w:t>
      </w:r>
      <w:r>
        <w:rPr>
          <w:rFonts w:ascii="Arial" w:eastAsia="Arial" w:hAnsi="Arial" w:cs="Arial"/>
          <w:i/>
        </w:rPr>
        <w:t>”</w:t>
      </w:r>
    </w:p>
    <w:p w:rsidR="00E23B86" w:rsidRDefault="00BA7C13">
      <w:pPr>
        <w:spacing w:after="110" w:line="248" w:lineRule="auto"/>
        <w:ind w:left="373" w:right="552" w:hanging="10"/>
        <w:jc w:val="both"/>
      </w:pPr>
      <w:r>
        <w:rPr>
          <w:noProof/>
        </w:rPr>
        <mc:AlternateContent>
          <mc:Choice Requires="wpg">
            <w:drawing>
              <wp:anchor distT="0" distB="0" distL="114300" distR="114300" simplePos="0" relativeHeight="2519162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7367" name="Group 54736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556" name="Rectangle 4055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557" name="Rectangle 4055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250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7367" style="width:12.7031pt;height:280.35pt;position:absolute;mso-position-horizontal-relative:page;mso-position-horizontal:absolute;margin-left:681.958pt;mso-position-vertical-relative:page;margin-top:531.65pt;" coordsize="1613,35604">
                <v:rect id="Rectangle 4055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55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250 de 391 </w:t>
                        </w:r>
                      </w:p>
                    </w:txbxContent>
                  </v:textbox>
                </v:rect>
                <w10:wrap type="square"/>
              </v:group>
            </w:pict>
          </mc:Fallback>
        </mc:AlternateContent>
      </w:r>
      <w:r>
        <w:rPr>
          <w:rFonts w:ascii="Arial" w:eastAsia="Arial" w:hAnsi="Arial" w:cs="Arial"/>
        </w:rPr>
        <w:t>Cuarto. - El IV Plan Municipal de Prevención de Adiccion</w:t>
      </w:r>
      <w:r>
        <w:rPr>
          <w:rFonts w:ascii="Arial" w:eastAsia="Arial" w:hAnsi="Arial" w:cs="Arial"/>
        </w:rPr>
        <w:t>es de Candelaria estuvo expuesto a consulta pública previa desde el día 23 de enero hasta el 6 de febrero de 2020 sin que se hayan presentado sugerencias u objeciones al mismo durante el tiempo de exposición.</w:t>
      </w:r>
    </w:p>
    <w:p w:rsidR="00E23B86" w:rsidRDefault="00BA7C13">
      <w:pPr>
        <w:spacing w:after="111" w:line="251" w:lineRule="auto"/>
        <w:ind w:left="355" w:right="573" w:hanging="10"/>
        <w:jc w:val="both"/>
      </w:pPr>
      <w:r>
        <w:rPr>
          <w:rFonts w:ascii="Arial" w:eastAsia="Arial" w:hAnsi="Arial" w:cs="Arial"/>
        </w:rPr>
        <w:t>Consta informe de fecha 10 de febrero de 2020 d</w:t>
      </w:r>
      <w:r>
        <w:rPr>
          <w:rFonts w:ascii="Arial" w:eastAsia="Arial" w:hAnsi="Arial" w:cs="Arial"/>
        </w:rPr>
        <w:t>el Departamento de Información y Atención a la Ciudadanía en el que se dispone que “</w:t>
      </w:r>
      <w:r>
        <w:rPr>
          <w:rFonts w:ascii="Arial" w:eastAsia="Arial" w:hAnsi="Arial" w:cs="Arial"/>
          <w:i/>
        </w:rPr>
        <w:t>Consultado el registro de entrada del Ayuntamiento, en relación al IV Plan Municipal de Prevención de Adicciones 20192023 desde el 23 de enero hasta el 6 de febrero de 2020</w:t>
      </w:r>
      <w:r>
        <w:rPr>
          <w:rFonts w:ascii="Arial" w:eastAsia="Arial" w:hAnsi="Arial" w:cs="Arial"/>
          <w:i/>
        </w:rPr>
        <w:t xml:space="preserve"> no constan presentados escritos en relación al mismo</w:t>
      </w:r>
      <w:r>
        <w:rPr>
          <w:rFonts w:ascii="Arial" w:eastAsia="Arial" w:hAnsi="Arial" w:cs="Arial"/>
        </w:rPr>
        <w:t>”</w:t>
      </w:r>
    </w:p>
    <w:p w:rsidR="00E23B86" w:rsidRDefault="00BA7C13">
      <w:pPr>
        <w:spacing w:after="1336" w:line="248" w:lineRule="auto"/>
        <w:ind w:left="373" w:right="552" w:hanging="10"/>
        <w:jc w:val="both"/>
      </w:pPr>
      <w:r>
        <w:rPr>
          <w:rFonts w:ascii="Arial" w:eastAsia="Arial" w:hAnsi="Arial" w:cs="Arial"/>
        </w:rPr>
        <w:t>Consta informe de fecha 13 de febrero de 2020, de la Técnica del Servicio de Drogodependencias e Inserción de Servicios Sociales, doña María Begoña Rodríguez Pérez en el que se pone de manifiesto en re</w:t>
      </w:r>
      <w:r>
        <w:rPr>
          <w:rFonts w:ascii="Arial" w:eastAsia="Arial" w:hAnsi="Arial" w:cs="Arial"/>
        </w:rPr>
        <w:t xml:space="preserve">lación a la publicación en la sede electrónica que “Tras el plazo otorgado para tal fin, se ha recibido un total de 7 visitas. No se han remitido comentarios al respecto del proyecto y se han marcado un total de 0 </w:t>
      </w:r>
      <w:r>
        <w:rPr>
          <w:rFonts w:ascii="Arial" w:eastAsia="Arial" w:hAnsi="Arial" w:cs="Arial"/>
          <w:i/>
        </w:rPr>
        <w:t>“me gusta”</w:t>
      </w:r>
      <w:r>
        <w:rPr>
          <w:rFonts w:ascii="Arial" w:eastAsia="Arial" w:hAnsi="Arial" w:cs="Arial"/>
        </w:rPr>
        <w:t xml:space="preserve"> y 0 </w:t>
      </w:r>
      <w:r>
        <w:rPr>
          <w:rFonts w:ascii="Arial" w:eastAsia="Arial" w:hAnsi="Arial" w:cs="Arial"/>
          <w:i/>
        </w:rPr>
        <w:t>“no me gusta”</w:t>
      </w:r>
      <w:r>
        <w:rPr>
          <w:rFonts w:ascii="Arial" w:eastAsia="Arial" w:hAnsi="Arial" w:cs="Arial"/>
        </w:rPr>
        <w:t>.</w:t>
      </w:r>
    </w:p>
    <w:p w:rsidR="00E23B86" w:rsidRDefault="00BA7C13">
      <w:pPr>
        <w:spacing w:after="467" w:line="265" w:lineRule="auto"/>
        <w:ind w:left="359" w:right="614" w:hanging="10"/>
        <w:jc w:val="center"/>
      </w:pPr>
      <w:r>
        <w:rPr>
          <w:rFonts w:ascii="Arial" w:eastAsia="Arial" w:hAnsi="Arial" w:cs="Arial"/>
        </w:rPr>
        <w:t xml:space="preserve">FUNDAMENTOS </w:t>
      </w:r>
      <w:r>
        <w:rPr>
          <w:rFonts w:ascii="Arial" w:eastAsia="Arial" w:hAnsi="Arial" w:cs="Arial"/>
        </w:rPr>
        <w:t xml:space="preserve">DE DERECHO </w:t>
      </w:r>
    </w:p>
    <w:p w:rsidR="00E23B86" w:rsidRDefault="00BA7C13">
      <w:pPr>
        <w:spacing w:after="110" w:line="248" w:lineRule="auto"/>
        <w:ind w:left="363" w:right="552" w:firstLine="360"/>
        <w:jc w:val="both"/>
      </w:pPr>
      <w:r>
        <w:rPr>
          <w:rFonts w:ascii="Arial" w:eastAsia="Arial" w:hAnsi="Arial" w:cs="Arial"/>
        </w:rPr>
        <w:t>I.- Es de aplicación el régimen jurídico de los procedimientos de aprobación de los reglamentos y ordenanzas que es el siguiente:</w:t>
      </w:r>
    </w:p>
    <w:p w:rsidR="00E23B86" w:rsidRDefault="00BA7C13">
      <w:pPr>
        <w:spacing w:after="110" w:line="248" w:lineRule="auto"/>
        <w:ind w:left="722" w:right="552" w:hanging="10"/>
        <w:jc w:val="both"/>
      </w:pPr>
      <w:r>
        <w:rPr>
          <w:rFonts w:ascii="Arial" w:eastAsia="Arial" w:hAnsi="Arial" w:cs="Arial"/>
        </w:rPr>
        <w:t xml:space="preserve">Artículo 133 de la Ley 39/2015, de 1 de octubre: </w:t>
      </w:r>
    </w:p>
    <w:p w:rsidR="00E23B86" w:rsidRDefault="00BA7C13">
      <w:pPr>
        <w:spacing w:after="111" w:line="251" w:lineRule="auto"/>
        <w:ind w:left="345" w:right="573" w:firstLine="360"/>
        <w:jc w:val="both"/>
      </w:pPr>
      <w:r>
        <w:rPr>
          <w:rFonts w:ascii="Arial" w:eastAsia="Arial" w:hAnsi="Arial" w:cs="Arial"/>
          <w:i/>
        </w:rPr>
        <w:t>Participación de los ciudadanos en el procedimiento de elaboración de normas con rango de Ley y reglamentos.</w:t>
      </w:r>
    </w:p>
    <w:p w:rsidR="00E23B86" w:rsidRDefault="00BA7C13">
      <w:pPr>
        <w:spacing w:after="0" w:line="251" w:lineRule="auto"/>
        <w:ind w:left="345" w:right="573" w:firstLine="356"/>
        <w:jc w:val="both"/>
      </w:pPr>
      <w:r>
        <w:rPr>
          <w:rFonts w:ascii="Arial" w:eastAsia="Arial" w:hAnsi="Arial" w:cs="Arial"/>
          <w:i/>
        </w:rPr>
        <w:t>1. Con carácter previo a la elaboración del proyecto o anteproyecto de ley o de reglamento, se sustanciará una consulta pública, a través del porta</w:t>
      </w:r>
      <w:r>
        <w:rPr>
          <w:rFonts w:ascii="Arial" w:eastAsia="Arial" w:hAnsi="Arial" w:cs="Arial"/>
          <w:i/>
        </w:rPr>
        <w:t>l web de la Administración competente en la que se recabará la opinión de los sujetos y de las organizaciones más representativas potencialmente afectados por la futura norma acerca de:</w:t>
      </w:r>
    </w:p>
    <w:p w:rsidR="00E23B86" w:rsidRDefault="00BA7C13">
      <w:pPr>
        <w:numPr>
          <w:ilvl w:val="0"/>
          <w:numId w:val="136"/>
        </w:numPr>
        <w:spacing w:after="8" w:line="251" w:lineRule="auto"/>
        <w:ind w:right="573" w:hanging="256"/>
        <w:jc w:val="both"/>
      </w:pPr>
      <w:r>
        <w:rPr>
          <w:rFonts w:ascii="Arial" w:eastAsia="Arial" w:hAnsi="Arial" w:cs="Arial"/>
          <w:i/>
        </w:rPr>
        <w:t>Los problemas que se pretenden solucionar con la iniciativa.</w:t>
      </w:r>
    </w:p>
    <w:p w:rsidR="00E23B86" w:rsidRDefault="00BA7C13">
      <w:pPr>
        <w:numPr>
          <w:ilvl w:val="0"/>
          <w:numId w:val="136"/>
        </w:numPr>
        <w:spacing w:after="8" w:line="251" w:lineRule="auto"/>
        <w:ind w:right="573" w:hanging="256"/>
        <w:jc w:val="both"/>
      </w:pPr>
      <w:r>
        <w:rPr>
          <w:rFonts w:ascii="Arial" w:eastAsia="Arial" w:hAnsi="Arial" w:cs="Arial"/>
          <w:i/>
        </w:rPr>
        <w:t>La necesi</w:t>
      </w:r>
      <w:r>
        <w:rPr>
          <w:rFonts w:ascii="Arial" w:eastAsia="Arial" w:hAnsi="Arial" w:cs="Arial"/>
          <w:i/>
        </w:rPr>
        <w:t>dad y oportunidad de su aprobación.</w:t>
      </w:r>
    </w:p>
    <w:p w:rsidR="00E23B86" w:rsidRDefault="00BA7C13">
      <w:pPr>
        <w:numPr>
          <w:ilvl w:val="0"/>
          <w:numId w:val="136"/>
        </w:numPr>
        <w:spacing w:after="8" w:line="251" w:lineRule="auto"/>
        <w:ind w:right="573" w:hanging="256"/>
        <w:jc w:val="both"/>
      </w:pPr>
      <w:r>
        <w:rPr>
          <w:rFonts w:ascii="Arial" w:eastAsia="Arial" w:hAnsi="Arial" w:cs="Arial"/>
          <w:i/>
        </w:rPr>
        <w:t>Los objetivos de la norma.</w:t>
      </w:r>
    </w:p>
    <w:p w:rsidR="00E23B86" w:rsidRDefault="00BA7C13">
      <w:pPr>
        <w:numPr>
          <w:ilvl w:val="0"/>
          <w:numId w:val="136"/>
        </w:numPr>
        <w:spacing w:after="166" w:line="251" w:lineRule="auto"/>
        <w:ind w:right="573" w:hanging="256"/>
        <w:jc w:val="both"/>
      </w:pPr>
      <w:r>
        <w:rPr>
          <w:rFonts w:ascii="Arial" w:eastAsia="Arial" w:hAnsi="Arial" w:cs="Arial"/>
          <w:i/>
        </w:rPr>
        <w:t>Las posibles soluciones alternativas regulatorias y no regulatorias.</w:t>
      </w:r>
    </w:p>
    <w:p w:rsidR="00E23B86" w:rsidRDefault="00BA7C13">
      <w:pPr>
        <w:spacing w:after="171" w:line="248" w:lineRule="auto"/>
        <w:ind w:left="363" w:right="552" w:firstLine="360"/>
        <w:jc w:val="both"/>
      </w:pPr>
      <w:r>
        <w:rPr>
          <w:rFonts w:ascii="Arial" w:eastAsia="Arial" w:hAnsi="Arial" w:cs="Arial"/>
        </w:rPr>
        <w:t>Artículo 49 de la Ley 7/1985, de 2 de abril, reguladora de las Bases del Régimen Local:</w:t>
      </w:r>
    </w:p>
    <w:p w:rsidR="00E23B86" w:rsidRDefault="00BA7C13">
      <w:pPr>
        <w:spacing w:after="348" w:line="251" w:lineRule="auto"/>
        <w:ind w:left="718" w:right="573" w:hanging="10"/>
        <w:jc w:val="both"/>
      </w:pPr>
      <w:r>
        <w:rPr>
          <w:rFonts w:ascii="Arial" w:eastAsia="Arial" w:hAnsi="Arial" w:cs="Arial"/>
          <w:i/>
        </w:rPr>
        <w:t>La aprobación de las Ordenanzas locales se ajustará al siguiente procedimiento:</w:t>
      </w:r>
    </w:p>
    <w:p w:rsidR="00E23B86" w:rsidRDefault="00BA7C13">
      <w:pPr>
        <w:numPr>
          <w:ilvl w:val="0"/>
          <w:numId w:val="137"/>
        </w:numPr>
        <w:spacing w:after="166" w:line="251" w:lineRule="auto"/>
        <w:ind w:right="573" w:hanging="278"/>
        <w:jc w:val="both"/>
      </w:pPr>
      <w:r>
        <w:rPr>
          <w:rFonts w:ascii="Arial" w:eastAsia="Arial" w:hAnsi="Arial" w:cs="Arial"/>
          <w:i/>
        </w:rPr>
        <w:t>Aprobación inicial por el Pleno.</w:t>
      </w:r>
    </w:p>
    <w:p w:rsidR="00E23B86" w:rsidRDefault="00BA7C13">
      <w:pPr>
        <w:numPr>
          <w:ilvl w:val="0"/>
          <w:numId w:val="137"/>
        </w:numPr>
        <w:spacing w:after="8" w:line="251" w:lineRule="auto"/>
        <w:ind w:right="573" w:hanging="278"/>
        <w:jc w:val="both"/>
      </w:pPr>
      <w:r>
        <w:rPr>
          <w:rFonts w:ascii="Arial" w:eastAsia="Arial" w:hAnsi="Arial" w:cs="Arial"/>
          <w:i/>
        </w:rPr>
        <w:t>Información pública y audiencia a los interesados por el plazo mínimo de treinta</w:t>
      </w:r>
    </w:p>
    <w:p w:rsidR="00E23B86" w:rsidRDefault="00BA7C13">
      <w:pPr>
        <w:spacing w:after="166" w:line="251" w:lineRule="auto"/>
        <w:ind w:left="355" w:right="573" w:hanging="10"/>
        <w:jc w:val="both"/>
      </w:pPr>
      <w:r>
        <w:rPr>
          <w:rFonts w:ascii="Arial" w:eastAsia="Arial" w:hAnsi="Arial" w:cs="Arial"/>
          <w:i/>
        </w:rPr>
        <w:t>días para la presentación de reclamaciones y sugerencias.</w:t>
      </w:r>
    </w:p>
    <w:p w:rsidR="00E23B86" w:rsidRDefault="00BA7C13">
      <w:pPr>
        <w:numPr>
          <w:ilvl w:val="0"/>
          <w:numId w:val="137"/>
        </w:numPr>
        <w:spacing w:after="8" w:line="251" w:lineRule="auto"/>
        <w:ind w:right="573" w:hanging="278"/>
        <w:jc w:val="both"/>
      </w:pPr>
      <w:r>
        <w:rPr>
          <w:rFonts w:ascii="Arial" w:eastAsia="Arial" w:hAnsi="Arial" w:cs="Arial"/>
          <w:i/>
        </w:rPr>
        <w:t>Resolución de todas las reclamaciones y sugerencias presentadas dentro del</w:t>
      </w:r>
    </w:p>
    <w:p w:rsidR="00E23B86" w:rsidRDefault="00BA7C13">
      <w:pPr>
        <w:spacing w:after="166" w:line="251" w:lineRule="auto"/>
        <w:ind w:left="355" w:right="573" w:hanging="10"/>
        <w:jc w:val="both"/>
      </w:pPr>
      <w:r>
        <w:rPr>
          <w:noProof/>
        </w:rPr>
        <mc:AlternateContent>
          <mc:Choice Requires="wpg">
            <w:drawing>
              <wp:anchor distT="0" distB="0" distL="114300" distR="114300" simplePos="0" relativeHeight="2519173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8159" name="Group 54815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624" name="Rectangle 4062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625" name="Rectangle 4062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w:t>
                              </w:r>
                              <w:r>
                                <w:rPr>
                                  <w:rFonts w:ascii="Arial" w:eastAsia="Arial" w:hAnsi="Arial" w:cs="Arial"/>
                                  <w:sz w:val="12"/>
                                </w:rPr>
                                <w:t xml:space="preserve">gina 251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8159" style="width:12.7031pt;height:280.35pt;position:absolute;mso-position-horizontal-relative:page;mso-position-horizontal:absolute;margin-left:681.958pt;mso-position-vertical-relative:page;margin-top:531.65pt;" coordsize="1613,35604">
                <v:rect id="Rectangle 4062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62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251 de 391 </w:t>
                        </w:r>
                      </w:p>
                    </w:txbxContent>
                  </v:textbox>
                </v:rect>
                <w10:wrap type="square"/>
              </v:group>
            </w:pict>
          </mc:Fallback>
        </mc:AlternateContent>
      </w:r>
      <w:r>
        <w:rPr>
          <w:rFonts w:ascii="Arial" w:eastAsia="Arial" w:hAnsi="Arial" w:cs="Arial"/>
          <w:i/>
        </w:rPr>
        <w:t>plazo y aprobación definitiva por el Pleno.</w:t>
      </w:r>
    </w:p>
    <w:p w:rsidR="00E23B86" w:rsidRDefault="00BA7C13">
      <w:pPr>
        <w:spacing w:after="363" w:line="251" w:lineRule="auto"/>
        <w:ind w:left="345" w:right="573" w:firstLine="356"/>
        <w:jc w:val="both"/>
      </w:pPr>
      <w:r>
        <w:rPr>
          <w:rFonts w:ascii="Arial" w:eastAsia="Arial" w:hAnsi="Arial" w:cs="Arial"/>
          <w:i/>
        </w:rPr>
        <w:t>En el caso de que no se hubiera presentado ninguna reclamación o sugerencia, se entenderá definitivamente adoptado el acuerdo hasta entonces provisional.</w:t>
      </w:r>
    </w:p>
    <w:p w:rsidR="00E23B86" w:rsidRDefault="00BA7C13">
      <w:pPr>
        <w:spacing w:after="365" w:line="248" w:lineRule="auto"/>
        <w:ind w:left="363" w:right="552" w:firstLine="360"/>
        <w:jc w:val="both"/>
      </w:pPr>
      <w:r>
        <w:rPr>
          <w:rFonts w:ascii="Arial" w:eastAsia="Arial" w:hAnsi="Arial" w:cs="Arial"/>
        </w:rPr>
        <w:t xml:space="preserve">Segundo. - Es de aplicación la normativa </w:t>
      </w:r>
      <w:r>
        <w:rPr>
          <w:rFonts w:ascii="Arial" w:eastAsia="Arial" w:hAnsi="Arial" w:cs="Arial"/>
        </w:rPr>
        <w:t xml:space="preserve">autonómica que regulan los Servicios Sociales y la Prevención, Asistencia e Inserción Social en materia de Drogodependencia. </w:t>
      </w:r>
    </w:p>
    <w:p w:rsidR="00E23B86" w:rsidRDefault="00BA7C13">
      <w:pPr>
        <w:pBdr>
          <w:bottom w:val="single" w:sz="6" w:space="0" w:color="CCCCCC"/>
        </w:pBdr>
        <w:shd w:val="clear" w:color="auto" w:fill="F9F9F9"/>
        <w:spacing w:after="595"/>
        <w:ind w:left="352"/>
      </w:pPr>
      <w:r>
        <w:rPr>
          <w:rFonts w:ascii="Arial" w:eastAsia="Arial" w:hAnsi="Arial" w:cs="Arial"/>
          <w:b/>
        </w:rPr>
        <w:t>Ley 16/2019, de 2 de mayo, de Servicios Sociales de Canarias.</w:t>
      </w:r>
    </w:p>
    <w:p w:rsidR="00E23B86" w:rsidRDefault="00BA7C13">
      <w:pPr>
        <w:numPr>
          <w:ilvl w:val="0"/>
          <w:numId w:val="138"/>
        </w:numPr>
        <w:spacing w:after="169" w:line="248" w:lineRule="auto"/>
        <w:ind w:right="563" w:hanging="122"/>
        <w:jc w:val="both"/>
      </w:pPr>
      <w:r>
        <w:rPr>
          <w:rFonts w:ascii="Arial" w:eastAsia="Arial" w:hAnsi="Arial" w:cs="Arial"/>
        </w:rPr>
        <w:t>Artículo 4 relativo al sistema público de servicios sociales.</w:t>
      </w:r>
    </w:p>
    <w:p w:rsidR="00E23B86" w:rsidRDefault="00BA7C13">
      <w:pPr>
        <w:spacing w:after="169" w:line="251" w:lineRule="auto"/>
        <w:ind w:left="345" w:right="573" w:firstLine="360"/>
        <w:jc w:val="both"/>
      </w:pPr>
      <w:r>
        <w:rPr>
          <w:rFonts w:ascii="Arial" w:eastAsia="Arial" w:hAnsi="Arial" w:cs="Arial"/>
          <w:i/>
        </w:rPr>
        <w:t>“1. El sistema público de servicios sociales de Canarias está integrado por el conjunto de recursos, equipamientos, proyectos, programas y prestaciones de titularidad pública y privada destinado al cumplimiento de los objetivos establecidos en esta ley.</w:t>
      </w:r>
    </w:p>
    <w:p w:rsidR="00E23B86" w:rsidRDefault="00BA7C13">
      <w:pPr>
        <w:numPr>
          <w:ilvl w:val="1"/>
          <w:numId w:val="138"/>
        </w:numPr>
        <w:spacing w:after="171" w:line="251" w:lineRule="auto"/>
        <w:ind w:right="573" w:firstLine="360"/>
        <w:jc w:val="both"/>
      </w:pPr>
      <w:r>
        <w:rPr>
          <w:rFonts w:ascii="Arial" w:eastAsia="Arial" w:hAnsi="Arial" w:cs="Arial"/>
          <w:i/>
        </w:rPr>
        <w:t>Lo</w:t>
      </w:r>
      <w:r>
        <w:rPr>
          <w:rFonts w:ascii="Arial" w:eastAsia="Arial" w:hAnsi="Arial" w:cs="Arial"/>
          <w:i/>
        </w:rPr>
        <w:t>s poderes públicos garantizarán y velarán por que los servicios socialescumplan su finalidad de asegurar el derecho a las personas a vivir dignamente durante todas las etapas de la vida.</w:t>
      </w:r>
    </w:p>
    <w:p w:rsidR="00E23B86" w:rsidRDefault="00BA7C13">
      <w:pPr>
        <w:numPr>
          <w:ilvl w:val="1"/>
          <w:numId w:val="138"/>
        </w:numPr>
        <w:spacing w:after="111" w:line="251" w:lineRule="auto"/>
        <w:ind w:right="573" w:firstLine="360"/>
        <w:jc w:val="both"/>
      </w:pPr>
      <w:r>
        <w:rPr>
          <w:rFonts w:ascii="Arial" w:eastAsia="Arial" w:hAnsi="Arial" w:cs="Arial"/>
          <w:i/>
        </w:rPr>
        <w:t>Los servicios sociales se dirigen especialmente a prevenir y compensa</w:t>
      </w:r>
      <w:r>
        <w:rPr>
          <w:rFonts w:ascii="Arial" w:eastAsia="Arial" w:hAnsi="Arial" w:cs="Arial"/>
          <w:i/>
        </w:rPr>
        <w:t>r eldéficit de apoyo social y económico en situaciones de riesgo y exclusión social, promoviendo actitudes y capacidades que faciliten la inclusión de las personas, desde una perspectiva integral y participada.</w:t>
      </w:r>
    </w:p>
    <w:p w:rsidR="00E23B86" w:rsidRDefault="00BA7C13">
      <w:pPr>
        <w:spacing w:after="581" w:line="251" w:lineRule="auto"/>
        <w:ind w:left="345" w:right="573" w:firstLine="360"/>
        <w:jc w:val="both"/>
      </w:pPr>
      <w:r>
        <w:rPr>
          <w:rFonts w:ascii="Arial" w:eastAsia="Arial" w:hAnsi="Arial" w:cs="Arial"/>
          <w:i/>
        </w:rPr>
        <w:t xml:space="preserve">7. Los servicios sociales se coordinarán con </w:t>
      </w:r>
      <w:r>
        <w:rPr>
          <w:rFonts w:ascii="Arial" w:eastAsia="Arial" w:hAnsi="Arial" w:cs="Arial"/>
          <w:i/>
        </w:rPr>
        <w:t>todos los sistemas que inciden en la calidad de vida, como los de salud, igualdad de género, prevención y protección de las mujeres contra la violencia de género, educativos, culturales, de empleo, de vivienda, urbanísticos, judiciales, entre otros.”</w:t>
      </w:r>
    </w:p>
    <w:p w:rsidR="00E23B86" w:rsidRDefault="00BA7C13">
      <w:pPr>
        <w:numPr>
          <w:ilvl w:val="0"/>
          <w:numId w:val="138"/>
        </w:numPr>
        <w:spacing w:after="144" w:line="251" w:lineRule="auto"/>
        <w:ind w:right="563" w:hanging="122"/>
        <w:jc w:val="both"/>
      </w:pPr>
      <w:r>
        <w:rPr>
          <w:rFonts w:ascii="Arial" w:eastAsia="Arial" w:hAnsi="Arial" w:cs="Arial"/>
        </w:rPr>
        <w:t>Artíc</w:t>
      </w:r>
      <w:r>
        <w:rPr>
          <w:rFonts w:ascii="Arial" w:eastAsia="Arial" w:hAnsi="Arial" w:cs="Arial"/>
        </w:rPr>
        <w:t>ulo 6</w:t>
      </w:r>
      <w:r>
        <w:rPr>
          <w:rFonts w:ascii="Arial" w:eastAsia="Arial" w:hAnsi="Arial" w:cs="Arial"/>
          <w:i/>
        </w:rPr>
        <w:t xml:space="preserve"> Objetivos del sistema público de servicios sociales</w:t>
      </w:r>
    </w:p>
    <w:p w:rsidR="00E23B86" w:rsidRDefault="00BA7C13">
      <w:pPr>
        <w:spacing w:after="152" w:line="248" w:lineRule="auto"/>
        <w:ind w:left="352" w:right="14"/>
        <w:jc w:val="both"/>
      </w:pPr>
      <w:r>
        <w:rPr>
          <w:rFonts w:ascii="Arial" w:eastAsia="Arial" w:hAnsi="Arial" w:cs="Arial"/>
          <w:i/>
          <w:color w:val="222222"/>
        </w:rPr>
        <w:t>“La actuación de los poderes públicos canarios en materia de servicios sociales persigue los objetivos siguientes:</w:t>
      </w:r>
    </w:p>
    <w:p w:rsidR="00E23B86" w:rsidRDefault="00BA7C13">
      <w:pPr>
        <w:numPr>
          <w:ilvl w:val="1"/>
          <w:numId w:val="139"/>
        </w:numPr>
        <w:spacing w:after="96" w:line="248" w:lineRule="auto"/>
        <w:ind w:right="578" w:hanging="360"/>
        <w:jc w:val="both"/>
      </w:pPr>
      <w:r>
        <w:rPr>
          <w:rFonts w:ascii="Arial" w:eastAsia="Arial" w:hAnsi="Arial" w:cs="Arial"/>
          <w:i/>
          <w:color w:val="222222"/>
        </w:rPr>
        <w:t xml:space="preserve">a) </w:t>
      </w:r>
      <w:r>
        <w:rPr>
          <w:rFonts w:ascii="Arial" w:eastAsia="Arial" w:hAnsi="Arial" w:cs="Arial"/>
          <w:i/>
          <w:color w:val="222222"/>
        </w:rPr>
        <w:t>Mejorar la calidad de vida y promover la normalización, la participación y la inclusión social, económica, laboral, cultural y educativa y de salud de todas las personas.</w:t>
      </w:r>
    </w:p>
    <w:p w:rsidR="00E23B86" w:rsidRDefault="00BA7C13">
      <w:pPr>
        <w:numPr>
          <w:ilvl w:val="1"/>
          <w:numId w:val="139"/>
        </w:numPr>
        <w:spacing w:after="94" w:line="248" w:lineRule="auto"/>
        <w:ind w:right="578" w:hanging="360"/>
        <w:jc w:val="both"/>
      </w:pPr>
      <w:r>
        <w:rPr>
          <w:rFonts w:ascii="Arial" w:eastAsia="Arial" w:hAnsi="Arial" w:cs="Arial"/>
          <w:i/>
          <w:color w:val="222222"/>
        </w:rPr>
        <w:t>b) Detectar a través del análisis continuo de la realidad social situaciones de neces</w:t>
      </w:r>
      <w:r>
        <w:rPr>
          <w:rFonts w:ascii="Arial" w:eastAsia="Arial" w:hAnsi="Arial" w:cs="Arial"/>
          <w:i/>
          <w:color w:val="222222"/>
        </w:rPr>
        <w:t>idad de la población, así como elaborar la estrategia más adecuada a fin de favorecer el bienestar social y mejorar la calidad de vida.</w:t>
      </w:r>
    </w:p>
    <w:p w:rsidR="00E23B86" w:rsidRDefault="00BA7C13">
      <w:pPr>
        <w:numPr>
          <w:ilvl w:val="1"/>
          <w:numId w:val="139"/>
        </w:numPr>
        <w:spacing w:after="93" w:line="248" w:lineRule="auto"/>
        <w:ind w:right="578" w:hanging="360"/>
        <w:jc w:val="both"/>
      </w:pPr>
      <w:r>
        <w:rPr>
          <w:rFonts w:ascii="Arial" w:eastAsia="Arial" w:hAnsi="Arial" w:cs="Arial"/>
          <w:i/>
          <w:color w:val="222222"/>
        </w:rPr>
        <w:t xml:space="preserve">e) Prevenir, detectar y atender las situaciones de vulnerabilidad social de las personas y los grupos. </w:t>
      </w:r>
    </w:p>
    <w:p w:rsidR="00E23B86" w:rsidRDefault="00BA7C13">
      <w:pPr>
        <w:numPr>
          <w:ilvl w:val="1"/>
          <w:numId w:val="139"/>
        </w:numPr>
        <w:spacing w:after="94" w:line="248" w:lineRule="auto"/>
        <w:ind w:right="578" w:hanging="360"/>
        <w:jc w:val="both"/>
      </w:pPr>
      <w:r>
        <w:rPr>
          <w:rFonts w:ascii="Arial" w:eastAsia="Arial" w:hAnsi="Arial" w:cs="Arial"/>
          <w:i/>
          <w:color w:val="222222"/>
        </w:rPr>
        <w:t xml:space="preserve">j) Favorecer la </w:t>
      </w:r>
      <w:r>
        <w:rPr>
          <w:rFonts w:ascii="Arial" w:eastAsia="Arial" w:hAnsi="Arial" w:cs="Arial"/>
          <w:i/>
          <w:color w:val="222222"/>
        </w:rPr>
        <w:t>igualdad efectiva de las personas, eliminando discriminaciones por razón de sexo, orientación sexual o identidad de género, de discapacidad, de edad, de origen o por cualquier otra razón o circunstancia personal o social, e impulsando políticas de inclusió</w:t>
      </w:r>
      <w:r>
        <w:rPr>
          <w:rFonts w:ascii="Arial" w:eastAsia="Arial" w:hAnsi="Arial" w:cs="Arial"/>
          <w:i/>
          <w:color w:val="222222"/>
        </w:rPr>
        <w:t>n social.</w:t>
      </w:r>
    </w:p>
    <w:p w:rsidR="00E23B86" w:rsidRDefault="00BA7C13">
      <w:pPr>
        <w:numPr>
          <w:ilvl w:val="1"/>
          <w:numId w:val="139"/>
        </w:numPr>
        <w:spacing w:after="96" w:line="248" w:lineRule="auto"/>
        <w:ind w:right="578" w:hanging="360"/>
        <w:jc w:val="both"/>
      </w:pPr>
      <w:r>
        <w:rPr>
          <w:noProof/>
        </w:rPr>
        <mc:AlternateContent>
          <mc:Choice Requires="wpg">
            <w:drawing>
              <wp:anchor distT="0" distB="0" distL="114300" distR="114300" simplePos="0" relativeHeight="2519183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8260" name="Group 54826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740" name="Rectangle 4074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741" name="Rectangle 4074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252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8260" style="width:12.7031pt;height:280.35pt;position:absolute;mso-position-horizontal-relative:page;mso-position-horizontal:absolute;margin-left:681.958pt;mso-position-vertical-relative:page;margin-top:531.65pt;" coordsize="1613,35604">
                <v:rect id="Rectangle 4074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74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252 de 391 </w:t>
                        </w:r>
                      </w:p>
                    </w:txbxContent>
                  </v:textbox>
                </v:rect>
                <w10:wrap type="square"/>
              </v:group>
            </w:pict>
          </mc:Fallback>
        </mc:AlternateContent>
      </w:r>
      <w:r>
        <w:rPr>
          <w:rFonts w:ascii="Arial" w:eastAsia="Arial" w:hAnsi="Arial" w:cs="Arial"/>
          <w:i/>
          <w:color w:val="222222"/>
        </w:rPr>
        <w:t>k) Velar por el respeto de los principios éticos</w:t>
      </w:r>
      <w:r>
        <w:rPr>
          <w:rFonts w:ascii="Arial" w:eastAsia="Arial" w:hAnsi="Arial" w:cs="Arial"/>
          <w:i/>
          <w:color w:val="222222"/>
        </w:rPr>
        <w:t xml:space="preserve"> de la intervención social y socioeducativa, impulsando, entre otras, políticas de inclusión laboral para las personas con cualquier tipo de discapacidad.</w:t>
      </w:r>
    </w:p>
    <w:p w:rsidR="00E23B86" w:rsidRDefault="00BA7C13">
      <w:pPr>
        <w:numPr>
          <w:ilvl w:val="1"/>
          <w:numId w:val="139"/>
        </w:numPr>
        <w:spacing w:after="96" w:line="248" w:lineRule="auto"/>
        <w:ind w:right="578" w:hanging="360"/>
        <w:jc w:val="both"/>
      </w:pPr>
      <w:r>
        <w:rPr>
          <w:rFonts w:ascii="Arial" w:eastAsia="Arial" w:hAnsi="Arial" w:cs="Arial"/>
          <w:i/>
          <w:color w:val="222222"/>
        </w:rPr>
        <w:t>l) Prevenir, detectar y atender las situaciones de desprotección infantil para la defensa efectiva de</w:t>
      </w:r>
      <w:r>
        <w:rPr>
          <w:rFonts w:ascii="Arial" w:eastAsia="Arial" w:hAnsi="Arial" w:cs="Arial"/>
          <w:i/>
          <w:color w:val="222222"/>
        </w:rPr>
        <w:t xml:space="preserve"> los derechos de la infancia y de la adolescencia.</w:t>
      </w:r>
    </w:p>
    <w:p w:rsidR="00E23B86" w:rsidRDefault="00BA7C13">
      <w:pPr>
        <w:numPr>
          <w:ilvl w:val="1"/>
          <w:numId w:val="139"/>
        </w:numPr>
        <w:spacing w:after="3" w:line="248" w:lineRule="auto"/>
        <w:ind w:right="578" w:hanging="360"/>
        <w:jc w:val="both"/>
      </w:pPr>
      <w:r>
        <w:rPr>
          <w:rFonts w:ascii="Arial" w:eastAsia="Arial" w:hAnsi="Arial" w:cs="Arial"/>
          <w:i/>
          <w:color w:val="222222"/>
        </w:rPr>
        <w:t>m) Prevenir, detectar y atender situaciones de desprotección de las personas mayores, promocionando su bienestar y favoreciendo la inserción y cohesión social de este colectivo.”</w:t>
      </w:r>
    </w:p>
    <w:p w:rsidR="00E23B86" w:rsidRDefault="00BA7C13">
      <w:pPr>
        <w:spacing w:after="84" w:line="265" w:lineRule="auto"/>
        <w:ind w:left="722" w:right="13" w:hanging="10"/>
      </w:pPr>
      <w:r>
        <w:rPr>
          <w:rFonts w:ascii="Segoe UI Symbol" w:eastAsia="Segoe UI Symbol" w:hAnsi="Segoe UI Symbol" w:cs="Segoe UI Symbol"/>
          <w:sz w:val="20"/>
        </w:rPr>
        <w:t></w:t>
      </w:r>
    </w:p>
    <w:p w:rsidR="00E23B86" w:rsidRDefault="00BA7C13">
      <w:pPr>
        <w:numPr>
          <w:ilvl w:val="1"/>
          <w:numId w:val="139"/>
        </w:numPr>
        <w:spacing w:after="134" w:line="251" w:lineRule="auto"/>
        <w:ind w:right="578" w:hanging="360"/>
        <w:jc w:val="both"/>
      </w:pPr>
      <w:r>
        <w:rPr>
          <w:rFonts w:ascii="Arial" w:eastAsia="Arial" w:hAnsi="Arial" w:cs="Arial"/>
        </w:rPr>
        <w:t>- Artículo 18</w:t>
      </w:r>
      <w:r>
        <w:rPr>
          <w:rFonts w:ascii="Arial" w:eastAsia="Arial" w:hAnsi="Arial" w:cs="Arial"/>
          <w:i/>
        </w:rPr>
        <w:t xml:space="preserve"> </w:t>
      </w:r>
      <w:r>
        <w:rPr>
          <w:rFonts w:ascii="Arial" w:eastAsia="Arial" w:hAnsi="Arial" w:cs="Arial"/>
          <w:i/>
        </w:rPr>
        <w:t>Prestaciones del sistema público de servicios sociales</w:t>
      </w:r>
    </w:p>
    <w:p w:rsidR="00E23B86" w:rsidRDefault="00BA7C13">
      <w:pPr>
        <w:numPr>
          <w:ilvl w:val="1"/>
          <w:numId w:val="139"/>
        </w:numPr>
        <w:spacing w:after="152" w:line="248" w:lineRule="auto"/>
        <w:ind w:right="578" w:hanging="360"/>
        <w:jc w:val="both"/>
      </w:pPr>
      <w:r>
        <w:rPr>
          <w:rFonts w:ascii="Arial" w:eastAsia="Arial" w:hAnsi="Arial" w:cs="Arial"/>
          <w:i/>
          <w:color w:val="222222"/>
        </w:rPr>
        <w:t>“1. Son prestaciones del sistema público de servicios sociales aquellas actuaciones, intervenciones técnicas, programas, proyectos, ayudas económicas y tecnológicas, recursos y medios de atención desti</w:t>
      </w:r>
      <w:r>
        <w:rPr>
          <w:rFonts w:ascii="Arial" w:eastAsia="Arial" w:hAnsi="Arial" w:cs="Arial"/>
          <w:i/>
          <w:color w:val="222222"/>
        </w:rPr>
        <w:t>nados a cubrir las necesidades de las personas usuarias y a contribuir a la inclusión social de las mismas.</w:t>
      </w:r>
    </w:p>
    <w:p w:rsidR="00E23B86" w:rsidRDefault="00BA7C13">
      <w:pPr>
        <w:spacing w:after="125"/>
        <w:ind w:left="722" w:hanging="10"/>
      </w:pPr>
      <w:r>
        <w:rPr>
          <w:rFonts w:ascii="Segoe UI Symbol" w:eastAsia="Segoe UI Symbol" w:hAnsi="Segoe UI Symbol" w:cs="Segoe UI Symbol"/>
          <w:color w:val="222222"/>
          <w:sz w:val="20"/>
        </w:rPr>
        <w:t></w:t>
      </w:r>
    </w:p>
    <w:p w:rsidR="00E23B86" w:rsidRDefault="00BA7C13">
      <w:pPr>
        <w:numPr>
          <w:ilvl w:val="1"/>
          <w:numId w:val="139"/>
        </w:numPr>
        <w:spacing w:after="152" w:line="248" w:lineRule="auto"/>
        <w:ind w:right="578" w:hanging="360"/>
        <w:jc w:val="both"/>
      </w:pPr>
      <w:r>
        <w:rPr>
          <w:rFonts w:ascii="Arial" w:eastAsia="Arial" w:hAnsi="Arial" w:cs="Arial"/>
          <w:i/>
          <w:color w:val="222222"/>
        </w:rPr>
        <w:t xml:space="preserve">2. </w:t>
      </w:r>
      <w:r>
        <w:rPr>
          <w:rFonts w:ascii="Arial" w:eastAsia="Arial" w:hAnsi="Arial" w:cs="Arial"/>
          <w:i/>
          <w:color w:val="222222"/>
        </w:rPr>
        <w:t>Dichas prestaciones podrán ser de servicios, económicas o tecnológicas. Las prestaciones de servicios y económicas se podrán combinar entre sí para la consecución de los objetivos establecidos en el programa de intervención social de la persona usuaria, si</w:t>
      </w:r>
      <w:r>
        <w:rPr>
          <w:rFonts w:ascii="Arial" w:eastAsia="Arial" w:hAnsi="Arial" w:cs="Arial"/>
          <w:i/>
          <w:color w:val="222222"/>
        </w:rPr>
        <w:t>empre dentro de los límites de compatibilidad establecidos reglamentariamente.”</w:t>
      </w:r>
    </w:p>
    <w:p w:rsidR="00E23B86" w:rsidRDefault="00BA7C13">
      <w:pPr>
        <w:spacing w:after="125"/>
        <w:ind w:left="722" w:hanging="10"/>
      </w:pPr>
      <w:r>
        <w:rPr>
          <w:rFonts w:ascii="Segoe UI Symbol" w:eastAsia="Segoe UI Symbol" w:hAnsi="Segoe UI Symbol" w:cs="Segoe UI Symbol"/>
          <w:color w:val="4C6F99"/>
          <w:sz w:val="20"/>
        </w:rPr>
        <w:t></w:t>
      </w:r>
    </w:p>
    <w:p w:rsidR="00E23B86" w:rsidRDefault="00BA7C13">
      <w:pPr>
        <w:numPr>
          <w:ilvl w:val="1"/>
          <w:numId w:val="139"/>
        </w:numPr>
        <w:spacing w:after="110" w:line="248" w:lineRule="auto"/>
        <w:ind w:right="578" w:hanging="360"/>
        <w:jc w:val="both"/>
      </w:pPr>
      <w:r>
        <w:rPr>
          <w:rFonts w:ascii="Arial" w:eastAsia="Arial" w:hAnsi="Arial" w:cs="Arial"/>
          <w:i/>
          <w:color w:val="4C6F99"/>
        </w:rPr>
        <w:t xml:space="preserve">- </w:t>
      </w:r>
      <w:r>
        <w:rPr>
          <w:rFonts w:ascii="Arial" w:eastAsia="Arial" w:hAnsi="Arial" w:cs="Arial"/>
        </w:rPr>
        <w:t>Artículo 20 Servicios del sistema público de servicios sociales</w:t>
      </w:r>
    </w:p>
    <w:p w:rsidR="00E23B86" w:rsidRDefault="00BA7C13">
      <w:pPr>
        <w:numPr>
          <w:ilvl w:val="1"/>
          <w:numId w:val="139"/>
        </w:numPr>
        <w:spacing w:after="152" w:line="248" w:lineRule="auto"/>
        <w:ind w:right="578" w:hanging="360"/>
        <w:jc w:val="both"/>
      </w:pPr>
      <w:r>
        <w:rPr>
          <w:rFonts w:ascii="Arial" w:eastAsia="Arial" w:hAnsi="Arial" w:cs="Arial"/>
          <w:i/>
          <w:color w:val="222222"/>
        </w:rPr>
        <w:t>“1. Son servicios el conjunto de las actuaciones realizadas por profesionales, ya sea directamente o a travé</w:t>
      </w:r>
      <w:r>
        <w:rPr>
          <w:rFonts w:ascii="Arial" w:eastAsia="Arial" w:hAnsi="Arial" w:cs="Arial"/>
          <w:i/>
          <w:color w:val="222222"/>
        </w:rPr>
        <w:t>s de medios tecnológicos, dirigidas a la prevención, diagnóstico, seguimiento, valoración, intervención, protección, promoción de la autonomía personal, acompañamiento social, mediación e inclusión social, mediante actuaciones a las personas, unidades de c</w:t>
      </w:r>
      <w:r>
        <w:rPr>
          <w:rFonts w:ascii="Arial" w:eastAsia="Arial" w:hAnsi="Arial" w:cs="Arial"/>
          <w:i/>
          <w:color w:val="222222"/>
        </w:rPr>
        <w:t>onvivencia, grupos y comunidades.</w:t>
      </w:r>
    </w:p>
    <w:p w:rsidR="00E23B86" w:rsidRDefault="00BA7C13">
      <w:pPr>
        <w:numPr>
          <w:ilvl w:val="1"/>
          <w:numId w:val="139"/>
        </w:numPr>
        <w:spacing w:after="154" w:line="248" w:lineRule="auto"/>
        <w:ind w:right="578" w:hanging="360"/>
        <w:jc w:val="both"/>
      </w:pPr>
      <w:r>
        <w:rPr>
          <w:rFonts w:ascii="Arial" w:eastAsia="Arial" w:hAnsi="Arial" w:cs="Arial"/>
          <w:i/>
          <w:color w:val="222222"/>
        </w:rPr>
        <w:t>3. Los servicios del sistema público de servicios sociales de Canarias serán, al menos, las siguientes, en los términos que se recojan en el catálogo de servicios y prestaciones:</w:t>
      </w:r>
    </w:p>
    <w:p w:rsidR="00E23B86" w:rsidRDefault="00BA7C13">
      <w:pPr>
        <w:numPr>
          <w:ilvl w:val="1"/>
          <w:numId w:val="139"/>
        </w:numPr>
        <w:spacing w:after="94" w:line="248" w:lineRule="auto"/>
        <w:ind w:right="578" w:hanging="360"/>
        <w:jc w:val="both"/>
      </w:pPr>
      <w:r>
        <w:rPr>
          <w:rFonts w:ascii="Arial" w:eastAsia="Arial" w:hAnsi="Arial" w:cs="Arial"/>
          <w:i/>
          <w:color w:val="222222"/>
        </w:rPr>
        <w:t>a) Información: servicio que posibilita a l</w:t>
      </w:r>
      <w:r>
        <w:rPr>
          <w:rFonts w:ascii="Arial" w:eastAsia="Arial" w:hAnsi="Arial" w:cs="Arial"/>
          <w:i/>
          <w:color w:val="222222"/>
        </w:rPr>
        <w:t>as personas, familias y grupos acceder en tiempo y forma a un conocimiento adecuado y suficiente sobre los derechos, servicios y prestaciones que pueden favorecer su inclusión social, autonomía y bienestar social, garantizando una información veraz, accesi</w:t>
      </w:r>
      <w:r>
        <w:rPr>
          <w:rFonts w:ascii="Arial" w:eastAsia="Arial" w:hAnsi="Arial" w:cs="Arial"/>
          <w:i/>
          <w:color w:val="222222"/>
        </w:rPr>
        <w:t>ble y facilitada en términos comprensibles.</w:t>
      </w:r>
    </w:p>
    <w:p w:rsidR="00E23B86" w:rsidRDefault="00BA7C13">
      <w:pPr>
        <w:numPr>
          <w:ilvl w:val="1"/>
          <w:numId w:val="139"/>
        </w:numPr>
        <w:spacing w:after="80" w:line="248" w:lineRule="auto"/>
        <w:ind w:right="578" w:hanging="360"/>
        <w:jc w:val="both"/>
      </w:pPr>
      <w:r>
        <w:rPr>
          <w:rFonts w:ascii="Arial" w:eastAsia="Arial" w:hAnsi="Arial" w:cs="Arial"/>
          <w:i/>
          <w:color w:val="222222"/>
        </w:rPr>
        <w:t>b) Valoración, que incluirá:</w:t>
      </w:r>
    </w:p>
    <w:p w:rsidR="00E23B86" w:rsidRDefault="00BA7C13">
      <w:pPr>
        <w:numPr>
          <w:ilvl w:val="2"/>
          <w:numId w:val="138"/>
        </w:numPr>
        <w:spacing w:after="94" w:line="248" w:lineRule="auto"/>
        <w:ind w:right="577" w:hanging="360"/>
        <w:jc w:val="both"/>
      </w:pPr>
      <w:r>
        <w:rPr>
          <w:rFonts w:ascii="Arial" w:eastAsia="Arial" w:hAnsi="Arial" w:cs="Arial"/>
          <w:i/>
          <w:color w:val="222222"/>
        </w:rPr>
        <w:t>- Valoración inicial: consiste en la identificación básica, desde una perspectiva integral, de las necesidades y capacidades de las personas, las familias y su entorno, al objeto de c</w:t>
      </w:r>
      <w:r>
        <w:rPr>
          <w:rFonts w:ascii="Arial" w:eastAsia="Arial" w:hAnsi="Arial" w:cs="Arial"/>
          <w:i/>
          <w:color w:val="222222"/>
        </w:rPr>
        <w:t>onstatar si procede una intervención del sistema público de servicios sociales y, en su caso, remitir a las personas usuarias a una valoración especializada.</w:t>
      </w:r>
    </w:p>
    <w:p w:rsidR="00E23B86" w:rsidRDefault="00BA7C13">
      <w:pPr>
        <w:numPr>
          <w:ilvl w:val="2"/>
          <w:numId w:val="138"/>
        </w:numPr>
        <w:spacing w:after="91" w:line="248" w:lineRule="auto"/>
        <w:ind w:right="577" w:hanging="360"/>
        <w:jc w:val="both"/>
      </w:pPr>
      <w:r>
        <w:rPr>
          <w:noProof/>
        </w:rPr>
        <mc:AlternateContent>
          <mc:Choice Requires="wpg">
            <w:drawing>
              <wp:anchor distT="0" distB="0" distL="114300" distR="114300" simplePos="0" relativeHeight="2519193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8777" name="Group 54877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858" name="Rectangle 4085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859" name="Rectangle 4085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253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8777" style="width:12.7031pt;height:280.35pt;position:absolute;mso-position-horizontal-relative:page;mso-position-horizontal:absolute;margin-left:681.958pt;mso-position-vertical-relative:page;margin-top:531.65pt;" coordsize="1613,35604">
                <v:rect id="Rectangle 4085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85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253 de 391 </w:t>
                        </w:r>
                      </w:p>
                    </w:txbxContent>
                  </v:textbox>
                </v:rect>
                <w10:wrap type="square"/>
              </v:group>
            </w:pict>
          </mc:Fallback>
        </mc:AlternateContent>
      </w:r>
      <w:r>
        <w:rPr>
          <w:rFonts w:ascii="Arial" w:eastAsia="Arial" w:hAnsi="Arial" w:cs="Arial"/>
          <w:i/>
          <w:color w:val="222222"/>
        </w:rPr>
        <w:t xml:space="preserve">- Valoración especializada: es una valoración que incluye la </w:t>
      </w:r>
      <w:r>
        <w:rPr>
          <w:rFonts w:ascii="Arial" w:eastAsia="Arial" w:hAnsi="Arial" w:cs="Arial"/>
          <w:i/>
          <w:color w:val="222222"/>
        </w:rPr>
        <w:t>baremación de las situaciones de dependencia, discapacidad, exclusión y desprotección. La misma podrá ser social, psicosocial, sociosanitaria o socioeducativa.</w:t>
      </w:r>
    </w:p>
    <w:p w:rsidR="00E23B86" w:rsidRDefault="00BA7C13">
      <w:pPr>
        <w:numPr>
          <w:ilvl w:val="2"/>
          <w:numId w:val="138"/>
        </w:numPr>
        <w:spacing w:after="92" w:line="248" w:lineRule="auto"/>
        <w:ind w:right="577" w:hanging="360"/>
        <w:jc w:val="both"/>
      </w:pPr>
      <w:r>
        <w:rPr>
          <w:rFonts w:ascii="Arial" w:eastAsia="Arial" w:hAnsi="Arial" w:cs="Arial"/>
          <w:i/>
          <w:color w:val="222222"/>
        </w:rPr>
        <w:t>- Valoración de seguimiento: servicio que conlleva la realización de evaluaciones periódicas del</w:t>
      </w:r>
      <w:r>
        <w:rPr>
          <w:rFonts w:ascii="Arial" w:eastAsia="Arial" w:hAnsi="Arial" w:cs="Arial"/>
          <w:i/>
          <w:color w:val="222222"/>
        </w:rPr>
        <w:t xml:space="preserve"> plan de atención personalizada.</w:t>
      </w:r>
    </w:p>
    <w:p w:rsidR="00E23B86" w:rsidRDefault="00BA7C13">
      <w:pPr>
        <w:numPr>
          <w:ilvl w:val="0"/>
          <w:numId w:val="140"/>
        </w:numPr>
        <w:spacing w:after="94" w:line="248" w:lineRule="auto"/>
        <w:ind w:right="1" w:hanging="841"/>
        <w:jc w:val="both"/>
      </w:pPr>
      <w:r>
        <w:rPr>
          <w:rFonts w:ascii="Arial" w:eastAsia="Arial" w:hAnsi="Arial" w:cs="Arial"/>
          <w:i/>
          <w:color w:val="222222"/>
        </w:rPr>
        <w:t>c) Diagnóstico social: consiste en la descripción y valoración profesional de las necesidades sociales y capacidades que presentan las personas, familias y grupos que solicitan la atención del sistema público de servicios s</w:t>
      </w:r>
      <w:r>
        <w:rPr>
          <w:rFonts w:ascii="Arial" w:eastAsia="Arial" w:hAnsi="Arial" w:cs="Arial"/>
          <w:i/>
          <w:color w:val="222222"/>
        </w:rPr>
        <w:t>ociales, al objeto de determinar la intervención adecuada en el marco de un plan de atención personalizada.</w:t>
      </w:r>
    </w:p>
    <w:p w:rsidR="00E23B86" w:rsidRDefault="00BA7C13">
      <w:pPr>
        <w:numPr>
          <w:ilvl w:val="0"/>
          <w:numId w:val="140"/>
        </w:numPr>
        <w:spacing w:after="94" w:line="248" w:lineRule="auto"/>
        <w:ind w:right="1" w:hanging="841"/>
        <w:jc w:val="both"/>
      </w:pPr>
      <w:r>
        <w:rPr>
          <w:rFonts w:ascii="Arial" w:eastAsia="Arial" w:hAnsi="Arial" w:cs="Arial"/>
          <w:i/>
          <w:color w:val="222222"/>
        </w:rPr>
        <w:t>d) Orientación y seguimiento: conjunto de acciones profesionales orientadas a dar a conocer derechos y recursos sociales que permitan a la persona l</w:t>
      </w:r>
      <w:r>
        <w:rPr>
          <w:rFonts w:ascii="Arial" w:eastAsia="Arial" w:hAnsi="Arial" w:cs="Arial"/>
          <w:i/>
          <w:color w:val="222222"/>
        </w:rPr>
        <w:t>a toma de decisiones y su participación en la elaboración del plan de atención personalizada.</w:t>
      </w:r>
    </w:p>
    <w:p w:rsidR="00E23B86" w:rsidRDefault="00BA7C13">
      <w:pPr>
        <w:numPr>
          <w:ilvl w:val="0"/>
          <w:numId w:val="140"/>
        </w:numPr>
        <w:spacing w:after="96" w:line="248" w:lineRule="auto"/>
        <w:ind w:right="1" w:hanging="841"/>
        <w:jc w:val="both"/>
      </w:pPr>
      <w:r>
        <w:rPr>
          <w:rFonts w:ascii="Arial" w:eastAsia="Arial" w:hAnsi="Arial" w:cs="Arial"/>
          <w:i/>
          <w:color w:val="222222"/>
        </w:rPr>
        <w:t>e) Acompañamiento social: prestación en virtud de la cual la persona participa, en interacción con un profesional cualificado, en una relación de ayuda que contri</w:t>
      </w:r>
      <w:r>
        <w:rPr>
          <w:rFonts w:ascii="Arial" w:eastAsia="Arial" w:hAnsi="Arial" w:cs="Arial"/>
          <w:i/>
          <w:color w:val="222222"/>
        </w:rPr>
        <w:t>buye a mejorar su desenvolvimiento autónomo e integración social. Se incluye dentro de este servicio la acción tutorial, la supervisión y el apoyo social, entre otros.</w:t>
      </w:r>
    </w:p>
    <w:p w:rsidR="00E23B86" w:rsidRDefault="00BA7C13">
      <w:pPr>
        <w:numPr>
          <w:ilvl w:val="0"/>
          <w:numId w:val="140"/>
        </w:numPr>
        <w:spacing w:after="78" w:line="248" w:lineRule="auto"/>
        <w:ind w:right="1" w:hanging="841"/>
        <w:jc w:val="both"/>
      </w:pPr>
      <w:r>
        <w:rPr>
          <w:rFonts w:ascii="Arial" w:eastAsia="Arial" w:hAnsi="Arial" w:cs="Arial"/>
          <w:i/>
          <w:color w:val="222222"/>
        </w:rPr>
        <w:t>j) Intervención, que comprenderá:</w:t>
      </w:r>
    </w:p>
    <w:p w:rsidR="00E23B86" w:rsidRDefault="00BA7C13">
      <w:pPr>
        <w:spacing w:after="3" w:line="248" w:lineRule="auto"/>
        <w:ind w:left="1802" w:right="576" w:hanging="370"/>
        <w:jc w:val="both"/>
      </w:pPr>
      <w:r>
        <w:rPr>
          <w:rFonts w:ascii="Courier New" w:eastAsia="Courier New" w:hAnsi="Courier New" w:cs="Courier New"/>
          <w:sz w:val="20"/>
        </w:rPr>
        <w:t xml:space="preserve">o </w:t>
      </w:r>
      <w:r>
        <w:rPr>
          <w:rFonts w:ascii="Arial" w:eastAsia="Arial" w:hAnsi="Arial" w:cs="Arial"/>
          <w:i/>
          <w:color w:val="222222"/>
        </w:rPr>
        <w:t>- Intervención y apoyo familiar: conjunto de actuaci</w:t>
      </w:r>
      <w:r>
        <w:rPr>
          <w:rFonts w:ascii="Arial" w:eastAsia="Arial" w:hAnsi="Arial" w:cs="Arial"/>
          <w:i/>
          <w:color w:val="222222"/>
        </w:rPr>
        <w:t>ones profesionales dirigidas a facilitar la convivencia y la inclusión social de las familias, abordando situaciones de crisis, riesgo o vulnerabilidad familiar.</w:t>
      </w:r>
    </w:p>
    <w:p w:rsidR="00E23B86" w:rsidRDefault="00BA7C13">
      <w:pPr>
        <w:numPr>
          <w:ilvl w:val="0"/>
          <w:numId w:val="140"/>
        </w:numPr>
        <w:spacing w:after="3" w:line="248" w:lineRule="auto"/>
        <w:ind w:right="1" w:hanging="841"/>
        <w:jc w:val="both"/>
      </w:pPr>
      <w:r>
        <w:rPr>
          <w:rFonts w:ascii="Arial" w:eastAsia="Arial" w:hAnsi="Arial" w:cs="Arial"/>
          <w:i/>
          <w:color w:val="222222"/>
        </w:rPr>
        <w:t>Se incluye dentro de este servicio, entre otros, el asesoramiento, intermediación arrendaticia, bancaria, inmobiliaria y tramitación de prestaciones económicas.</w:t>
      </w:r>
    </w:p>
    <w:p w:rsidR="00E23B86" w:rsidRDefault="00BA7C13">
      <w:pPr>
        <w:numPr>
          <w:ilvl w:val="4"/>
          <w:numId w:val="144"/>
        </w:numPr>
        <w:spacing w:after="93" w:line="248" w:lineRule="auto"/>
        <w:ind w:right="577" w:hanging="360"/>
        <w:jc w:val="both"/>
      </w:pPr>
      <w:r>
        <w:rPr>
          <w:rFonts w:ascii="Arial" w:eastAsia="Arial" w:hAnsi="Arial" w:cs="Arial"/>
          <w:i/>
          <w:color w:val="222222"/>
        </w:rPr>
        <w:t>- Intervención sociofamiliar: conjunto de actuaciones profesionales de ayuda psicoeducativa y s</w:t>
      </w:r>
      <w:r>
        <w:rPr>
          <w:rFonts w:ascii="Arial" w:eastAsia="Arial" w:hAnsi="Arial" w:cs="Arial"/>
          <w:i/>
          <w:color w:val="222222"/>
        </w:rPr>
        <w:t>ocial para el tratamiento y resolución de las necesidades sociales, educativas y familiares de las personas, las familias o grupos de población y su entorno.</w:t>
      </w:r>
    </w:p>
    <w:p w:rsidR="00E23B86" w:rsidRDefault="00BA7C13">
      <w:pPr>
        <w:numPr>
          <w:ilvl w:val="4"/>
          <w:numId w:val="144"/>
        </w:numPr>
        <w:spacing w:after="94" w:line="248" w:lineRule="auto"/>
        <w:ind w:right="577" w:hanging="360"/>
        <w:jc w:val="both"/>
      </w:pPr>
      <w:r>
        <w:rPr>
          <w:rFonts w:ascii="Arial" w:eastAsia="Arial" w:hAnsi="Arial" w:cs="Arial"/>
          <w:i/>
          <w:color w:val="222222"/>
        </w:rPr>
        <w:t>- Prevención e intervención sociocomunitaria e inclusión social: conjunto de actuaciones profesion</w:t>
      </w:r>
      <w:r>
        <w:rPr>
          <w:rFonts w:ascii="Arial" w:eastAsia="Arial" w:hAnsi="Arial" w:cs="Arial"/>
          <w:i/>
          <w:color w:val="222222"/>
        </w:rPr>
        <w:t>ales orientadas a la prevención de las situaciones de exclusión social, la dinamización comunitaria y la búsqueda de respuestas colectivas a las necesidades sociales, así como la transformación social de estas zonas desde unos objetivos comunes entre todas</w:t>
      </w:r>
      <w:r>
        <w:rPr>
          <w:rFonts w:ascii="Arial" w:eastAsia="Arial" w:hAnsi="Arial" w:cs="Arial"/>
          <w:i/>
          <w:color w:val="222222"/>
        </w:rPr>
        <w:t xml:space="preserve"> las partes implicadas para el logro de la cohesión social.</w:t>
      </w:r>
    </w:p>
    <w:p w:rsidR="00E23B86" w:rsidRDefault="00BA7C13">
      <w:pPr>
        <w:numPr>
          <w:ilvl w:val="4"/>
          <w:numId w:val="144"/>
        </w:numPr>
        <w:spacing w:after="92" w:line="248" w:lineRule="auto"/>
        <w:ind w:right="577" w:hanging="360"/>
        <w:jc w:val="both"/>
      </w:pPr>
      <w:r>
        <w:rPr>
          <w:rFonts w:ascii="Arial" w:eastAsia="Arial" w:hAnsi="Arial" w:cs="Arial"/>
          <w:i/>
          <w:color w:val="222222"/>
        </w:rPr>
        <w:t>- Intervención socioeducativa y psicosocial: conjunto de actuaciones profesionales que implican el establecimiento de un proceso a través del cual las personas usuarias adquieren conocimientos, ac</w:t>
      </w:r>
      <w:r>
        <w:rPr>
          <w:rFonts w:ascii="Arial" w:eastAsia="Arial" w:hAnsi="Arial" w:cs="Arial"/>
          <w:i/>
          <w:color w:val="222222"/>
        </w:rPr>
        <w:t>titudes, hábitos o capacidades útiles para su desenvolvimiento autónomo e integración social. Se incluyen dentro de estos servicios la intervención social, estimulativa o rehabilitadora, psicológica, ocupacional, educativa, psicosocial, la mediación famili</w:t>
      </w:r>
      <w:r>
        <w:rPr>
          <w:rFonts w:ascii="Arial" w:eastAsia="Arial" w:hAnsi="Arial" w:cs="Arial"/>
          <w:i/>
          <w:color w:val="222222"/>
        </w:rPr>
        <w:t>ar y la intermediación y mediación social.</w:t>
      </w:r>
    </w:p>
    <w:p w:rsidR="00E23B86" w:rsidRDefault="00BA7C13">
      <w:pPr>
        <w:numPr>
          <w:ilvl w:val="4"/>
          <w:numId w:val="144"/>
        </w:numPr>
        <w:spacing w:after="93" w:line="248" w:lineRule="auto"/>
        <w:ind w:right="577" w:hanging="360"/>
        <w:jc w:val="both"/>
      </w:pPr>
      <w:r>
        <w:rPr>
          <w:rFonts w:ascii="Arial" w:eastAsia="Arial" w:hAnsi="Arial" w:cs="Arial"/>
          <w:i/>
          <w:color w:val="222222"/>
        </w:rPr>
        <w:t>- Intervención sociosanitaria: conjunto de actuaciones profesionales orientadas a dar respuesta a situaciones de necesidad compleja que requieren de intervención de naturaleza mixta, social y sanitaria, de forma s</w:t>
      </w:r>
      <w:r>
        <w:rPr>
          <w:rFonts w:ascii="Arial" w:eastAsia="Arial" w:hAnsi="Arial" w:cs="Arial"/>
          <w:i/>
          <w:color w:val="222222"/>
        </w:rPr>
        <w:t xml:space="preserve">imultánea, o también secuencial, en todo caso complementaria y estrechamente articulada. </w:t>
      </w:r>
    </w:p>
    <w:p w:rsidR="00E23B86" w:rsidRDefault="00BA7C13">
      <w:pPr>
        <w:numPr>
          <w:ilvl w:val="0"/>
          <w:numId w:val="140"/>
        </w:numPr>
        <w:spacing w:after="3" w:line="248" w:lineRule="auto"/>
        <w:ind w:right="1" w:hanging="841"/>
        <w:jc w:val="both"/>
      </w:pPr>
      <w:r>
        <w:rPr>
          <w:noProof/>
        </w:rPr>
        <mc:AlternateContent>
          <mc:Choice Requires="wpg">
            <w:drawing>
              <wp:anchor distT="0" distB="0" distL="114300" distR="114300" simplePos="0" relativeHeight="2519203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8883" name="Group 54888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0960" name="Rectangle 4096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0961" name="Rectangle 4096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w:t>
                              </w:r>
                              <w:r>
                                <w:rPr>
                                  <w:rFonts w:ascii="Arial" w:eastAsia="Arial" w:hAnsi="Arial" w:cs="Arial"/>
                                  <w:sz w:val="12"/>
                                </w:rPr>
                                <w:t xml:space="preserve">o Gestiona | Página 254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8883" style="width:12.7031pt;height:280.35pt;position:absolute;mso-position-horizontal-relative:page;mso-position-horizontal:absolute;margin-left:681.958pt;mso-position-vertical-relative:page;margin-top:531.65pt;" coordsize="1613,35604">
                <v:rect id="Rectangle 4096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096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254 de 391 </w:t>
                        </w:r>
                      </w:p>
                    </w:txbxContent>
                  </v:textbox>
                </v:rect>
                <w10:wrap type="square"/>
              </v:group>
            </w:pict>
          </mc:Fallback>
        </mc:AlternateContent>
      </w:r>
      <w:r>
        <w:rPr>
          <w:rFonts w:ascii="Arial" w:eastAsia="Arial" w:hAnsi="Arial" w:cs="Arial"/>
          <w:i/>
          <w:color w:val="222222"/>
        </w:rPr>
        <w:t>o) Servicio de atención a la infancia y adolescencia: es el conjunto de actuaciones profesionales encaminadas a la promoción del bienestar personal y social de los niños y las niñas y la adolescencia y de actuaciones de prev</w:t>
      </w:r>
      <w:r>
        <w:rPr>
          <w:rFonts w:ascii="Arial" w:eastAsia="Arial" w:hAnsi="Arial" w:cs="Arial"/>
          <w:i/>
          <w:color w:val="222222"/>
        </w:rPr>
        <w:t>ención, atención, protección, reparación y participación dirigidas a estas personas con el fin de garantizar el ejercicio de sus derechos, la asunción de sus responsabilidades y la consecución de su desarrollo integral”</w:t>
      </w:r>
    </w:p>
    <w:p w:rsidR="00E23B86" w:rsidRDefault="00BA7C13">
      <w:pPr>
        <w:spacing w:after="84" w:line="265" w:lineRule="auto"/>
        <w:ind w:left="722" w:right="13" w:hanging="10"/>
      </w:pPr>
      <w:r>
        <w:rPr>
          <w:rFonts w:ascii="Segoe UI Symbol" w:eastAsia="Segoe UI Symbol" w:hAnsi="Segoe UI Symbol" w:cs="Segoe UI Symbol"/>
          <w:sz w:val="20"/>
        </w:rPr>
        <w:t></w:t>
      </w:r>
    </w:p>
    <w:p w:rsidR="00E23B86" w:rsidRDefault="00BA7C13">
      <w:pPr>
        <w:numPr>
          <w:ilvl w:val="0"/>
          <w:numId w:val="140"/>
        </w:numPr>
        <w:spacing w:after="134" w:line="251" w:lineRule="auto"/>
        <w:ind w:right="1" w:hanging="841"/>
        <w:jc w:val="both"/>
      </w:pPr>
      <w:r>
        <w:rPr>
          <w:rFonts w:ascii="Arial" w:eastAsia="Arial" w:hAnsi="Arial" w:cs="Arial"/>
        </w:rPr>
        <w:t>- Artículo 50</w:t>
      </w:r>
      <w:r>
        <w:rPr>
          <w:rFonts w:ascii="Arial" w:eastAsia="Arial" w:hAnsi="Arial" w:cs="Arial"/>
          <w:i/>
        </w:rPr>
        <w:t xml:space="preserve"> </w:t>
      </w:r>
      <w:r>
        <w:rPr>
          <w:rFonts w:ascii="Arial" w:eastAsia="Arial" w:hAnsi="Arial" w:cs="Arial"/>
          <w:i/>
        </w:rPr>
        <w:t>Competencias de los municipios</w:t>
      </w:r>
    </w:p>
    <w:p w:rsidR="00E23B86" w:rsidRDefault="00BA7C13">
      <w:pPr>
        <w:numPr>
          <w:ilvl w:val="0"/>
          <w:numId w:val="140"/>
        </w:numPr>
        <w:spacing w:after="139" w:line="248" w:lineRule="auto"/>
        <w:ind w:right="1" w:hanging="841"/>
        <w:jc w:val="both"/>
      </w:pPr>
      <w:r>
        <w:rPr>
          <w:rFonts w:ascii="Arial" w:eastAsia="Arial" w:hAnsi="Arial" w:cs="Arial"/>
          <w:i/>
          <w:color w:val="222222"/>
        </w:rPr>
        <w:t>“Corresponden a los municipios las siguientes competencias propias:</w:t>
      </w:r>
    </w:p>
    <w:p w:rsidR="00E23B86" w:rsidRDefault="00BA7C13">
      <w:pPr>
        <w:numPr>
          <w:ilvl w:val="0"/>
          <w:numId w:val="140"/>
        </w:numPr>
        <w:spacing w:after="96" w:line="248" w:lineRule="auto"/>
        <w:ind w:right="1" w:hanging="841"/>
        <w:jc w:val="both"/>
      </w:pPr>
      <w:r>
        <w:rPr>
          <w:rFonts w:ascii="Arial" w:eastAsia="Arial" w:hAnsi="Arial" w:cs="Arial"/>
          <w:i/>
          <w:color w:val="222222"/>
        </w:rPr>
        <w:t>a) Crear, organizar y gestionar los servicios sociales de atención primaria y comunitaria previstos en la presente ley y su normativa de desarrollo.</w:t>
      </w:r>
    </w:p>
    <w:p w:rsidR="00E23B86" w:rsidRDefault="00BA7C13">
      <w:pPr>
        <w:numPr>
          <w:ilvl w:val="0"/>
          <w:numId w:val="140"/>
        </w:numPr>
        <w:spacing w:after="96" w:line="248" w:lineRule="auto"/>
        <w:ind w:right="1" w:hanging="841"/>
        <w:jc w:val="both"/>
      </w:pPr>
      <w:r>
        <w:rPr>
          <w:rFonts w:ascii="Arial" w:eastAsia="Arial" w:hAnsi="Arial" w:cs="Arial"/>
          <w:i/>
          <w:color w:val="222222"/>
        </w:rPr>
        <w:t xml:space="preserve">b) </w:t>
      </w:r>
      <w:r>
        <w:rPr>
          <w:rFonts w:ascii="Arial" w:eastAsia="Arial" w:hAnsi="Arial" w:cs="Arial"/>
          <w:i/>
          <w:color w:val="222222"/>
        </w:rPr>
        <w:t>Ejercer la potestad reglamentaria para la organización y prestación de los servicios propios, en los términos previstos en la normativa vigente.</w:t>
      </w:r>
    </w:p>
    <w:p w:rsidR="00E23B86" w:rsidRDefault="00BA7C13">
      <w:pPr>
        <w:numPr>
          <w:ilvl w:val="0"/>
          <w:numId w:val="140"/>
        </w:numPr>
        <w:spacing w:after="96" w:line="248" w:lineRule="auto"/>
        <w:ind w:right="1" w:hanging="841"/>
        <w:jc w:val="both"/>
      </w:pPr>
      <w:r>
        <w:rPr>
          <w:rFonts w:ascii="Arial" w:eastAsia="Arial" w:hAnsi="Arial" w:cs="Arial"/>
          <w:i/>
          <w:color w:val="222222"/>
        </w:rPr>
        <w:t>c) La planificación de los servicios y prestaciones que sean de su competencia en su ámbito territorial, de acu</w:t>
      </w:r>
      <w:r>
        <w:rPr>
          <w:rFonts w:ascii="Arial" w:eastAsia="Arial" w:hAnsi="Arial" w:cs="Arial"/>
          <w:i/>
          <w:color w:val="222222"/>
        </w:rPr>
        <w:t xml:space="preserve">erdo con lo establecido en el plan estratégico de servicios sociales de la Comunidad Autónoma de Canarias, en la planificación insular y, en su caso, en los planes sectoriales y especiales de ámbito autonómico o insular, en los términos establecidos en la </w:t>
      </w:r>
      <w:r>
        <w:rPr>
          <w:rFonts w:ascii="Arial" w:eastAsia="Arial" w:hAnsi="Arial" w:cs="Arial"/>
          <w:i/>
          <w:color w:val="222222"/>
        </w:rPr>
        <w:t>presente ley y en las disposiciones que la desarrollan.</w:t>
      </w:r>
    </w:p>
    <w:p w:rsidR="00E23B86" w:rsidRDefault="00BA7C13">
      <w:pPr>
        <w:numPr>
          <w:ilvl w:val="0"/>
          <w:numId w:val="140"/>
        </w:numPr>
        <w:spacing w:after="3" w:line="248" w:lineRule="auto"/>
        <w:ind w:right="1" w:hanging="841"/>
        <w:jc w:val="both"/>
      </w:pPr>
      <w:r>
        <w:rPr>
          <w:rFonts w:ascii="Arial" w:eastAsia="Arial" w:hAnsi="Arial" w:cs="Arial"/>
          <w:i/>
          <w:color w:val="222222"/>
        </w:rPr>
        <w:t>g) Definir las áreas básicas de servicios sociales de su ámbito territorial.</w:t>
      </w:r>
      <w:r>
        <w:rPr>
          <w:rFonts w:ascii="Arial" w:eastAsia="Arial" w:hAnsi="Arial" w:cs="Arial"/>
          <w:i/>
        </w:rPr>
        <w:t>”</w:t>
      </w:r>
    </w:p>
    <w:p w:rsidR="00E23B86" w:rsidRDefault="00BA7C13">
      <w:pPr>
        <w:spacing w:after="82" w:line="265" w:lineRule="auto"/>
        <w:ind w:left="722" w:right="13" w:hanging="10"/>
      </w:pPr>
      <w:r>
        <w:rPr>
          <w:rFonts w:ascii="Segoe UI Symbol" w:eastAsia="Segoe UI Symbol" w:hAnsi="Segoe UI Symbol" w:cs="Segoe UI Symbol"/>
          <w:sz w:val="20"/>
        </w:rPr>
        <w:t></w:t>
      </w:r>
    </w:p>
    <w:p w:rsidR="00E23B86" w:rsidRDefault="00BA7C13">
      <w:pPr>
        <w:spacing w:after="82" w:line="265" w:lineRule="auto"/>
        <w:ind w:left="722" w:right="13" w:hanging="10"/>
      </w:pPr>
      <w:r>
        <w:rPr>
          <w:rFonts w:ascii="Segoe UI Symbol" w:eastAsia="Segoe UI Symbol" w:hAnsi="Segoe UI Symbol" w:cs="Segoe UI Symbol"/>
          <w:sz w:val="20"/>
        </w:rPr>
        <w:t></w:t>
      </w:r>
    </w:p>
    <w:p w:rsidR="00E23B86" w:rsidRDefault="00BA7C13">
      <w:pPr>
        <w:numPr>
          <w:ilvl w:val="0"/>
          <w:numId w:val="140"/>
        </w:numPr>
        <w:spacing w:after="110" w:line="248" w:lineRule="auto"/>
        <w:ind w:right="1" w:hanging="841"/>
        <w:jc w:val="both"/>
      </w:pPr>
      <w:r>
        <w:rPr>
          <w:rFonts w:ascii="Arial" w:eastAsia="Arial" w:hAnsi="Arial" w:cs="Arial"/>
        </w:rPr>
        <w:t>Ley 9/1998, de 22 de julio, sobre prevención, asistencia, e inserción social en materia de drogodependencias.</w:t>
      </w:r>
    </w:p>
    <w:p w:rsidR="00E23B86" w:rsidRDefault="00BA7C13">
      <w:pPr>
        <w:spacing w:after="82" w:line="265" w:lineRule="auto"/>
        <w:ind w:left="722" w:right="13" w:hanging="10"/>
      </w:pPr>
      <w:r>
        <w:rPr>
          <w:rFonts w:ascii="Segoe UI Symbol" w:eastAsia="Segoe UI Symbol" w:hAnsi="Segoe UI Symbol" w:cs="Segoe UI Symbol"/>
          <w:sz w:val="20"/>
        </w:rPr>
        <w:t></w:t>
      </w:r>
    </w:p>
    <w:p w:rsidR="00E23B86" w:rsidRDefault="00BA7C13">
      <w:pPr>
        <w:numPr>
          <w:ilvl w:val="0"/>
          <w:numId w:val="140"/>
        </w:numPr>
        <w:spacing w:after="110" w:line="248" w:lineRule="auto"/>
        <w:ind w:right="1" w:hanging="841"/>
        <w:jc w:val="both"/>
      </w:pPr>
      <w:r>
        <w:rPr>
          <w:rFonts w:ascii="Arial" w:eastAsia="Arial" w:hAnsi="Arial" w:cs="Arial"/>
        </w:rPr>
        <w:t>Plan C</w:t>
      </w:r>
      <w:r>
        <w:rPr>
          <w:rFonts w:ascii="Arial" w:eastAsia="Arial" w:hAnsi="Arial" w:cs="Arial"/>
        </w:rPr>
        <w:t>anario sobre Drogas</w:t>
      </w:r>
    </w:p>
    <w:p w:rsidR="00E23B86" w:rsidRDefault="00BA7C13">
      <w:pPr>
        <w:spacing w:after="125"/>
        <w:ind w:left="722" w:hanging="10"/>
      </w:pPr>
      <w:r>
        <w:rPr>
          <w:rFonts w:ascii="Segoe UI Symbol" w:eastAsia="Segoe UI Symbol" w:hAnsi="Segoe UI Symbol" w:cs="Segoe UI Symbol"/>
          <w:color w:val="4C6F99"/>
          <w:sz w:val="20"/>
        </w:rPr>
        <w:t></w:t>
      </w:r>
    </w:p>
    <w:p w:rsidR="00E23B86" w:rsidRDefault="00BA7C13">
      <w:pPr>
        <w:numPr>
          <w:ilvl w:val="0"/>
          <w:numId w:val="140"/>
        </w:numPr>
        <w:spacing w:after="138" w:line="248" w:lineRule="auto"/>
        <w:ind w:right="1" w:hanging="841"/>
        <w:jc w:val="both"/>
      </w:pPr>
      <w:r>
        <w:rPr>
          <w:rFonts w:ascii="Arial" w:eastAsia="Arial" w:hAnsi="Arial" w:cs="Arial"/>
          <w:color w:val="4C6F99"/>
        </w:rPr>
        <w:t>-</w:t>
      </w:r>
      <w:r>
        <w:rPr>
          <w:rFonts w:ascii="Arial" w:eastAsia="Arial" w:hAnsi="Arial" w:cs="Arial"/>
        </w:rPr>
        <w:t xml:space="preserve"> Artículo 24 Naturaleza y características</w:t>
      </w:r>
    </w:p>
    <w:p w:rsidR="00E23B86" w:rsidRDefault="00BA7C13">
      <w:pPr>
        <w:numPr>
          <w:ilvl w:val="0"/>
          <w:numId w:val="140"/>
        </w:numPr>
        <w:spacing w:after="152" w:line="248" w:lineRule="auto"/>
        <w:ind w:right="1" w:hanging="841"/>
        <w:jc w:val="both"/>
      </w:pPr>
      <w:r>
        <w:rPr>
          <w:rFonts w:ascii="Arial" w:eastAsia="Arial" w:hAnsi="Arial" w:cs="Arial"/>
          <w:i/>
          <w:color w:val="222222"/>
        </w:rPr>
        <w:t xml:space="preserve">“1. </w:t>
      </w:r>
      <w:r>
        <w:rPr>
          <w:rFonts w:ascii="Arial" w:eastAsia="Arial" w:hAnsi="Arial" w:cs="Arial"/>
          <w:i/>
          <w:color w:val="222222"/>
        </w:rPr>
        <w:t>El Plan Canario sobre Drogas se configura como el instrumento para la planificación y ordenación de las actuaciones que en materia de drogas se lleven a cabo en la Comunidad Autónoma de Canarias.</w:t>
      </w:r>
    </w:p>
    <w:p w:rsidR="00E23B86" w:rsidRDefault="00BA7C13">
      <w:pPr>
        <w:numPr>
          <w:ilvl w:val="0"/>
          <w:numId w:val="140"/>
        </w:numPr>
        <w:spacing w:after="162" w:line="238" w:lineRule="auto"/>
        <w:ind w:right="1" w:hanging="841"/>
        <w:jc w:val="both"/>
      </w:pPr>
      <w:r>
        <w:rPr>
          <w:rFonts w:ascii="Arial" w:eastAsia="Arial" w:hAnsi="Arial" w:cs="Arial"/>
          <w:i/>
          <w:color w:val="222222"/>
        </w:rPr>
        <w:t>2. El Plan Canario sobre Drogas será vinculante para todas l</w:t>
      </w:r>
      <w:r>
        <w:rPr>
          <w:rFonts w:ascii="Arial" w:eastAsia="Arial" w:hAnsi="Arial" w:cs="Arial"/>
          <w:i/>
          <w:color w:val="222222"/>
        </w:rPr>
        <w:t>as Administraciones Públicas y entidades privadas e instituciones que desarrollen actuaciones en materia de drogas.</w:t>
      </w:r>
    </w:p>
    <w:p w:rsidR="00E23B86" w:rsidRDefault="00BA7C13">
      <w:pPr>
        <w:numPr>
          <w:ilvl w:val="0"/>
          <w:numId w:val="140"/>
        </w:numPr>
        <w:spacing w:after="135" w:line="248" w:lineRule="auto"/>
        <w:ind w:right="1" w:hanging="841"/>
        <w:jc w:val="both"/>
      </w:pPr>
      <w:r>
        <w:rPr>
          <w:rFonts w:ascii="Arial" w:eastAsia="Arial" w:hAnsi="Arial" w:cs="Arial"/>
          <w:i/>
          <w:color w:val="222222"/>
        </w:rPr>
        <w:t>3. La vigencia temporal será la fijada en el propio Plan”.</w:t>
      </w:r>
    </w:p>
    <w:p w:rsidR="00E23B86" w:rsidRDefault="00BA7C13">
      <w:pPr>
        <w:spacing w:after="122" w:line="265" w:lineRule="auto"/>
        <w:ind w:left="722" w:right="13" w:hanging="10"/>
      </w:pPr>
      <w:r>
        <w:rPr>
          <w:rFonts w:ascii="Segoe UI Symbol" w:eastAsia="Segoe UI Symbol" w:hAnsi="Segoe UI Symbol" w:cs="Segoe UI Symbol"/>
          <w:sz w:val="20"/>
        </w:rPr>
        <w:t></w:t>
      </w:r>
    </w:p>
    <w:p w:rsidR="00E23B86" w:rsidRDefault="00BA7C13">
      <w:pPr>
        <w:numPr>
          <w:ilvl w:val="0"/>
          <w:numId w:val="140"/>
        </w:numPr>
        <w:spacing w:after="136" w:line="248" w:lineRule="auto"/>
        <w:ind w:right="1" w:hanging="841"/>
        <w:jc w:val="both"/>
      </w:pPr>
      <w:r>
        <w:rPr>
          <w:rFonts w:ascii="Arial" w:eastAsia="Arial" w:hAnsi="Arial" w:cs="Arial"/>
        </w:rPr>
        <w:t>- Artículo 25 Contenido del Plan</w:t>
      </w:r>
    </w:p>
    <w:p w:rsidR="00E23B86" w:rsidRDefault="00BA7C13">
      <w:pPr>
        <w:numPr>
          <w:ilvl w:val="0"/>
          <w:numId w:val="140"/>
        </w:numPr>
        <w:spacing w:after="151" w:line="248" w:lineRule="auto"/>
        <w:ind w:right="1" w:hanging="841"/>
        <w:jc w:val="both"/>
      </w:pPr>
      <w:r>
        <w:rPr>
          <w:rFonts w:ascii="Arial" w:eastAsia="Arial" w:hAnsi="Arial" w:cs="Arial"/>
          <w:i/>
          <w:color w:val="222222"/>
        </w:rPr>
        <w:t>“1. El Plan Canario sobre Drogas contemplará e</w:t>
      </w:r>
      <w:r>
        <w:rPr>
          <w:rFonts w:ascii="Arial" w:eastAsia="Arial" w:hAnsi="Arial" w:cs="Arial"/>
          <w:i/>
          <w:color w:val="222222"/>
        </w:rPr>
        <w:t>n su redacción, al menos, los siguientes extremos:</w:t>
      </w:r>
    </w:p>
    <w:p w:rsidR="00E23B86" w:rsidRDefault="00BA7C13">
      <w:pPr>
        <w:numPr>
          <w:ilvl w:val="0"/>
          <w:numId w:val="140"/>
        </w:numPr>
        <w:spacing w:after="93" w:line="248" w:lineRule="auto"/>
        <w:ind w:right="1" w:hanging="841"/>
        <w:jc w:val="both"/>
      </w:pPr>
      <w:r>
        <w:rPr>
          <w:rFonts w:ascii="Arial" w:eastAsia="Arial" w:hAnsi="Arial" w:cs="Arial"/>
          <w:i/>
          <w:color w:val="222222"/>
        </w:rPr>
        <w:t>a) Análisis de la problemática y aproximación epidemiológica al consumo de drogas en Canarias.</w:t>
      </w:r>
    </w:p>
    <w:p w:rsidR="00E23B86" w:rsidRDefault="00BA7C13">
      <w:pPr>
        <w:numPr>
          <w:ilvl w:val="0"/>
          <w:numId w:val="140"/>
        </w:numPr>
        <w:spacing w:after="81" w:line="248" w:lineRule="auto"/>
        <w:ind w:right="1" w:hanging="841"/>
        <w:jc w:val="both"/>
      </w:pPr>
      <w:r>
        <w:rPr>
          <w:rFonts w:ascii="Arial" w:eastAsia="Arial" w:hAnsi="Arial" w:cs="Arial"/>
          <w:i/>
          <w:color w:val="222222"/>
        </w:rPr>
        <w:t>b) Objetivos generales y objetivos específicos por áreas de intervención.</w:t>
      </w:r>
    </w:p>
    <w:p w:rsidR="00E23B86" w:rsidRDefault="00BA7C13">
      <w:pPr>
        <w:numPr>
          <w:ilvl w:val="0"/>
          <w:numId w:val="140"/>
        </w:numPr>
        <w:spacing w:after="79" w:line="248" w:lineRule="auto"/>
        <w:ind w:right="1" w:hanging="841"/>
        <w:jc w:val="both"/>
      </w:pPr>
      <w:r>
        <w:rPr>
          <w:noProof/>
        </w:rPr>
        <mc:AlternateContent>
          <mc:Choice Requires="wpg">
            <w:drawing>
              <wp:anchor distT="0" distB="0" distL="114300" distR="114300" simplePos="0" relativeHeight="2519214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9194" name="Group 54919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1095" name="Rectangle 4109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1096" name="Rectangle 4109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255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9194" style="width:12.7031pt;height:280.35pt;position:absolute;mso-position-horizontal-relative:page;mso-position-horizontal:absolute;margin-left:681.958pt;mso-position-vertical-relative:page;margin-top:531.65pt;" coordsize="1613,35604">
                <v:rect id="Rectangle 4109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109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255 de 391 </w:t>
                        </w:r>
                      </w:p>
                    </w:txbxContent>
                  </v:textbox>
                </v:rect>
                <w10:wrap type="square"/>
              </v:group>
            </w:pict>
          </mc:Fallback>
        </mc:AlternateContent>
      </w:r>
      <w:r>
        <w:rPr>
          <w:rFonts w:ascii="Arial" w:eastAsia="Arial" w:hAnsi="Arial" w:cs="Arial"/>
          <w:i/>
          <w:color w:val="222222"/>
        </w:rPr>
        <w:t>c) Criterios básicos de actuación.</w:t>
      </w:r>
    </w:p>
    <w:p w:rsidR="00E23B86" w:rsidRDefault="00BA7C13">
      <w:pPr>
        <w:numPr>
          <w:ilvl w:val="0"/>
          <w:numId w:val="140"/>
        </w:numPr>
        <w:spacing w:after="81" w:line="248" w:lineRule="auto"/>
        <w:ind w:right="1" w:hanging="841"/>
        <w:jc w:val="both"/>
      </w:pPr>
      <w:r>
        <w:rPr>
          <w:rFonts w:ascii="Arial" w:eastAsia="Arial" w:hAnsi="Arial" w:cs="Arial"/>
          <w:i/>
          <w:color w:val="222222"/>
        </w:rPr>
        <w:t>d) Programas de actuacione</w:t>
      </w:r>
      <w:r>
        <w:rPr>
          <w:rFonts w:ascii="Arial" w:eastAsia="Arial" w:hAnsi="Arial" w:cs="Arial"/>
          <w:i/>
          <w:color w:val="222222"/>
        </w:rPr>
        <w:t>s.</w:t>
      </w:r>
    </w:p>
    <w:p w:rsidR="00E23B86" w:rsidRDefault="00BA7C13">
      <w:pPr>
        <w:numPr>
          <w:ilvl w:val="0"/>
          <w:numId w:val="140"/>
        </w:numPr>
        <w:spacing w:after="96" w:line="248" w:lineRule="auto"/>
        <w:ind w:right="1" w:hanging="841"/>
        <w:jc w:val="both"/>
      </w:pPr>
      <w:r>
        <w:rPr>
          <w:rFonts w:ascii="Arial" w:eastAsia="Arial" w:hAnsi="Arial" w:cs="Arial"/>
          <w:i/>
          <w:color w:val="222222"/>
        </w:rPr>
        <w:t>e) Responsabilidades y funciones de las Administraciones Públicas, entidades privadas e instituciones.</w:t>
      </w:r>
    </w:p>
    <w:p w:rsidR="00E23B86" w:rsidRDefault="00BA7C13">
      <w:pPr>
        <w:numPr>
          <w:ilvl w:val="0"/>
          <w:numId w:val="140"/>
        </w:numPr>
        <w:spacing w:after="79" w:line="248" w:lineRule="auto"/>
        <w:ind w:right="1" w:hanging="841"/>
        <w:jc w:val="both"/>
      </w:pPr>
      <w:r>
        <w:rPr>
          <w:rFonts w:ascii="Arial" w:eastAsia="Arial" w:hAnsi="Arial" w:cs="Arial"/>
          <w:i/>
          <w:color w:val="222222"/>
        </w:rPr>
        <w:t>f) Descripción del circuito terapéutico y de los niveles de intervención.</w:t>
      </w:r>
    </w:p>
    <w:p w:rsidR="00E23B86" w:rsidRDefault="00BA7C13">
      <w:pPr>
        <w:numPr>
          <w:ilvl w:val="0"/>
          <w:numId w:val="140"/>
        </w:numPr>
        <w:spacing w:after="81" w:line="248" w:lineRule="auto"/>
        <w:ind w:right="1" w:hanging="841"/>
        <w:jc w:val="both"/>
      </w:pPr>
      <w:r>
        <w:rPr>
          <w:rFonts w:ascii="Arial" w:eastAsia="Arial" w:hAnsi="Arial" w:cs="Arial"/>
          <w:i/>
          <w:color w:val="222222"/>
        </w:rPr>
        <w:t>g) Recursos necesarios para alcanzar los objetivos del Plan.</w:t>
      </w:r>
    </w:p>
    <w:p w:rsidR="00E23B86" w:rsidRDefault="00BA7C13">
      <w:pPr>
        <w:numPr>
          <w:ilvl w:val="0"/>
          <w:numId w:val="140"/>
        </w:numPr>
        <w:spacing w:after="3" w:line="248" w:lineRule="auto"/>
        <w:ind w:right="1" w:hanging="841"/>
        <w:jc w:val="both"/>
      </w:pPr>
      <w:r>
        <w:rPr>
          <w:rFonts w:ascii="Arial" w:eastAsia="Arial" w:hAnsi="Arial" w:cs="Arial"/>
          <w:i/>
          <w:color w:val="222222"/>
        </w:rPr>
        <w:t xml:space="preserve">h) </w:t>
      </w:r>
      <w:r>
        <w:rPr>
          <w:rFonts w:ascii="Arial" w:eastAsia="Arial" w:hAnsi="Arial" w:cs="Arial"/>
          <w:i/>
          <w:color w:val="222222"/>
        </w:rPr>
        <w:t>Mecanismos de evaluación.</w:t>
      </w:r>
    </w:p>
    <w:p w:rsidR="00E23B86" w:rsidRDefault="00BA7C13">
      <w:pPr>
        <w:spacing w:after="127"/>
        <w:ind w:left="722" w:hanging="10"/>
      </w:pPr>
      <w:r>
        <w:rPr>
          <w:rFonts w:ascii="Segoe UI Symbol" w:eastAsia="Segoe UI Symbol" w:hAnsi="Segoe UI Symbol" w:cs="Segoe UI Symbol"/>
          <w:color w:val="222222"/>
          <w:sz w:val="20"/>
        </w:rPr>
        <w:t></w:t>
      </w:r>
    </w:p>
    <w:p w:rsidR="00E23B86" w:rsidRDefault="00BA7C13">
      <w:pPr>
        <w:numPr>
          <w:ilvl w:val="0"/>
          <w:numId w:val="140"/>
        </w:numPr>
        <w:spacing w:line="238" w:lineRule="auto"/>
        <w:ind w:right="1" w:hanging="841"/>
        <w:jc w:val="both"/>
      </w:pPr>
      <w:r>
        <w:rPr>
          <w:rFonts w:ascii="Arial" w:eastAsia="Arial" w:hAnsi="Arial" w:cs="Arial"/>
          <w:i/>
          <w:color w:val="222222"/>
        </w:rPr>
        <w:t>2. El Plan Canario sobre Drogas deberá precisar de forma cuantitativa y cualitativa, en la medida de las posibilidades técnicas y de la eficiencia, sus objetivos, prioridades y estrategias, de modo que pueda medirse su impacto y</w:t>
      </w:r>
      <w:r>
        <w:rPr>
          <w:rFonts w:ascii="Arial" w:eastAsia="Arial" w:hAnsi="Arial" w:cs="Arial"/>
          <w:i/>
          <w:color w:val="222222"/>
        </w:rPr>
        <w:t xml:space="preserve"> evaluar sus resultados.”</w:t>
      </w:r>
    </w:p>
    <w:p w:rsidR="00E23B86" w:rsidRDefault="00BA7C13">
      <w:pPr>
        <w:spacing w:after="82" w:line="265" w:lineRule="auto"/>
        <w:ind w:left="722" w:right="13" w:hanging="10"/>
      </w:pPr>
      <w:r>
        <w:rPr>
          <w:rFonts w:ascii="Segoe UI Symbol" w:eastAsia="Segoe UI Symbol" w:hAnsi="Segoe UI Symbol" w:cs="Segoe UI Symbol"/>
          <w:sz w:val="20"/>
        </w:rPr>
        <w:t></w:t>
      </w:r>
    </w:p>
    <w:p w:rsidR="00E23B86" w:rsidRDefault="00BA7C13">
      <w:pPr>
        <w:numPr>
          <w:ilvl w:val="0"/>
          <w:numId w:val="140"/>
        </w:numPr>
        <w:spacing w:after="138" w:line="248" w:lineRule="auto"/>
        <w:ind w:right="1" w:hanging="841"/>
        <w:jc w:val="both"/>
      </w:pPr>
      <w:r>
        <w:rPr>
          <w:rFonts w:ascii="Arial" w:eastAsia="Arial" w:hAnsi="Arial" w:cs="Arial"/>
        </w:rPr>
        <w:t>- Artículo 34 Competencias de los municipios</w:t>
      </w:r>
    </w:p>
    <w:p w:rsidR="00E23B86" w:rsidRDefault="00BA7C13">
      <w:pPr>
        <w:numPr>
          <w:ilvl w:val="0"/>
          <w:numId w:val="140"/>
        </w:numPr>
        <w:spacing w:after="154" w:line="248" w:lineRule="auto"/>
        <w:ind w:right="1" w:hanging="841"/>
        <w:jc w:val="both"/>
      </w:pPr>
      <w:r>
        <w:rPr>
          <w:rFonts w:ascii="Arial" w:eastAsia="Arial" w:hAnsi="Arial" w:cs="Arial"/>
          <w:i/>
          <w:color w:val="222222"/>
        </w:rPr>
        <w:t>“1. Sin perjuicio de las demás competencias que el ordenamiento vigente les atribuye, corresponde a los municipios de Canarias en su ámbito territorial:</w:t>
      </w:r>
    </w:p>
    <w:p w:rsidR="00E23B86" w:rsidRDefault="00BA7C13">
      <w:pPr>
        <w:numPr>
          <w:ilvl w:val="0"/>
          <w:numId w:val="140"/>
        </w:numPr>
        <w:spacing w:after="94" w:line="248" w:lineRule="auto"/>
        <w:ind w:right="1" w:hanging="841"/>
        <w:jc w:val="both"/>
      </w:pPr>
      <w:r>
        <w:rPr>
          <w:rFonts w:ascii="Arial" w:eastAsia="Arial" w:hAnsi="Arial" w:cs="Arial"/>
          <w:i/>
          <w:color w:val="222222"/>
        </w:rPr>
        <w:t xml:space="preserve">a) </w:t>
      </w:r>
      <w:r>
        <w:rPr>
          <w:rFonts w:ascii="Arial" w:eastAsia="Arial" w:hAnsi="Arial" w:cs="Arial"/>
          <w:i/>
          <w:color w:val="222222"/>
        </w:rPr>
        <w:t>El establecimiento de los criterios que regulan la localización, distancia y características que deberán reunir los establecimientos de suministro y venta de bebidas alcohólicas.</w:t>
      </w:r>
    </w:p>
    <w:p w:rsidR="00E23B86" w:rsidRDefault="00BA7C13">
      <w:pPr>
        <w:numPr>
          <w:ilvl w:val="0"/>
          <w:numId w:val="140"/>
        </w:numPr>
        <w:spacing w:after="3" w:line="248" w:lineRule="auto"/>
        <w:ind w:right="1" w:hanging="841"/>
        <w:jc w:val="both"/>
      </w:pPr>
      <w:r>
        <w:rPr>
          <w:rFonts w:ascii="Arial" w:eastAsia="Arial" w:hAnsi="Arial" w:cs="Arial"/>
          <w:i/>
          <w:color w:val="222222"/>
        </w:rPr>
        <w:t>b) El otorgamiento de la autorización de apertura a locales o lugares de sumi</w:t>
      </w:r>
      <w:r>
        <w:rPr>
          <w:rFonts w:ascii="Arial" w:eastAsia="Arial" w:hAnsi="Arial" w:cs="Arial"/>
          <w:i/>
          <w:color w:val="222222"/>
        </w:rPr>
        <w:t>nistro y venta de bebidas alcohólicas.</w:t>
      </w:r>
    </w:p>
    <w:p w:rsidR="00E23B86" w:rsidRDefault="00E23B86">
      <w:pPr>
        <w:sectPr w:rsidR="00E23B86">
          <w:headerReference w:type="even" r:id="rId17"/>
          <w:headerReference w:type="default" r:id="rId18"/>
          <w:footerReference w:type="even" r:id="rId19"/>
          <w:footerReference w:type="default" r:id="rId20"/>
          <w:headerReference w:type="first" r:id="rId21"/>
          <w:footerReference w:type="first" r:id="rId22"/>
          <w:pgSz w:w="14168" w:h="16840"/>
          <w:pgMar w:top="1998" w:right="2273" w:bottom="1422" w:left="2486" w:header="712" w:footer="712" w:gutter="0"/>
          <w:cols w:space="720"/>
        </w:sectPr>
      </w:pPr>
    </w:p>
    <w:p w:rsidR="00E23B86" w:rsidRDefault="00BA7C13">
      <w:pPr>
        <w:spacing w:after="94" w:line="248" w:lineRule="auto"/>
        <w:ind w:left="360" w:right="14"/>
        <w:jc w:val="both"/>
      </w:pPr>
      <w:r>
        <w:rPr>
          <w:rFonts w:ascii="Arial" w:eastAsia="Arial" w:hAnsi="Arial" w:cs="Arial"/>
          <w:i/>
          <w:color w:val="222222"/>
        </w:rPr>
        <w:t xml:space="preserve">c) </w:t>
      </w:r>
      <w:r>
        <w:rPr>
          <w:rFonts w:ascii="Arial" w:eastAsia="Arial" w:hAnsi="Arial" w:cs="Arial"/>
          <w:i/>
          <w:color w:val="222222"/>
        </w:rPr>
        <w:t>Velar, en el marco de sus competencias, por el cumplimiento de las diferentes medidas de control que se establecen en el título III de esta ley.</w:t>
      </w:r>
    </w:p>
    <w:p w:rsidR="00E23B86" w:rsidRDefault="00BA7C13">
      <w:pPr>
        <w:numPr>
          <w:ilvl w:val="0"/>
          <w:numId w:val="140"/>
        </w:numPr>
        <w:spacing w:after="91" w:line="248" w:lineRule="auto"/>
        <w:ind w:right="1" w:hanging="841"/>
        <w:jc w:val="both"/>
      </w:pPr>
      <w:r>
        <w:rPr>
          <w:rFonts w:ascii="Arial" w:eastAsia="Arial" w:hAnsi="Arial" w:cs="Arial"/>
          <w:i/>
          <w:color w:val="222222"/>
        </w:rPr>
        <w:t>d) La colaboración con los sistemas educativo y sanitario en materia de educación para la salud.</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140"/>
        </w:numPr>
        <w:spacing w:after="152" w:line="248" w:lineRule="auto"/>
        <w:ind w:right="1" w:hanging="841"/>
        <w:jc w:val="both"/>
      </w:pPr>
      <w:r>
        <w:rPr>
          <w:rFonts w:ascii="Arial" w:eastAsia="Arial" w:hAnsi="Arial" w:cs="Arial"/>
          <w:i/>
          <w:color w:val="222222"/>
        </w:rPr>
        <w:t>2. Además de</w:t>
      </w:r>
      <w:r>
        <w:rPr>
          <w:rFonts w:ascii="Arial" w:eastAsia="Arial" w:hAnsi="Arial" w:cs="Arial"/>
          <w:i/>
          <w:color w:val="222222"/>
        </w:rPr>
        <w:t xml:space="preserve"> las señaladas en el punto anterior, los municipios de más de 20.000 habitantes tienen las siguientes competencias y responsabilidades mínimas:</w:t>
      </w:r>
    </w:p>
    <w:p w:rsidR="00E23B86" w:rsidRDefault="00BA7C13">
      <w:pPr>
        <w:numPr>
          <w:ilvl w:val="0"/>
          <w:numId w:val="140"/>
        </w:numPr>
        <w:spacing w:after="96" w:line="248" w:lineRule="auto"/>
        <w:ind w:right="1" w:hanging="841"/>
        <w:jc w:val="both"/>
      </w:pPr>
      <w:r>
        <w:rPr>
          <w:rFonts w:ascii="Arial" w:eastAsia="Arial" w:hAnsi="Arial" w:cs="Arial"/>
          <w:i/>
          <w:color w:val="222222"/>
        </w:rPr>
        <w:t>a) La aprobación de Planes Municipales sobre Drogas, elaborados en coordinación y de acuerdo con los criterios y</w:t>
      </w:r>
      <w:r>
        <w:rPr>
          <w:rFonts w:ascii="Arial" w:eastAsia="Arial" w:hAnsi="Arial" w:cs="Arial"/>
          <w:i/>
          <w:color w:val="222222"/>
        </w:rPr>
        <w:t xml:space="preserve"> directrices del Plan Canario sobre Drogas, que incluyan programas de prevención e integración social, así como de información, orientación y motivación de drogodependientes a través de los centros de servicios sociales.</w:t>
      </w:r>
    </w:p>
    <w:p w:rsidR="00E23B86" w:rsidRDefault="00BA7C13">
      <w:pPr>
        <w:numPr>
          <w:ilvl w:val="0"/>
          <w:numId w:val="140"/>
        </w:numPr>
        <w:spacing w:after="96" w:line="248" w:lineRule="auto"/>
        <w:ind w:right="1" w:hanging="841"/>
        <w:jc w:val="both"/>
      </w:pPr>
      <w:r>
        <w:rPr>
          <w:rFonts w:ascii="Arial" w:eastAsia="Arial" w:hAnsi="Arial" w:cs="Arial"/>
          <w:i/>
          <w:color w:val="222222"/>
        </w:rPr>
        <w:t>b) La coordinación de los programas</w:t>
      </w:r>
      <w:r>
        <w:rPr>
          <w:rFonts w:ascii="Arial" w:eastAsia="Arial" w:hAnsi="Arial" w:cs="Arial"/>
          <w:i/>
          <w:color w:val="222222"/>
        </w:rPr>
        <w:t xml:space="preserve"> de prevención e integración social que se desarrollen exclusivamente en el ámbito de su municipio.</w:t>
      </w:r>
    </w:p>
    <w:p w:rsidR="00E23B86" w:rsidRDefault="00BA7C13">
      <w:pPr>
        <w:numPr>
          <w:ilvl w:val="0"/>
          <w:numId w:val="140"/>
        </w:numPr>
        <w:spacing w:after="96" w:line="248" w:lineRule="auto"/>
        <w:ind w:right="1" w:hanging="841"/>
        <w:jc w:val="both"/>
      </w:pPr>
      <w:r>
        <w:rPr>
          <w:rFonts w:ascii="Arial" w:eastAsia="Arial" w:hAnsi="Arial" w:cs="Arial"/>
          <w:i/>
          <w:color w:val="222222"/>
        </w:rPr>
        <w:t>c) El apoyo a las asociaciones y entidades que en el municipio desarrollen actividades previstas en el Plan Canario sobre Drogas.</w:t>
      </w:r>
    </w:p>
    <w:p w:rsidR="00E23B86" w:rsidRDefault="00BA7C13">
      <w:pPr>
        <w:numPr>
          <w:ilvl w:val="0"/>
          <w:numId w:val="140"/>
        </w:numPr>
        <w:spacing w:after="79" w:line="248" w:lineRule="auto"/>
        <w:ind w:right="1" w:hanging="841"/>
        <w:jc w:val="both"/>
      </w:pPr>
      <w:r>
        <w:rPr>
          <w:rFonts w:ascii="Arial" w:eastAsia="Arial" w:hAnsi="Arial" w:cs="Arial"/>
          <w:i/>
          <w:color w:val="222222"/>
        </w:rPr>
        <w:t xml:space="preserve">d) </w:t>
      </w:r>
      <w:r>
        <w:rPr>
          <w:rFonts w:ascii="Arial" w:eastAsia="Arial" w:hAnsi="Arial" w:cs="Arial"/>
          <w:i/>
          <w:color w:val="222222"/>
        </w:rPr>
        <w:t>La formación en materia de drogas del personal propio.</w:t>
      </w:r>
    </w:p>
    <w:p w:rsidR="00E23B86" w:rsidRDefault="00BA7C13">
      <w:pPr>
        <w:numPr>
          <w:ilvl w:val="0"/>
          <w:numId w:val="140"/>
        </w:numPr>
        <w:spacing w:after="3" w:line="248" w:lineRule="auto"/>
        <w:ind w:right="1" w:hanging="841"/>
        <w:jc w:val="both"/>
      </w:pPr>
      <w:r>
        <w:rPr>
          <w:rFonts w:ascii="Arial" w:eastAsia="Arial" w:hAnsi="Arial" w:cs="Arial"/>
          <w:i/>
          <w:color w:val="222222"/>
        </w:rPr>
        <w:t>e) La promoción de la participación social en esta materia en su ámbito territorial.”</w:t>
      </w:r>
    </w:p>
    <w:p w:rsidR="00E23B86" w:rsidRDefault="00BA7C13">
      <w:pPr>
        <w:spacing w:after="85" w:line="265" w:lineRule="auto"/>
        <w:ind w:left="-5" w:right="13" w:hanging="10"/>
      </w:pPr>
      <w:r>
        <w:rPr>
          <w:rFonts w:ascii="Segoe UI Symbol" w:eastAsia="Segoe UI Symbol" w:hAnsi="Segoe UI Symbol" w:cs="Segoe UI Symbol"/>
          <w:sz w:val="20"/>
        </w:rPr>
        <w:t></w:t>
      </w:r>
      <w:r>
        <w:rPr>
          <w:rFonts w:ascii="Arial" w:eastAsia="Arial" w:hAnsi="Arial" w:cs="Arial"/>
        </w:rPr>
        <w:t xml:space="preserve"> </w:t>
      </w:r>
    </w:p>
    <w:p w:rsidR="00E23B86" w:rsidRDefault="00BA7C13">
      <w:pPr>
        <w:numPr>
          <w:ilvl w:val="0"/>
          <w:numId w:val="140"/>
        </w:numPr>
        <w:spacing w:after="10" w:line="248" w:lineRule="auto"/>
        <w:ind w:right="1" w:hanging="841"/>
        <w:jc w:val="both"/>
      </w:pPr>
      <w:r>
        <w:rPr>
          <w:rFonts w:ascii="Arial" w:eastAsia="Arial" w:hAnsi="Arial" w:cs="Arial"/>
        </w:rPr>
        <w:t>Orden de 20 de mayo de 2011, por la que se dispone la publicación del III Plan</w:t>
      </w:r>
    </w:p>
    <w:p w:rsidR="00E23B86" w:rsidRDefault="00BA7C13">
      <w:pPr>
        <w:spacing w:after="0" w:line="337" w:lineRule="auto"/>
        <w:ind w:right="4281" w:firstLine="360"/>
        <w:jc w:val="both"/>
      </w:pPr>
      <w:r>
        <w:rPr>
          <w:noProof/>
        </w:rPr>
        <mc:AlternateContent>
          <mc:Choice Requires="wpg">
            <w:drawing>
              <wp:anchor distT="0" distB="0" distL="114300" distR="114300" simplePos="0" relativeHeight="2519224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49458" name="Group 54945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1202" name="Rectangle 4120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w:t>
                              </w:r>
                              <w:r>
                                <w:rPr>
                                  <w:rFonts w:ascii="Arial" w:eastAsia="Arial" w:hAnsi="Arial" w:cs="Arial"/>
                                  <w:sz w:val="12"/>
                                </w:rPr>
                                <w:t xml:space="preserve">GMGZC2N3FZWC | Verificación: https://candelaria.sedelectronica.es/ </w:t>
                              </w:r>
                            </w:p>
                          </w:txbxContent>
                        </wps:txbx>
                        <wps:bodyPr horzOverflow="overflow" vert="horz" lIns="0" tIns="0" rIns="0" bIns="0" rtlCol="0">
                          <a:noAutofit/>
                        </wps:bodyPr>
                      </wps:wsp>
                      <wps:wsp>
                        <wps:cNvPr id="41203" name="Rectangle 4120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256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49458" style="width:12.7031pt;height:280.35pt;position:absolute;mso-position-horizontal-relative:page;mso-position-horizontal:absolute;margin-left:681.958pt;mso-position-vertical-relative:page;margin-top:531.65pt;" coordsize="1613,35604">
                <v:rect id="Rectangle 4120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120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256 de 391 </w:t>
                        </w:r>
                      </w:p>
                    </w:txbxContent>
                  </v:textbox>
                </v:rect>
                <w10:wrap type="square"/>
              </v:group>
            </w:pict>
          </mc:Fallback>
        </mc:AlternateContent>
      </w:r>
      <w:r>
        <w:rPr>
          <w:rFonts w:ascii="Arial" w:eastAsia="Arial" w:hAnsi="Arial" w:cs="Arial"/>
        </w:rPr>
        <w:t xml:space="preserve">Canario sobre Drogas (2010-2017) </w:t>
      </w:r>
      <w:r>
        <w:rPr>
          <w:rFonts w:ascii="Segoe UI Symbol" w:eastAsia="Segoe UI Symbol" w:hAnsi="Segoe UI Symbol" w:cs="Segoe UI Symbol"/>
          <w:sz w:val="20"/>
        </w:rPr>
        <w:t></w:t>
      </w:r>
    </w:p>
    <w:p w:rsidR="00E23B86" w:rsidRDefault="00BA7C13">
      <w:pPr>
        <w:numPr>
          <w:ilvl w:val="0"/>
          <w:numId w:val="140"/>
        </w:numPr>
        <w:spacing w:after="95" w:line="265" w:lineRule="auto"/>
        <w:ind w:right="1" w:hanging="841"/>
        <w:jc w:val="both"/>
      </w:pPr>
      <w:r>
        <w:rPr>
          <w:rFonts w:ascii="Arial" w:eastAsia="Arial" w:hAnsi="Arial" w:cs="Arial"/>
        </w:rPr>
        <w:t xml:space="preserve">PROPUESTA DE RESOLUCIÓN </w:t>
      </w:r>
    </w:p>
    <w:p w:rsidR="00E23B86" w:rsidRDefault="00BA7C13">
      <w:pPr>
        <w:numPr>
          <w:ilvl w:val="0"/>
          <w:numId w:val="140"/>
        </w:numPr>
        <w:spacing w:after="110" w:line="248" w:lineRule="auto"/>
        <w:ind w:right="1" w:hanging="841"/>
        <w:jc w:val="both"/>
      </w:pPr>
      <w:r>
        <w:rPr>
          <w:rFonts w:ascii="Arial" w:eastAsia="Arial" w:hAnsi="Arial" w:cs="Arial"/>
        </w:rPr>
        <w:t>Primero. - La aprobación inicial del “IV Plan Municipal de Prevención de Adicciones 2019-2023” transcrito a continuación:</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“IV Plan Municipal de Prevención de Adicciones (2019-2023) del municipio de la Villa de Candelaria</w:t>
      </w:r>
    </w:p>
    <w:p w:rsidR="00E23B86" w:rsidRDefault="00BA7C13">
      <w:pPr>
        <w:numPr>
          <w:ilvl w:val="0"/>
          <w:numId w:val="140"/>
        </w:numPr>
        <w:spacing w:after="100" w:line="249" w:lineRule="auto"/>
        <w:ind w:right="1" w:hanging="841"/>
        <w:jc w:val="both"/>
      </w:pPr>
      <w:r>
        <w:rPr>
          <w:rFonts w:ascii="Arial" w:eastAsia="Arial" w:hAnsi="Arial" w:cs="Arial"/>
          <w:i/>
          <w:u w:val="single" w:color="000000"/>
        </w:rPr>
        <w:t xml:space="preserve">Equipo Técnico Municipal </w:t>
      </w:r>
    </w:p>
    <w:p w:rsidR="00E23B86" w:rsidRDefault="00BA7C13">
      <w:pPr>
        <w:numPr>
          <w:ilvl w:val="0"/>
          <w:numId w:val="140"/>
        </w:numPr>
        <w:spacing w:after="151" w:line="251" w:lineRule="auto"/>
        <w:ind w:right="1" w:hanging="841"/>
        <w:jc w:val="both"/>
      </w:pPr>
      <w:r>
        <w:rPr>
          <w:rFonts w:ascii="Arial" w:eastAsia="Arial" w:hAnsi="Arial" w:cs="Arial"/>
          <w:i/>
        </w:rPr>
        <w:t>Jessica</w:t>
      </w:r>
      <w:r>
        <w:rPr>
          <w:rFonts w:ascii="Arial" w:eastAsia="Arial" w:hAnsi="Arial" w:cs="Arial"/>
          <w:i/>
        </w:rPr>
        <w:t xml:space="preserve"> Castillo Betancor. Trabajadora Social del Ayuntamiento de Candelaria. Especialista en Elaboración de Planes de Prevención de Drogodependencias y Adicciones.</w:t>
      </w:r>
    </w:p>
    <w:p w:rsidR="00E23B86" w:rsidRDefault="00BA7C13">
      <w:pPr>
        <w:numPr>
          <w:ilvl w:val="0"/>
          <w:numId w:val="140"/>
        </w:numPr>
        <w:spacing w:after="8" w:line="251" w:lineRule="auto"/>
        <w:ind w:right="1" w:hanging="841"/>
        <w:jc w:val="both"/>
      </w:pPr>
      <w:r>
        <w:rPr>
          <w:rFonts w:ascii="Arial" w:eastAsia="Arial" w:hAnsi="Arial" w:cs="Arial"/>
          <w:i/>
        </w:rPr>
        <w:t>Mª Begoña Rodríguez Pérez. Pedagoga del Ayuntamiento de Candelaria.</w:t>
      </w:r>
    </w:p>
    <w:p w:rsidR="00E23B86" w:rsidRDefault="00BA7C13">
      <w:pPr>
        <w:spacing w:after="153" w:line="251" w:lineRule="auto"/>
        <w:ind w:left="355" w:hanging="10"/>
        <w:jc w:val="both"/>
      </w:pPr>
      <w:r>
        <w:rPr>
          <w:rFonts w:ascii="Arial" w:eastAsia="Arial" w:hAnsi="Arial" w:cs="Arial"/>
          <w:i/>
        </w:rPr>
        <w:t>Agente de Desarrollo (Diseño d</w:t>
      </w:r>
      <w:r>
        <w:rPr>
          <w:rFonts w:ascii="Arial" w:eastAsia="Arial" w:hAnsi="Arial" w:cs="Arial"/>
          <w:i/>
        </w:rPr>
        <w:t>e Proyectos y Elaboración de Planes de Intervención).</w:t>
      </w:r>
    </w:p>
    <w:p w:rsidR="00E23B86" w:rsidRDefault="00BA7C13">
      <w:pPr>
        <w:numPr>
          <w:ilvl w:val="0"/>
          <w:numId w:val="140"/>
        </w:numPr>
        <w:spacing w:after="153" w:line="251" w:lineRule="auto"/>
        <w:ind w:right="1" w:hanging="841"/>
        <w:jc w:val="both"/>
      </w:pPr>
      <w:r>
        <w:rPr>
          <w:rFonts w:ascii="Arial" w:eastAsia="Arial" w:hAnsi="Arial" w:cs="Arial"/>
          <w:i/>
        </w:rPr>
        <w:t>Mª del Carmen Padilla García. Trabajadora Social del Ayuntamiento de Candelaria. Máster Universitario en Intervención Familiar.</w:t>
      </w:r>
    </w:p>
    <w:p w:rsidR="00E23B86" w:rsidRDefault="00BA7C13">
      <w:pPr>
        <w:numPr>
          <w:ilvl w:val="0"/>
          <w:numId w:val="140"/>
        </w:numPr>
        <w:spacing w:after="98" w:line="249" w:lineRule="auto"/>
        <w:ind w:right="1" w:hanging="841"/>
        <w:jc w:val="both"/>
      </w:pPr>
      <w:r>
        <w:rPr>
          <w:rFonts w:ascii="Arial" w:eastAsia="Arial" w:hAnsi="Arial" w:cs="Arial"/>
          <w:i/>
          <w:u w:val="single" w:color="000000"/>
        </w:rPr>
        <w:t>Equipo Técnico Externo:</w:t>
      </w:r>
    </w:p>
    <w:p w:rsidR="00E23B86" w:rsidRDefault="00BA7C13">
      <w:pPr>
        <w:numPr>
          <w:ilvl w:val="0"/>
          <w:numId w:val="140"/>
        </w:numPr>
        <w:spacing w:after="111" w:line="251" w:lineRule="auto"/>
        <w:ind w:right="1" w:hanging="841"/>
        <w:jc w:val="both"/>
      </w:pPr>
      <w:r>
        <w:rPr>
          <w:rFonts w:ascii="Arial" w:eastAsia="Arial" w:hAnsi="Arial" w:cs="Arial"/>
          <w:i/>
        </w:rPr>
        <w:t>Josué Gutiérrez Barroso. Profesor del Departamento de Sociología y Antropología de la Universidad de La Laguna. Especialista en análisis de datos.</w:t>
      </w:r>
    </w:p>
    <w:p w:rsidR="00E23B86" w:rsidRDefault="00BA7C13">
      <w:pPr>
        <w:numPr>
          <w:ilvl w:val="0"/>
          <w:numId w:val="140"/>
        </w:numPr>
        <w:spacing w:after="224" w:line="251" w:lineRule="auto"/>
        <w:ind w:right="1" w:hanging="841"/>
        <w:jc w:val="both"/>
      </w:pPr>
      <w:r>
        <w:rPr>
          <w:rFonts w:ascii="Arial" w:eastAsia="Arial" w:hAnsi="Arial" w:cs="Arial"/>
          <w:i/>
        </w:rPr>
        <w:t xml:space="preserve">Juan Manuel Herrera Hernández. Profesor de la Facultad de Ciencias Sociales de la Comunicación. Departamento </w:t>
      </w:r>
      <w:r>
        <w:rPr>
          <w:rFonts w:ascii="Arial" w:eastAsia="Arial" w:hAnsi="Arial" w:cs="Arial"/>
          <w:i/>
        </w:rPr>
        <w:t>de Ciencias de la Comunicación y Trabajo Social. Experto/Máster en Drogodependencias e Intervención Familiar. Diplomado en Sanidad.</w:t>
      </w:r>
    </w:p>
    <w:p w:rsidR="00E23B86" w:rsidRDefault="00BA7C13">
      <w:pPr>
        <w:numPr>
          <w:ilvl w:val="0"/>
          <w:numId w:val="140"/>
        </w:numPr>
        <w:spacing w:after="224" w:line="251" w:lineRule="auto"/>
        <w:ind w:right="1" w:hanging="841"/>
        <w:jc w:val="both"/>
      </w:pPr>
      <w:r>
        <w:rPr>
          <w:rFonts w:ascii="Arial" w:eastAsia="Arial" w:hAnsi="Arial" w:cs="Arial"/>
          <w:i/>
        </w:rPr>
        <w:t>Esther Torrado Martín-Palomino. Profesora del Departamento de Sociología y Antropología de la Universidad de La Laguna. Miem</w:t>
      </w:r>
      <w:r>
        <w:rPr>
          <w:rFonts w:ascii="Arial" w:eastAsia="Arial" w:hAnsi="Arial" w:cs="Arial"/>
          <w:i/>
        </w:rPr>
        <w:t>bra del Instituto Universitario de Estudios de Mujeres (IUEM)</w:t>
      </w:r>
    </w:p>
    <w:p w:rsidR="00E23B86" w:rsidRDefault="00BA7C13">
      <w:pPr>
        <w:numPr>
          <w:ilvl w:val="0"/>
          <w:numId w:val="140"/>
        </w:numPr>
        <w:spacing w:after="224" w:line="251" w:lineRule="auto"/>
        <w:ind w:right="1" w:hanging="841"/>
        <w:jc w:val="both"/>
      </w:pPr>
      <w:r>
        <w:rPr>
          <w:rFonts w:ascii="Arial" w:eastAsia="Arial" w:hAnsi="Arial" w:cs="Arial"/>
          <w:i/>
        </w:rPr>
        <w:t>Saray Suárez Perera. Trabajadora Social. Especialista en Elaboración de Planes de Prevención de Drogodependencias y Adicciones.</w:t>
      </w:r>
    </w:p>
    <w:p w:rsidR="00E23B86" w:rsidRDefault="00BA7C13">
      <w:pPr>
        <w:numPr>
          <w:ilvl w:val="0"/>
          <w:numId w:val="140"/>
        </w:numPr>
        <w:spacing w:after="100" w:line="249" w:lineRule="auto"/>
        <w:ind w:right="1" w:hanging="841"/>
        <w:jc w:val="both"/>
      </w:pPr>
      <w:r>
        <w:rPr>
          <w:rFonts w:ascii="Arial" w:eastAsia="Arial" w:hAnsi="Arial" w:cs="Arial"/>
          <w:i/>
          <w:u w:val="single" w:color="000000"/>
        </w:rPr>
        <w:t xml:space="preserve">Colaboradores/as  </w:t>
      </w:r>
    </w:p>
    <w:p w:rsidR="00E23B86" w:rsidRDefault="00BA7C13">
      <w:pPr>
        <w:numPr>
          <w:ilvl w:val="0"/>
          <w:numId w:val="140"/>
        </w:numPr>
        <w:spacing w:after="171" w:line="250" w:lineRule="auto"/>
        <w:ind w:right="1" w:hanging="841"/>
        <w:jc w:val="both"/>
      </w:pPr>
      <w:r>
        <w:rPr>
          <w:rFonts w:ascii="Arial" w:eastAsia="Arial" w:hAnsi="Arial" w:cs="Arial"/>
          <w:i/>
        </w:rPr>
        <w:t>Equipo Municipal Especializado en la Atención d</w:t>
      </w:r>
      <w:r>
        <w:rPr>
          <w:rFonts w:ascii="Arial" w:eastAsia="Arial" w:hAnsi="Arial" w:cs="Arial"/>
          <w:i/>
        </w:rPr>
        <w:t xml:space="preserve">e Infancia y Familia del Iltre. Ayuntamiento de Candelaria. Concejalía de Servicios Sociales, Igualdad y Sanidad:  Mª de la Sierra Rivera Ruz, Fátima León Rodríguez, Alicia Pérez Gómez.  </w:t>
      </w:r>
    </w:p>
    <w:p w:rsidR="00E23B86" w:rsidRDefault="00BA7C13">
      <w:pPr>
        <w:numPr>
          <w:ilvl w:val="0"/>
          <w:numId w:val="140"/>
        </w:numPr>
        <w:spacing w:after="156" w:line="251" w:lineRule="auto"/>
        <w:ind w:right="1" w:hanging="841"/>
        <w:jc w:val="both"/>
      </w:pPr>
      <w:r>
        <w:rPr>
          <w:rFonts w:ascii="Arial" w:eastAsia="Arial" w:hAnsi="Arial" w:cs="Arial"/>
          <w:i/>
        </w:rPr>
        <w:t>C.E.I.P. Igueste; Rosa Mª Ortiz González (Directora).</w:t>
      </w:r>
    </w:p>
    <w:p w:rsidR="00E23B86" w:rsidRDefault="00BA7C13">
      <w:pPr>
        <w:numPr>
          <w:ilvl w:val="0"/>
          <w:numId w:val="140"/>
        </w:numPr>
        <w:spacing w:after="168" w:line="251" w:lineRule="auto"/>
        <w:ind w:right="1" w:hanging="841"/>
        <w:jc w:val="both"/>
      </w:pPr>
      <w:r>
        <w:rPr>
          <w:rFonts w:ascii="Arial" w:eastAsia="Arial" w:hAnsi="Arial" w:cs="Arial"/>
          <w:i/>
        </w:rPr>
        <w:t>C.E.I.P. Punta</w:t>
      </w:r>
      <w:r>
        <w:rPr>
          <w:rFonts w:ascii="Arial" w:eastAsia="Arial" w:hAnsi="Arial" w:cs="Arial"/>
          <w:i/>
        </w:rPr>
        <w:t xml:space="preserve"> Larga; Cristina Álvarez Álvarez (Directora), Airam Reyes León (Vicedirector), Victoria José Sánchez García (Jefa de estudios).</w:t>
      </w:r>
    </w:p>
    <w:p w:rsidR="00E23B86" w:rsidRDefault="00BA7C13">
      <w:pPr>
        <w:numPr>
          <w:ilvl w:val="0"/>
          <w:numId w:val="140"/>
        </w:numPr>
        <w:spacing w:after="158" w:line="251" w:lineRule="auto"/>
        <w:ind w:right="1" w:hanging="841"/>
        <w:jc w:val="both"/>
      </w:pPr>
      <w:r>
        <w:rPr>
          <w:noProof/>
        </w:rPr>
        <mc:AlternateContent>
          <mc:Choice Requires="wpg">
            <w:drawing>
              <wp:anchor distT="0" distB="0" distL="114300" distR="114300" simplePos="0" relativeHeight="2519234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0305" name="Group 55030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1274" name="Rectangle 4127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1275" name="Rectangle 4127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257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0305" style="width:12.7031pt;height:280.35pt;position:absolute;mso-position-horizontal-relative:page;mso-position-horizontal:absolute;margin-left:681.958pt;mso-position-vertical-relative:page;margin-top:531.65pt;" coordsize="1613,35604">
                <v:rect id="Rectangle 4127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127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257 de 391 </w:t>
                        </w:r>
                      </w:p>
                    </w:txbxContent>
                  </v:textbox>
                </v:rect>
                <w10:wrap type="square"/>
              </v:group>
            </w:pict>
          </mc:Fallback>
        </mc:AlternateContent>
      </w:r>
      <w:r>
        <w:rPr>
          <w:rFonts w:ascii="Arial" w:eastAsia="Arial" w:hAnsi="Arial" w:cs="Arial"/>
          <w:i/>
        </w:rPr>
        <w:t>C.E.I.P. Príncipe Felipe Mª Ángeles Valls Santamaría (Directora).</w:t>
      </w:r>
    </w:p>
    <w:p w:rsidR="00E23B86" w:rsidRDefault="00BA7C13">
      <w:pPr>
        <w:numPr>
          <w:ilvl w:val="0"/>
          <w:numId w:val="140"/>
        </w:numPr>
        <w:spacing w:after="156" w:line="251" w:lineRule="auto"/>
        <w:ind w:right="1" w:hanging="841"/>
        <w:jc w:val="both"/>
      </w:pPr>
      <w:r>
        <w:rPr>
          <w:rFonts w:ascii="Arial" w:eastAsia="Arial" w:hAnsi="Arial" w:cs="Arial"/>
          <w:i/>
        </w:rPr>
        <w:t>C.E.I.P. Álvarez de la Rosa Rocío Díaz Bacallado (Directora).</w:t>
      </w:r>
    </w:p>
    <w:p w:rsidR="00E23B86" w:rsidRDefault="00BA7C13">
      <w:pPr>
        <w:numPr>
          <w:ilvl w:val="0"/>
          <w:numId w:val="140"/>
        </w:numPr>
        <w:spacing w:after="158" w:line="251" w:lineRule="auto"/>
        <w:ind w:right="1" w:hanging="841"/>
        <w:jc w:val="both"/>
      </w:pPr>
      <w:r>
        <w:rPr>
          <w:rFonts w:ascii="Arial" w:eastAsia="Arial" w:hAnsi="Arial" w:cs="Arial"/>
          <w:i/>
        </w:rPr>
        <w:t>I.E.S. Punta Larga; Rafael Gonzál</w:t>
      </w:r>
      <w:r>
        <w:rPr>
          <w:rFonts w:ascii="Arial" w:eastAsia="Arial" w:hAnsi="Arial" w:cs="Arial"/>
          <w:i/>
        </w:rPr>
        <w:t xml:space="preserve">ez Pérez (Director).  </w:t>
      </w:r>
    </w:p>
    <w:p w:rsidR="00E23B86" w:rsidRDefault="00BA7C13">
      <w:pPr>
        <w:numPr>
          <w:ilvl w:val="0"/>
          <w:numId w:val="140"/>
        </w:numPr>
        <w:spacing w:after="111" w:line="251" w:lineRule="auto"/>
        <w:ind w:right="1" w:hanging="841"/>
        <w:jc w:val="both"/>
      </w:pPr>
      <w:r>
        <w:rPr>
          <w:rFonts w:ascii="Arial" w:eastAsia="Arial" w:hAnsi="Arial" w:cs="Arial"/>
          <w:i/>
        </w:rPr>
        <w:t xml:space="preserve">Grupo Político: Si se puede; Mª del Carmen González. </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Saludo de la Alcaldesa </w:t>
      </w:r>
    </w:p>
    <w:p w:rsidR="00E23B86" w:rsidRDefault="00BA7C13">
      <w:pPr>
        <w:numPr>
          <w:ilvl w:val="0"/>
          <w:numId w:val="140"/>
        </w:numPr>
        <w:spacing w:after="144" w:line="251" w:lineRule="auto"/>
        <w:ind w:right="1" w:hanging="841"/>
        <w:jc w:val="both"/>
      </w:pPr>
      <w:r>
        <w:rPr>
          <w:rFonts w:ascii="Arial" w:eastAsia="Arial" w:hAnsi="Arial" w:cs="Arial"/>
          <w:i/>
        </w:rPr>
        <w:t>Como representante de la Corporación Local me complace presentar el IV Plan Municipal de Prevención de Adicciones (2019-2023) del municipio de Candelaria</w:t>
      </w:r>
      <w:r>
        <w:rPr>
          <w:rFonts w:ascii="Arial" w:eastAsia="Arial" w:hAnsi="Arial" w:cs="Arial"/>
          <w:i/>
        </w:rPr>
        <w:t>. Este documento define las acciones de política social que se llevarán a cabo en los próximos años en nuestro municipio.</w:t>
      </w:r>
    </w:p>
    <w:p w:rsidR="00E23B86" w:rsidRDefault="00BA7C13">
      <w:pPr>
        <w:numPr>
          <w:ilvl w:val="0"/>
          <w:numId w:val="140"/>
        </w:numPr>
        <w:spacing w:after="111" w:line="251" w:lineRule="auto"/>
        <w:ind w:right="1" w:hanging="841"/>
        <w:jc w:val="both"/>
      </w:pPr>
      <w:r>
        <w:rPr>
          <w:rFonts w:ascii="Arial" w:eastAsia="Arial" w:hAnsi="Arial" w:cs="Arial"/>
          <w:i/>
        </w:rPr>
        <w:t xml:space="preserve">En este IV Plan Municipal se cumple con las obligaciones que establece la Ley 9/1998, de 22 de julio, sobre prevención, asistencia, e </w:t>
      </w:r>
      <w:r>
        <w:rPr>
          <w:rFonts w:ascii="Arial" w:eastAsia="Arial" w:hAnsi="Arial" w:cs="Arial"/>
          <w:i/>
        </w:rPr>
        <w:t>inserción social en materia de drogodependencias de la Comunidad Canaria, que define la competencia municipal a dos niveles: la prevención y sensibilización en la comunidad, y apoyar en los procesos de incorporación social a personas con problemas de drogo</w:t>
      </w:r>
      <w:r>
        <w:rPr>
          <w:rFonts w:ascii="Arial" w:eastAsia="Arial" w:hAnsi="Arial" w:cs="Arial"/>
          <w:i/>
        </w:rPr>
        <w:t xml:space="preserve">dependencias. </w:t>
      </w:r>
    </w:p>
    <w:p w:rsidR="00E23B86" w:rsidRDefault="00BA7C13">
      <w:pPr>
        <w:numPr>
          <w:ilvl w:val="0"/>
          <w:numId w:val="140"/>
        </w:numPr>
        <w:spacing w:after="111" w:line="251" w:lineRule="auto"/>
        <w:ind w:right="1" w:hanging="841"/>
        <w:jc w:val="both"/>
      </w:pPr>
      <w:r>
        <w:rPr>
          <w:rFonts w:ascii="Arial" w:eastAsia="Arial" w:hAnsi="Arial" w:cs="Arial"/>
          <w:i/>
        </w:rPr>
        <w:t>Es significativo que desde el año 2003, se elaborara y aprobara el primer Plan Municipal de Prevención de Drogodependencias y actualmente con este IV Plan, continuemos con el compromiso de garantizar a la ciudadanía medidas y acciones especí</w:t>
      </w:r>
      <w:r>
        <w:rPr>
          <w:rFonts w:ascii="Arial" w:eastAsia="Arial" w:hAnsi="Arial" w:cs="Arial"/>
          <w:i/>
        </w:rPr>
        <w:t>ficas dirigidas a la promoción de la salud y hábitos saludables en la población y la prevención de las adicciones.</w:t>
      </w:r>
    </w:p>
    <w:p w:rsidR="00E23B86" w:rsidRDefault="00BA7C13">
      <w:pPr>
        <w:spacing w:after="144" w:line="251" w:lineRule="auto"/>
        <w:ind w:left="355" w:right="27" w:hanging="10"/>
        <w:jc w:val="both"/>
      </w:pPr>
      <w:r>
        <w:rPr>
          <w:rFonts w:ascii="Arial" w:eastAsia="Arial" w:hAnsi="Arial" w:cs="Arial"/>
          <w:i/>
        </w:rPr>
        <w:t xml:space="preserve">Lograr mejoras en la calidad de la vida municipal a través de la prevención, conlleva un esfuerzo de todos/as los/as agentes sociales municipales y la implicación de los recursos de la comunidad.  Desde esta corporación que presido, asumimos el compromiso </w:t>
      </w:r>
      <w:r>
        <w:rPr>
          <w:rFonts w:ascii="Arial" w:eastAsia="Arial" w:hAnsi="Arial" w:cs="Arial"/>
          <w:i/>
        </w:rPr>
        <w:t>político de apoyar el proceso de implementación y ejecución del IV Plan para que se logren los objetivos marcados y los resultados esperados.</w:t>
      </w:r>
    </w:p>
    <w:p w:rsidR="00E23B86" w:rsidRDefault="00BA7C13">
      <w:pPr>
        <w:numPr>
          <w:ilvl w:val="0"/>
          <w:numId w:val="140"/>
        </w:numPr>
        <w:spacing w:after="144" w:line="251" w:lineRule="auto"/>
        <w:ind w:right="1" w:hanging="841"/>
        <w:jc w:val="both"/>
      </w:pPr>
      <w:r>
        <w:rPr>
          <w:rFonts w:ascii="Arial" w:eastAsia="Arial" w:hAnsi="Arial" w:cs="Arial"/>
          <w:i/>
        </w:rPr>
        <w:t>Deseamos que las medidas y acciones previstas incrementen los factores de protección dentro del municipio, contrib</w:t>
      </w:r>
      <w:r>
        <w:rPr>
          <w:rFonts w:ascii="Arial" w:eastAsia="Arial" w:hAnsi="Arial" w:cs="Arial"/>
          <w:i/>
        </w:rPr>
        <w:t>uyan a la mejora de la calidad de vida comunitaria y reduzcan los factores de riesgo existentes.</w:t>
      </w:r>
    </w:p>
    <w:p w:rsidR="00E23B86" w:rsidRDefault="00BA7C13">
      <w:pPr>
        <w:numPr>
          <w:ilvl w:val="0"/>
          <w:numId w:val="140"/>
        </w:numPr>
        <w:spacing w:after="144" w:line="251" w:lineRule="auto"/>
        <w:ind w:right="1" w:hanging="841"/>
        <w:jc w:val="both"/>
      </w:pPr>
      <w:r>
        <w:rPr>
          <w:rFonts w:ascii="Arial" w:eastAsia="Arial" w:hAnsi="Arial" w:cs="Arial"/>
          <w:i/>
        </w:rPr>
        <w:t xml:space="preserve">Las acciones y medidas que se contemplan en esta planificación no tienen sentido alguno, sin la implicación y participación de la ciudadanía como parte activa </w:t>
      </w:r>
      <w:r>
        <w:rPr>
          <w:rFonts w:ascii="Arial" w:eastAsia="Arial" w:hAnsi="Arial" w:cs="Arial"/>
          <w:i/>
        </w:rPr>
        <w:t xml:space="preserve">del municipio. Es la ciudadanía la verdadera protagonista de la vida comunitaria y por ello, debe ser responsable del cuidado de su salud, estilo de vida, etc., con todos los apoyos y recursos existentes en la comunidad y concretamente de ésta Corporación </w:t>
      </w:r>
      <w:r>
        <w:rPr>
          <w:rFonts w:ascii="Arial" w:eastAsia="Arial" w:hAnsi="Arial" w:cs="Arial"/>
          <w:i/>
        </w:rPr>
        <w:t xml:space="preserve">Local. </w:t>
      </w:r>
    </w:p>
    <w:p w:rsidR="00E23B86" w:rsidRDefault="00BA7C13">
      <w:pPr>
        <w:numPr>
          <w:ilvl w:val="0"/>
          <w:numId w:val="140"/>
        </w:numPr>
        <w:spacing w:after="134" w:line="251" w:lineRule="auto"/>
        <w:ind w:right="1" w:hanging="841"/>
        <w:jc w:val="both"/>
      </w:pPr>
      <w:r>
        <w:rPr>
          <w:rFonts w:ascii="Arial" w:eastAsia="Arial" w:hAnsi="Arial" w:cs="Arial"/>
          <w:i/>
        </w:rPr>
        <w:t>La Alcaldesa,</w:t>
      </w:r>
    </w:p>
    <w:p w:rsidR="00E23B86" w:rsidRDefault="00BA7C13">
      <w:pPr>
        <w:numPr>
          <w:ilvl w:val="0"/>
          <w:numId w:val="140"/>
        </w:numPr>
        <w:spacing w:after="134" w:line="251" w:lineRule="auto"/>
        <w:ind w:right="1" w:hanging="841"/>
        <w:jc w:val="both"/>
      </w:pPr>
      <w:r>
        <w:rPr>
          <w:rFonts w:ascii="Arial" w:eastAsia="Arial" w:hAnsi="Arial" w:cs="Arial"/>
          <w:i/>
        </w:rPr>
        <w:t>Dña. Mª Concepción Brito Núñez</w:t>
      </w:r>
    </w:p>
    <w:p w:rsidR="00E23B86" w:rsidRDefault="00BA7C13">
      <w:pPr>
        <w:numPr>
          <w:ilvl w:val="0"/>
          <w:numId w:val="140"/>
        </w:numPr>
        <w:spacing w:after="134" w:line="251" w:lineRule="auto"/>
        <w:ind w:right="1" w:hanging="841"/>
        <w:jc w:val="both"/>
      </w:pPr>
      <w:r>
        <w:rPr>
          <w:rFonts w:ascii="Arial" w:eastAsia="Arial" w:hAnsi="Arial" w:cs="Arial"/>
          <w:i/>
        </w:rPr>
        <w:t xml:space="preserve">Saludo de la Concejala  </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244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0969" name="Group 55096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1354" name="Rectangle 4135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1355" name="Rectangle 4135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258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0969" style="width:12.7031pt;height:280.35pt;position:absolute;mso-position-horizontal-relative:page;mso-position-horizontal:absolute;margin-left:681.958pt;mso-position-vertical-relative:page;margin-top:531.65pt;" coordsize="1613,35604">
                <v:rect id="Rectangle 4135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135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258 de 391 </w:t>
                        </w:r>
                      </w:p>
                    </w:txbxContent>
                  </v:textbox>
                </v:rect>
                <w10:wrap type="square"/>
              </v:group>
            </w:pict>
          </mc:Fallback>
        </mc:AlternateContent>
      </w:r>
      <w:r>
        <w:rPr>
          <w:rFonts w:ascii="Arial" w:eastAsia="Arial" w:hAnsi="Arial" w:cs="Arial"/>
          <w:i/>
        </w:rPr>
        <w:t>El IV Plan Municipal de Prevención de Adicciones (2019-2023) del municipio de Candelaria, es el documento marco donde se concretan las medidas y acciones para lo</w:t>
      </w:r>
      <w:r>
        <w:rPr>
          <w:rFonts w:ascii="Arial" w:eastAsia="Arial" w:hAnsi="Arial" w:cs="Arial"/>
          <w:i/>
        </w:rPr>
        <w:t>s próximos años en materia de promoción de la salud y prevención de las drogodependencias y otras adicciones.</w:t>
      </w:r>
    </w:p>
    <w:p w:rsidR="00E23B86" w:rsidRDefault="00BA7C13">
      <w:pPr>
        <w:numPr>
          <w:ilvl w:val="0"/>
          <w:numId w:val="140"/>
        </w:numPr>
        <w:spacing w:after="111" w:line="251" w:lineRule="auto"/>
        <w:ind w:right="1" w:hanging="841"/>
        <w:jc w:val="both"/>
      </w:pPr>
      <w:r>
        <w:rPr>
          <w:rFonts w:ascii="Arial" w:eastAsia="Arial" w:hAnsi="Arial" w:cs="Arial"/>
          <w:i/>
        </w:rPr>
        <w:t>Como responsable de la Concejalía de Servicios Sociales, Igualdad y Sanidad, se ha visto necesario disponer de este documento, pues en éste se rec</w:t>
      </w:r>
      <w:r>
        <w:rPr>
          <w:rFonts w:ascii="Arial" w:eastAsia="Arial" w:hAnsi="Arial" w:cs="Arial"/>
          <w:i/>
        </w:rPr>
        <w:t xml:space="preserve">ogen las acciones a implementar en el municipio, y donde se han tenido en cuenta las particularidades y necesidades municipales, así como las indicaciones de los organismos pertinentes en materia de prevención de adicciones y apoyo a la inserción social. </w:t>
      </w:r>
    </w:p>
    <w:p w:rsidR="00E23B86" w:rsidRDefault="00BA7C13">
      <w:pPr>
        <w:numPr>
          <w:ilvl w:val="0"/>
          <w:numId w:val="140"/>
        </w:numPr>
        <w:spacing w:after="111" w:line="251" w:lineRule="auto"/>
        <w:ind w:right="1" w:hanging="841"/>
        <w:jc w:val="both"/>
      </w:pPr>
      <w:r>
        <w:rPr>
          <w:rFonts w:ascii="Arial" w:eastAsia="Arial" w:hAnsi="Arial" w:cs="Arial"/>
          <w:i/>
        </w:rPr>
        <w:t>En este IV Plan, se centra en las drogas y adicciones sobre las que hay que intervenir, los principios que rigen las actuaciones, las áreas de intervención, los objetivos, las acciones, los procedimientos de coordinación, evaluación y los recursos necesari</w:t>
      </w:r>
      <w:r>
        <w:rPr>
          <w:rFonts w:ascii="Arial" w:eastAsia="Arial" w:hAnsi="Arial" w:cs="Arial"/>
          <w:i/>
        </w:rPr>
        <w:t>os para su implementación.</w:t>
      </w:r>
    </w:p>
    <w:p w:rsidR="00E23B86" w:rsidRDefault="00BA7C13">
      <w:pPr>
        <w:numPr>
          <w:ilvl w:val="0"/>
          <w:numId w:val="140"/>
        </w:numPr>
        <w:spacing w:after="111" w:line="251" w:lineRule="auto"/>
        <w:ind w:right="1" w:hanging="841"/>
        <w:jc w:val="both"/>
      </w:pPr>
      <w:r>
        <w:rPr>
          <w:rFonts w:ascii="Arial" w:eastAsia="Arial" w:hAnsi="Arial" w:cs="Arial"/>
          <w:i/>
        </w:rPr>
        <w:t>Esta planificación de la prevención e inserción, se encuadra dentro de los servicios sociales municipales, que según la Ley 16/2019 de 2 de mayo de Servicios Sociales de Canarias, en su artículo 4, apartado 5, indica que éstos “s</w:t>
      </w:r>
      <w:r>
        <w:rPr>
          <w:rFonts w:ascii="Arial" w:eastAsia="Arial" w:hAnsi="Arial" w:cs="Arial"/>
          <w:i/>
        </w:rPr>
        <w:t>e dirigen especialmente a prevenir y a compensar el déficit de apoyo social y económico en situaciones de riesgo y exclusión social, promoviendo actitudes y capacidades que faciliten la inclusión de las personas, desde una perspectiva integral y participad</w:t>
      </w:r>
      <w:r>
        <w:rPr>
          <w:rFonts w:ascii="Arial" w:eastAsia="Arial" w:hAnsi="Arial" w:cs="Arial"/>
          <w:i/>
        </w:rPr>
        <w:t>a”. Así mismo, en el apartado 7, define que “los servicios sociales se coordinarán con todos los sistemas que inciden en la calidad de vida, como los de salud, igualdad de género, prevención y protección de las mujeres contra la violencia de género, educat</w:t>
      </w:r>
      <w:r>
        <w:rPr>
          <w:rFonts w:ascii="Arial" w:eastAsia="Arial" w:hAnsi="Arial" w:cs="Arial"/>
          <w:i/>
        </w:rPr>
        <w:t>ivos, culturales, de empleo, de vivienda, urbanísticos, judiciales, entre otros”.</w:t>
      </w:r>
    </w:p>
    <w:p w:rsidR="00E23B86" w:rsidRDefault="00BA7C13">
      <w:pPr>
        <w:numPr>
          <w:ilvl w:val="0"/>
          <w:numId w:val="140"/>
        </w:numPr>
        <w:spacing w:after="111" w:line="251" w:lineRule="auto"/>
        <w:ind w:right="1" w:hanging="841"/>
        <w:jc w:val="both"/>
      </w:pPr>
      <w:r>
        <w:rPr>
          <w:rFonts w:ascii="Arial" w:eastAsia="Arial" w:hAnsi="Arial" w:cs="Arial"/>
          <w:i/>
        </w:rPr>
        <w:t>Como responsable de la concejalía, comparto el reto de todos y todas los/as que formamos parte de la comunidad, en contribuir en la mejora de las condiciones de calidad de vi</w:t>
      </w:r>
      <w:r>
        <w:rPr>
          <w:rFonts w:ascii="Arial" w:eastAsia="Arial" w:hAnsi="Arial" w:cs="Arial"/>
          <w:i/>
        </w:rPr>
        <w:t>da de la población, la promoción de la salud y la prevención de las adicciones en el municipio.</w:t>
      </w:r>
    </w:p>
    <w:p w:rsidR="00E23B86" w:rsidRDefault="00BA7C13">
      <w:pPr>
        <w:numPr>
          <w:ilvl w:val="0"/>
          <w:numId w:val="140"/>
        </w:numPr>
        <w:spacing w:after="111" w:line="251" w:lineRule="auto"/>
        <w:ind w:right="1" w:hanging="841"/>
        <w:jc w:val="both"/>
      </w:pPr>
      <w:r>
        <w:rPr>
          <w:rFonts w:ascii="Arial" w:eastAsia="Arial" w:hAnsi="Arial" w:cs="Arial"/>
          <w:i/>
        </w:rPr>
        <w:t xml:space="preserve">La Concejala, </w:t>
      </w:r>
    </w:p>
    <w:p w:rsidR="00E23B86" w:rsidRDefault="00BA7C13">
      <w:pPr>
        <w:numPr>
          <w:ilvl w:val="0"/>
          <w:numId w:val="140"/>
        </w:numPr>
        <w:spacing w:after="111" w:line="251" w:lineRule="auto"/>
        <w:ind w:right="1" w:hanging="841"/>
        <w:jc w:val="both"/>
      </w:pPr>
      <w:r>
        <w:rPr>
          <w:rFonts w:ascii="Arial" w:eastAsia="Arial" w:hAnsi="Arial" w:cs="Arial"/>
          <w:i/>
        </w:rPr>
        <w:t>Olivia C. Pérez Díaz.</w:t>
      </w:r>
    </w:p>
    <w:p w:rsidR="00E23B86" w:rsidRDefault="00BA7C13">
      <w:pPr>
        <w:numPr>
          <w:ilvl w:val="0"/>
          <w:numId w:val="140"/>
        </w:numPr>
        <w:spacing w:after="136" w:line="251" w:lineRule="auto"/>
        <w:ind w:right="1" w:hanging="841"/>
        <w:jc w:val="both"/>
      </w:pPr>
      <w:r>
        <w:rPr>
          <w:rFonts w:ascii="Arial" w:eastAsia="Arial" w:hAnsi="Arial" w:cs="Arial"/>
          <w:i/>
        </w:rPr>
        <w:t>ÍNDICE</w:t>
      </w:r>
    </w:p>
    <w:p w:rsidR="00E23B86" w:rsidRDefault="00BA7C13">
      <w:pPr>
        <w:numPr>
          <w:ilvl w:val="0"/>
          <w:numId w:val="140"/>
        </w:numPr>
        <w:spacing w:after="152" w:line="257" w:lineRule="auto"/>
        <w:ind w:right="1" w:hanging="841"/>
        <w:jc w:val="both"/>
      </w:pPr>
      <w:r>
        <w:rPr>
          <w:color w:val="000080"/>
          <w:u w:val="single" w:color="000080"/>
        </w:rPr>
        <w:t>3.- RESULTADO PRESUPUESTARIO  ....................................................................................</w:t>
      </w:r>
      <w:r>
        <w:rPr>
          <w:color w:val="000080"/>
          <w:u w:val="single" w:color="000080"/>
        </w:rPr>
        <w:t xml:space="preserve">                                                                                              6</w:t>
      </w:r>
    </w:p>
    <w:p w:rsidR="00E23B86" w:rsidRDefault="00BA7C13">
      <w:pPr>
        <w:numPr>
          <w:ilvl w:val="0"/>
          <w:numId w:val="140"/>
        </w:numPr>
        <w:spacing w:after="154" w:line="257" w:lineRule="auto"/>
        <w:ind w:right="1" w:hanging="841"/>
        <w:jc w:val="both"/>
      </w:pPr>
      <w:r>
        <w:rPr>
          <w:color w:val="000080"/>
          <w:u w:val="single" w:color="000080"/>
        </w:rPr>
        <w:t>REMANENTE DE TESORERIA                             PRESUPUESTO  2019 ( Euros )  ....................                     7</w:t>
      </w:r>
    </w:p>
    <w:p w:rsidR="00E23B86" w:rsidRDefault="00BA7C13">
      <w:pPr>
        <w:numPr>
          <w:ilvl w:val="0"/>
          <w:numId w:val="140"/>
        </w:numPr>
        <w:spacing w:after="143" w:line="249" w:lineRule="auto"/>
        <w:ind w:right="1" w:hanging="841"/>
        <w:jc w:val="both"/>
      </w:pPr>
      <w:r>
        <w:rPr>
          <w:b/>
          <w:color w:val="000080"/>
          <w:u w:val="single" w:color="000080"/>
        </w:rPr>
        <w:t>2.TOTAL  ............................</w:t>
      </w:r>
      <w:r>
        <w:rPr>
          <w:b/>
          <w:color w:val="000080"/>
          <w:u w:val="single" w:color="000080"/>
        </w:rPr>
        <w:t>.........................................................................................                                                                                                                                        28</w:t>
      </w:r>
    </w:p>
    <w:p w:rsidR="00E23B86" w:rsidRDefault="00BA7C13">
      <w:pPr>
        <w:numPr>
          <w:ilvl w:val="0"/>
          <w:numId w:val="140"/>
        </w:numPr>
        <w:spacing w:after="154" w:line="257" w:lineRule="auto"/>
        <w:ind w:right="1" w:hanging="841"/>
        <w:jc w:val="both"/>
      </w:pPr>
      <w:r>
        <w:rPr>
          <w:color w:val="000080"/>
          <w:u w:val="single" w:color="000080"/>
        </w:rPr>
        <w:t>B) CLASIFICACIÓN POR PROGRAM</w:t>
      </w:r>
      <w:r>
        <w:rPr>
          <w:color w:val="000080"/>
          <w:u w:val="single" w:color="000080"/>
        </w:rPr>
        <w:t>AS  .............................................................................                                                                                      33</w:t>
      </w:r>
    </w:p>
    <w:p w:rsidR="00E23B86" w:rsidRDefault="00BA7C13">
      <w:pPr>
        <w:numPr>
          <w:ilvl w:val="0"/>
          <w:numId w:val="140"/>
        </w:numPr>
        <w:spacing w:after="9" w:line="249" w:lineRule="auto"/>
        <w:ind w:right="1" w:hanging="841"/>
        <w:jc w:val="both"/>
      </w:pPr>
      <w:r>
        <w:rPr>
          <w:b/>
          <w:color w:val="000080"/>
          <w:u w:val="single" w:color="000080"/>
        </w:rPr>
        <w:t xml:space="preserve">Área de Gasto 0: Comprende todos los gastos de intereses y amortización de la </w:t>
      </w:r>
    </w:p>
    <w:p w:rsidR="00E23B86" w:rsidRDefault="00BA7C13">
      <w:pPr>
        <w:spacing w:after="145" w:line="249" w:lineRule="auto"/>
        <w:ind w:left="353" w:hanging="8"/>
      </w:pPr>
      <w:r>
        <w:rPr>
          <w:b/>
          <w:color w:val="000080"/>
          <w:u w:val="single" w:color="000080"/>
        </w:rPr>
        <w:t xml:space="preserve"> deuda </w:t>
      </w:r>
      <w:r>
        <w:rPr>
          <w:b/>
          <w:color w:val="000080"/>
          <w:u w:val="single" w:color="000080"/>
        </w:rPr>
        <w:t>pública y demás operaciones financieras de naturaleza análoga.  ...................                      33</w:t>
      </w:r>
    </w:p>
    <w:p w:rsidR="00E23B86" w:rsidRDefault="00BA7C13">
      <w:pPr>
        <w:numPr>
          <w:ilvl w:val="0"/>
          <w:numId w:val="140"/>
        </w:numPr>
        <w:spacing w:after="0" w:line="249" w:lineRule="auto"/>
        <w:ind w:right="1" w:hanging="841"/>
        <w:jc w:val="both"/>
      </w:pPr>
      <w:r>
        <w:rPr>
          <w:b/>
          <w:color w:val="000080"/>
          <w:u w:val="single" w:color="000080"/>
        </w:rPr>
        <w:t xml:space="preserve">Importa un gasto total liquidado de 9.297.373,80 Euros, frente a los 7.752.849,94 Euros en el año 2018, generando un aumento del 19,9 %. Representa </w:t>
      </w:r>
      <w:r>
        <w:rPr>
          <w:b/>
          <w:color w:val="000080"/>
          <w:u w:val="single" w:color="000080"/>
        </w:rPr>
        <w:t xml:space="preserve">el 38,5 % del total liquidado en el ejercicio 2019, frente al 31,7 % en el 2018. Así destacamos los </w:t>
      </w:r>
    </w:p>
    <w:p w:rsidR="00E23B86" w:rsidRDefault="00BA7C13">
      <w:pPr>
        <w:spacing w:after="145" w:line="249" w:lineRule="auto"/>
        <w:ind w:left="353" w:hanging="8"/>
      </w:pPr>
      <w:r>
        <w:rPr>
          <w:b/>
          <w:color w:val="000080"/>
          <w:u w:val="single" w:color="000080"/>
        </w:rPr>
        <w:t xml:space="preserve"> siguientes subprogramas previstos en el presupuesto:  ..............................................                                                    34</w:t>
      </w:r>
    </w:p>
    <w:p w:rsidR="00E23B86" w:rsidRDefault="00BA7C13">
      <w:pPr>
        <w:numPr>
          <w:ilvl w:val="0"/>
          <w:numId w:val="140"/>
        </w:numPr>
        <w:spacing w:after="0" w:line="249" w:lineRule="auto"/>
        <w:ind w:right="1" w:hanging="841"/>
        <w:jc w:val="both"/>
      </w:pPr>
      <w:r>
        <w:rPr>
          <w:b/>
          <w:color w:val="000080"/>
          <w:u w:val="single" w:color="000080"/>
        </w:rPr>
        <w:t>Subprograma 132.00 de Seguridad y Orden Público, sube un 13,4 %, principalmente en el gasto de personal, que sube más de 207.000,00 Euros (de los que 147.000 Euros, son de gratificaciones y productividad), compensando la caída en un 29 % del gasto en bien</w:t>
      </w:r>
      <w:r>
        <w:rPr>
          <w:b/>
          <w:color w:val="000080"/>
          <w:u w:val="single" w:color="000080"/>
        </w:rPr>
        <w:t xml:space="preserve">es y servicios corrientes. La inversión sube en 50.468,03 Euros, que fue </w:t>
      </w:r>
    </w:p>
    <w:p w:rsidR="00E23B86" w:rsidRDefault="00BA7C13">
      <w:pPr>
        <w:spacing w:after="9" w:line="249" w:lineRule="auto"/>
        <w:ind w:left="353" w:hanging="8"/>
      </w:pPr>
      <w:r>
        <w:rPr>
          <w:noProof/>
        </w:rPr>
        <mc:AlternateContent>
          <mc:Choice Requires="wpg">
            <w:drawing>
              <wp:anchor distT="0" distB="0" distL="114300" distR="114300" simplePos="0" relativeHeight="2519255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2818" name="Group 55281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1582" name="Rectangle 4158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1583" name="Rectangle 4158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259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2818" style="width:12.7031pt;height:280.35pt;position:absolute;mso-position-horizontal-relative:page;mso-position-horizontal:absolute;margin-left:681.958pt;mso-position-vertical-relative:page;margin-top:531.65pt;" coordsize="1613,35604">
                <v:rect id="Rectangle 4158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158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259 de 391 </w:t>
                        </w:r>
                      </w:p>
                    </w:txbxContent>
                  </v:textbox>
                </v:rect>
                <w10:wrap type="square"/>
              </v:group>
            </w:pict>
          </mc:Fallback>
        </mc:AlternateContent>
      </w:r>
      <w:r>
        <w:rPr>
          <w:b/>
          <w:color w:val="000080"/>
          <w:u w:val="single" w:color="000080"/>
        </w:rPr>
        <w:t xml:space="preserve">nula en el 2018. Representa el capítulo de personal el 92,5 % frente al 92,3 % del año </w:t>
      </w:r>
    </w:p>
    <w:p w:rsidR="00E23B86" w:rsidRDefault="00BA7C13">
      <w:pPr>
        <w:spacing w:after="145" w:line="249" w:lineRule="auto"/>
        <w:ind w:left="353" w:hanging="8"/>
      </w:pPr>
      <w:r>
        <w:rPr>
          <w:b/>
          <w:color w:val="000080"/>
          <w:u w:val="single" w:color="000080"/>
        </w:rPr>
        <w:t xml:space="preserve"> anterior en este subprograma.  .........................................</w:t>
      </w:r>
      <w:r>
        <w:rPr>
          <w:b/>
          <w:color w:val="000080"/>
          <w:u w:val="single" w:color="000080"/>
        </w:rPr>
        <w:t>.........................................                                                                                               34</w:t>
      </w:r>
    </w:p>
    <w:p w:rsidR="00E23B86" w:rsidRDefault="00BA7C13">
      <w:pPr>
        <w:numPr>
          <w:ilvl w:val="0"/>
          <w:numId w:val="140"/>
        </w:numPr>
        <w:spacing w:after="143" w:line="249" w:lineRule="auto"/>
        <w:ind w:right="1" w:hanging="841"/>
        <w:jc w:val="both"/>
      </w:pPr>
      <w:r>
        <w:rPr>
          <w:b/>
          <w:color w:val="000080"/>
          <w:u w:val="single" w:color="000080"/>
        </w:rPr>
        <w:t>Representan un 7,75 % respecto del gasto total, frente al 6,7 % del ejercicio 2018.   . . 34</w:t>
      </w:r>
    </w:p>
    <w:p w:rsidR="00E23B86" w:rsidRDefault="00BA7C13">
      <w:pPr>
        <w:numPr>
          <w:ilvl w:val="0"/>
          <w:numId w:val="140"/>
        </w:numPr>
        <w:spacing w:after="0" w:line="249" w:lineRule="auto"/>
        <w:ind w:right="1" w:hanging="841"/>
        <w:jc w:val="both"/>
      </w:pPr>
      <w:r>
        <w:rPr>
          <w:b/>
          <w:color w:val="000080"/>
          <w:u w:val="single" w:color="000080"/>
        </w:rPr>
        <w:t>Subprograma 135.00 de Pr</w:t>
      </w:r>
      <w:r>
        <w:rPr>
          <w:b/>
          <w:color w:val="000080"/>
          <w:u w:val="single" w:color="000080"/>
        </w:rPr>
        <w:t xml:space="preserve">otección Civil, que cae un 0,5 %, Sube las inversiones en siete mil euros, mientras que el capítulo de gastos bienes corrientes y de servicios, </w:t>
      </w:r>
    </w:p>
    <w:p w:rsidR="00E23B86" w:rsidRDefault="00BA7C13">
      <w:pPr>
        <w:spacing w:after="145" w:line="249" w:lineRule="auto"/>
        <w:ind w:left="353" w:hanging="8"/>
      </w:pPr>
      <w:r>
        <w:rPr>
          <w:b/>
          <w:color w:val="000080"/>
          <w:u w:val="single" w:color="000080"/>
        </w:rPr>
        <w:t xml:space="preserve"> cae un 4 %. Este capítulo representa el 80,30 % del gasto total.  ...............................             </w:t>
      </w:r>
      <w:r>
        <w:rPr>
          <w:b/>
          <w:color w:val="000080"/>
          <w:u w:val="single" w:color="000080"/>
        </w:rPr>
        <w:t xml:space="preserve">                      34</w:t>
      </w:r>
    </w:p>
    <w:p w:rsidR="00E23B86" w:rsidRDefault="00BA7C13">
      <w:pPr>
        <w:numPr>
          <w:ilvl w:val="0"/>
          <w:numId w:val="140"/>
        </w:numPr>
        <w:spacing w:after="9" w:line="249" w:lineRule="auto"/>
        <w:ind w:right="1" w:hanging="841"/>
        <w:jc w:val="both"/>
      </w:pPr>
      <w:r>
        <w:rPr>
          <w:b/>
          <w:color w:val="000080"/>
          <w:u w:val="single" w:color="000080"/>
        </w:rPr>
        <w:t>Representan un 1 %, respecto del gasto total, frente al 0,9 %, en el ejercicio anterior.</w:t>
      </w:r>
    </w:p>
    <w:p w:rsidR="00E23B86" w:rsidRDefault="00BA7C13">
      <w:pPr>
        <w:spacing w:after="145" w:line="249" w:lineRule="auto"/>
        <w:ind w:left="353" w:hanging="8"/>
      </w:pPr>
      <w:r>
        <w:rPr>
          <w:b/>
          <w:color w:val="000080"/>
          <w:u w:val="single" w:color="000080"/>
        </w:rPr>
        <w:t xml:space="preserve"> ..................................................................................................................................           </w:t>
      </w:r>
      <w:r>
        <w:rPr>
          <w:b/>
          <w:color w:val="000080"/>
          <w:u w:val="single" w:color="000080"/>
        </w:rPr>
        <w:t xml:space="preserve">                                                                                                                                            34</w:t>
      </w:r>
    </w:p>
    <w:p w:rsidR="00E23B86" w:rsidRDefault="00BA7C13">
      <w:pPr>
        <w:numPr>
          <w:ilvl w:val="0"/>
          <w:numId w:val="140"/>
        </w:numPr>
        <w:spacing w:after="0" w:line="249" w:lineRule="auto"/>
        <w:ind w:right="1" w:hanging="841"/>
        <w:jc w:val="both"/>
      </w:pPr>
      <w:r>
        <w:rPr>
          <w:b/>
          <w:color w:val="000080"/>
          <w:u w:val="single" w:color="000080"/>
        </w:rPr>
        <w:t>Subprograma 136.00 de Servicios de Extinción de Incendios que recoge las   aportaciones al Consorcio de Incendios</w:t>
      </w:r>
      <w:r>
        <w:rPr>
          <w:b/>
          <w:color w:val="000080"/>
          <w:u w:val="single" w:color="000080"/>
        </w:rPr>
        <w:t xml:space="preserve">. Crece un 0,1 % el gasto de esta subvención </w:t>
      </w:r>
    </w:p>
    <w:p w:rsidR="00E23B86" w:rsidRDefault="00BA7C13">
      <w:pPr>
        <w:spacing w:after="9" w:line="249" w:lineRule="auto"/>
        <w:ind w:left="353" w:hanging="8"/>
      </w:pPr>
      <w:r>
        <w:rPr>
          <w:b/>
          <w:color w:val="000080"/>
          <w:u w:val="single" w:color="000080"/>
        </w:rPr>
        <w:t xml:space="preserve">respecto el año anterior. Representan un 0,7 % respecto del gasto total, frente al 0,6 </w:t>
      </w:r>
    </w:p>
    <w:p w:rsidR="00E23B86" w:rsidRDefault="00BA7C13">
      <w:pPr>
        <w:spacing w:after="145" w:line="249" w:lineRule="auto"/>
        <w:ind w:left="353" w:hanging="8"/>
      </w:pPr>
      <w:r>
        <w:rPr>
          <w:b/>
          <w:color w:val="000080"/>
          <w:u w:val="single" w:color="000080"/>
        </w:rPr>
        <w:t xml:space="preserve"> % del ejercicio 2018.  ..................................................................................................</w:t>
      </w:r>
      <w:r>
        <w:rPr>
          <w:b/>
          <w:color w:val="000080"/>
          <w:u w:val="single" w:color="000080"/>
        </w:rPr>
        <w:t xml:space="preserve">                                                                                                                  34</w:t>
      </w:r>
    </w:p>
    <w:p w:rsidR="00E23B86" w:rsidRDefault="00BA7C13">
      <w:pPr>
        <w:numPr>
          <w:ilvl w:val="0"/>
          <w:numId w:val="140"/>
        </w:numPr>
        <w:spacing w:after="0" w:line="249" w:lineRule="auto"/>
        <w:ind w:right="1" w:hanging="841"/>
        <w:jc w:val="both"/>
      </w:pPr>
      <w:r>
        <w:rPr>
          <w:b/>
          <w:color w:val="000080"/>
          <w:u w:val="single" w:color="000080"/>
        </w:rPr>
        <w:t>Subprograma 151.00 de Urbanismo, que sube un 8,2 %, motivado por la subida del capítulo de inversiones (aumenta un 17 %). Compensa la caída</w:t>
      </w:r>
      <w:r>
        <w:rPr>
          <w:b/>
          <w:color w:val="000080"/>
          <w:u w:val="single" w:color="000080"/>
        </w:rPr>
        <w:t xml:space="preserve"> en gastos de </w:t>
      </w:r>
    </w:p>
    <w:p w:rsidR="00E23B86" w:rsidRDefault="00BA7C13">
      <w:pPr>
        <w:spacing w:after="9" w:line="249" w:lineRule="auto"/>
        <w:ind w:left="353" w:hanging="8"/>
      </w:pPr>
      <w:r>
        <w:rPr>
          <w:b/>
          <w:color w:val="000080"/>
          <w:u w:val="single" w:color="000080"/>
        </w:rPr>
        <w:t xml:space="preserve">transferencias de capital, que fue nula. Representa el 5 % este subprograma, en el </w:t>
      </w:r>
    </w:p>
    <w:p w:rsidR="00E23B86" w:rsidRDefault="00BA7C13">
      <w:pPr>
        <w:spacing w:after="145" w:line="249" w:lineRule="auto"/>
        <w:ind w:left="353" w:hanging="8"/>
      </w:pPr>
      <w:r>
        <w:rPr>
          <w:b/>
          <w:color w:val="000080"/>
          <w:u w:val="single" w:color="000080"/>
        </w:rPr>
        <w:t xml:space="preserve"> gasto total, frente al 4,5 % del gasto total.  .................................................................                                            </w:t>
      </w:r>
      <w:r>
        <w:rPr>
          <w:b/>
          <w:color w:val="000080"/>
          <w:u w:val="single" w:color="000080"/>
        </w:rPr>
        <w:t xml:space="preserve">                               34</w:t>
      </w:r>
    </w:p>
    <w:p w:rsidR="00E23B86" w:rsidRDefault="00BA7C13">
      <w:pPr>
        <w:numPr>
          <w:ilvl w:val="0"/>
          <w:numId w:val="140"/>
        </w:numPr>
        <w:spacing w:after="9" w:line="249" w:lineRule="auto"/>
        <w:ind w:right="1" w:hanging="841"/>
        <w:jc w:val="both"/>
      </w:pPr>
      <w:r>
        <w:rPr>
          <w:b/>
          <w:color w:val="000080"/>
          <w:u w:val="single" w:color="000080"/>
        </w:rPr>
        <w:t xml:space="preserve">Subprograma 160.00 de Alcantarillado, que recoge las obras de saneamiento y no se </w:t>
      </w:r>
    </w:p>
    <w:p w:rsidR="00E23B86" w:rsidRDefault="00BA7C13">
      <w:pPr>
        <w:spacing w:after="145" w:line="249" w:lineRule="auto"/>
        <w:ind w:left="353" w:hanging="8"/>
      </w:pPr>
      <w:r>
        <w:rPr>
          <w:b/>
          <w:color w:val="000080"/>
          <w:u w:val="single" w:color="000080"/>
        </w:rPr>
        <w:t xml:space="preserve"> ha realizado gasto alguno, igual que en el año anterior.  ............................................</w:t>
      </w:r>
      <w:r>
        <w:rPr>
          <w:b/>
          <w:color w:val="000080"/>
          <w:u w:val="single" w:color="000080"/>
        </w:rPr>
        <w:t xml:space="preserve">                                                  34</w:t>
      </w:r>
    </w:p>
    <w:p w:rsidR="00E23B86" w:rsidRDefault="00BA7C13">
      <w:pPr>
        <w:numPr>
          <w:ilvl w:val="0"/>
          <w:numId w:val="140"/>
        </w:numPr>
        <w:spacing w:after="0" w:line="249" w:lineRule="auto"/>
        <w:ind w:right="1" w:hanging="841"/>
        <w:jc w:val="both"/>
      </w:pPr>
      <w:r>
        <w:rPr>
          <w:b/>
          <w:color w:val="000080"/>
          <w:u w:val="single" w:color="000080"/>
        </w:rPr>
        <w:t xml:space="preserve">Subprograma 161.00 de Abastecimiento de Agua, que refleja los gastos de inversiones en el depósito de agua de Igueste, que aumenta en casi doscientos </w:t>
      </w:r>
    </w:p>
    <w:p w:rsidR="00E23B86" w:rsidRDefault="00BA7C13">
      <w:pPr>
        <w:spacing w:after="9" w:line="249" w:lineRule="auto"/>
        <w:ind w:left="353" w:hanging="8"/>
      </w:pPr>
      <w:r>
        <w:rPr>
          <w:b/>
          <w:color w:val="000080"/>
          <w:u w:val="single" w:color="000080"/>
        </w:rPr>
        <w:t>cuarenta mil euros. Representan un 1,9 % respecto de</w:t>
      </w:r>
      <w:r>
        <w:rPr>
          <w:b/>
          <w:color w:val="000080"/>
          <w:u w:val="single" w:color="000080"/>
        </w:rPr>
        <w:t xml:space="preserve">l gasto total, frente al 0,6 % del </w:t>
      </w:r>
    </w:p>
    <w:p w:rsidR="00E23B86" w:rsidRDefault="00BA7C13">
      <w:pPr>
        <w:spacing w:after="0" w:line="249" w:lineRule="auto"/>
        <w:ind w:left="353" w:hanging="8"/>
      </w:pPr>
      <w:r>
        <w:rPr>
          <w:b/>
          <w:color w:val="000080"/>
          <w:u w:val="single" w:color="000080"/>
        </w:rPr>
        <w:t xml:space="preserve"> año anterior.  ..............................................................................................................                                                                                              </w:t>
      </w:r>
      <w:r>
        <w:rPr>
          <w:b/>
          <w:color w:val="000080"/>
          <w:u w:val="single" w:color="000080"/>
        </w:rPr>
        <w:t xml:space="preserve">                                 34</w:t>
      </w:r>
    </w:p>
    <w:p w:rsidR="00E23B86" w:rsidRDefault="00BA7C13">
      <w:pPr>
        <w:spacing w:after="0" w:line="249" w:lineRule="auto"/>
        <w:ind w:left="353" w:hanging="8"/>
      </w:pPr>
      <w:r>
        <w:rPr>
          <w:b/>
          <w:color w:val="000080"/>
          <w:u w:val="single" w:color="000080"/>
        </w:rPr>
        <w:t xml:space="preserve">Subprograma 162.10 de Gestión de Recogida de Residuos, que refleja los gastos de la concesión que gestiona Urbaser SA, relativo a la Limpieza Viaria. Representan un 3,6 </w:t>
      </w:r>
    </w:p>
    <w:p w:rsidR="00E23B86" w:rsidRDefault="00BA7C13">
      <w:pPr>
        <w:spacing w:after="145" w:line="249" w:lineRule="auto"/>
        <w:ind w:left="353" w:hanging="8"/>
      </w:pPr>
      <w:r>
        <w:rPr>
          <w:b/>
          <w:color w:val="000080"/>
          <w:u w:val="single" w:color="000080"/>
        </w:rPr>
        <w:t xml:space="preserve"> % respecto del gasto total, tres décimas más que </w:t>
      </w:r>
      <w:r>
        <w:rPr>
          <w:b/>
          <w:color w:val="000080"/>
          <w:u w:val="single" w:color="000080"/>
        </w:rPr>
        <w:t>en el 2018.  ....................................                                        34</w:t>
      </w:r>
    </w:p>
    <w:p w:rsidR="00E23B86" w:rsidRDefault="00BA7C13">
      <w:pPr>
        <w:numPr>
          <w:ilvl w:val="0"/>
          <w:numId w:val="140"/>
        </w:numPr>
        <w:spacing w:after="0" w:line="249" w:lineRule="auto"/>
        <w:ind w:right="1" w:hanging="841"/>
        <w:jc w:val="both"/>
      </w:pPr>
      <w:r>
        <w:rPr>
          <w:b/>
          <w:color w:val="000080"/>
          <w:u w:val="single" w:color="000080"/>
        </w:rPr>
        <w:t>Subprograma 163.00 de Gestión de Recogida de Residuos, que refleja los gastos de la concesión que gestiona Urbaser SA, relativo a la recogida de residuos sólidos ur</w:t>
      </w:r>
      <w:r>
        <w:rPr>
          <w:b/>
          <w:color w:val="000080"/>
          <w:u w:val="single" w:color="000080"/>
        </w:rPr>
        <w:t xml:space="preserve">banos y recogida selectiva y la aportación a Epelcan, por limpieza de edificios. Representan </w:t>
      </w:r>
    </w:p>
    <w:p w:rsidR="00E23B86" w:rsidRDefault="00BA7C13">
      <w:pPr>
        <w:spacing w:after="145" w:line="249" w:lineRule="auto"/>
        <w:ind w:left="353" w:hanging="8"/>
      </w:pPr>
      <w:r>
        <w:rPr>
          <w:b/>
          <w:color w:val="000080"/>
          <w:u w:val="single" w:color="000080"/>
        </w:rPr>
        <w:t xml:space="preserve"> un 8,3 % respecto del gasto total, ocho décimas más que en 2018.  ...........................                              34</w:t>
      </w:r>
    </w:p>
    <w:p w:rsidR="00E23B86" w:rsidRDefault="00BA7C13">
      <w:pPr>
        <w:numPr>
          <w:ilvl w:val="0"/>
          <w:numId w:val="140"/>
        </w:numPr>
        <w:spacing w:after="0" w:line="249" w:lineRule="auto"/>
        <w:ind w:right="1" w:hanging="841"/>
        <w:jc w:val="both"/>
      </w:pPr>
      <w:r>
        <w:rPr>
          <w:b/>
          <w:color w:val="000080"/>
          <w:u w:val="single" w:color="000080"/>
        </w:rPr>
        <w:t xml:space="preserve">Subprograma 164.00 de Cementerios, </w:t>
      </w:r>
      <w:r>
        <w:rPr>
          <w:b/>
          <w:color w:val="000080"/>
          <w:u w:val="single" w:color="000080"/>
        </w:rPr>
        <w:t>que sube un 34,9 %, representando los gastos de personal, el 69,2 % del gasto de este subprograma, subiendo los gastos corrientes,</w:t>
      </w:r>
    </w:p>
    <w:p w:rsidR="00E23B86" w:rsidRDefault="00BA7C13">
      <w:pPr>
        <w:spacing w:after="9" w:line="249" w:lineRule="auto"/>
        <w:ind w:left="353" w:hanging="8"/>
      </w:pPr>
      <w:r>
        <w:rPr>
          <w:b/>
          <w:color w:val="000080"/>
          <w:u w:val="single" w:color="000080"/>
        </w:rPr>
        <w:t xml:space="preserve">casi el doble. Representan un 0,1 % respecto del gasto total, igual que en el año </w:t>
      </w:r>
    </w:p>
    <w:p w:rsidR="00E23B86" w:rsidRDefault="00BA7C13">
      <w:pPr>
        <w:spacing w:after="145" w:line="249" w:lineRule="auto"/>
        <w:ind w:left="353" w:hanging="8"/>
      </w:pPr>
      <w:r>
        <w:rPr>
          <w:b/>
          <w:color w:val="000080"/>
          <w:u w:val="single" w:color="000080"/>
        </w:rPr>
        <w:t xml:space="preserve"> anterior.  ..............................</w:t>
      </w:r>
      <w:r>
        <w:rPr>
          <w:b/>
          <w:color w:val="000080"/>
          <w:u w:val="single" w:color="000080"/>
        </w:rPr>
        <w:t>......................................................................................                                                                                                                                       35</w:t>
      </w:r>
    </w:p>
    <w:p w:rsidR="00E23B86" w:rsidRDefault="00BA7C13">
      <w:pPr>
        <w:numPr>
          <w:ilvl w:val="0"/>
          <w:numId w:val="140"/>
        </w:numPr>
        <w:spacing w:after="146" w:line="249" w:lineRule="auto"/>
        <w:ind w:right="1" w:hanging="841"/>
        <w:jc w:val="both"/>
      </w:pPr>
      <w:r>
        <w:rPr>
          <w:b/>
          <w:color w:val="000080"/>
          <w:u w:val="single" w:color="000080"/>
        </w:rPr>
        <w:t xml:space="preserve">Subprograma 165.00 de Alumbrado </w:t>
      </w:r>
      <w:r>
        <w:rPr>
          <w:b/>
          <w:color w:val="000080"/>
          <w:u w:val="single" w:color="000080"/>
        </w:rPr>
        <w:t xml:space="preserve">Público, que cae un 10,5 %, por la menor inversión en alumbrado, al caer un 43 %, mientras que ha subido el consumo en un 4 </w:t>
      </w:r>
    </w:p>
    <w:p w:rsidR="00E23B86" w:rsidRDefault="00BA7C13">
      <w:pPr>
        <w:spacing w:after="146" w:line="249" w:lineRule="auto"/>
        <w:ind w:left="358" w:hanging="358"/>
      </w:pPr>
      <w:r>
        <w:rPr>
          <w:b/>
          <w:color w:val="000080"/>
          <w:u w:val="single" w:color="000080"/>
        </w:rPr>
        <w:t xml:space="preserve"> %. Representan un 1,6 % respecto del gasto total, frente al 1,7 % del año anterior. . .   35</w:t>
      </w:r>
    </w:p>
    <w:p w:rsidR="00E23B86" w:rsidRDefault="00BA7C13">
      <w:pPr>
        <w:numPr>
          <w:ilvl w:val="0"/>
          <w:numId w:val="140"/>
        </w:numPr>
        <w:spacing w:after="0" w:line="249" w:lineRule="auto"/>
        <w:ind w:right="1" w:hanging="841"/>
        <w:jc w:val="both"/>
      </w:pPr>
      <w:r>
        <w:rPr>
          <w:b/>
          <w:color w:val="000080"/>
          <w:u w:val="single" w:color="000080"/>
        </w:rPr>
        <w:t>Subprograma 170.00 de Medio Ambiente,</w:t>
      </w:r>
      <w:r>
        <w:rPr>
          <w:b/>
          <w:color w:val="000080"/>
          <w:u w:val="single" w:color="000080"/>
        </w:rPr>
        <w:t xml:space="preserve"> que se creó en el 2018, con unos gastos de seis mil tres euros, refleja gastos corrientes en bienes y servicios por cuarenta y ocho </w:t>
      </w:r>
    </w:p>
    <w:p w:rsidR="00E23B86" w:rsidRDefault="00BA7C13">
      <w:pPr>
        <w:spacing w:after="145" w:line="249" w:lineRule="auto"/>
        <w:ind w:left="353" w:hanging="8"/>
      </w:pPr>
      <w:r>
        <w:rPr>
          <w:b/>
          <w:color w:val="000080"/>
          <w:u w:val="single" w:color="000080"/>
        </w:rPr>
        <w:t xml:space="preserve"> mil Euros.  </w:t>
      </w:r>
      <w:r>
        <w:rPr>
          <w:b/>
          <w:color w:val="000080"/>
          <w:u w:val="single" w:color="000080"/>
        </w:rPr>
        <w:t>..................................................................................................................                                                                                                                                     35</w:t>
      </w:r>
    </w:p>
    <w:p w:rsidR="00E23B86" w:rsidRDefault="00BA7C13">
      <w:pPr>
        <w:numPr>
          <w:ilvl w:val="0"/>
          <w:numId w:val="140"/>
        </w:numPr>
        <w:spacing w:after="0" w:line="249" w:lineRule="auto"/>
        <w:ind w:right="1" w:hanging="841"/>
        <w:jc w:val="both"/>
      </w:pPr>
      <w:r>
        <w:rPr>
          <w:b/>
          <w:color w:val="000080"/>
          <w:u w:val="single" w:color="000080"/>
        </w:rPr>
        <w:t>Subpro</w:t>
      </w:r>
      <w:r>
        <w:rPr>
          <w:b/>
          <w:color w:val="000080"/>
          <w:u w:val="single" w:color="000080"/>
        </w:rPr>
        <w:t xml:space="preserve">grama 171.00 de Parques y Jardines, que sube un 5,6 %, por el mayor gasto en inversiones, por importe de ciento setenta y dos mil Euros, que compensa la caída de gastos corrientes y de servicios, que cae un 51 %, representando el capítulo de </w:t>
      </w:r>
    </w:p>
    <w:p w:rsidR="00E23B86" w:rsidRDefault="00BA7C13">
      <w:pPr>
        <w:spacing w:after="9" w:line="249" w:lineRule="auto"/>
        <w:ind w:left="353" w:hanging="8"/>
      </w:pPr>
      <w:r>
        <w:rPr>
          <w:b/>
          <w:color w:val="000080"/>
          <w:u w:val="single" w:color="000080"/>
        </w:rPr>
        <w:t>personal el 4</w:t>
      </w:r>
      <w:r>
        <w:rPr>
          <w:b/>
          <w:color w:val="000080"/>
          <w:u w:val="single" w:color="000080"/>
        </w:rPr>
        <w:t xml:space="preserve">3,2 % del gasto en este subprograma y. Representan un 2,3 % respecto </w:t>
      </w:r>
    </w:p>
    <w:p w:rsidR="00E23B86" w:rsidRDefault="00BA7C13">
      <w:pPr>
        <w:spacing w:after="143" w:line="249" w:lineRule="auto"/>
        <w:ind w:left="353" w:hanging="8"/>
      </w:pPr>
      <w:r>
        <w:rPr>
          <w:noProof/>
        </w:rPr>
        <mc:AlternateContent>
          <mc:Choice Requires="wpg">
            <w:drawing>
              <wp:anchor distT="0" distB="0" distL="114300" distR="114300" simplePos="0" relativeHeight="2519265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3410" name="Group 55341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1820" name="Rectangle 4182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1821" name="Rectangle 4182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w:t>
                              </w:r>
                              <w:r>
                                <w:rPr>
                                  <w:rFonts w:ascii="Arial" w:eastAsia="Arial" w:hAnsi="Arial" w:cs="Arial"/>
                                  <w:sz w:val="12"/>
                                </w:rPr>
                                <w:t xml:space="preserve">260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3410" style="width:12.7031pt;height:280.35pt;position:absolute;mso-position-horizontal-relative:page;mso-position-horizontal:absolute;margin-left:681.958pt;mso-position-vertical-relative:page;margin-top:531.65pt;" coordsize="1613,35604">
                <v:rect id="Rectangle 4182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182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260 de 391 </w:t>
                        </w:r>
                      </w:p>
                    </w:txbxContent>
                  </v:textbox>
                </v:rect>
                <w10:wrap type="square"/>
              </v:group>
            </w:pict>
          </mc:Fallback>
        </mc:AlternateContent>
      </w:r>
      <w:r>
        <w:rPr>
          <w:b/>
          <w:color w:val="000080"/>
          <w:u w:val="single" w:color="000080"/>
        </w:rPr>
        <w:t xml:space="preserve"> del gasto total, frente al 2,1 % del año anterior. ........................................................                                                                  35</w:t>
      </w:r>
    </w:p>
    <w:p w:rsidR="00E23B86" w:rsidRDefault="00BA7C13">
      <w:pPr>
        <w:numPr>
          <w:ilvl w:val="0"/>
          <w:numId w:val="140"/>
        </w:numPr>
        <w:spacing w:after="0" w:line="249" w:lineRule="auto"/>
        <w:ind w:right="1" w:hanging="841"/>
        <w:jc w:val="both"/>
      </w:pPr>
      <w:r>
        <w:rPr>
          <w:b/>
          <w:color w:val="000080"/>
          <w:u w:val="single" w:color="000080"/>
        </w:rPr>
        <w:t xml:space="preserve">Área de Gasto 2: Incluye las Actuaciones de Protección y Promoción </w:t>
      </w:r>
      <w:r>
        <w:rPr>
          <w:b/>
          <w:color w:val="000080"/>
          <w:u w:val="single" w:color="000080"/>
        </w:rPr>
        <w:t xml:space="preserve">Social. El total gasto liquidado en esta área de gasto asciende a 4.641.367,35 Euros frente a los 4.102.717,80 Euros de 2018, es decir, que ha habido un incremento del 13 %, representando el 19,2 % del gasto total, frente al 16,8 % del ejercicio 2018. A </w:t>
      </w:r>
    </w:p>
    <w:p w:rsidR="00E23B86" w:rsidRDefault="00BA7C13">
      <w:pPr>
        <w:spacing w:after="145" w:line="249" w:lineRule="auto"/>
        <w:ind w:left="353" w:hanging="8"/>
      </w:pPr>
      <w:r>
        <w:rPr>
          <w:b/>
          <w:color w:val="000080"/>
          <w:u w:val="single" w:color="000080"/>
        </w:rPr>
        <w:t xml:space="preserve"> </w:t>
      </w:r>
      <w:r>
        <w:rPr>
          <w:b/>
          <w:color w:val="000080"/>
          <w:u w:val="single" w:color="000080"/>
        </w:rPr>
        <w:t>continuación, destacamos los siguientes subprogramas:  ...........................................                                                 35</w:t>
      </w:r>
    </w:p>
    <w:p w:rsidR="00E23B86" w:rsidRDefault="00BA7C13">
      <w:pPr>
        <w:numPr>
          <w:ilvl w:val="0"/>
          <w:numId w:val="140"/>
        </w:numPr>
        <w:spacing w:after="0" w:line="249" w:lineRule="auto"/>
        <w:ind w:right="1" w:hanging="841"/>
        <w:jc w:val="both"/>
      </w:pPr>
      <w:r>
        <w:rPr>
          <w:b/>
          <w:color w:val="000080"/>
          <w:u w:val="single" w:color="000080"/>
        </w:rPr>
        <w:t>Subprograma 211.00 de Pensiones, se incrementa el 6,5 % el gasto liquidado. Recoge los emolumentos dejados</w:t>
      </w:r>
      <w:r>
        <w:rPr>
          <w:b/>
          <w:color w:val="000080"/>
          <w:u w:val="single" w:color="000080"/>
        </w:rPr>
        <w:t xml:space="preserve"> de recibir por parte de funcionarios que han solicitado la </w:t>
      </w:r>
    </w:p>
    <w:p w:rsidR="00E23B86" w:rsidRDefault="00BA7C13">
      <w:pPr>
        <w:spacing w:after="143" w:line="249" w:lineRule="auto"/>
        <w:ind w:left="353" w:hanging="8"/>
      </w:pPr>
      <w:r>
        <w:rPr>
          <w:b/>
          <w:color w:val="000080"/>
          <w:u w:val="single" w:color="000080"/>
        </w:rPr>
        <w:t xml:space="preserve"> jubilación anticipada. Representan un 0,09 % respecto del gasto total.  .....................                       36</w:t>
      </w:r>
    </w:p>
    <w:p w:rsidR="00E23B86" w:rsidRDefault="00BA7C13">
      <w:pPr>
        <w:numPr>
          <w:ilvl w:val="0"/>
          <w:numId w:val="140"/>
        </w:numPr>
        <w:spacing w:after="0" w:line="249" w:lineRule="auto"/>
        <w:ind w:right="1" w:hanging="841"/>
        <w:jc w:val="both"/>
      </w:pPr>
      <w:r>
        <w:rPr>
          <w:b/>
          <w:color w:val="000080"/>
          <w:u w:val="single" w:color="000080"/>
        </w:rPr>
        <w:t>Subprograma 221.00 de Otras Prestaciones a favor de los Empleados, que reco</w:t>
      </w:r>
      <w:r>
        <w:rPr>
          <w:b/>
          <w:color w:val="000080"/>
          <w:u w:val="single" w:color="000080"/>
        </w:rPr>
        <w:t xml:space="preserve">ge los gastos de acción social y la aportación municipal al seguro privado, cae un 13 %, por </w:t>
      </w:r>
    </w:p>
    <w:p w:rsidR="00E23B86" w:rsidRDefault="00BA7C13">
      <w:pPr>
        <w:spacing w:after="9" w:line="249" w:lineRule="auto"/>
        <w:ind w:left="353" w:hanging="8"/>
      </w:pPr>
      <w:r>
        <w:rPr>
          <w:b/>
          <w:color w:val="000080"/>
          <w:u w:val="single" w:color="000080"/>
        </w:rPr>
        <w:t xml:space="preserve">el menor gasto en acción social. Representan un 0,2 % respecto del gasto total, igual </w:t>
      </w:r>
    </w:p>
    <w:p w:rsidR="00E23B86" w:rsidRDefault="00BA7C13">
      <w:pPr>
        <w:spacing w:after="143" w:line="249" w:lineRule="auto"/>
        <w:ind w:left="353" w:hanging="8"/>
      </w:pPr>
      <w:r>
        <w:rPr>
          <w:b/>
          <w:color w:val="000080"/>
          <w:u w:val="single" w:color="000080"/>
        </w:rPr>
        <w:t xml:space="preserve"> que en el 2018.  .........................................................</w:t>
      </w:r>
      <w:r>
        <w:rPr>
          <w:b/>
          <w:color w:val="000080"/>
          <w:u w:val="single" w:color="000080"/>
        </w:rPr>
        <w:t>.................................................                                                                                                                           36</w:t>
      </w:r>
    </w:p>
    <w:p w:rsidR="00E23B86" w:rsidRDefault="00BA7C13">
      <w:pPr>
        <w:numPr>
          <w:ilvl w:val="0"/>
          <w:numId w:val="140"/>
        </w:numPr>
        <w:spacing w:after="0" w:line="249" w:lineRule="auto"/>
        <w:ind w:right="1" w:hanging="841"/>
        <w:jc w:val="both"/>
      </w:pPr>
      <w:r>
        <w:rPr>
          <w:b/>
          <w:color w:val="000080"/>
          <w:u w:val="single" w:color="000080"/>
        </w:rPr>
        <w:t>Subprograma 231.00 de Servicios Sociales, que sube un 0,8 %, respecto a los gasto</w:t>
      </w:r>
      <w:r>
        <w:rPr>
          <w:b/>
          <w:color w:val="000080"/>
          <w:u w:val="single" w:color="000080"/>
        </w:rPr>
        <w:t xml:space="preserve">s del ejercicio anterior, destacando la subida de los gastos en bienes corrientes y de servicios (14 %); los costes de personal (2,8 %), que compensa la caída de los costes </w:t>
      </w:r>
    </w:p>
    <w:p w:rsidR="00E23B86" w:rsidRDefault="00BA7C13">
      <w:pPr>
        <w:spacing w:after="9" w:line="249" w:lineRule="auto"/>
        <w:ind w:left="353" w:hanging="8"/>
      </w:pPr>
      <w:r>
        <w:rPr>
          <w:b/>
          <w:color w:val="000080"/>
          <w:u w:val="single" w:color="000080"/>
        </w:rPr>
        <w:t>de transferencias, que cae un 7 %. Representan un 8,7 % frente al 8,2 % respecto d</w:t>
      </w:r>
      <w:r>
        <w:rPr>
          <w:b/>
          <w:color w:val="000080"/>
          <w:u w:val="single" w:color="000080"/>
        </w:rPr>
        <w:t xml:space="preserve">el </w:t>
      </w:r>
    </w:p>
    <w:p w:rsidR="00E23B86" w:rsidRDefault="00BA7C13">
      <w:pPr>
        <w:spacing w:after="145" w:line="249" w:lineRule="auto"/>
        <w:ind w:left="353" w:hanging="8"/>
      </w:pPr>
      <w:r>
        <w:rPr>
          <w:b/>
          <w:color w:val="000080"/>
          <w:u w:val="single" w:color="000080"/>
        </w:rPr>
        <w:t xml:space="preserve"> gasto total del año anterior.  ......................................................................................                                                                                                    36</w:t>
      </w:r>
    </w:p>
    <w:p w:rsidR="00E23B86" w:rsidRDefault="00BA7C13">
      <w:pPr>
        <w:numPr>
          <w:ilvl w:val="0"/>
          <w:numId w:val="140"/>
        </w:numPr>
        <w:spacing w:after="0" w:line="249" w:lineRule="auto"/>
        <w:ind w:right="1" w:hanging="841"/>
        <w:jc w:val="both"/>
      </w:pPr>
      <w:r>
        <w:rPr>
          <w:b/>
          <w:color w:val="000080"/>
          <w:u w:val="single" w:color="000080"/>
        </w:rPr>
        <w:t>Subprograma 231.01 de Mujer, Me</w:t>
      </w:r>
      <w:r>
        <w:rPr>
          <w:b/>
          <w:color w:val="000080"/>
          <w:u w:val="single" w:color="000080"/>
        </w:rPr>
        <w:t xml:space="preserve">nor y Familia. Ejecuta un gasto de 78.746 Euros, frente a los casi 62.500 Euros del año anterior, principalmente en gastos corriente en </w:t>
      </w:r>
    </w:p>
    <w:p w:rsidR="00E23B86" w:rsidRDefault="00BA7C13">
      <w:pPr>
        <w:spacing w:after="143" w:line="249" w:lineRule="auto"/>
        <w:ind w:left="353" w:hanging="8"/>
      </w:pPr>
      <w:r>
        <w:rPr>
          <w:b/>
          <w:color w:val="000080"/>
          <w:u w:val="single" w:color="000080"/>
        </w:rPr>
        <w:t xml:space="preserve"> bienes y servicios. Crece un  26 %. Representa un 0,3 % del gasto total.  ....................                      36</w:t>
      </w:r>
    </w:p>
    <w:p w:rsidR="00E23B86" w:rsidRDefault="00BA7C13">
      <w:pPr>
        <w:numPr>
          <w:ilvl w:val="0"/>
          <w:numId w:val="140"/>
        </w:numPr>
        <w:spacing w:after="9" w:line="249" w:lineRule="auto"/>
        <w:ind w:right="1" w:hanging="841"/>
        <w:jc w:val="both"/>
      </w:pPr>
      <w:r>
        <w:rPr>
          <w:b/>
          <w:color w:val="000080"/>
          <w:u w:val="single" w:color="000080"/>
        </w:rPr>
        <w:t xml:space="preserve">Subprograma 231.02 de Mayores, crece muy levemente. Representan un gasto de </w:t>
      </w:r>
    </w:p>
    <w:p w:rsidR="00E23B86" w:rsidRDefault="00BA7C13">
      <w:pPr>
        <w:spacing w:after="109" w:line="249" w:lineRule="auto"/>
        <w:ind w:left="353" w:hanging="8"/>
      </w:pPr>
      <w:r>
        <w:rPr>
          <w:b/>
          <w:color w:val="000080"/>
          <w:u w:val="single" w:color="000080"/>
        </w:rPr>
        <w:t xml:space="preserve"> 16.408 Euros.  .............................................................................................................                                                     </w:t>
      </w:r>
      <w:r>
        <w:rPr>
          <w:b/>
          <w:color w:val="000080"/>
          <w:u w:val="single" w:color="000080"/>
        </w:rPr>
        <w:t xml:space="preserve">                                                                         36</w:t>
      </w:r>
    </w:p>
    <w:p w:rsidR="00E23B86" w:rsidRDefault="00E23B86">
      <w:pPr>
        <w:sectPr w:rsidR="00E23B86">
          <w:headerReference w:type="even" r:id="rId23"/>
          <w:headerReference w:type="default" r:id="rId24"/>
          <w:footerReference w:type="even" r:id="rId25"/>
          <w:footerReference w:type="default" r:id="rId26"/>
          <w:headerReference w:type="first" r:id="rId27"/>
          <w:footerReference w:type="first" r:id="rId28"/>
          <w:pgSz w:w="14168" w:h="16840"/>
          <w:pgMar w:top="2005" w:right="2827" w:bottom="1571" w:left="3198" w:header="712" w:footer="712" w:gutter="0"/>
          <w:cols w:space="720"/>
        </w:sectPr>
      </w:pPr>
    </w:p>
    <w:p w:rsidR="00E23B86" w:rsidRDefault="00BA7C13">
      <w:pPr>
        <w:spacing w:after="146" w:line="249" w:lineRule="auto"/>
        <w:ind w:left="353" w:hanging="8"/>
      </w:pPr>
      <w:r>
        <w:rPr>
          <w:b/>
          <w:color w:val="000080"/>
          <w:u w:val="single" w:color="000080"/>
        </w:rPr>
        <w:t>Subprograma 241.00 de Fomento del Empleo, que recoge las transferencias corrientes a la sociedad municipal de vivienda y servicios, pero sobre todo los gastos de personal y gastos corrientes vinculados a proyectos subvencionados, que aumenta un 27,5 %, rep</w:t>
      </w:r>
      <w:r>
        <w:rPr>
          <w:b/>
          <w:color w:val="000080"/>
          <w:u w:val="single" w:color="000080"/>
        </w:rPr>
        <w:t xml:space="preserve">resentando los gastos de personal, el 64,7 %, del gasto total, incrementándose este capítulo en un 5,8 %, en relación al ejercicio precedente. </w:t>
      </w:r>
    </w:p>
    <w:p w:rsidR="00E23B86" w:rsidRDefault="00BA7C13">
      <w:pPr>
        <w:spacing w:after="146" w:line="249" w:lineRule="auto"/>
        <w:ind w:left="353" w:hanging="8"/>
      </w:pPr>
      <w:r>
        <w:rPr>
          <w:b/>
          <w:color w:val="000080"/>
          <w:u w:val="single" w:color="000080"/>
        </w:rPr>
        <w:t xml:space="preserve"> Representan un 10,2 % respecto del gasto total, frente al 7,9 % del ejercicio 2018.   . . 36</w:t>
      </w:r>
    </w:p>
    <w:p w:rsidR="00E23B86" w:rsidRDefault="00BA7C13">
      <w:pPr>
        <w:numPr>
          <w:ilvl w:val="0"/>
          <w:numId w:val="140"/>
        </w:numPr>
        <w:spacing w:after="0" w:line="249" w:lineRule="auto"/>
        <w:ind w:right="1" w:hanging="841"/>
        <w:jc w:val="both"/>
      </w:pPr>
      <w:r>
        <w:rPr>
          <w:b/>
          <w:color w:val="000080"/>
          <w:u w:val="single" w:color="000080"/>
        </w:rPr>
        <w:t>Área de Gasto 3: Producción de Bienes Públicos de carácter Preferente, que comprende los gastos relacionados con la sanidad, educación, cultura, ocio y tiempo libre, deporte y todos aquellos que mejoren la calidad de vida, El gasto en esta área importa 2.5</w:t>
      </w:r>
      <w:r>
        <w:rPr>
          <w:b/>
          <w:color w:val="000080"/>
          <w:u w:val="single" w:color="000080"/>
        </w:rPr>
        <w:t xml:space="preserve">86.831,84 Euros frente al gasto de  2.827.981,30 Euros en el 2018, esto es, hay una caída del 8,5 % y representa el 10,7 % del gasto total, frente al 11,5 % del gasto total en el ejercicio anterior, destacando el gasto en bienes corrientes en un </w:t>
      </w:r>
    </w:p>
    <w:p w:rsidR="00E23B86" w:rsidRDefault="00BA7C13">
      <w:pPr>
        <w:spacing w:after="0" w:line="249" w:lineRule="auto"/>
        <w:ind w:left="360" w:hanging="360"/>
      </w:pPr>
      <w:r>
        <w:rPr>
          <w:b/>
          <w:color w:val="000080"/>
          <w:u w:val="single" w:color="000080"/>
        </w:rPr>
        <w:t xml:space="preserve">45,5 % y </w:t>
      </w:r>
      <w:r>
        <w:rPr>
          <w:b/>
          <w:color w:val="000080"/>
          <w:u w:val="single" w:color="000080"/>
        </w:rPr>
        <w:t>los gastos de personal, un 25 % y las subvenciones, el 24,6 %. Destacamos:</w:t>
      </w:r>
    </w:p>
    <w:p w:rsidR="00E23B86" w:rsidRDefault="00BA7C13">
      <w:pPr>
        <w:spacing w:after="143" w:line="249" w:lineRule="auto"/>
        <w:ind w:left="353" w:hanging="8"/>
      </w:pPr>
      <w:r>
        <w:rPr>
          <w:b/>
          <w:color w:val="000080"/>
          <w:u w:val="single" w:color="000080"/>
        </w:rPr>
        <w:t xml:space="preserve"> ..................................................................................................................................                                                  </w:t>
      </w:r>
      <w:r>
        <w:rPr>
          <w:b/>
          <w:color w:val="000080"/>
          <w:u w:val="single" w:color="000080"/>
        </w:rPr>
        <w:t xml:space="preserve">                                                                                                     37</w:t>
      </w:r>
    </w:p>
    <w:p w:rsidR="00E23B86" w:rsidRDefault="00BA7C13">
      <w:pPr>
        <w:numPr>
          <w:ilvl w:val="0"/>
          <w:numId w:val="140"/>
        </w:numPr>
        <w:spacing w:after="154" w:line="257" w:lineRule="auto"/>
        <w:ind w:right="1" w:hanging="841"/>
        <w:jc w:val="both"/>
      </w:pPr>
      <w:r>
        <w:rPr>
          <w:color w:val="000080"/>
          <w:u w:val="single" w:color="000080"/>
        </w:rPr>
        <w:t xml:space="preserve">1.- RESULTADO PRESUPUESTARIO  ..................................................................................                                        </w:t>
      </w:r>
      <w:r>
        <w:rPr>
          <w:color w:val="000080"/>
          <w:u w:val="single" w:color="000080"/>
        </w:rPr>
        <w:t xml:space="preserve">                                                    66</w:t>
      </w:r>
    </w:p>
    <w:p w:rsidR="00E23B86" w:rsidRDefault="00BA7C13">
      <w:pPr>
        <w:numPr>
          <w:ilvl w:val="0"/>
          <w:numId w:val="140"/>
        </w:numPr>
        <w:spacing w:after="152" w:line="257" w:lineRule="auto"/>
        <w:ind w:right="1" w:hanging="841"/>
        <w:jc w:val="both"/>
      </w:pPr>
      <w:r>
        <w:rPr>
          <w:color w:val="000080"/>
          <w:u w:val="single" w:color="000080"/>
        </w:rPr>
        <w:t>REMANENTE DE TESORERIA                             PRESUPUESTO  2019 ( Euros )  ..................                   67</w:t>
      </w:r>
    </w:p>
    <w:p w:rsidR="00E23B86" w:rsidRDefault="00BA7C13">
      <w:pPr>
        <w:numPr>
          <w:ilvl w:val="0"/>
          <w:numId w:val="140"/>
        </w:numPr>
        <w:spacing w:after="154" w:line="257" w:lineRule="auto"/>
        <w:ind w:right="1" w:hanging="841"/>
        <w:jc w:val="both"/>
      </w:pPr>
      <w:r>
        <w:rPr>
          <w:color w:val="000080"/>
          <w:u w:val="single" w:color="000080"/>
        </w:rPr>
        <w:t>I ...............................................................................</w:t>
      </w:r>
      <w:r>
        <w:rPr>
          <w:color w:val="000080"/>
          <w:u w:val="single" w:color="000080"/>
        </w:rPr>
        <w:t>.....................................................                                                                                                                                                   102</w:t>
      </w:r>
    </w:p>
    <w:p w:rsidR="00E23B86" w:rsidRDefault="00BA7C13">
      <w:pPr>
        <w:numPr>
          <w:ilvl w:val="0"/>
          <w:numId w:val="140"/>
        </w:numPr>
        <w:spacing w:after="152" w:line="257" w:lineRule="auto"/>
        <w:ind w:right="1" w:hanging="841"/>
        <w:jc w:val="both"/>
      </w:pPr>
      <w:r>
        <w:rPr>
          <w:color w:val="000080"/>
          <w:u w:val="single" w:color="000080"/>
        </w:rPr>
        <w:t>ACTO DE CALIFICACIÓN  ..............................</w:t>
      </w:r>
      <w:r>
        <w:rPr>
          <w:color w:val="000080"/>
          <w:u w:val="single" w:color="000080"/>
        </w:rPr>
        <w:t>.................................................................                                                                                                           102</w:t>
      </w:r>
    </w:p>
    <w:p w:rsidR="00E23B86" w:rsidRDefault="00BA7C13">
      <w:pPr>
        <w:numPr>
          <w:ilvl w:val="0"/>
          <w:numId w:val="140"/>
        </w:numPr>
        <w:spacing w:after="154" w:line="257" w:lineRule="auto"/>
        <w:ind w:right="1" w:hanging="841"/>
        <w:jc w:val="both"/>
      </w:pPr>
      <w:r>
        <w:rPr>
          <w:color w:val="000080"/>
          <w:u w:val="single" w:color="000080"/>
        </w:rPr>
        <w:t>I...............................................................................</w:t>
      </w:r>
      <w:r>
        <w:rPr>
          <w:color w:val="000080"/>
          <w:u w:val="single" w:color="000080"/>
        </w:rPr>
        <w:t>.....................................................                                                                                                                                                    115</w:t>
      </w:r>
    </w:p>
    <w:p w:rsidR="00E23B86" w:rsidRDefault="00BA7C13">
      <w:pPr>
        <w:numPr>
          <w:ilvl w:val="0"/>
          <w:numId w:val="140"/>
        </w:numPr>
        <w:spacing w:after="152" w:line="257" w:lineRule="auto"/>
        <w:ind w:right="1" w:hanging="841"/>
        <w:jc w:val="both"/>
      </w:pPr>
      <w:r>
        <w:rPr>
          <w:color w:val="000080"/>
          <w:u w:val="single" w:color="000080"/>
        </w:rPr>
        <w:t>ACTO DE CALIFICACIÓN ..............................</w:t>
      </w:r>
      <w:r>
        <w:rPr>
          <w:color w:val="000080"/>
          <w:u w:val="single" w:color="000080"/>
        </w:rPr>
        <w:t>.................................................................                                                                                                            115</w:t>
      </w:r>
    </w:p>
    <w:p w:rsidR="00E23B86" w:rsidRDefault="00BA7C13">
      <w:pPr>
        <w:numPr>
          <w:ilvl w:val="0"/>
          <w:numId w:val="140"/>
        </w:numPr>
        <w:spacing w:after="145" w:line="249" w:lineRule="auto"/>
        <w:ind w:right="1" w:hanging="841"/>
        <w:jc w:val="both"/>
      </w:pPr>
      <w:r>
        <w:rPr>
          <w:noProof/>
        </w:rPr>
        <mc:AlternateContent>
          <mc:Choice Requires="wpg">
            <w:drawing>
              <wp:anchor distT="0" distB="0" distL="114300" distR="114300" simplePos="0" relativeHeight="2519275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4517" name="Group 55451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2139" name="Rectangle 4213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w:t>
                              </w:r>
                              <w:r>
                                <w:rPr>
                                  <w:rFonts w:ascii="Arial" w:eastAsia="Arial" w:hAnsi="Arial" w:cs="Arial"/>
                                  <w:sz w:val="12"/>
                                </w:rPr>
                                <w:t xml:space="preserve">a.sedelectronica.es/ </w:t>
                              </w:r>
                            </w:p>
                          </w:txbxContent>
                        </wps:txbx>
                        <wps:bodyPr horzOverflow="overflow" vert="horz" lIns="0" tIns="0" rIns="0" bIns="0" rtlCol="0">
                          <a:noAutofit/>
                        </wps:bodyPr>
                      </wps:wsp>
                      <wps:wsp>
                        <wps:cNvPr id="42140" name="Rectangle 4214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261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4517" style="width:12.7031pt;height:280.35pt;position:absolute;mso-position-horizontal-relative:page;mso-position-horizontal:absolute;margin-left:681.958pt;mso-position-vertical-relative:page;margin-top:531.65pt;" coordsize="1613,35604">
                <v:rect id="Rectangle 4213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214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261 de 391 </w:t>
                        </w:r>
                      </w:p>
                    </w:txbxContent>
                  </v:textbox>
                </v:rect>
                <w10:wrap type="square"/>
              </v:group>
            </w:pict>
          </mc:Fallback>
        </mc:AlternateContent>
      </w:r>
      <w:r>
        <w:rPr>
          <w:b/>
          <w:color w:val="000080"/>
          <w:u w:val="single" w:color="000080"/>
        </w:rPr>
        <w:t xml:space="preserve">INTRODUCCIÓN    ....................................................................................................                     </w:t>
      </w:r>
      <w:r>
        <w:rPr>
          <w:b/>
          <w:color w:val="000080"/>
          <w:u w:val="single" w:color="000080"/>
        </w:rPr>
        <w:t xml:space="preserve">                                                                                               158</w:t>
      </w:r>
    </w:p>
    <w:p w:rsidR="00E23B86" w:rsidRDefault="00BA7C13">
      <w:pPr>
        <w:numPr>
          <w:ilvl w:val="0"/>
          <w:numId w:val="140"/>
        </w:numPr>
        <w:spacing w:after="9" w:line="249" w:lineRule="auto"/>
        <w:ind w:right="1" w:hanging="841"/>
        <w:jc w:val="both"/>
      </w:pPr>
      <w:r>
        <w:rPr>
          <w:b/>
          <w:color w:val="000080"/>
          <w:u w:val="single" w:color="000080"/>
        </w:rPr>
        <w:t xml:space="preserve">1. COMPETENCIAS DEL AYUNTAMIENTO EN MATERIA DE PREVENCIÓN DE </w:t>
      </w:r>
    </w:p>
    <w:p w:rsidR="00E23B86" w:rsidRDefault="00BA7C13">
      <w:pPr>
        <w:spacing w:after="145" w:line="249" w:lineRule="auto"/>
        <w:ind w:left="353" w:hanging="8"/>
      </w:pPr>
      <w:r>
        <w:rPr>
          <w:b/>
          <w:color w:val="000080"/>
          <w:u w:val="single" w:color="000080"/>
        </w:rPr>
        <w:t xml:space="preserve"> DROGODEPENDENCIAS.  </w:t>
      </w:r>
      <w:r>
        <w:rPr>
          <w:b/>
          <w:color w:val="000080"/>
          <w:u w:val="single" w:color="000080"/>
        </w:rPr>
        <w:t>..........................................................................................                                                                                                        158</w:t>
      </w:r>
    </w:p>
    <w:p w:rsidR="00E23B86" w:rsidRDefault="00BA7C13">
      <w:pPr>
        <w:numPr>
          <w:ilvl w:val="0"/>
          <w:numId w:val="140"/>
        </w:numPr>
        <w:spacing w:after="9" w:line="249" w:lineRule="auto"/>
        <w:ind w:right="1" w:hanging="841"/>
        <w:jc w:val="both"/>
      </w:pPr>
      <w:r>
        <w:rPr>
          <w:b/>
          <w:color w:val="000080"/>
          <w:u w:val="single" w:color="000080"/>
        </w:rPr>
        <w:t>2. ANÁLISIS DE LA PROBLEMÁTICA Y APROXIMACIÓN EPIDEMIOLÓGI</w:t>
      </w:r>
      <w:r>
        <w:rPr>
          <w:b/>
          <w:color w:val="000080"/>
          <w:u w:val="single" w:color="000080"/>
        </w:rPr>
        <w:t xml:space="preserve">CA Y </w:t>
      </w:r>
    </w:p>
    <w:p w:rsidR="00E23B86" w:rsidRDefault="00BA7C13">
      <w:pPr>
        <w:spacing w:after="145" w:line="249" w:lineRule="auto"/>
        <w:ind w:left="353" w:hanging="8"/>
      </w:pPr>
      <w:r>
        <w:rPr>
          <w:b/>
          <w:color w:val="000080"/>
          <w:u w:val="single" w:color="000080"/>
        </w:rPr>
        <w:t xml:space="preserve"> CONTEXTUAL DE LAS ADICCIONES EN EL AMBITO MUNICIPAL   ...............................                                   159</w:t>
      </w:r>
    </w:p>
    <w:p w:rsidR="00E23B86" w:rsidRDefault="00BA7C13">
      <w:pPr>
        <w:numPr>
          <w:ilvl w:val="0"/>
          <w:numId w:val="140"/>
        </w:numPr>
        <w:spacing w:after="155" w:line="257" w:lineRule="auto"/>
        <w:ind w:right="1" w:hanging="841"/>
        <w:jc w:val="both"/>
      </w:pPr>
      <w:r>
        <w:rPr>
          <w:color w:val="000080"/>
          <w:u w:val="single" w:color="000080"/>
        </w:rPr>
        <w:t>2.1. Resultados de la evaluación del III Plan Municipal sobre Drogodependencias (2013-</w:t>
      </w:r>
    </w:p>
    <w:p w:rsidR="00E23B86" w:rsidRDefault="00BA7C13">
      <w:pPr>
        <w:spacing w:after="155" w:line="257" w:lineRule="auto"/>
        <w:ind w:left="343" w:hanging="358"/>
      </w:pPr>
      <w:r>
        <w:rPr>
          <w:color w:val="000080"/>
          <w:u w:val="single" w:color="000080"/>
        </w:rPr>
        <w:t xml:space="preserve"> 2017) ...............................</w:t>
      </w:r>
      <w:r>
        <w:rPr>
          <w:color w:val="000080"/>
          <w:u w:val="single" w:color="000080"/>
        </w:rPr>
        <w:t>...........................................................................................                                                                                                                                          159</w:t>
      </w:r>
    </w:p>
    <w:p w:rsidR="00E23B86" w:rsidRDefault="00BA7C13">
      <w:pPr>
        <w:numPr>
          <w:ilvl w:val="0"/>
          <w:numId w:val="140"/>
        </w:numPr>
        <w:spacing w:after="2" w:line="257" w:lineRule="auto"/>
        <w:ind w:right="1" w:hanging="841"/>
        <w:jc w:val="both"/>
      </w:pPr>
      <w:r>
        <w:rPr>
          <w:color w:val="000080"/>
          <w:u w:val="single" w:color="000080"/>
        </w:rPr>
        <w:t>2.2. La prevalencia del</w:t>
      </w:r>
      <w:r>
        <w:rPr>
          <w:color w:val="000080"/>
          <w:u w:val="single" w:color="000080"/>
        </w:rPr>
        <w:t xml:space="preserve"> consumo en Canarias e indicaciones para la planificación de las </w:t>
      </w:r>
    </w:p>
    <w:p w:rsidR="00E23B86" w:rsidRDefault="00BA7C13">
      <w:pPr>
        <w:spacing w:after="0" w:line="395" w:lineRule="auto"/>
        <w:ind w:left="-15" w:firstLine="358"/>
      </w:pPr>
      <w:r>
        <w:rPr>
          <w:color w:val="000080"/>
          <w:u w:val="single" w:color="000080"/>
        </w:rPr>
        <w:t xml:space="preserve"> acciones de prevención e inserción.  ..........................................................................</w:t>
      </w:r>
      <w:r>
        <w:rPr>
          <w:color w:val="000080"/>
          <w:u w:val="single" w:color="000080"/>
        </w:rPr>
        <w:t xml:space="preserve">                                                                                    161</w:t>
      </w:r>
    </w:p>
    <w:p w:rsidR="00E23B86" w:rsidRDefault="00BA7C13">
      <w:pPr>
        <w:numPr>
          <w:ilvl w:val="0"/>
          <w:numId w:val="140"/>
        </w:numPr>
        <w:spacing w:after="0" w:line="395" w:lineRule="auto"/>
        <w:ind w:right="1" w:hanging="841"/>
        <w:jc w:val="both"/>
      </w:pPr>
      <w:r>
        <w:rPr>
          <w:color w:val="000080"/>
          <w:u w:val="single" w:color="000080"/>
        </w:rPr>
        <w:t xml:space="preserve">2.3. Descripción del contexto municipal    ...................................................................                                                          </w:t>
      </w:r>
      <w:r>
        <w:rPr>
          <w:color w:val="000080"/>
          <w:u w:val="single" w:color="000080"/>
        </w:rPr>
        <w:t xml:space="preserve">                 162</w:t>
      </w:r>
    </w:p>
    <w:p w:rsidR="00E23B86" w:rsidRDefault="00BA7C13">
      <w:pPr>
        <w:numPr>
          <w:ilvl w:val="0"/>
          <w:numId w:val="140"/>
        </w:numPr>
        <w:spacing w:after="154" w:line="257" w:lineRule="auto"/>
        <w:ind w:right="1" w:hanging="841"/>
        <w:jc w:val="both"/>
      </w:pPr>
      <w:r>
        <w:rPr>
          <w:color w:val="000080"/>
          <w:u w:val="single" w:color="000080"/>
        </w:rPr>
        <w:t>2.3.1. Contexto demográfico y laboral  .........................................................................                                                                                  163</w:t>
      </w:r>
    </w:p>
    <w:p w:rsidR="00E23B86" w:rsidRDefault="00BA7C13">
      <w:pPr>
        <w:numPr>
          <w:ilvl w:val="0"/>
          <w:numId w:val="140"/>
        </w:numPr>
        <w:spacing w:after="152" w:line="257" w:lineRule="auto"/>
        <w:ind w:right="1" w:hanging="841"/>
        <w:jc w:val="both"/>
      </w:pPr>
      <w:r>
        <w:rPr>
          <w:color w:val="000080"/>
          <w:u w:val="single" w:color="000080"/>
        </w:rPr>
        <w:t>2.4. Recomendaciones para el diseño del IV Plan    .....................................................                                                           167</w:t>
      </w:r>
    </w:p>
    <w:p w:rsidR="00E23B86" w:rsidRDefault="00BA7C13">
      <w:pPr>
        <w:numPr>
          <w:ilvl w:val="0"/>
          <w:numId w:val="140"/>
        </w:numPr>
        <w:spacing w:after="145" w:line="249" w:lineRule="auto"/>
        <w:ind w:right="1" w:hanging="841"/>
        <w:jc w:val="both"/>
      </w:pPr>
      <w:r>
        <w:rPr>
          <w:b/>
          <w:color w:val="000080"/>
          <w:u w:val="single" w:color="000080"/>
        </w:rPr>
        <w:t>3.LOS PRINCIPIOS DEL IV PLAN ............................................................</w:t>
      </w:r>
      <w:r>
        <w:rPr>
          <w:b/>
          <w:color w:val="000080"/>
          <w:u w:val="single" w:color="000080"/>
        </w:rPr>
        <w:t>....................                                                                                              168</w:t>
      </w:r>
    </w:p>
    <w:p w:rsidR="00E23B86" w:rsidRDefault="00BA7C13">
      <w:pPr>
        <w:numPr>
          <w:ilvl w:val="0"/>
          <w:numId w:val="140"/>
        </w:numPr>
        <w:spacing w:after="143" w:line="249" w:lineRule="auto"/>
        <w:ind w:right="1" w:hanging="841"/>
        <w:jc w:val="both"/>
      </w:pPr>
      <w:r>
        <w:rPr>
          <w:b/>
          <w:color w:val="000080"/>
          <w:u w:val="single" w:color="000080"/>
        </w:rPr>
        <w:t xml:space="preserve">4.CAMPO DE ACTUACIÓN  ......................................................................................                              </w:t>
      </w:r>
      <w:r>
        <w:rPr>
          <w:b/>
          <w:color w:val="000080"/>
          <w:u w:val="single" w:color="000080"/>
        </w:rPr>
        <w:t xml:space="preserve">                                                                       169</w:t>
      </w:r>
    </w:p>
    <w:p w:rsidR="00E23B86" w:rsidRDefault="00BA7C13">
      <w:pPr>
        <w:numPr>
          <w:ilvl w:val="0"/>
          <w:numId w:val="140"/>
        </w:numPr>
        <w:spacing w:after="143" w:line="249" w:lineRule="auto"/>
        <w:ind w:right="1" w:hanging="841"/>
        <w:jc w:val="both"/>
      </w:pPr>
      <w:r>
        <w:rPr>
          <w:b/>
          <w:color w:val="000080"/>
          <w:u w:val="single" w:color="000080"/>
        </w:rPr>
        <w:t xml:space="preserve">5.META Y OBJETIVOS GENERALES DEL IV PLAN SOBRE ADICCIONES DE CANDELARIA  </w:t>
      </w:r>
    </w:p>
    <w:p w:rsidR="00E23B86" w:rsidRDefault="00BA7C13">
      <w:pPr>
        <w:spacing w:after="143" w:line="249" w:lineRule="auto"/>
        <w:ind w:left="353" w:hanging="8"/>
      </w:pPr>
      <w:r>
        <w:rPr>
          <w:b/>
          <w:color w:val="000080"/>
          <w:u w:val="single" w:color="000080"/>
        </w:rPr>
        <w:t>...........................................................................................................</w:t>
      </w:r>
      <w:r>
        <w:rPr>
          <w:b/>
          <w:color w:val="000080"/>
          <w:u w:val="single" w:color="000080"/>
        </w:rPr>
        <w:t>.....................                                                                                                                                                     170</w:t>
      </w:r>
    </w:p>
    <w:p w:rsidR="00E23B86" w:rsidRDefault="00BA7C13">
      <w:pPr>
        <w:numPr>
          <w:ilvl w:val="0"/>
          <w:numId w:val="140"/>
        </w:numPr>
        <w:spacing w:after="145" w:line="249" w:lineRule="auto"/>
        <w:ind w:right="1" w:hanging="841"/>
        <w:jc w:val="both"/>
      </w:pPr>
      <w:r>
        <w:rPr>
          <w:b/>
          <w:color w:val="000080"/>
          <w:u w:val="single" w:color="000080"/>
        </w:rPr>
        <w:t>6.ÁREAS DE ACTUACIÓN  ............................................................</w:t>
      </w:r>
      <w:r>
        <w:rPr>
          <w:b/>
          <w:color w:val="000080"/>
          <w:u w:val="single" w:color="000080"/>
        </w:rPr>
        <w:t>.............................                                                                                                       170</w:t>
      </w:r>
    </w:p>
    <w:p w:rsidR="00E23B86" w:rsidRDefault="00BA7C13">
      <w:pPr>
        <w:numPr>
          <w:ilvl w:val="0"/>
          <w:numId w:val="140"/>
        </w:numPr>
        <w:spacing w:after="152" w:line="257" w:lineRule="auto"/>
        <w:ind w:right="1" w:hanging="841"/>
        <w:jc w:val="both"/>
      </w:pPr>
      <w:r>
        <w:rPr>
          <w:color w:val="000080"/>
          <w:u w:val="single" w:color="000080"/>
        </w:rPr>
        <w:t xml:space="preserve">6.1. ÁREA DE PREVENCIÓN Y SENSIBILIZACIÓN  ..........................................................                   </w:t>
      </w:r>
      <w:r>
        <w:rPr>
          <w:color w:val="000080"/>
          <w:u w:val="single" w:color="000080"/>
        </w:rPr>
        <w:t xml:space="preserve">                                              170</w:t>
      </w:r>
    </w:p>
    <w:p w:rsidR="00E23B86" w:rsidRDefault="00BA7C13">
      <w:pPr>
        <w:numPr>
          <w:ilvl w:val="0"/>
          <w:numId w:val="140"/>
        </w:numPr>
        <w:spacing w:after="116" w:line="257" w:lineRule="auto"/>
        <w:ind w:right="1" w:hanging="841"/>
        <w:jc w:val="both"/>
      </w:pPr>
      <w:r>
        <w:rPr>
          <w:color w:val="000080"/>
          <w:u w:val="single" w:color="000080"/>
        </w:rPr>
        <w:t xml:space="preserve">6.1.1. Ámbito Educativo  ..............................................................................................                                                                                       </w:t>
      </w:r>
      <w:r>
        <w:rPr>
          <w:color w:val="000080"/>
          <w:u w:val="single" w:color="000080"/>
        </w:rPr>
        <w:t xml:space="preserve">                  171</w:t>
      </w:r>
    </w:p>
    <w:p w:rsidR="00E23B86" w:rsidRDefault="00BA7C13">
      <w:pPr>
        <w:spacing w:after="154" w:line="257" w:lineRule="auto"/>
        <w:ind w:left="368" w:hanging="10"/>
      </w:pPr>
      <w:r>
        <w:rPr>
          <w:color w:val="000080"/>
          <w:u w:val="single" w:color="000080"/>
        </w:rPr>
        <w:t xml:space="preserve"> 6.1.2. Ámbito Familiar  .................................................................................................                                                                                                            172</w:t>
      </w:r>
    </w:p>
    <w:p w:rsidR="00E23B86" w:rsidRDefault="00BA7C13">
      <w:pPr>
        <w:numPr>
          <w:ilvl w:val="0"/>
          <w:numId w:val="140"/>
        </w:numPr>
        <w:spacing w:after="152" w:line="257" w:lineRule="auto"/>
        <w:ind w:right="1" w:hanging="841"/>
        <w:jc w:val="both"/>
      </w:pPr>
      <w:r>
        <w:rPr>
          <w:color w:val="000080"/>
          <w:u w:val="single" w:color="000080"/>
        </w:rPr>
        <w:t>6.1.3. Ámbito Comunitario  .........................................................................................                                                                                                    173</w:t>
      </w:r>
    </w:p>
    <w:p w:rsidR="00E23B86" w:rsidRDefault="00BA7C13">
      <w:pPr>
        <w:numPr>
          <w:ilvl w:val="0"/>
          <w:numId w:val="140"/>
        </w:numPr>
        <w:spacing w:after="154" w:line="257" w:lineRule="auto"/>
        <w:ind w:right="1" w:hanging="841"/>
        <w:jc w:val="both"/>
      </w:pPr>
      <w:r>
        <w:rPr>
          <w:color w:val="000080"/>
          <w:u w:val="single" w:color="000080"/>
        </w:rPr>
        <w:t>6.2. ÁREA DE INSERCIÓN SOCIAL  .....</w:t>
      </w:r>
      <w:r>
        <w:rPr>
          <w:color w:val="000080"/>
          <w:u w:val="single" w:color="000080"/>
        </w:rPr>
        <w:t>............................................................................                                                                                           175</w:t>
      </w:r>
    </w:p>
    <w:p w:rsidR="00E23B86" w:rsidRDefault="00BA7C13">
      <w:pPr>
        <w:numPr>
          <w:ilvl w:val="0"/>
          <w:numId w:val="140"/>
        </w:numPr>
        <w:spacing w:after="152" w:line="257" w:lineRule="auto"/>
        <w:ind w:right="1" w:hanging="841"/>
        <w:jc w:val="both"/>
      </w:pPr>
      <w:r>
        <w:rPr>
          <w:color w:val="000080"/>
          <w:u w:val="single" w:color="000080"/>
        </w:rPr>
        <w:t>6.3.ÁREA DE SOPORTE Y APOYO  ........................................................</w:t>
      </w:r>
      <w:r>
        <w:rPr>
          <w:color w:val="000080"/>
          <w:u w:val="single" w:color="000080"/>
        </w:rPr>
        <w:t>.........................                                                                                           176</w:t>
      </w:r>
    </w:p>
    <w:p w:rsidR="00E23B86" w:rsidRDefault="00BA7C13">
      <w:pPr>
        <w:numPr>
          <w:ilvl w:val="0"/>
          <w:numId w:val="140"/>
        </w:numPr>
        <w:spacing w:after="145" w:line="249" w:lineRule="auto"/>
        <w:ind w:right="1" w:hanging="841"/>
        <w:jc w:val="both"/>
      </w:pPr>
      <w:r>
        <w:rPr>
          <w:b/>
          <w:color w:val="000080"/>
          <w:u w:val="single" w:color="000080"/>
        </w:rPr>
        <w:t xml:space="preserve">7.COORDINACIÓN DE LAS ACTUACIONES DEL IV PLAN  .............................................                                            </w:t>
      </w:r>
      <w:r>
        <w:rPr>
          <w:b/>
          <w:color w:val="000080"/>
          <w:u w:val="single" w:color="000080"/>
        </w:rPr>
        <w:t xml:space="preserve">       177</w:t>
      </w:r>
    </w:p>
    <w:p w:rsidR="00E23B86" w:rsidRDefault="00BA7C13">
      <w:pPr>
        <w:numPr>
          <w:ilvl w:val="0"/>
          <w:numId w:val="140"/>
        </w:numPr>
        <w:spacing w:after="152" w:line="257" w:lineRule="auto"/>
        <w:ind w:right="1" w:hanging="841"/>
        <w:jc w:val="both"/>
      </w:pPr>
      <w:r>
        <w:rPr>
          <w:color w:val="000080"/>
          <w:u w:val="single" w:color="000080"/>
        </w:rPr>
        <w:t>7.1. Comisión Municipal de Prevención de Adicciones de Candelaria  .........................                           177</w:t>
      </w:r>
    </w:p>
    <w:p w:rsidR="00E23B86" w:rsidRDefault="00BA7C13">
      <w:pPr>
        <w:numPr>
          <w:ilvl w:val="0"/>
          <w:numId w:val="140"/>
        </w:numPr>
        <w:spacing w:after="154" w:line="257" w:lineRule="auto"/>
        <w:ind w:right="1" w:hanging="841"/>
        <w:jc w:val="both"/>
      </w:pPr>
      <w:r>
        <w:rPr>
          <w:color w:val="000080"/>
          <w:u w:val="single" w:color="000080"/>
        </w:rPr>
        <w:t>7.2. Comisión Mixta de Prevención de Adicciones de Candelaria  ................................</w:t>
      </w:r>
      <w:r>
        <w:rPr>
          <w:color w:val="000080"/>
          <w:u w:val="single" w:color="000080"/>
        </w:rPr>
        <w:t xml:space="preserve">                                   177</w:t>
      </w:r>
    </w:p>
    <w:p w:rsidR="00E23B86" w:rsidRDefault="00BA7C13">
      <w:pPr>
        <w:numPr>
          <w:ilvl w:val="0"/>
          <w:numId w:val="140"/>
        </w:numPr>
        <w:spacing w:after="143" w:line="249" w:lineRule="auto"/>
        <w:ind w:right="1" w:hanging="841"/>
        <w:jc w:val="both"/>
      </w:pPr>
      <w:r>
        <w:rPr>
          <w:b/>
          <w:color w:val="000080"/>
          <w:u w:val="single" w:color="000080"/>
        </w:rPr>
        <w:t>8.RECURSOS DEL IV PLAN   .......................................................................................                                                                                                    178</w:t>
      </w:r>
    </w:p>
    <w:p w:rsidR="00E23B86" w:rsidRDefault="00BA7C13">
      <w:pPr>
        <w:numPr>
          <w:ilvl w:val="0"/>
          <w:numId w:val="140"/>
        </w:numPr>
        <w:spacing w:after="145" w:line="249" w:lineRule="auto"/>
        <w:ind w:right="1" w:hanging="841"/>
        <w:jc w:val="both"/>
      </w:pPr>
      <w:r>
        <w:rPr>
          <w:b/>
          <w:color w:val="000080"/>
          <w:u w:val="single" w:color="000080"/>
        </w:rPr>
        <w:t>9</w:t>
      </w:r>
      <w:r>
        <w:rPr>
          <w:b/>
          <w:color w:val="000080"/>
          <w:u w:val="single" w:color="000080"/>
        </w:rPr>
        <w:t>.EVALUACIÓN Y SEGUIMIENTO DEL PLAN  ..............................................................                                                                       179</w:t>
      </w:r>
    </w:p>
    <w:p w:rsidR="00E23B86" w:rsidRDefault="00BA7C13">
      <w:pPr>
        <w:numPr>
          <w:ilvl w:val="0"/>
          <w:numId w:val="140"/>
        </w:numPr>
        <w:spacing w:after="152" w:line="257" w:lineRule="auto"/>
        <w:ind w:right="1" w:hanging="841"/>
        <w:jc w:val="both"/>
      </w:pPr>
      <w:r>
        <w:rPr>
          <w:color w:val="000080"/>
          <w:u w:val="single" w:color="000080"/>
        </w:rPr>
        <w:t>Ley 16/2019, de 2 de mayo, de Servicios Sociales de Canarias. .....................</w:t>
      </w:r>
      <w:r>
        <w:rPr>
          <w:color w:val="000080"/>
          <w:u w:val="single" w:color="000080"/>
        </w:rPr>
        <w:t>..............                                       184</w:t>
      </w:r>
    </w:p>
    <w:p w:rsidR="00E23B86" w:rsidRDefault="00BA7C13">
      <w:pPr>
        <w:numPr>
          <w:ilvl w:val="0"/>
          <w:numId w:val="140"/>
        </w:numPr>
        <w:spacing w:after="9" w:line="249" w:lineRule="auto"/>
        <w:ind w:right="1" w:hanging="841"/>
        <w:jc w:val="both"/>
      </w:pPr>
      <w:r>
        <w:rPr>
          <w:b/>
          <w:color w:val="000080"/>
          <w:u w:val="single" w:color="000080"/>
        </w:rPr>
        <w:t xml:space="preserve">1. COMPETENCIAS DEL AYUNTAMIENTO EN MATERIA DE PREVENCIÓN DE </w:t>
      </w:r>
    </w:p>
    <w:p w:rsidR="00E23B86" w:rsidRDefault="00BA7C13">
      <w:pPr>
        <w:spacing w:after="143" w:line="249" w:lineRule="auto"/>
        <w:ind w:left="353" w:hanging="8"/>
      </w:pPr>
      <w:r>
        <w:rPr>
          <w:b/>
          <w:color w:val="000080"/>
          <w:u w:val="single" w:color="000080"/>
        </w:rPr>
        <w:t xml:space="preserve"> DROGODEPENDENCIAS.  ..........................................................................................                          </w:t>
      </w:r>
      <w:r>
        <w:rPr>
          <w:b/>
          <w:color w:val="000080"/>
          <w:u w:val="single" w:color="000080"/>
        </w:rPr>
        <w:t xml:space="preserve">                                                                              199</w:t>
      </w:r>
    </w:p>
    <w:p w:rsidR="00E23B86" w:rsidRDefault="00BA7C13">
      <w:pPr>
        <w:numPr>
          <w:ilvl w:val="0"/>
          <w:numId w:val="140"/>
        </w:numPr>
        <w:spacing w:after="9" w:line="249" w:lineRule="auto"/>
        <w:ind w:right="1" w:hanging="841"/>
        <w:jc w:val="both"/>
      </w:pPr>
      <w:r>
        <w:rPr>
          <w:b/>
          <w:color w:val="000080"/>
          <w:u w:val="single" w:color="000080"/>
        </w:rPr>
        <w:t xml:space="preserve">2. ANÁLISIS DE LA PROBLEMÁTICA Y APROXIMACIÓN EPIDEMIOLÓGICA Y </w:t>
      </w:r>
    </w:p>
    <w:p w:rsidR="00E23B86" w:rsidRDefault="00BA7C13">
      <w:pPr>
        <w:spacing w:after="143" w:line="249" w:lineRule="auto"/>
        <w:ind w:left="353" w:hanging="8"/>
      </w:pPr>
      <w:r>
        <w:rPr>
          <w:b/>
          <w:color w:val="000080"/>
          <w:u w:val="single" w:color="000080"/>
        </w:rPr>
        <w:t xml:space="preserve"> CONTEXTUAL DE LAS ADICCIONES EN EL AMBITO MUNICIPAL   ...............................                        </w:t>
      </w:r>
      <w:r>
        <w:rPr>
          <w:b/>
          <w:color w:val="000080"/>
          <w:u w:val="single" w:color="000080"/>
        </w:rPr>
        <w:t xml:space="preserve">           200</w:t>
      </w:r>
    </w:p>
    <w:p w:rsidR="00E23B86" w:rsidRDefault="00BA7C13">
      <w:pPr>
        <w:numPr>
          <w:ilvl w:val="0"/>
          <w:numId w:val="140"/>
        </w:numPr>
        <w:spacing w:after="2" w:line="257" w:lineRule="auto"/>
        <w:ind w:right="1" w:hanging="841"/>
        <w:jc w:val="both"/>
      </w:pPr>
      <w:r>
        <w:rPr>
          <w:color w:val="000080"/>
          <w:u w:val="single" w:color="000080"/>
        </w:rPr>
        <w:t>2.1. Resultados de la evaluación del III Plan Municipal sobre Drogodependencias (2013-</w:t>
      </w:r>
    </w:p>
    <w:p w:rsidR="00E23B86" w:rsidRDefault="00BA7C13">
      <w:pPr>
        <w:spacing w:after="152" w:line="257" w:lineRule="auto"/>
        <w:ind w:left="368" w:hanging="10"/>
      </w:pPr>
      <w:r>
        <w:rPr>
          <w:color w:val="000080"/>
          <w:u w:val="single" w:color="000080"/>
        </w:rPr>
        <w:t xml:space="preserve"> 2017) ..........................................................................................................................                         </w:t>
      </w:r>
      <w:r>
        <w:rPr>
          <w:color w:val="000080"/>
          <w:u w:val="single" w:color="000080"/>
        </w:rPr>
        <w:t xml:space="preserve">                                                                                                                 200</w:t>
      </w:r>
    </w:p>
    <w:p w:rsidR="00E23B86" w:rsidRDefault="00BA7C13">
      <w:pPr>
        <w:numPr>
          <w:ilvl w:val="0"/>
          <w:numId w:val="140"/>
        </w:numPr>
        <w:spacing w:after="2" w:line="257" w:lineRule="auto"/>
        <w:ind w:right="1" w:hanging="841"/>
        <w:jc w:val="both"/>
      </w:pPr>
      <w:r>
        <w:rPr>
          <w:color w:val="000080"/>
          <w:u w:val="single" w:color="000080"/>
        </w:rPr>
        <w:t xml:space="preserve">2.2. La prevalencia del consumo en Canarias e indicaciones para la planificación de las </w:t>
      </w:r>
    </w:p>
    <w:p w:rsidR="00E23B86" w:rsidRDefault="00BA7C13">
      <w:pPr>
        <w:spacing w:after="2" w:line="393" w:lineRule="auto"/>
        <w:ind w:left="-15" w:firstLine="358"/>
      </w:pPr>
      <w:r>
        <w:rPr>
          <w:noProof/>
        </w:rPr>
        <mc:AlternateContent>
          <mc:Choice Requires="wpg">
            <w:drawing>
              <wp:anchor distT="0" distB="0" distL="114300" distR="114300" simplePos="0" relativeHeight="2519285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4829" name="Group 55482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2582" name="Rectangle 4258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2583" name="Rectangle 4258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262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4829" style="width:12.7031pt;height:280.35pt;position:absolute;mso-position-horizontal-relative:page;mso-position-horizontal:absolute;margin-left:681.958pt;mso-position-vertical-relative:page;margin-top:531.65pt;" coordsize="1613,35604">
                <v:rect id="Rectangle 4258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258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262 de 391 </w:t>
                        </w:r>
                      </w:p>
                    </w:txbxContent>
                  </v:textbox>
                </v:rect>
                <w10:wrap type="square"/>
              </v:group>
            </w:pict>
          </mc:Fallback>
        </mc:AlternateContent>
      </w:r>
      <w:r>
        <w:rPr>
          <w:color w:val="000080"/>
          <w:u w:val="single" w:color="000080"/>
        </w:rPr>
        <w:t xml:space="preserve"> acciones de prevención e inserción.   ......................</w:t>
      </w:r>
      <w:r>
        <w:rPr>
          <w:color w:val="000080"/>
          <w:u w:val="single" w:color="000080"/>
        </w:rPr>
        <w:t xml:space="preserve">....................................................                                                                                   201 </w:t>
      </w:r>
      <w:r>
        <w:rPr>
          <w:rFonts w:ascii="Segoe UI Symbol" w:eastAsia="Segoe UI Symbol" w:hAnsi="Segoe UI Symbol" w:cs="Segoe UI Symbol"/>
          <w:sz w:val="20"/>
        </w:rPr>
        <w:t></w:t>
      </w:r>
      <w:r>
        <w:rPr>
          <w:color w:val="000080"/>
          <w:u w:val="single" w:color="000080"/>
        </w:rPr>
        <w:t xml:space="preserve"> 2.3. Descripción del contexto municipal    ...................................................................     </w:t>
      </w:r>
      <w:r>
        <w:rPr>
          <w:color w:val="000080"/>
          <w:u w:val="single" w:color="000080"/>
        </w:rPr>
        <w:t xml:space="preserve">                                                                      202</w:t>
      </w:r>
    </w:p>
    <w:p w:rsidR="00E23B86" w:rsidRDefault="00BA7C13">
      <w:pPr>
        <w:numPr>
          <w:ilvl w:val="0"/>
          <w:numId w:val="140"/>
        </w:numPr>
        <w:spacing w:after="152" w:line="257" w:lineRule="auto"/>
        <w:ind w:right="1" w:hanging="841"/>
        <w:jc w:val="both"/>
      </w:pPr>
      <w:r>
        <w:rPr>
          <w:color w:val="000080"/>
          <w:u w:val="single" w:color="000080"/>
        </w:rPr>
        <w:t xml:space="preserve">2.3.1. Contexto demográfico y laboral  .........................................................................                                                                      </w:t>
      </w:r>
      <w:r>
        <w:rPr>
          <w:color w:val="000080"/>
          <w:u w:val="single" w:color="000080"/>
        </w:rPr>
        <w:t xml:space="preserve">            203</w:t>
      </w:r>
    </w:p>
    <w:p w:rsidR="00E23B86" w:rsidRDefault="00BA7C13">
      <w:pPr>
        <w:numPr>
          <w:ilvl w:val="0"/>
          <w:numId w:val="140"/>
        </w:numPr>
        <w:spacing w:after="154" w:line="257" w:lineRule="auto"/>
        <w:ind w:right="1" w:hanging="841"/>
        <w:jc w:val="both"/>
      </w:pPr>
      <w:r>
        <w:rPr>
          <w:color w:val="000080"/>
          <w:u w:val="single" w:color="000080"/>
        </w:rPr>
        <w:t>2.4. Recomendaciones para el diseño del IV Plan   .....................................................                                                            207</w:t>
      </w:r>
    </w:p>
    <w:p w:rsidR="00E23B86" w:rsidRDefault="00BA7C13">
      <w:pPr>
        <w:numPr>
          <w:ilvl w:val="0"/>
          <w:numId w:val="140"/>
        </w:numPr>
        <w:spacing w:after="143" w:line="249" w:lineRule="auto"/>
        <w:ind w:right="1" w:hanging="841"/>
        <w:jc w:val="both"/>
      </w:pPr>
      <w:r>
        <w:rPr>
          <w:b/>
          <w:color w:val="000080"/>
          <w:u w:val="single" w:color="000080"/>
        </w:rPr>
        <w:t xml:space="preserve">10.LOS PRINCIPIOS DEL IV PLAN </w:t>
      </w:r>
      <w:r>
        <w:rPr>
          <w:b/>
          <w:color w:val="000080"/>
          <w:u w:val="single" w:color="000080"/>
        </w:rPr>
        <w:t>..............................................................................                                                                                            208</w:t>
      </w:r>
    </w:p>
    <w:p w:rsidR="00E23B86" w:rsidRDefault="00BA7C13">
      <w:pPr>
        <w:numPr>
          <w:ilvl w:val="0"/>
          <w:numId w:val="140"/>
        </w:numPr>
        <w:spacing w:after="145" w:line="249" w:lineRule="auto"/>
        <w:ind w:right="1" w:hanging="841"/>
        <w:jc w:val="both"/>
      </w:pPr>
      <w:r>
        <w:rPr>
          <w:b/>
          <w:color w:val="000080"/>
          <w:u w:val="single" w:color="000080"/>
        </w:rPr>
        <w:t>11.CAMPO DE ACTUACIÓN   ..........................................................</w:t>
      </w:r>
      <w:r>
        <w:rPr>
          <w:b/>
          <w:color w:val="000080"/>
          <w:u w:val="single" w:color="000080"/>
        </w:rPr>
        <w:t>..........................                                                                                                  210</w:t>
      </w:r>
    </w:p>
    <w:p w:rsidR="00E23B86" w:rsidRDefault="00BA7C13">
      <w:pPr>
        <w:numPr>
          <w:ilvl w:val="0"/>
          <w:numId w:val="140"/>
        </w:numPr>
        <w:spacing w:after="9" w:line="249" w:lineRule="auto"/>
        <w:ind w:right="1" w:hanging="841"/>
        <w:jc w:val="both"/>
      </w:pPr>
      <w:r>
        <w:rPr>
          <w:b/>
          <w:color w:val="000080"/>
          <w:u w:val="single" w:color="000080"/>
        </w:rPr>
        <w:t xml:space="preserve">12.META Y OBJETIVOS GENERALES DEL IV PLAN SOBRE ADICCIONES DE CANDELARIA  </w:t>
      </w:r>
    </w:p>
    <w:p w:rsidR="00E23B86" w:rsidRDefault="00BA7C13">
      <w:pPr>
        <w:spacing w:after="145" w:line="249" w:lineRule="auto"/>
        <w:ind w:left="353" w:hanging="8"/>
      </w:pPr>
      <w:r>
        <w:rPr>
          <w:b/>
          <w:color w:val="000080"/>
          <w:u w:val="single" w:color="000080"/>
        </w:rPr>
        <w:t xml:space="preserve"> </w:t>
      </w:r>
      <w:r>
        <w:rPr>
          <w:b/>
          <w:color w:val="000080"/>
          <w:u w:val="single" w:color="000080"/>
        </w:rPr>
        <w:t xml:space="preserve">................................................................................................................................                                                                                                                                </w:t>
      </w:r>
      <w:r>
        <w:rPr>
          <w:b/>
          <w:color w:val="000080"/>
          <w:u w:val="single" w:color="000080"/>
        </w:rPr>
        <w:t xml:space="preserve">                    210</w:t>
      </w:r>
    </w:p>
    <w:p w:rsidR="00E23B86" w:rsidRDefault="00BA7C13">
      <w:pPr>
        <w:numPr>
          <w:ilvl w:val="0"/>
          <w:numId w:val="140"/>
        </w:numPr>
        <w:spacing w:after="143" w:line="249" w:lineRule="auto"/>
        <w:ind w:right="1" w:hanging="841"/>
        <w:jc w:val="both"/>
      </w:pPr>
      <w:r>
        <w:rPr>
          <w:b/>
          <w:color w:val="000080"/>
          <w:u w:val="single" w:color="000080"/>
        </w:rPr>
        <w:t>13.ÁREAS DE ACTUACIÓN  .......................................................................................                                                                                                     211</w:t>
      </w:r>
    </w:p>
    <w:p w:rsidR="00E23B86" w:rsidRDefault="00BA7C13">
      <w:pPr>
        <w:numPr>
          <w:ilvl w:val="0"/>
          <w:numId w:val="140"/>
        </w:numPr>
        <w:spacing w:after="154" w:line="257" w:lineRule="auto"/>
        <w:ind w:right="1" w:hanging="841"/>
        <w:jc w:val="both"/>
      </w:pPr>
      <w:r>
        <w:rPr>
          <w:color w:val="000080"/>
          <w:u w:val="single" w:color="000080"/>
        </w:rPr>
        <w:t>6.1. ÁREA DE PREV</w:t>
      </w:r>
      <w:r>
        <w:rPr>
          <w:color w:val="000080"/>
          <w:u w:val="single" w:color="000080"/>
        </w:rPr>
        <w:t>ENCIÓN Y SENSIBILIZACIÓN ..........................................................                                                                  211</w:t>
      </w:r>
    </w:p>
    <w:p w:rsidR="00E23B86" w:rsidRDefault="00BA7C13">
      <w:pPr>
        <w:numPr>
          <w:ilvl w:val="0"/>
          <w:numId w:val="140"/>
        </w:numPr>
        <w:spacing w:after="152" w:line="257" w:lineRule="auto"/>
        <w:ind w:right="1" w:hanging="841"/>
        <w:jc w:val="both"/>
      </w:pPr>
      <w:r>
        <w:rPr>
          <w:color w:val="000080"/>
          <w:u w:val="single" w:color="000080"/>
        </w:rPr>
        <w:t>6.1.1. Ámbito Educativo  ..............................................................................</w:t>
      </w:r>
      <w:r>
        <w:rPr>
          <w:color w:val="000080"/>
          <w:u w:val="single" w:color="000080"/>
        </w:rPr>
        <w:t>................                                                                                                         211</w:t>
      </w:r>
    </w:p>
    <w:p w:rsidR="00E23B86" w:rsidRDefault="00BA7C13">
      <w:pPr>
        <w:numPr>
          <w:ilvl w:val="0"/>
          <w:numId w:val="140"/>
        </w:numPr>
        <w:spacing w:after="154" w:line="257" w:lineRule="auto"/>
        <w:ind w:right="1" w:hanging="841"/>
        <w:jc w:val="both"/>
      </w:pPr>
      <w:r>
        <w:rPr>
          <w:color w:val="000080"/>
          <w:u w:val="single" w:color="000080"/>
        </w:rPr>
        <w:t xml:space="preserve">6.1.2. Ámbito Familiar .................................................................................................           </w:t>
      </w:r>
      <w:r>
        <w:rPr>
          <w:color w:val="000080"/>
          <w:u w:val="single" w:color="000080"/>
        </w:rPr>
        <w:t xml:space="preserve">                                                                                                  212</w:t>
      </w:r>
    </w:p>
    <w:p w:rsidR="00E23B86" w:rsidRDefault="00BA7C13">
      <w:pPr>
        <w:numPr>
          <w:ilvl w:val="0"/>
          <w:numId w:val="140"/>
        </w:numPr>
        <w:spacing w:after="152" w:line="257" w:lineRule="auto"/>
        <w:ind w:right="1" w:hanging="841"/>
        <w:jc w:val="both"/>
      </w:pPr>
      <w:r>
        <w:rPr>
          <w:color w:val="000080"/>
          <w:u w:val="single" w:color="000080"/>
        </w:rPr>
        <w:t xml:space="preserve">6.1.3. Ámbito Comunitario .........................................................................................                                       </w:t>
      </w:r>
      <w:r>
        <w:rPr>
          <w:color w:val="000080"/>
          <w:u w:val="single" w:color="000080"/>
        </w:rPr>
        <w:t xml:space="preserve">                                                              213</w:t>
      </w:r>
    </w:p>
    <w:p w:rsidR="00E23B86" w:rsidRDefault="00BA7C13">
      <w:pPr>
        <w:numPr>
          <w:ilvl w:val="0"/>
          <w:numId w:val="140"/>
        </w:numPr>
        <w:spacing w:after="154" w:line="257" w:lineRule="auto"/>
        <w:ind w:right="1" w:hanging="841"/>
        <w:jc w:val="both"/>
      </w:pPr>
      <w:r>
        <w:rPr>
          <w:color w:val="000080"/>
          <w:u w:val="single" w:color="000080"/>
        </w:rPr>
        <w:t xml:space="preserve">6.2. ÁREA DE INSERCIÓN SOCIAL  .................................................................................                                                                              </w:t>
      </w:r>
      <w:r>
        <w:rPr>
          <w:color w:val="000080"/>
          <w:u w:val="single" w:color="000080"/>
        </w:rPr>
        <w:t xml:space="preserve">             215</w:t>
      </w:r>
    </w:p>
    <w:p w:rsidR="00E23B86" w:rsidRDefault="00BA7C13">
      <w:pPr>
        <w:numPr>
          <w:ilvl w:val="0"/>
          <w:numId w:val="140"/>
        </w:numPr>
        <w:spacing w:after="152" w:line="257" w:lineRule="auto"/>
        <w:ind w:right="1" w:hanging="841"/>
        <w:jc w:val="both"/>
      </w:pPr>
      <w:r>
        <w:rPr>
          <w:color w:val="000080"/>
          <w:u w:val="single" w:color="000080"/>
        </w:rPr>
        <w:t>13.3.REA DE SOPORTE Y APOYO  .................................................................................                                                                                           216</w:t>
      </w:r>
    </w:p>
    <w:p w:rsidR="00E23B86" w:rsidRDefault="00BA7C13">
      <w:pPr>
        <w:numPr>
          <w:ilvl w:val="0"/>
          <w:numId w:val="140"/>
        </w:numPr>
        <w:spacing w:after="145" w:line="249" w:lineRule="auto"/>
        <w:ind w:right="1" w:hanging="841"/>
        <w:jc w:val="both"/>
      </w:pPr>
      <w:r>
        <w:rPr>
          <w:b/>
          <w:color w:val="000080"/>
          <w:u w:val="single" w:color="000080"/>
        </w:rPr>
        <w:t>14.COORDINACIÓN DE LAS ACTUACIONES</w:t>
      </w:r>
      <w:r>
        <w:rPr>
          <w:b/>
          <w:color w:val="000080"/>
          <w:u w:val="single" w:color="000080"/>
        </w:rPr>
        <w:t xml:space="preserve"> DEL IV PLAN ...........................................                                                 217</w:t>
      </w:r>
    </w:p>
    <w:p w:rsidR="00E23B86" w:rsidRDefault="00BA7C13">
      <w:pPr>
        <w:numPr>
          <w:ilvl w:val="0"/>
          <w:numId w:val="140"/>
        </w:numPr>
        <w:spacing w:after="152" w:line="257" w:lineRule="auto"/>
        <w:ind w:right="1" w:hanging="841"/>
        <w:jc w:val="both"/>
      </w:pPr>
      <w:r>
        <w:rPr>
          <w:color w:val="000080"/>
          <w:u w:val="single" w:color="000080"/>
        </w:rPr>
        <w:t>7.1. Comisión Municipal de Prevención de Adicciones de Candelaria  .........................                           217</w:t>
      </w:r>
    </w:p>
    <w:p w:rsidR="00E23B86" w:rsidRDefault="00BA7C13">
      <w:pPr>
        <w:numPr>
          <w:ilvl w:val="0"/>
          <w:numId w:val="140"/>
        </w:numPr>
        <w:spacing w:after="116" w:line="257" w:lineRule="auto"/>
        <w:ind w:right="1" w:hanging="841"/>
        <w:jc w:val="both"/>
      </w:pPr>
      <w:r>
        <w:rPr>
          <w:color w:val="000080"/>
          <w:u w:val="single" w:color="000080"/>
        </w:rPr>
        <w:t>7.2. Comisión Mixta de P</w:t>
      </w:r>
      <w:r>
        <w:rPr>
          <w:color w:val="000080"/>
          <w:u w:val="single" w:color="000080"/>
        </w:rPr>
        <w:t>revención de Adicciones de Candelaria  ................................                                   218</w:t>
      </w:r>
    </w:p>
    <w:p w:rsidR="00E23B86" w:rsidRDefault="00BA7C13">
      <w:pPr>
        <w:spacing w:after="145" w:line="249" w:lineRule="auto"/>
        <w:ind w:left="353" w:hanging="8"/>
      </w:pPr>
      <w:r>
        <w:rPr>
          <w:b/>
          <w:color w:val="000080"/>
          <w:u w:val="single" w:color="000080"/>
        </w:rPr>
        <w:t xml:space="preserve"> 15.RECURSOS DEL IV PLAN   .....................................................................................                                  </w:t>
      </w:r>
      <w:r>
        <w:rPr>
          <w:b/>
          <w:color w:val="000080"/>
          <w:u w:val="single" w:color="000080"/>
        </w:rPr>
        <w:t xml:space="preserve">                                                                218</w:t>
      </w:r>
    </w:p>
    <w:p w:rsidR="00E23B86" w:rsidRDefault="00BA7C13">
      <w:pPr>
        <w:numPr>
          <w:ilvl w:val="0"/>
          <w:numId w:val="140"/>
        </w:numPr>
        <w:spacing w:after="143" w:line="249" w:lineRule="auto"/>
        <w:ind w:right="1" w:hanging="841"/>
        <w:jc w:val="both"/>
      </w:pPr>
      <w:r>
        <w:rPr>
          <w:b/>
          <w:color w:val="000080"/>
          <w:u w:val="single" w:color="000080"/>
        </w:rPr>
        <w:t>16.EVALUACIÓN Y SEGUIMIENTO DEL PLAN  ............................................................                                                                     219</w:t>
      </w:r>
    </w:p>
    <w:p w:rsidR="00E23B86" w:rsidRDefault="00BA7C13">
      <w:pPr>
        <w:numPr>
          <w:ilvl w:val="0"/>
          <w:numId w:val="140"/>
        </w:numPr>
        <w:spacing w:after="145" w:line="249" w:lineRule="auto"/>
        <w:ind w:right="1" w:hanging="841"/>
        <w:jc w:val="both"/>
      </w:pPr>
      <w:r>
        <w:rPr>
          <w:b/>
          <w:color w:val="000080"/>
          <w:u w:val="single" w:color="000080"/>
        </w:rPr>
        <w:t xml:space="preserve">INTRODUCCIÓN    </w:t>
      </w:r>
      <w:r>
        <w:rPr>
          <w:b/>
          <w:color w:val="000080"/>
          <w:u w:val="single" w:color="000080"/>
        </w:rPr>
        <w:t>....................................................................................................                                                                                                                    231</w:t>
      </w:r>
    </w:p>
    <w:p w:rsidR="00E23B86" w:rsidRDefault="00BA7C13">
      <w:pPr>
        <w:numPr>
          <w:ilvl w:val="0"/>
          <w:numId w:val="140"/>
        </w:numPr>
        <w:spacing w:after="9" w:line="249" w:lineRule="auto"/>
        <w:ind w:right="1" w:hanging="841"/>
        <w:jc w:val="both"/>
      </w:pPr>
      <w:r>
        <w:rPr>
          <w:b/>
          <w:color w:val="000080"/>
          <w:u w:val="single" w:color="000080"/>
        </w:rPr>
        <w:t xml:space="preserve">1. COMPETENCIAS DEL AYUNTAMIENTO EN </w:t>
      </w:r>
      <w:r>
        <w:rPr>
          <w:b/>
          <w:color w:val="000080"/>
          <w:u w:val="single" w:color="000080"/>
        </w:rPr>
        <w:t xml:space="preserve">MATERIA DE PREVENCIÓN DE </w:t>
      </w:r>
    </w:p>
    <w:p w:rsidR="00E23B86" w:rsidRDefault="00BA7C13">
      <w:pPr>
        <w:spacing w:after="145" w:line="249" w:lineRule="auto"/>
        <w:ind w:left="353" w:hanging="8"/>
      </w:pPr>
      <w:r>
        <w:rPr>
          <w:b/>
          <w:color w:val="000080"/>
          <w:u w:val="single" w:color="000080"/>
        </w:rPr>
        <w:t xml:space="preserve"> DROGODEPENDENCIAS.  ..........................................................................................                                                                                                        231</w:t>
      </w:r>
    </w:p>
    <w:p w:rsidR="00E23B86" w:rsidRDefault="00BA7C13">
      <w:pPr>
        <w:numPr>
          <w:ilvl w:val="0"/>
          <w:numId w:val="140"/>
        </w:numPr>
        <w:spacing w:after="9" w:line="249" w:lineRule="auto"/>
        <w:ind w:right="1" w:hanging="841"/>
        <w:jc w:val="both"/>
      </w:pPr>
      <w:r>
        <w:rPr>
          <w:b/>
          <w:color w:val="000080"/>
          <w:u w:val="single" w:color="000080"/>
        </w:rPr>
        <w:t>2. ANÁLISIS</w:t>
      </w:r>
      <w:r>
        <w:rPr>
          <w:b/>
          <w:color w:val="000080"/>
          <w:u w:val="single" w:color="000080"/>
        </w:rPr>
        <w:t xml:space="preserve"> DE LA PROBLEMÁTICA Y APROXIMACIÓN EPIDEMIOLÓGICA Y </w:t>
      </w:r>
    </w:p>
    <w:p w:rsidR="00E23B86" w:rsidRDefault="00BA7C13">
      <w:pPr>
        <w:spacing w:after="145" w:line="249" w:lineRule="auto"/>
        <w:ind w:left="353" w:hanging="8"/>
      </w:pPr>
      <w:r>
        <w:rPr>
          <w:b/>
          <w:color w:val="000080"/>
          <w:u w:val="single" w:color="000080"/>
        </w:rPr>
        <w:t xml:space="preserve"> CONTEXTUAL DE LAS ADICCIONES EN EL AMBITO MUNICIPAL  ...............................                                    232</w:t>
      </w:r>
    </w:p>
    <w:p w:rsidR="00E23B86" w:rsidRDefault="00BA7C13">
      <w:pPr>
        <w:numPr>
          <w:ilvl w:val="0"/>
          <w:numId w:val="140"/>
        </w:numPr>
        <w:spacing w:after="155" w:line="257" w:lineRule="auto"/>
        <w:ind w:right="1" w:hanging="841"/>
        <w:jc w:val="both"/>
      </w:pPr>
      <w:r>
        <w:rPr>
          <w:color w:val="000080"/>
          <w:u w:val="single" w:color="000080"/>
        </w:rPr>
        <w:t>2.1. Resultados de la evaluación del III Plan Municipal sobre Drogodependencia</w:t>
      </w:r>
      <w:r>
        <w:rPr>
          <w:color w:val="000080"/>
          <w:u w:val="single" w:color="000080"/>
        </w:rPr>
        <w:t xml:space="preserve">s (2013 2017)  ..........................................................................................................................                                                                                                                       </w:t>
      </w:r>
      <w:r>
        <w:rPr>
          <w:color w:val="000080"/>
          <w:u w:val="single" w:color="000080"/>
        </w:rPr>
        <w:t xml:space="preserve">                  232</w:t>
      </w:r>
    </w:p>
    <w:p w:rsidR="00E23B86" w:rsidRDefault="00BA7C13">
      <w:pPr>
        <w:numPr>
          <w:ilvl w:val="0"/>
          <w:numId w:val="140"/>
        </w:numPr>
        <w:spacing w:after="2" w:line="257" w:lineRule="auto"/>
        <w:ind w:right="1" w:hanging="841"/>
        <w:jc w:val="both"/>
      </w:pPr>
      <w:r>
        <w:rPr>
          <w:color w:val="000080"/>
          <w:u w:val="single" w:color="000080"/>
        </w:rPr>
        <w:t xml:space="preserve">2.2. La prevalencia del consumo en Canarias e indicaciones para la planificación de las </w:t>
      </w:r>
    </w:p>
    <w:p w:rsidR="00E23B86" w:rsidRDefault="00BA7C13">
      <w:pPr>
        <w:spacing w:after="0" w:line="395" w:lineRule="auto"/>
        <w:ind w:left="-15" w:firstLine="358"/>
      </w:pPr>
      <w:r>
        <w:rPr>
          <w:color w:val="000080"/>
          <w:u w:val="single" w:color="000080"/>
        </w:rPr>
        <w:t xml:space="preserve"> acciones de prevención e inserción.   ..........................................................................                                </w:t>
      </w:r>
      <w:r>
        <w:rPr>
          <w:color w:val="000080"/>
          <w:u w:val="single" w:color="000080"/>
        </w:rPr>
        <w:t xml:space="preserve">                                                   234 </w:t>
      </w:r>
      <w:r>
        <w:rPr>
          <w:rFonts w:ascii="Segoe UI Symbol" w:eastAsia="Segoe UI Symbol" w:hAnsi="Segoe UI Symbol" w:cs="Segoe UI Symbol"/>
          <w:sz w:val="20"/>
        </w:rPr>
        <w:t></w:t>
      </w:r>
      <w:r>
        <w:rPr>
          <w:color w:val="000080"/>
          <w:u w:val="single" w:color="000080"/>
        </w:rPr>
        <w:t xml:space="preserve"> 2.3. Descripción del contexto municipal    ...................................................................                                                                           235</w:t>
      </w:r>
    </w:p>
    <w:p w:rsidR="00E23B86" w:rsidRDefault="00BA7C13">
      <w:pPr>
        <w:numPr>
          <w:ilvl w:val="0"/>
          <w:numId w:val="140"/>
        </w:numPr>
        <w:spacing w:after="154" w:line="257" w:lineRule="auto"/>
        <w:ind w:right="1" w:hanging="841"/>
        <w:jc w:val="both"/>
      </w:pPr>
      <w:r>
        <w:rPr>
          <w:color w:val="000080"/>
          <w:u w:val="single" w:color="000080"/>
        </w:rPr>
        <w:t>2.3.1. Con</w:t>
      </w:r>
      <w:r>
        <w:rPr>
          <w:color w:val="000080"/>
          <w:u w:val="single" w:color="000080"/>
        </w:rPr>
        <w:t>texto demográfico y laboral .........................................................................                                                                                   236</w:t>
      </w:r>
    </w:p>
    <w:p w:rsidR="00E23B86" w:rsidRDefault="00BA7C13">
      <w:pPr>
        <w:numPr>
          <w:ilvl w:val="0"/>
          <w:numId w:val="140"/>
        </w:numPr>
        <w:spacing w:after="152" w:line="257" w:lineRule="auto"/>
        <w:ind w:right="1" w:hanging="841"/>
        <w:jc w:val="both"/>
      </w:pPr>
      <w:r>
        <w:rPr>
          <w:color w:val="000080"/>
          <w:u w:val="single" w:color="000080"/>
        </w:rPr>
        <w:t xml:space="preserve">2.4. Recomendaciones para el diseño del IV Plan    </w:t>
      </w:r>
      <w:r>
        <w:rPr>
          <w:color w:val="000080"/>
          <w:u w:val="single" w:color="000080"/>
        </w:rPr>
        <w:t>.....................................................                                                           240</w:t>
      </w:r>
    </w:p>
    <w:p w:rsidR="00E23B86" w:rsidRDefault="00BA7C13">
      <w:pPr>
        <w:numPr>
          <w:ilvl w:val="0"/>
          <w:numId w:val="140"/>
        </w:numPr>
        <w:spacing w:after="145" w:line="249" w:lineRule="auto"/>
        <w:ind w:right="1" w:hanging="841"/>
        <w:jc w:val="both"/>
      </w:pPr>
      <w:r>
        <w:rPr>
          <w:b/>
          <w:color w:val="000080"/>
          <w:u w:val="single" w:color="000080"/>
        </w:rPr>
        <w:t xml:space="preserve">3.LOS PRINCIPIOS DEL IV PLAN  ................................................................................                              </w:t>
      </w:r>
      <w:r>
        <w:rPr>
          <w:b/>
          <w:color w:val="000080"/>
          <w:u w:val="single" w:color="000080"/>
        </w:rPr>
        <w:t xml:space="preserve">                                                               241</w:t>
      </w:r>
    </w:p>
    <w:p w:rsidR="00E23B86" w:rsidRDefault="00BA7C13">
      <w:pPr>
        <w:numPr>
          <w:ilvl w:val="0"/>
          <w:numId w:val="140"/>
        </w:numPr>
        <w:spacing w:after="143" w:line="249" w:lineRule="auto"/>
        <w:ind w:right="1" w:hanging="841"/>
        <w:jc w:val="both"/>
      </w:pPr>
      <w:r>
        <w:rPr>
          <w:b/>
          <w:color w:val="000080"/>
          <w:u w:val="single" w:color="000080"/>
        </w:rPr>
        <w:t xml:space="preserve">4.CAMPO DE ACTUACIÓN  ......................................................................................                                                                                 </w:t>
      </w:r>
      <w:r>
        <w:rPr>
          <w:b/>
          <w:color w:val="000080"/>
          <w:u w:val="single" w:color="000080"/>
        </w:rPr>
        <w:t xml:space="preserve">                    242</w:t>
      </w:r>
    </w:p>
    <w:p w:rsidR="00E23B86" w:rsidRDefault="00BA7C13">
      <w:pPr>
        <w:numPr>
          <w:ilvl w:val="0"/>
          <w:numId w:val="140"/>
        </w:numPr>
        <w:spacing w:after="9" w:line="249" w:lineRule="auto"/>
        <w:ind w:right="1" w:hanging="841"/>
        <w:jc w:val="both"/>
      </w:pPr>
      <w:r>
        <w:rPr>
          <w:b/>
          <w:color w:val="000080"/>
          <w:u w:val="single" w:color="000080"/>
        </w:rPr>
        <w:t xml:space="preserve">5.META Y OBJETIVOS GENERALES DEL IV PLAN SOBRE ADICCIONES DE CANDELARIA  </w:t>
      </w:r>
    </w:p>
    <w:p w:rsidR="00E23B86" w:rsidRDefault="00BA7C13">
      <w:pPr>
        <w:spacing w:after="143" w:line="249" w:lineRule="auto"/>
        <w:ind w:left="353" w:hanging="8"/>
      </w:pPr>
      <w:r>
        <w:rPr>
          <w:noProof/>
        </w:rPr>
        <mc:AlternateContent>
          <mc:Choice Requires="wpg">
            <w:drawing>
              <wp:anchor distT="0" distB="0" distL="114300" distR="114300" simplePos="0" relativeHeight="2519296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5361" name="Group 55536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3047" name="Rectangle 4304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3048" name="Rectangle 4304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263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5361" style="width:12.7031pt;height:280.35pt;position:absolute;mso-position-horizontal-relative:page;mso-position-horizontal:absolute;margin-left:681.958pt;mso-position-vertical-relative:page;margin-top:531.65pt;" coordsize="1613,35604">
                <v:rect id="Rectangle 4304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304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263 de 391 </w:t>
                        </w:r>
                      </w:p>
                    </w:txbxContent>
                  </v:textbox>
                </v:rect>
                <w10:wrap type="square"/>
              </v:group>
            </w:pict>
          </mc:Fallback>
        </mc:AlternateContent>
      </w:r>
      <w:r>
        <w:rPr>
          <w:b/>
          <w:color w:val="000080"/>
          <w:u w:val="single" w:color="000080"/>
        </w:rPr>
        <w:t xml:space="preserve"> ................................................................................................................................                                                                                       </w:t>
      </w:r>
      <w:r>
        <w:rPr>
          <w:b/>
          <w:color w:val="000080"/>
          <w:u w:val="single" w:color="000080"/>
        </w:rPr>
        <w:t xml:space="preserve">                                                             242</w:t>
      </w:r>
    </w:p>
    <w:p w:rsidR="00E23B86" w:rsidRDefault="00BA7C13">
      <w:pPr>
        <w:numPr>
          <w:ilvl w:val="0"/>
          <w:numId w:val="140"/>
        </w:numPr>
        <w:spacing w:after="145" w:line="249" w:lineRule="auto"/>
        <w:ind w:right="1" w:hanging="841"/>
        <w:jc w:val="both"/>
      </w:pPr>
      <w:r>
        <w:rPr>
          <w:b/>
          <w:color w:val="000080"/>
          <w:u w:val="single" w:color="000080"/>
        </w:rPr>
        <w:t xml:space="preserve">6.ÁREAS DE ACTUACIÓN  .........................................................................................                                                                                </w:t>
      </w:r>
      <w:r>
        <w:rPr>
          <w:b/>
          <w:color w:val="000080"/>
          <w:u w:val="single" w:color="000080"/>
        </w:rPr>
        <w:t xml:space="preserve">                       243</w:t>
      </w:r>
    </w:p>
    <w:p w:rsidR="00E23B86" w:rsidRDefault="00BA7C13">
      <w:pPr>
        <w:numPr>
          <w:ilvl w:val="0"/>
          <w:numId w:val="140"/>
        </w:numPr>
        <w:spacing w:after="152" w:line="257" w:lineRule="auto"/>
        <w:ind w:right="1" w:hanging="841"/>
        <w:jc w:val="both"/>
      </w:pPr>
      <w:r>
        <w:rPr>
          <w:color w:val="000080"/>
          <w:u w:val="single" w:color="000080"/>
        </w:rPr>
        <w:t>6.1. ÁREA DE PREVENCIÓN Y SENSIBILIZACIÓN  ..........................................................                                                                 243</w:t>
      </w:r>
    </w:p>
    <w:p w:rsidR="00E23B86" w:rsidRDefault="00BA7C13">
      <w:pPr>
        <w:numPr>
          <w:ilvl w:val="0"/>
          <w:numId w:val="140"/>
        </w:numPr>
        <w:spacing w:after="154" w:line="257" w:lineRule="auto"/>
        <w:ind w:right="1" w:hanging="841"/>
        <w:jc w:val="both"/>
      </w:pPr>
      <w:r>
        <w:rPr>
          <w:color w:val="000080"/>
          <w:u w:val="single" w:color="000080"/>
        </w:rPr>
        <w:t xml:space="preserve">6.1.1. Ámbito Educativo </w:t>
      </w:r>
      <w:r>
        <w:rPr>
          <w:color w:val="000080"/>
          <w:u w:val="single" w:color="000080"/>
        </w:rPr>
        <w:t>..............................................................................................                                                                                                          244</w:t>
      </w:r>
    </w:p>
    <w:p w:rsidR="00E23B86" w:rsidRDefault="00BA7C13">
      <w:pPr>
        <w:numPr>
          <w:ilvl w:val="0"/>
          <w:numId w:val="140"/>
        </w:numPr>
        <w:spacing w:after="152" w:line="257" w:lineRule="auto"/>
        <w:ind w:right="1" w:hanging="841"/>
        <w:jc w:val="both"/>
      </w:pPr>
      <w:r>
        <w:rPr>
          <w:color w:val="000080"/>
          <w:u w:val="single" w:color="000080"/>
        </w:rPr>
        <w:t>6.1.2. Ámbito Familiar .............................</w:t>
      </w:r>
      <w:r>
        <w:rPr>
          <w:color w:val="000080"/>
          <w:u w:val="single" w:color="000080"/>
        </w:rPr>
        <w:t>....................................................................                                                                                                             245</w:t>
      </w:r>
    </w:p>
    <w:p w:rsidR="00E23B86" w:rsidRDefault="00BA7C13">
      <w:pPr>
        <w:numPr>
          <w:ilvl w:val="0"/>
          <w:numId w:val="140"/>
        </w:numPr>
        <w:spacing w:after="154" w:line="257" w:lineRule="auto"/>
        <w:ind w:right="1" w:hanging="841"/>
        <w:jc w:val="both"/>
      </w:pPr>
      <w:r>
        <w:rPr>
          <w:color w:val="000080"/>
          <w:u w:val="single" w:color="000080"/>
        </w:rPr>
        <w:t xml:space="preserve">6.1.3. Ámbito Comunitario  </w:t>
      </w:r>
      <w:r>
        <w:rPr>
          <w:color w:val="000080"/>
          <w:u w:val="single" w:color="000080"/>
        </w:rPr>
        <w:t>.........................................................................................                                                                                                    246</w:t>
      </w:r>
    </w:p>
    <w:p w:rsidR="00E23B86" w:rsidRDefault="00BA7C13">
      <w:pPr>
        <w:numPr>
          <w:ilvl w:val="0"/>
          <w:numId w:val="140"/>
        </w:numPr>
        <w:spacing w:after="152" w:line="257" w:lineRule="auto"/>
        <w:ind w:right="1" w:hanging="841"/>
        <w:jc w:val="both"/>
      </w:pPr>
      <w:r>
        <w:rPr>
          <w:color w:val="000080"/>
          <w:u w:val="single" w:color="000080"/>
        </w:rPr>
        <w:t>6.2. ÁREA DE INSERCIÓN SOCIAL .................................</w:t>
      </w:r>
      <w:r>
        <w:rPr>
          <w:color w:val="000080"/>
          <w:u w:val="single" w:color="000080"/>
        </w:rPr>
        <w:t>................................................                                                                                            248</w:t>
      </w:r>
    </w:p>
    <w:p w:rsidR="00E23B86" w:rsidRDefault="00BA7C13">
      <w:pPr>
        <w:numPr>
          <w:ilvl w:val="0"/>
          <w:numId w:val="140"/>
        </w:numPr>
        <w:spacing w:after="154" w:line="257" w:lineRule="auto"/>
        <w:ind w:right="1" w:hanging="841"/>
        <w:jc w:val="both"/>
      </w:pPr>
      <w:r>
        <w:rPr>
          <w:color w:val="000080"/>
          <w:u w:val="single" w:color="000080"/>
        </w:rPr>
        <w:t xml:space="preserve">6.3.ÁREA DE SOPORTE Y APOYO  .................................................................................  </w:t>
      </w:r>
      <w:r>
        <w:rPr>
          <w:color w:val="000080"/>
          <w:u w:val="single" w:color="000080"/>
        </w:rPr>
        <w:t xml:space="preserve">                                                                                         249</w:t>
      </w:r>
    </w:p>
    <w:p w:rsidR="00E23B86" w:rsidRDefault="00BA7C13">
      <w:pPr>
        <w:numPr>
          <w:ilvl w:val="0"/>
          <w:numId w:val="140"/>
        </w:numPr>
        <w:spacing w:after="143" w:line="249" w:lineRule="auto"/>
        <w:ind w:right="1" w:hanging="841"/>
        <w:jc w:val="both"/>
      </w:pPr>
      <w:r>
        <w:rPr>
          <w:b/>
          <w:color w:val="000080"/>
          <w:u w:val="single" w:color="000080"/>
        </w:rPr>
        <w:t>7.COORDINACIÓN DE LAS ACTUACIONES DEL IV PLAN  .............................................                                                   249</w:t>
      </w:r>
    </w:p>
    <w:p w:rsidR="00E23B86" w:rsidRDefault="00BA7C13">
      <w:pPr>
        <w:numPr>
          <w:ilvl w:val="0"/>
          <w:numId w:val="140"/>
        </w:numPr>
        <w:spacing w:after="154" w:line="257" w:lineRule="auto"/>
        <w:ind w:right="1" w:hanging="841"/>
        <w:jc w:val="both"/>
      </w:pPr>
      <w:r>
        <w:rPr>
          <w:color w:val="000080"/>
          <w:u w:val="single" w:color="000080"/>
        </w:rPr>
        <w:t>7.1. Comisión Mu</w:t>
      </w:r>
      <w:r>
        <w:rPr>
          <w:color w:val="000080"/>
          <w:u w:val="single" w:color="000080"/>
        </w:rPr>
        <w:t>nicipal de Prevención de Adicciones de Candelaria .........................                            250</w:t>
      </w:r>
    </w:p>
    <w:p w:rsidR="00E23B86" w:rsidRDefault="00BA7C13">
      <w:pPr>
        <w:numPr>
          <w:ilvl w:val="0"/>
          <w:numId w:val="140"/>
        </w:numPr>
        <w:spacing w:after="152" w:line="257" w:lineRule="auto"/>
        <w:ind w:right="1" w:hanging="841"/>
        <w:jc w:val="both"/>
      </w:pPr>
      <w:r>
        <w:rPr>
          <w:color w:val="000080"/>
          <w:u w:val="single" w:color="000080"/>
        </w:rPr>
        <w:t>7.2. Comisión Mixta de Prevención de Adicciones de Candelaria  ................................                                   250</w:t>
      </w:r>
    </w:p>
    <w:p w:rsidR="00E23B86" w:rsidRDefault="00BA7C13">
      <w:pPr>
        <w:numPr>
          <w:ilvl w:val="0"/>
          <w:numId w:val="140"/>
        </w:numPr>
        <w:spacing w:after="145" w:line="249" w:lineRule="auto"/>
        <w:ind w:right="1" w:hanging="841"/>
        <w:jc w:val="both"/>
      </w:pPr>
      <w:r>
        <w:rPr>
          <w:b/>
          <w:color w:val="000080"/>
          <w:u w:val="single" w:color="000080"/>
        </w:rPr>
        <w:t xml:space="preserve">8.RECURSOS DEL </w:t>
      </w:r>
      <w:r>
        <w:rPr>
          <w:b/>
          <w:color w:val="000080"/>
          <w:u w:val="single" w:color="000080"/>
        </w:rPr>
        <w:t>IV PLAN  .......................................................................................                                                                                                     251</w:t>
      </w:r>
    </w:p>
    <w:p w:rsidR="00E23B86" w:rsidRDefault="00BA7C13">
      <w:pPr>
        <w:numPr>
          <w:ilvl w:val="0"/>
          <w:numId w:val="140"/>
        </w:numPr>
        <w:spacing w:after="143" w:line="249" w:lineRule="auto"/>
        <w:ind w:right="1" w:hanging="841"/>
        <w:jc w:val="both"/>
      </w:pPr>
      <w:r>
        <w:rPr>
          <w:b/>
          <w:color w:val="000080"/>
          <w:u w:val="single" w:color="000080"/>
        </w:rPr>
        <w:t>9.EVALUACIÓN Y SEGUIMIENTO DEL PLAN  ..................</w:t>
      </w:r>
      <w:r>
        <w:rPr>
          <w:b/>
          <w:color w:val="000080"/>
          <w:u w:val="single" w:color="000080"/>
        </w:rPr>
        <w:t>............................................                                                                       252</w:t>
      </w:r>
    </w:p>
    <w:p w:rsidR="00E23B86" w:rsidRDefault="00BA7C13">
      <w:pPr>
        <w:numPr>
          <w:ilvl w:val="0"/>
          <w:numId w:val="140"/>
        </w:numPr>
        <w:spacing w:after="154" w:line="257" w:lineRule="auto"/>
        <w:ind w:right="1" w:hanging="841"/>
        <w:jc w:val="both"/>
      </w:pPr>
      <w:r>
        <w:rPr>
          <w:color w:val="000080"/>
          <w:u w:val="single" w:color="000080"/>
        </w:rPr>
        <w:t>Ley 16/2019, de 2 de mayo, de Servicios Sociales de Canarias.  ...................................                                      2</w:t>
      </w:r>
      <w:r>
        <w:rPr>
          <w:color w:val="000080"/>
          <w:u w:val="single" w:color="000080"/>
        </w:rPr>
        <w:t>57</w:t>
      </w:r>
    </w:p>
    <w:p w:rsidR="00E23B86" w:rsidRDefault="00BA7C13">
      <w:pPr>
        <w:numPr>
          <w:ilvl w:val="0"/>
          <w:numId w:val="140"/>
        </w:numPr>
        <w:spacing w:after="9" w:line="249" w:lineRule="auto"/>
        <w:ind w:right="1" w:hanging="841"/>
        <w:jc w:val="both"/>
      </w:pPr>
      <w:r>
        <w:rPr>
          <w:b/>
          <w:color w:val="000080"/>
          <w:u w:val="single" w:color="000080"/>
        </w:rPr>
        <w:t xml:space="preserve">1. COMPETENCIAS DEL AYUNTAMIENTO EN MATERIA DE PREVENCIÓN DE </w:t>
      </w:r>
    </w:p>
    <w:p w:rsidR="00E23B86" w:rsidRDefault="00BA7C13">
      <w:pPr>
        <w:spacing w:after="145" w:line="249" w:lineRule="auto"/>
        <w:ind w:left="353" w:hanging="8"/>
      </w:pPr>
      <w:r>
        <w:rPr>
          <w:b/>
          <w:color w:val="000080"/>
          <w:u w:val="single" w:color="000080"/>
        </w:rPr>
        <w:t xml:space="preserve"> DROGODEPENDENCIAS.  ..........................................................................................                                                                                </w:t>
      </w:r>
      <w:r>
        <w:rPr>
          <w:b/>
          <w:color w:val="000080"/>
          <w:u w:val="single" w:color="000080"/>
        </w:rPr>
        <w:t xml:space="preserve">                        272</w:t>
      </w:r>
    </w:p>
    <w:p w:rsidR="00E23B86" w:rsidRDefault="00BA7C13">
      <w:pPr>
        <w:numPr>
          <w:ilvl w:val="0"/>
          <w:numId w:val="140"/>
        </w:numPr>
        <w:spacing w:after="9" w:line="249" w:lineRule="auto"/>
        <w:ind w:right="1" w:hanging="841"/>
        <w:jc w:val="both"/>
      </w:pPr>
      <w:r>
        <w:rPr>
          <w:b/>
          <w:color w:val="000080"/>
          <w:u w:val="single" w:color="000080"/>
        </w:rPr>
        <w:t xml:space="preserve">2. ANÁLISIS DE LA PROBLEMÁTICA Y APROXIMACIÓN EPIDEMIOLÓGICA Y </w:t>
      </w:r>
    </w:p>
    <w:p w:rsidR="00E23B86" w:rsidRDefault="00BA7C13">
      <w:pPr>
        <w:spacing w:after="109" w:line="249" w:lineRule="auto"/>
        <w:ind w:left="353" w:hanging="8"/>
      </w:pPr>
      <w:r>
        <w:rPr>
          <w:b/>
          <w:color w:val="000080"/>
          <w:u w:val="single" w:color="000080"/>
        </w:rPr>
        <w:t xml:space="preserve"> CONTEXTUAL DE LAS ADICCIONES EN EL AMBITO MUNICIPAL   ...............................                                   272</w:t>
      </w:r>
    </w:p>
    <w:p w:rsidR="00E23B86" w:rsidRDefault="00BA7C13">
      <w:pPr>
        <w:spacing w:after="2" w:line="257" w:lineRule="auto"/>
        <w:ind w:left="370" w:hanging="10"/>
      </w:pPr>
      <w:r>
        <w:rPr>
          <w:color w:val="000080"/>
          <w:u w:val="single" w:color="000080"/>
        </w:rPr>
        <w:t>2.1. Resultados de la evaluación del III Plan Municipal sobre Drogodependencias (2013-</w:t>
      </w:r>
    </w:p>
    <w:p w:rsidR="00E23B86" w:rsidRDefault="00BA7C13">
      <w:pPr>
        <w:spacing w:after="152" w:line="257" w:lineRule="auto"/>
        <w:ind w:left="368" w:hanging="10"/>
      </w:pPr>
      <w:r>
        <w:rPr>
          <w:color w:val="000080"/>
          <w:u w:val="single" w:color="000080"/>
        </w:rPr>
        <w:t xml:space="preserve"> 2017)  ..........................................................................................................................                                       </w:t>
      </w:r>
      <w:r>
        <w:rPr>
          <w:color w:val="000080"/>
          <w:u w:val="single" w:color="000080"/>
        </w:rPr>
        <w:t xml:space="preserve">                                                                                                  273</w:t>
      </w:r>
    </w:p>
    <w:p w:rsidR="00E23B86" w:rsidRDefault="00BA7C13">
      <w:pPr>
        <w:numPr>
          <w:ilvl w:val="0"/>
          <w:numId w:val="140"/>
        </w:numPr>
        <w:spacing w:after="2" w:line="257" w:lineRule="auto"/>
        <w:ind w:right="1" w:hanging="841"/>
        <w:jc w:val="both"/>
      </w:pPr>
      <w:r>
        <w:rPr>
          <w:color w:val="000080"/>
          <w:u w:val="single" w:color="000080"/>
        </w:rPr>
        <w:t xml:space="preserve">2.2. La prevalencia del consumo en Canarias e indicaciones para la planificación de las </w:t>
      </w:r>
    </w:p>
    <w:p w:rsidR="00E23B86" w:rsidRDefault="00BA7C13">
      <w:pPr>
        <w:spacing w:after="2" w:line="393" w:lineRule="auto"/>
        <w:ind w:left="-15" w:firstLine="358"/>
      </w:pPr>
      <w:r>
        <w:rPr>
          <w:color w:val="000080"/>
          <w:u w:val="single" w:color="000080"/>
        </w:rPr>
        <w:t xml:space="preserve"> acciones de prevención e inserción.   ..........................</w:t>
      </w:r>
      <w:r>
        <w:rPr>
          <w:color w:val="000080"/>
          <w:u w:val="single" w:color="000080"/>
        </w:rPr>
        <w:t xml:space="preserve">................................................                                                                                   274 </w:t>
      </w:r>
      <w:r>
        <w:rPr>
          <w:rFonts w:ascii="Segoe UI Symbol" w:eastAsia="Segoe UI Symbol" w:hAnsi="Segoe UI Symbol" w:cs="Segoe UI Symbol"/>
          <w:sz w:val="20"/>
        </w:rPr>
        <w:t></w:t>
      </w:r>
      <w:r>
        <w:rPr>
          <w:color w:val="000080"/>
          <w:u w:val="single" w:color="000080"/>
        </w:rPr>
        <w:t xml:space="preserve"> 2.3. Descripción del contexto municipal   ...................................................................          </w:t>
      </w:r>
      <w:r>
        <w:rPr>
          <w:color w:val="000080"/>
          <w:u w:val="single" w:color="000080"/>
        </w:rPr>
        <w:t xml:space="preserve">                                                                  275</w:t>
      </w:r>
    </w:p>
    <w:p w:rsidR="00E23B86" w:rsidRDefault="00BA7C13">
      <w:pPr>
        <w:numPr>
          <w:ilvl w:val="0"/>
          <w:numId w:val="140"/>
        </w:numPr>
        <w:spacing w:after="152" w:line="257" w:lineRule="auto"/>
        <w:ind w:right="1" w:hanging="841"/>
        <w:jc w:val="both"/>
      </w:pPr>
      <w:r>
        <w:rPr>
          <w:color w:val="000080"/>
          <w:u w:val="single" w:color="000080"/>
        </w:rPr>
        <w:t xml:space="preserve">2.3.1. Contexto demográfico y laboral  .........................................................................                                                                          </w:t>
      </w:r>
      <w:r>
        <w:rPr>
          <w:color w:val="000080"/>
          <w:u w:val="single" w:color="000080"/>
        </w:rPr>
        <w:t xml:space="preserve">        276</w:t>
      </w:r>
    </w:p>
    <w:p w:rsidR="00E23B86" w:rsidRDefault="00BA7C13">
      <w:pPr>
        <w:numPr>
          <w:ilvl w:val="0"/>
          <w:numId w:val="140"/>
        </w:numPr>
        <w:spacing w:after="154" w:line="257" w:lineRule="auto"/>
        <w:ind w:right="1" w:hanging="841"/>
        <w:jc w:val="both"/>
      </w:pPr>
      <w:r>
        <w:rPr>
          <w:color w:val="000080"/>
          <w:u w:val="single" w:color="000080"/>
        </w:rPr>
        <w:t>2.4. Recomendaciones para el diseño del IV Plan    .....................................................                                                           280</w:t>
      </w:r>
    </w:p>
    <w:p w:rsidR="00E23B86" w:rsidRDefault="00BA7C13">
      <w:pPr>
        <w:numPr>
          <w:ilvl w:val="0"/>
          <w:numId w:val="140"/>
        </w:numPr>
        <w:spacing w:after="143" w:line="249" w:lineRule="auto"/>
        <w:ind w:right="1" w:hanging="841"/>
        <w:jc w:val="both"/>
      </w:pPr>
      <w:r>
        <w:rPr>
          <w:b/>
          <w:color w:val="000080"/>
          <w:u w:val="single" w:color="000080"/>
        </w:rPr>
        <w:t>10.LOS PRINCIPIOS DEL IV PLAN  ..............................................</w:t>
      </w:r>
      <w:r>
        <w:rPr>
          <w:b/>
          <w:color w:val="000080"/>
          <w:u w:val="single" w:color="000080"/>
        </w:rPr>
        <w:t>................................                                                                                           281</w:t>
      </w:r>
    </w:p>
    <w:p w:rsidR="00E23B86" w:rsidRDefault="00BA7C13">
      <w:pPr>
        <w:numPr>
          <w:ilvl w:val="0"/>
          <w:numId w:val="140"/>
        </w:numPr>
        <w:spacing w:after="145" w:line="249" w:lineRule="auto"/>
        <w:ind w:right="1" w:hanging="841"/>
        <w:jc w:val="both"/>
      </w:pPr>
      <w:r>
        <w:rPr>
          <w:b/>
          <w:color w:val="000080"/>
          <w:u w:val="single" w:color="000080"/>
        </w:rPr>
        <w:t xml:space="preserve">11.CAMPO DE ACTUACIÓN   ....................................................................................                     </w:t>
      </w:r>
      <w:r>
        <w:rPr>
          <w:b/>
          <w:color w:val="000080"/>
          <w:u w:val="single" w:color="000080"/>
        </w:rPr>
        <w:t xml:space="preserve">                                                                             282</w:t>
      </w:r>
    </w:p>
    <w:p w:rsidR="00E23B86" w:rsidRDefault="00BA7C13">
      <w:pPr>
        <w:numPr>
          <w:ilvl w:val="0"/>
          <w:numId w:val="140"/>
        </w:numPr>
        <w:spacing w:after="9" w:line="249" w:lineRule="auto"/>
        <w:ind w:right="1" w:hanging="841"/>
        <w:jc w:val="both"/>
      </w:pPr>
      <w:r>
        <w:rPr>
          <w:b/>
          <w:color w:val="000080"/>
          <w:u w:val="single" w:color="000080"/>
        </w:rPr>
        <w:t xml:space="preserve">12.META Y OBJETIVOS GENERALES DEL IV PLAN SOBRE ADICCIONES DE CANDELARIA  </w:t>
      </w:r>
    </w:p>
    <w:p w:rsidR="00E23B86" w:rsidRDefault="00BA7C13">
      <w:pPr>
        <w:spacing w:after="145" w:line="249" w:lineRule="auto"/>
        <w:ind w:left="353" w:hanging="8"/>
      </w:pPr>
      <w:r>
        <w:rPr>
          <w:b/>
          <w:color w:val="000080"/>
          <w:u w:val="single" w:color="000080"/>
        </w:rPr>
        <w:t xml:space="preserve">................................................................................................................................                                                                                                                                </w:t>
      </w:r>
      <w:r>
        <w:rPr>
          <w:b/>
          <w:color w:val="000080"/>
          <w:u w:val="single" w:color="000080"/>
        </w:rPr>
        <w:t xml:space="preserve">                     283</w:t>
      </w:r>
    </w:p>
    <w:p w:rsidR="00E23B86" w:rsidRDefault="00BA7C13">
      <w:pPr>
        <w:numPr>
          <w:ilvl w:val="0"/>
          <w:numId w:val="140"/>
        </w:numPr>
        <w:spacing w:after="143" w:line="249" w:lineRule="auto"/>
        <w:ind w:right="1" w:hanging="841"/>
        <w:jc w:val="both"/>
      </w:pPr>
      <w:r>
        <w:rPr>
          <w:b/>
          <w:color w:val="000080"/>
          <w:u w:val="single" w:color="000080"/>
        </w:rPr>
        <w:t>13.ÁREAS DE ACTUACIÓN .......................................................................................                                                                                                      283</w:t>
      </w:r>
    </w:p>
    <w:p w:rsidR="00E23B86" w:rsidRDefault="00BA7C13">
      <w:pPr>
        <w:numPr>
          <w:ilvl w:val="0"/>
          <w:numId w:val="140"/>
        </w:numPr>
        <w:spacing w:after="154" w:line="257" w:lineRule="auto"/>
        <w:ind w:right="1" w:hanging="841"/>
        <w:jc w:val="both"/>
      </w:pPr>
      <w:r>
        <w:rPr>
          <w:color w:val="000080"/>
          <w:u w:val="single" w:color="000080"/>
        </w:rPr>
        <w:t>6.1. ÁREA DE PRE</w:t>
      </w:r>
      <w:r>
        <w:rPr>
          <w:color w:val="000080"/>
          <w:u w:val="single" w:color="000080"/>
        </w:rPr>
        <w:t>VENCIÓN Y SENSIBILIZACIÓN  ..........................................................                                                                 284</w:t>
      </w:r>
    </w:p>
    <w:p w:rsidR="00E23B86" w:rsidRDefault="00BA7C13">
      <w:pPr>
        <w:numPr>
          <w:ilvl w:val="0"/>
          <w:numId w:val="140"/>
        </w:numPr>
        <w:spacing w:after="152" w:line="257" w:lineRule="auto"/>
        <w:ind w:right="1" w:hanging="841"/>
        <w:jc w:val="both"/>
      </w:pPr>
      <w:r>
        <w:rPr>
          <w:color w:val="000080"/>
          <w:u w:val="single" w:color="000080"/>
        </w:rPr>
        <w:t>6.1.1. Ámbito Educativo  .............................................................................</w:t>
      </w:r>
      <w:r>
        <w:rPr>
          <w:color w:val="000080"/>
          <w:u w:val="single" w:color="000080"/>
        </w:rPr>
        <w:t>.................                                                                                                         284</w:t>
      </w:r>
    </w:p>
    <w:p w:rsidR="00E23B86" w:rsidRDefault="00BA7C13">
      <w:pPr>
        <w:numPr>
          <w:ilvl w:val="0"/>
          <w:numId w:val="140"/>
        </w:numPr>
        <w:spacing w:after="154" w:line="257" w:lineRule="auto"/>
        <w:ind w:right="1" w:hanging="841"/>
        <w:jc w:val="both"/>
      </w:pPr>
      <w:r>
        <w:rPr>
          <w:color w:val="000080"/>
          <w:u w:val="single" w:color="000080"/>
        </w:rPr>
        <w:t xml:space="preserve">6.1.2. Ámbito Familiar  .................................................................................................         </w:t>
      </w:r>
      <w:r>
        <w:rPr>
          <w:color w:val="000080"/>
          <w:u w:val="single" w:color="000080"/>
        </w:rPr>
        <w:t xml:space="preserve">                                                                                                   285</w:t>
      </w:r>
    </w:p>
    <w:p w:rsidR="00E23B86" w:rsidRDefault="00BA7C13">
      <w:pPr>
        <w:numPr>
          <w:ilvl w:val="0"/>
          <w:numId w:val="140"/>
        </w:numPr>
        <w:spacing w:after="152" w:line="257" w:lineRule="auto"/>
        <w:ind w:right="1" w:hanging="841"/>
        <w:jc w:val="both"/>
      </w:pPr>
      <w:r>
        <w:rPr>
          <w:color w:val="000080"/>
          <w:u w:val="single" w:color="000080"/>
        </w:rPr>
        <w:t xml:space="preserve">6.1.3. Ámbito Comunitario  .........................................................................................                                     </w:t>
      </w:r>
      <w:r>
        <w:rPr>
          <w:color w:val="000080"/>
          <w:u w:val="single" w:color="000080"/>
        </w:rPr>
        <w:t xml:space="preserve">                                                               286</w:t>
      </w:r>
    </w:p>
    <w:p w:rsidR="00E23B86" w:rsidRDefault="00BA7C13">
      <w:pPr>
        <w:numPr>
          <w:ilvl w:val="0"/>
          <w:numId w:val="140"/>
        </w:numPr>
        <w:spacing w:after="154" w:line="257" w:lineRule="auto"/>
        <w:ind w:right="1" w:hanging="841"/>
        <w:jc w:val="both"/>
      </w:pPr>
      <w:r>
        <w:rPr>
          <w:color w:val="000080"/>
          <w:u w:val="single" w:color="000080"/>
        </w:rPr>
        <w:t xml:space="preserve">6.2. ÁREA DE INSERCIÓN SOCIAL  .................................................................................                                                                             </w:t>
      </w:r>
      <w:r>
        <w:rPr>
          <w:color w:val="000080"/>
          <w:u w:val="single" w:color="000080"/>
        </w:rPr>
        <w:t xml:space="preserve">              289</w:t>
      </w:r>
    </w:p>
    <w:p w:rsidR="00E23B86" w:rsidRDefault="00BA7C13">
      <w:pPr>
        <w:numPr>
          <w:ilvl w:val="0"/>
          <w:numId w:val="140"/>
        </w:numPr>
        <w:spacing w:after="152" w:line="257" w:lineRule="auto"/>
        <w:ind w:right="1" w:hanging="841"/>
        <w:jc w:val="both"/>
      </w:pPr>
      <w:r>
        <w:rPr>
          <w:noProof/>
        </w:rPr>
        <mc:AlternateContent>
          <mc:Choice Requires="wpg">
            <w:drawing>
              <wp:anchor distT="0" distB="0" distL="114300" distR="114300" simplePos="0" relativeHeight="2519306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5646" name="Group 55564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3518" name="Rectangle 4351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3519" name="Rectangle 4351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264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5646" style="width:12.7031pt;height:280.35pt;position:absolute;mso-position-horizontal-relative:page;mso-position-horizontal:absolute;margin-left:681.958pt;mso-position-vertical-relative:page;margin-top:531.65pt;" coordsize="1613,35604">
                <v:rect id="Rectangle 4351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351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264 de 391 </w:t>
                        </w:r>
                      </w:p>
                    </w:txbxContent>
                  </v:textbox>
                </v:rect>
                <w10:wrap type="square"/>
              </v:group>
            </w:pict>
          </mc:Fallback>
        </mc:AlternateContent>
      </w:r>
      <w:r>
        <w:rPr>
          <w:color w:val="000080"/>
          <w:u w:val="single" w:color="000080"/>
        </w:rPr>
        <w:t xml:space="preserve">13.3.ÁREA DE SOPORTE Y APOYO  </w:t>
      </w:r>
      <w:r>
        <w:rPr>
          <w:color w:val="000080"/>
          <w:u w:val="single" w:color="000080"/>
        </w:rPr>
        <w:t>...............................................................................                                                                                         290</w:t>
      </w:r>
    </w:p>
    <w:p w:rsidR="00E23B86" w:rsidRDefault="00BA7C13">
      <w:pPr>
        <w:numPr>
          <w:ilvl w:val="0"/>
          <w:numId w:val="140"/>
        </w:numPr>
        <w:spacing w:after="145" w:line="249" w:lineRule="auto"/>
        <w:ind w:right="1" w:hanging="841"/>
        <w:jc w:val="both"/>
      </w:pPr>
      <w:r>
        <w:rPr>
          <w:b/>
          <w:color w:val="000080"/>
          <w:u w:val="single" w:color="000080"/>
        </w:rPr>
        <w:t>14.COORDINACIÓN DE LAS ACTUACIONES DEL IV PLAN  ....................................</w:t>
      </w:r>
      <w:r>
        <w:rPr>
          <w:b/>
          <w:color w:val="000080"/>
          <w:u w:val="single" w:color="000080"/>
        </w:rPr>
        <w:t>.......                                                290</w:t>
      </w:r>
    </w:p>
    <w:p w:rsidR="00E23B86" w:rsidRDefault="00BA7C13">
      <w:pPr>
        <w:numPr>
          <w:ilvl w:val="0"/>
          <w:numId w:val="140"/>
        </w:numPr>
        <w:spacing w:after="152" w:line="257" w:lineRule="auto"/>
        <w:ind w:right="1" w:hanging="841"/>
        <w:jc w:val="both"/>
      </w:pPr>
      <w:r>
        <w:rPr>
          <w:color w:val="000080"/>
          <w:u w:val="single" w:color="000080"/>
        </w:rPr>
        <w:t>7.1. Comisión Municipal de Prevención de Adicciones de Candelaria .........................                            291</w:t>
      </w:r>
    </w:p>
    <w:p w:rsidR="00E23B86" w:rsidRDefault="00BA7C13">
      <w:pPr>
        <w:numPr>
          <w:ilvl w:val="0"/>
          <w:numId w:val="140"/>
        </w:numPr>
        <w:spacing w:after="154" w:line="257" w:lineRule="auto"/>
        <w:ind w:right="1" w:hanging="841"/>
        <w:jc w:val="both"/>
      </w:pPr>
      <w:r>
        <w:rPr>
          <w:color w:val="000080"/>
          <w:u w:val="single" w:color="000080"/>
        </w:rPr>
        <w:t>7.2. Comisión Mixta de Prevención de Adicciones de Candelaria  ...........</w:t>
      </w:r>
      <w:r>
        <w:rPr>
          <w:color w:val="000080"/>
          <w:u w:val="single" w:color="000080"/>
        </w:rPr>
        <w:t>.....................                                   291</w:t>
      </w:r>
    </w:p>
    <w:p w:rsidR="00E23B86" w:rsidRDefault="00BA7C13">
      <w:pPr>
        <w:numPr>
          <w:ilvl w:val="0"/>
          <w:numId w:val="140"/>
        </w:numPr>
        <w:spacing w:after="143" w:line="249" w:lineRule="auto"/>
        <w:ind w:right="1" w:hanging="841"/>
        <w:jc w:val="both"/>
      </w:pPr>
      <w:r>
        <w:rPr>
          <w:b/>
          <w:color w:val="000080"/>
          <w:u w:val="single" w:color="000080"/>
        </w:rPr>
        <w:t>15.RECURSOS DEL IV PLAN   .....................................................................................</w:t>
      </w:r>
      <w:r>
        <w:rPr>
          <w:b/>
          <w:color w:val="000080"/>
          <w:u w:val="single" w:color="000080"/>
        </w:rPr>
        <w:t xml:space="preserve">                                                                                                  292</w:t>
      </w:r>
    </w:p>
    <w:p w:rsidR="00E23B86" w:rsidRDefault="00BA7C13">
      <w:pPr>
        <w:numPr>
          <w:ilvl w:val="0"/>
          <w:numId w:val="140"/>
        </w:numPr>
        <w:spacing w:after="145" w:line="249" w:lineRule="auto"/>
        <w:ind w:right="1" w:hanging="841"/>
        <w:jc w:val="both"/>
      </w:pPr>
      <w:r>
        <w:rPr>
          <w:b/>
          <w:color w:val="000080"/>
          <w:u w:val="single" w:color="000080"/>
        </w:rPr>
        <w:t xml:space="preserve">16.EVALUACIÓN Y SEGUIMIENTO DEL PLAN  ............................................................                                                        </w:t>
      </w:r>
      <w:r>
        <w:rPr>
          <w:b/>
          <w:color w:val="000080"/>
          <w:u w:val="single" w:color="000080"/>
        </w:rPr>
        <w:t xml:space="preserve">             293</w:t>
      </w:r>
    </w:p>
    <w:p w:rsidR="00E23B86" w:rsidRDefault="00BA7C13">
      <w:pPr>
        <w:numPr>
          <w:ilvl w:val="0"/>
          <w:numId w:val="140"/>
        </w:numPr>
        <w:spacing w:after="9" w:line="249" w:lineRule="auto"/>
        <w:ind w:right="1" w:hanging="841"/>
        <w:jc w:val="both"/>
      </w:pPr>
      <w:r>
        <w:rPr>
          <w:b/>
          <w:color w:val="000080"/>
          <w:u w:val="single" w:color="000080"/>
        </w:rPr>
        <w:t xml:space="preserve">1. COMPETENCIAS DEL AYUNTAMIENTO EN MATERIA DE PREVENCIÓN DE </w:t>
      </w:r>
    </w:p>
    <w:p w:rsidR="00E23B86" w:rsidRDefault="00BA7C13">
      <w:pPr>
        <w:spacing w:after="145" w:line="249" w:lineRule="auto"/>
        <w:ind w:left="353" w:hanging="8"/>
      </w:pPr>
      <w:r>
        <w:rPr>
          <w:b/>
          <w:color w:val="000080"/>
          <w:u w:val="single" w:color="000080"/>
        </w:rPr>
        <w:t xml:space="preserve"> DROGODEPENDENCIAS.  ..........................................................................................                                                                  </w:t>
      </w:r>
      <w:r>
        <w:rPr>
          <w:b/>
          <w:color w:val="000080"/>
          <w:u w:val="single" w:color="000080"/>
        </w:rPr>
        <w:t xml:space="preserve">                                      298</w:t>
      </w:r>
    </w:p>
    <w:p w:rsidR="00E23B86" w:rsidRDefault="00BA7C13">
      <w:pPr>
        <w:numPr>
          <w:ilvl w:val="0"/>
          <w:numId w:val="140"/>
        </w:numPr>
        <w:spacing w:after="9" w:line="249" w:lineRule="auto"/>
        <w:ind w:right="1" w:hanging="841"/>
        <w:jc w:val="both"/>
      </w:pPr>
      <w:r>
        <w:rPr>
          <w:b/>
          <w:color w:val="000080"/>
          <w:u w:val="single" w:color="000080"/>
        </w:rPr>
        <w:t xml:space="preserve">2. ANÁLISIS DE LA PROBLEMÁTICA Y APROXIMACIÓN EPIDEMIOLÓGICA Y </w:t>
      </w:r>
    </w:p>
    <w:p w:rsidR="00E23B86" w:rsidRDefault="00BA7C13">
      <w:pPr>
        <w:spacing w:after="145" w:line="249" w:lineRule="auto"/>
        <w:ind w:left="353" w:hanging="8"/>
      </w:pPr>
      <w:r>
        <w:rPr>
          <w:b/>
          <w:color w:val="000080"/>
          <w:u w:val="single" w:color="000080"/>
        </w:rPr>
        <w:t xml:space="preserve"> CONTEXTUAL DE LAS ADICCIONES EN EL AMBITO MUNICIPAL   ...............................                                   298</w:t>
      </w:r>
    </w:p>
    <w:p w:rsidR="00E23B86" w:rsidRDefault="00BA7C13">
      <w:pPr>
        <w:numPr>
          <w:ilvl w:val="0"/>
          <w:numId w:val="140"/>
        </w:numPr>
        <w:spacing w:after="155" w:line="257" w:lineRule="auto"/>
        <w:ind w:right="1" w:hanging="841"/>
        <w:jc w:val="both"/>
      </w:pPr>
      <w:r>
        <w:rPr>
          <w:color w:val="000080"/>
          <w:u w:val="single" w:color="000080"/>
        </w:rPr>
        <w:t>2.1. Resultados de la eva</w:t>
      </w:r>
      <w:r>
        <w:rPr>
          <w:color w:val="000080"/>
          <w:u w:val="single" w:color="000080"/>
        </w:rPr>
        <w:t>luación del III Plan Municipal sobre Drogodependencias (2013-</w:t>
      </w:r>
    </w:p>
    <w:p w:rsidR="00E23B86" w:rsidRDefault="00BA7C13">
      <w:pPr>
        <w:spacing w:after="155" w:line="257" w:lineRule="auto"/>
        <w:ind w:left="343" w:hanging="358"/>
      </w:pPr>
      <w:r>
        <w:rPr>
          <w:color w:val="000080"/>
          <w:u w:val="single" w:color="000080"/>
        </w:rPr>
        <w:t xml:space="preserve"> 2017) ..........................................................................................................................                                                                 </w:t>
      </w:r>
      <w:r>
        <w:rPr>
          <w:color w:val="000080"/>
          <w:u w:val="single" w:color="000080"/>
        </w:rPr>
        <w:t xml:space="preserve">                                                                         299</w:t>
      </w:r>
    </w:p>
    <w:p w:rsidR="00E23B86" w:rsidRDefault="00BA7C13">
      <w:pPr>
        <w:numPr>
          <w:ilvl w:val="0"/>
          <w:numId w:val="140"/>
        </w:numPr>
        <w:spacing w:after="2" w:line="257" w:lineRule="auto"/>
        <w:ind w:right="1" w:hanging="841"/>
        <w:jc w:val="both"/>
      </w:pPr>
      <w:r>
        <w:rPr>
          <w:color w:val="000080"/>
          <w:u w:val="single" w:color="000080"/>
        </w:rPr>
        <w:t xml:space="preserve">2.2. La prevalencia del consumo en Canarias e indicaciones para la planificación de las </w:t>
      </w:r>
    </w:p>
    <w:p w:rsidR="00E23B86" w:rsidRDefault="00BA7C13">
      <w:pPr>
        <w:spacing w:after="0" w:line="395" w:lineRule="auto"/>
        <w:ind w:left="-15" w:firstLine="358"/>
      </w:pPr>
      <w:r>
        <w:rPr>
          <w:color w:val="000080"/>
          <w:u w:val="single" w:color="000080"/>
        </w:rPr>
        <w:t xml:space="preserve"> acciones de prevención e inserción.  ....................................................</w:t>
      </w:r>
      <w:r>
        <w:rPr>
          <w:color w:val="000080"/>
          <w:u w:val="single" w:color="000080"/>
        </w:rPr>
        <w:t xml:space="preserve">......................                                                                                    300 </w:t>
      </w:r>
      <w:r>
        <w:rPr>
          <w:rFonts w:ascii="Segoe UI Symbol" w:eastAsia="Segoe UI Symbol" w:hAnsi="Segoe UI Symbol" w:cs="Segoe UI Symbol"/>
          <w:sz w:val="20"/>
        </w:rPr>
        <w:t></w:t>
      </w:r>
      <w:r>
        <w:rPr>
          <w:color w:val="000080"/>
          <w:u w:val="single" w:color="000080"/>
        </w:rPr>
        <w:t xml:space="preserve"> 2.3. Descripción del contexto municipal   ...................................................................                                   </w:t>
      </w:r>
      <w:r>
        <w:rPr>
          <w:color w:val="000080"/>
          <w:u w:val="single" w:color="000080"/>
        </w:rPr>
        <w:t xml:space="preserve">                                         301</w:t>
      </w:r>
    </w:p>
    <w:p w:rsidR="00E23B86" w:rsidRDefault="00BA7C13">
      <w:pPr>
        <w:numPr>
          <w:ilvl w:val="0"/>
          <w:numId w:val="140"/>
        </w:numPr>
        <w:spacing w:after="154" w:line="257" w:lineRule="auto"/>
        <w:ind w:right="1" w:hanging="841"/>
        <w:jc w:val="both"/>
      </w:pPr>
      <w:r>
        <w:rPr>
          <w:color w:val="000080"/>
          <w:u w:val="single" w:color="000080"/>
        </w:rPr>
        <w:t>2.3.1. Contexto demográfico y laboral  .........................................................................                                                                                  302</w:t>
      </w:r>
    </w:p>
    <w:p w:rsidR="00E23B86" w:rsidRDefault="00BA7C13">
      <w:pPr>
        <w:numPr>
          <w:ilvl w:val="0"/>
          <w:numId w:val="140"/>
        </w:numPr>
        <w:spacing w:after="152" w:line="257" w:lineRule="auto"/>
        <w:ind w:right="1" w:hanging="841"/>
        <w:jc w:val="both"/>
      </w:pPr>
      <w:r>
        <w:rPr>
          <w:color w:val="000080"/>
          <w:u w:val="single" w:color="000080"/>
        </w:rPr>
        <w:t>2.4. Recomendaciones para el diseño del IV Plan   .....................................................                                                            306</w:t>
      </w:r>
    </w:p>
    <w:p w:rsidR="00E23B86" w:rsidRDefault="00BA7C13">
      <w:pPr>
        <w:numPr>
          <w:ilvl w:val="0"/>
          <w:numId w:val="140"/>
        </w:numPr>
        <w:spacing w:after="145" w:line="249" w:lineRule="auto"/>
        <w:ind w:right="1" w:hanging="841"/>
        <w:jc w:val="both"/>
      </w:pPr>
      <w:r>
        <w:rPr>
          <w:b/>
          <w:color w:val="000080"/>
          <w:u w:val="single" w:color="000080"/>
        </w:rPr>
        <w:t>17.LOS PRINCIPIOS DEL IV PLAN  ..........................................................</w:t>
      </w:r>
      <w:r>
        <w:rPr>
          <w:b/>
          <w:color w:val="000080"/>
          <w:u w:val="single" w:color="000080"/>
        </w:rPr>
        <w:t>....................                                                                                           307</w:t>
      </w:r>
    </w:p>
    <w:p w:rsidR="00E23B86" w:rsidRDefault="00BA7C13">
      <w:pPr>
        <w:numPr>
          <w:ilvl w:val="0"/>
          <w:numId w:val="140"/>
        </w:numPr>
        <w:spacing w:after="109" w:line="249" w:lineRule="auto"/>
        <w:ind w:right="1" w:hanging="841"/>
        <w:jc w:val="both"/>
      </w:pPr>
      <w:r>
        <w:rPr>
          <w:b/>
          <w:color w:val="000080"/>
          <w:u w:val="single" w:color="000080"/>
        </w:rPr>
        <w:t xml:space="preserve">18.CAMPO DE ACTUACIÓN  ....................................................................................                                  </w:t>
      </w:r>
      <w:r>
        <w:rPr>
          <w:b/>
          <w:color w:val="000080"/>
          <w:u w:val="single" w:color="000080"/>
        </w:rPr>
        <w:t xml:space="preserve">                                                                 308</w:t>
      </w:r>
    </w:p>
    <w:p w:rsidR="00E23B86" w:rsidRDefault="00BA7C13">
      <w:pPr>
        <w:spacing w:after="9" w:line="249" w:lineRule="auto"/>
        <w:ind w:left="353" w:hanging="8"/>
      </w:pPr>
      <w:r>
        <w:rPr>
          <w:b/>
          <w:color w:val="000080"/>
          <w:u w:val="single" w:color="000080"/>
        </w:rPr>
        <w:t xml:space="preserve">19.META Y OBJETIVOS GENERALES DEL IV PLAN SOBRE ADICCIONES DE CANDELARIA  </w:t>
      </w:r>
    </w:p>
    <w:p w:rsidR="00E23B86" w:rsidRDefault="00BA7C13">
      <w:pPr>
        <w:spacing w:after="143" w:line="249" w:lineRule="auto"/>
        <w:ind w:left="353" w:hanging="8"/>
      </w:pPr>
      <w:r>
        <w:rPr>
          <w:b/>
          <w:color w:val="000080"/>
          <w:u w:val="single" w:color="000080"/>
        </w:rPr>
        <w:t xml:space="preserve"> ...............................................................................................................</w:t>
      </w:r>
      <w:r>
        <w:rPr>
          <w:b/>
          <w:color w:val="000080"/>
          <w:u w:val="single" w:color="000080"/>
        </w:rPr>
        <w:t>.................                                                                                                                                                    309</w:t>
      </w:r>
    </w:p>
    <w:p w:rsidR="00E23B86" w:rsidRDefault="00BA7C13">
      <w:pPr>
        <w:numPr>
          <w:ilvl w:val="0"/>
          <w:numId w:val="140"/>
        </w:numPr>
        <w:spacing w:after="145" w:line="249" w:lineRule="auto"/>
        <w:ind w:right="1" w:hanging="841"/>
        <w:jc w:val="both"/>
      </w:pPr>
      <w:r>
        <w:rPr>
          <w:b/>
          <w:color w:val="000080"/>
          <w:u w:val="single" w:color="000080"/>
        </w:rPr>
        <w:t>20.ÁREAS DE ACTUACIÓN  ................................................................</w:t>
      </w:r>
      <w:r>
        <w:rPr>
          <w:b/>
          <w:color w:val="000080"/>
          <w:u w:val="single" w:color="000080"/>
        </w:rPr>
        <w:t>.......................                                                                                                     309</w:t>
      </w:r>
    </w:p>
    <w:p w:rsidR="00E23B86" w:rsidRDefault="00BA7C13">
      <w:pPr>
        <w:numPr>
          <w:ilvl w:val="0"/>
          <w:numId w:val="140"/>
        </w:numPr>
        <w:spacing w:after="152" w:line="257" w:lineRule="auto"/>
        <w:ind w:right="1" w:hanging="841"/>
        <w:jc w:val="both"/>
      </w:pPr>
      <w:r>
        <w:rPr>
          <w:color w:val="000080"/>
          <w:u w:val="single" w:color="000080"/>
        </w:rPr>
        <w:t xml:space="preserve">6.1. ÁREA DE PREVENCIÓN Y SENSIBILIZACIÓN  ..........................................................                           </w:t>
      </w:r>
      <w:r>
        <w:rPr>
          <w:color w:val="000080"/>
          <w:u w:val="single" w:color="000080"/>
        </w:rPr>
        <w:t xml:space="preserve">                                      309</w:t>
      </w:r>
    </w:p>
    <w:p w:rsidR="00E23B86" w:rsidRDefault="00BA7C13">
      <w:pPr>
        <w:numPr>
          <w:ilvl w:val="0"/>
          <w:numId w:val="140"/>
        </w:numPr>
        <w:spacing w:after="154" w:line="257" w:lineRule="auto"/>
        <w:ind w:right="1" w:hanging="841"/>
        <w:jc w:val="both"/>
      </w:pPr>
      <w:r>
        <w:rPr>
          <w:color w:val="000080"/>
          <w:u w:val="single" w:color="000080"/>
        </w:rPr>
        <w:t xml:space="preserve">6.1.1. Ámbito Educativo  ..............................................................................................                                                                                               </w:t>
      </w:r>
      <w:r>
        <w:rPr>
          <w:color w:val="000080"/>
          <w:u w:val="single" w:color="000080"/>
        </w:rPr>
        <w:t xml:space="preserve">          310</w:t>
      </w:r>
    </w:p>
    <w:p w:rsidR="00E23B86" w:rsidRDefault="00BA7C13">
      <w:pPr>
        <w:numPr>
          <w:ilvl w:val="0"/>
          <w:numId w:val="140"/>
        </w:numPr>
        <w:spacing w:after="152" w:line="257" w:lineRule="auto"/>
        <w:ind w:right="1" w:hanging="841"/>
        <w:jc w:val="both"/>
      </w:pPr>
      <w:r>
        <w:rPr>
          <w:color w:val="000080"/>
          <w:u w:val="single" w:color="000080"/>
        </w:rPr>
        <w:t>6.1.2. Ámbito Familiar  .................................................................................................                                                                                                            311</w:t>
      </w:r>
    </w:p>
    <w:p w:rsidR="00E23B86" w:rsidRDefault="00BA7C13">
      <w:pPr>
        <w:numPr>
          <w:ilvl w:val="0"/>
          <w:numId w:val="140"/>
        </w:numPr>
        <w:spacing w:after="154" w:line="257" w:lineRule="auto"/>
        <w:ind w:right="1" w:hanging="841"/>
        <w:jc w:val="both"/>
      </w:pPr>
      <w:r>
        <w:rPr>
          <w:color w:val="000080"/>
          <w:u w:val="single" w:color="000080"/>
        </w:rPr>
        <w:t>6.1.3. Ám</w:t>
      </w:r>
      <w:r>
        <w:rPr>
          <w:color w:val="000080"/>
          <w:u w:val="single" w:color="000080"/>
        </w:rPr>
        <w:t>bito Comunitario  .........................................................................................                                                                                                    312</w:t>
      </w:r>
    </w:p>
    <w:p w:rsidR="00E23B86" w:rsidRDefault="00BA7C13">
      <w:pPr>
        <w:numPr>
          <w:ilvl w:val="0"/>
          <w:numId w:val="140"/>
        </w:numPr>
        <w:spacing w:after="152" w:line="257" w:lineRule="auto"/>
        <w:ind w:right="1" w:hanging="841"/>
        <w:jc w:val="both"/>
      </w:pPr>
      <w:r>
        <w:rPr>
          <w:color w:val="000080"/>
          <w:u w:val="single" w:color="000080"/>
        </w:rPr>
        <w:t>6.2. ÁREA DE INSERCIÓN SOCIAL  ..............</w:t>
      </w:r>
      <w:r>
        <w:rPr>
          <w:color w:val="000080"/>
          <w:u w:val="single" w:color="000080"/>
        </w:rPr>
        <w:t>...................................................................                                                                                           314</w:t>
      </w:r>
    </w:p>
    <w:p w:rsidR="00E23B86" w:rsidRDefault="00BA7C13">
      <w:pPr>
        <w:numPr>
          <w:ilvl w:val="0"/>
          <w:numId w:val="140"/>
        </w:numPr>
        <w:spacing w:after="154" w:line="257" w:lineRule="auto"/>
        <w:ind w:right="1" w:hanging="841"/>
        <w:jc w:val="both"/>
      </w:pPr>
      <w:r>
        <w:rPr>
          <w:color w:val="000080"/>
          <w:u w:val="single" w:color="000080"/>
        </w:rPr>
        <w:t>20.3.REA DE SOPORTE Y APOYO  .................................................................</w:t>
      </w:r>
      <w:r>
        <w:rPr>
          <w:color w:val="000080"/>
          <w:u w:val="single" w:color="000080"/>
        </w:rPr>
        <w:t>................                                                                                           315</w:t>
      </w:r>
    </w:p>
    <w:p w:rsidR="00E23B86" w:rsidRDefault="00BA7C13">
      <w:pPr>
        <w:numPr>
          <w:ilvl w:val="0"/>
          <w:numId w:val="140"/>
        </w:numPr>
        <w:spacing w:after="143" w:line="249" w:lineRule="auto"/>
        <w:ind w:right="1" w:hanging="841"/>
        <w:jc w:val="both"/>
      </w:pPr>
      <w:r>
        <w:rPr>
          <w:b/>
          <w:color w:val="000080"/>
          <w:u w:val="single" w:color="000080"/>
        </w:rPr>
        <w:t>21.COORDINACIÓN DE LAS ACTUACIONES DEL IV PLAN  ...........................................                                                316</w:t>
      </w:r>
    </w:p>
    <w:p w:rsidR="00E23B86" w:rsidRDefault="00BA7C13">
      <w:pPr>
        <w:numPr>
          <w:ilvl w:val="0"/>
          <w:numId w:val="140"/>
        </w:numPr>
        <w:spacing w:after="154" w:line="257" w:lineRule="auto"/>
        <w:ind w:right="1" w:hanging="841"/>
        <w:jc w:val="both"/>
      </w:pPr>
      <w:r>
        <w:rPr>
          <w:color w:val="000080"/>
          <w:u w:val="single" w:color="000080"/>
        </w:rPr>
        <w:t>7.1. Comisión Municipal de Prevención de Adicciones de Candelaria .........................                            316</w:t>
      </w:r>
    </w:p>
    <w:p w:rsidR="00E23B86" w:rsidRDefault="00BA7C13">
      <w:pPr>
        <w:numPr>
          <w:ilvl w:val="0"/>
          <w:numId w:val="140"/>
        </w:numPr>
        <w:spacing w:after="152" w:line="257" w:lineRule="auto"/>
        <w:ind w:right="1" w:hanging="841"/>
        <w:jc w:val="both"/>
      </w:pPr>
      <w:r>
        <w:rPr>
          <w:color w:val="000080"/>
          <w:u w:val="single" w:color="000080"/>
        </w:rPr>
        <w:t>7.2. Comisión Mixta de Prevención de Adicciones de Candelaria  ................................                                   316</w:t>
      </w:r>
    </w:p>
    <w:p w:rsidR="00E23B86" w:rsidRDefault="00BA7C13">
      <w:pPr>
        <w:numPr>
          <w:ilvl w:val="0"/>
          <w:numId w:val="140"/>
        </w:numPr>
        <w:spacing w:after="145" w:line="249" w:lineRule="auto"/>
        <w:ind w:right="1" w:hanging="841"/>
        <w:jc w:val="both"/>
      </w:pPr>
      <w:r>
        <w:rPr>
          <w:b/>
          <w:color w:val="000080"/>
          <w:u w:val="single" w:color="000080"/>
        </w:rPr>
        <w:t>22.RECURSOS DEL IV PLAN   .....................................................................................                                                                                                  317</w:t>
      </w:r>
    </w:p>
    <w:p w:rsidR="00E23B86" w:rsidRDefault="00BA7C13">
      <w:pPr>
        <w:numPr>
          <w:ilvl w:val="0"/>
          <w:numId w:val="140"/>
        </w:numPr>
        <w:spacing w:after="143" w:line="249" w:lineRule="auto"/>
        <w:ind w:right="1" w:hanging="841"/>
        <w:jc w:val="both"/>
      </w:pPr>
      <w:r>
        <w:rPr>
          <w:b/>
          <w:color w:val="000080"/>
          <w:u w:val="single" w:color="000080"/>
        </w:rPr>
        <w:t>23.EVALUACIÓN Y SEGUIMIENTO DEL PLAN .....</w:t>
      </w:r>
      <w:r>
        <w:rPr>
          <w:b/>
          <w:color w:val="000080"/>
          <w:u w:val="single" w:color="000080"/>
        </w:rPr>
        <w:t>.......................................................                                                                      318</w:t>
      </w:r>
    </w:p>
    <w:p w:rsidR="00E23B86" w:rsidRDefault="00BA7C13">
      <w:pPr>
        <w:numPr>
          <w:ilvl w:val="0"/>
          <w:numId w:val="140"/>
        </w:numPr>
        <w:spacing w:after="2" w:line="257" w:lineRule="auto"/>
        <w:ind w:right="1" w:hanging="841"/>
        <w:jc w:val="both"/>
      </w:pPr>
      <w:r>
        <w:rPr>
          <w:color w:val="000080"/>
          <w:u w:val="single" w:color="000080"/>
        </w:rPr>
        <w:t xml:space="preserve">III. Ley Orgánica 1/1996, de 15 de enero, de protección jurídica del menor, de </w:t>
      </w:r>
    </w:p>
    <w:p w:rsidR="00E23B86" w:rsidRDefault="00BA7C13">
      <w:pPr>
        <w:spacing w:after="152" w:line="257" w:lineRule="auto"/>
        <w:ind w:left="368" w:hanging="10"/>
      </w:pPr>
      <w:r>
        <w:rPr>
          <w:color w:val="000080"/>
          <w:u w:val="single" w:color="000080"/>
        </w:rPr>
        <w:t xml:space="preserve"> modificación del Código Civil y de la Ley de E</w:t>
      </w:r>
      <w:r>
        <w:rPr>
          <w:color w:val="000080"/>
          <w:u w:val="single" w:color="000080"/>
        </w:rPr>
        <w:t>njuiciamiento Civil  ................................                                   329</w:t>
      </w:r>
    </w:p>
    <w:p w:rsidR="00E23B86" w:rsidRDefault="00BA7C13">
      <w:pPr>
        <w:numPr>
          <w:ilvl w:val="0"/>
          <w:numId w:val="140"/>
        </w:numPr>
        <w:spacing w:after="154" w:line="257" w:lineRule="auto"/>
        <w:ind w:right="1" w:hanging="841"/>
        <w:jc w:val="both"/>
      </w:pPr>
      <w:r>
        <w:rPr>
          <w:color w:val="000080"/>
          <w:u w:val="single" w:color="000080"/>
        </w:rPr>
        <w:t xml:space="preserve">Derechos del menor  ....................................................................................................                                            </w:t>
      </w:r>
      <w:r>
        <w:rPr>
          <w:color w:val="000080"/>
          <w:u w:val="single" w:color="000080"/>
        </w:rPr>
        <w:t xml:space="preserve">                                                                    329</w:t>
      </w:r>
    </w:p>
    <w:p w:rsidR="00E23B86" w:rsidRDefault="00BA7C13">
      <w:pPr>
        <w:numPr>
          <w:ilvl w:val="0"/>
          <w:numId w:val="140"/>
        </w:numPr>
        <w:spacing w:after="152" w:line="257" w:lineRule="auto"/>
        <w:ind w:right="1" w:hanging="841"/>
        <w:jc w:val="both"/>
      </w:pPr>
      <w:r>
        <w:rPr>
          <w:noProof/>
        </w:rPr>
        <mc:AlternateContent>
          <mc:Choice Requires="wpg">
            <w:drawing>
              <wp:anchor distT="0" distB="0" distL="114300" distR="114300" simplePos="0" relativeHeight="2519316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5080" name="Group 55508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005" name="Rectangle 4400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4006" name="Rectangle 4400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265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5080" style="width:12.7031pt;height:280.35pt;position:absolute;mso-position-horizontal-relative:page;mso-position-horizontal:absolute;margin-left:681.958pt;mso-position-vertical-relative:page;margin-top:531.65pt;" coordsize="1613,35604">
                <v:rect id="Rectangle 4400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00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265 de 391 </w:t>
                        </w:r>
                      </w:p>
                    </w:txbxContent>
                  </v:textbox>
                </v:rect>
                <w10:wrap type="square"/>
              </v:group>
            </w:pict>
          </mc:Fallback>
        </mc:AlternateContent>
      </w:r>
      <w:r>
        <w:rPr>
          <w:color w:val="000080"/>
          <w:u w:val="single" w:color="000080"/>
        </w:rPr>
        <w:t>IV.- Ley 1/1997, de 7 de febrero, de atención integral a los menores  ..........................                            334</w:t>
      </w:r>
    </w:p>
    <w:p w:rsidR="00E23B86" w:rsidRDefault="00BA7C13">
      <w:pPr>
        <w:numPr>
          <w:ilvl w:val="0"/>
          <w:numId w:val="140"/>
        </w:numPr>
        <w:spacing w:after="2" w:line="257" w:lineRule="auto"/>
        <w:ind w:right="1" w:hanging="841"/>
        <w:jc w:val="both"/>
      </w:pPr>
      <w:r>
        <w:rPr>
          <w:color w:val="000080"/>
          <w:u w:val="single" w:color="000080"/>
        </w:rPr>
        <w:t xml:space="preserve">V.- Ley Orgánica 3/2018, de 5 de diciembre, de Protección de Datos Personales y </w:t>
      </w:r>
    </w:p>
    <w:p w:rsidR="00E23B86" w:rsidRDefault="00BA7C13">
      <w:pPr>
        <w:spacing w:after="152" w:line="257" w:lineRule="auto"/>
        <w:ind w:left="368" w:hanging="10"/>
      </w:pPr>
      <w:r>
        <w:rPr>
          <w:color w:val="000080"/>
          <w:u w:val="single" w:color="000080"/>
        </w:rPr>
        <w:t xml:space="preserve"> garantía de los derechos digitales ................................................................................                                                           </w:t>
      </w:r>
      <w:r>
        <w:rPr>
          <w:color w:val="000080"/>
          <w:u w:val="single" w:color="000080"/>
        </w:rPr>
        <w:t xml:space="preserve">                               336</w:t>
      </w:r>
    </w:p>
    <w:p w:rsidR="00E23B86" w:rsidRDefault="00BA7C13">
      <w:pPr>
        <w:numPr>
          <w:ilvl w:val="0"/>
          <w:numId w:val="140"/>
        </w:numPr>
        <w:spacing w:after="154" w:line="257" w:lineRule="auto"/>
        <w:ind w:right="1" w:hanging="841"/>
        <w:jc w:val="both"/>
      </w:pPr>
      <w:r>
        <w:rPr>
          <w:color w:val="000080"/>
          <w:u w:val="single" w:color="000080"/>
        </w:rPr>
        <w:t>Ley 7/1985, de 2 de abril, reguladora de las Bases del Régimen Local ........................                           337</w:t>
      </w:r>
    </w:p>
    <w:p w:rsidR="00E23B86" w:rsidRDefault="00BA7C13">
      <w:pPr>
        <w:numPr>
          <w:ilvl w:val="0"/>
          <w:numId w:val="140"/>
        </w:numPr>
        <w:spacing w:after="152" w:line="257" w:lineRule="auto"/>
        <w:ind w:right="1" w:hanging="841"/>
        <w:jc w:val="both"/>
      </w:pPr>
      <w:r>
        <w:rPr>
          <w:color w:val="000080"/>
          <w:u w:val="single" w:color="000080"/>
        </w:rPr>
        <w:t>Ley 7/2015, de 1 de abril, de los municipios de Canarias  .......................................</w:t>
      </w:r>
      <w:r>
        <w:rPr>
          <w:color w:val="000080"/>
          <w:u w:val="single" w:color="000080"/>
        </w:rPr>
        <w:t>.....                                                 337</w:t>
      </w:r>
    </w:p>
    <w:p w:rsidR="00E23B86" w:rsidRDefault="00BA7C13">
      <w:pPr>
        <w:numPr>
          <w:ilvl w:val="0"/>
          <w:numId w:val="140"/>
        </w:numPr>
        <w:spacing w:after="154" w:line="257" w:lineRule="auto"/>
        <w:ind w:right="1" w:hanging="841"/>
        <w:jc w:val="both"/>
      </w:pPr>
      <w:r>
        <w:rPr>
          <w:color w:val="000080"/>
          <w:u w:val="single" w:color="000080"/>
        </w:rPr>
        <w:t>Ley 1/1997, de 7 de febrero, de atención integral a los menores  ...............................                                  338</w:t>
      </w:r>
    </w:p>
    <w:p w:rsidR="00E23B86" w:rsidRDefault="00BA7C13">
      <w:pPr>
        <w:numPr>
          <w:ilvl w:val="0"/>
          <w:numId w:val="140"/>
        </w:numPr>
        <w:spacing w:after="152" w:line="257" w:lineRule="auto"/>
        <w:ind w:right="1" w:hanging="841"/>
        <w:jc w:val="both"/>
      </w:pPr>
      <w:r>
        <w:rPr>
          <w:color w:val="000080"/>
          <w:u w:val="single" w:color="000080"/>
        </w:rPr>
        <w:t>Ley 7/1985, de 2 de abril, reguladora de las Bases del Régimen L</w:t>
      </w:r>
      <w:r>
        <w:rPr>
          <w:color w:val="000080"/>
          <w:u w:val="single" w:color="000080"/>
        </w:rPr>
        <w:t>ocal  ........................                          338</w:t>
      </w:r>
    </w:p>
    <w:p w:rsidR="00E23B86" w:rsidRDefault="00BA7C13">
      <w:pPr>
        <w:numPr>
          <w:ilvl w:val="0"/>
          <w:numId w:val="140"/>
        </w:numPr>
        <w:spacing w:after="154" w:line="257" w:lineRule="auto"/>
        <w:ind w:right="1" w:hanging="841"/>
        <w:jc w:val="both"/>
      </w:pPr>
      <w:r>
        <w:rPr>
          <w:color w:val="000080"/>
          <w:u w:val="single" w:color="000080"/>
        </w:rPr>
        <w:t>Ley 7/2015, de 1 de abril, de los municipios de Canarias ............................................                                                  338</w:t>
      </w:r>
    </w:p>
    <w:p w:rsidR="00E23B86" w:rsidRDefault="00BA7C13">
      <w:pPr>
        <w:numPr>
          <w:ilvl w:val="0"/>
          <w:numId w:val="140"/>
        </w:numPr>
        <w:spacing w:after="2" w:line="257" w:lineRule="auto"/>
        <w:ind w:right="1" w:hanging="841"/>
        <w:jc w:val="both"/>
      </w:pPr>
      <w:r>
        <w:rPr>
          <w:color w:val="000080"/>
          <w:u w:val="single" w:color="000080"/>
        </w:rPr>
        <w:t>III. Ley Orgánica 1/1996, de 15 de enero,</w:t>
      </w:r>
      <w:r>
        <w:rPr>
          <w:color w:val="000080"/>
          <w:u w:val="single" w:color="000080"/>
        </w:rPr>
        <w:t xml:space="preserve"> de protección jurídica del menor, de </w:t>
      </w:r>
    </w:p>
    <w:p w:rsidR="00E23B86" w:rsidRDefault="00BA7C13">
      <w:pPr>
        <w:spacing w:after="154" w:line="257" w:lineRule="auto"/>
        <w:ind w:left="368" w:hanging="10"/>
      </w:pPr>
      <w:r>
        <w:rPr>
          <w:color w:val="000080"/>
          <w:u w:val="single" w:color="000080"/>
        </w:rPr>
        <w:t xml:space="preserve"> modificación del Código Civil y de la Ley de Enjuiciamiento Civil ................................                                    350</w:t>
      </w:r>
    </w:p>
    <w:p w:rsidR="00E23B86" w:rsidRDefault="00BA7C13">
      <w:pPr>
        <w:numPr>
          <w:ilvl w:val="0"/>
          <w:numId w:val="140"/>
        </w:numPr>
        <w:spacing w:after="152" w:line="257" w:lineRule="auto"/>
        <w:ind w:right="1" w:hanging="841"/>
        <w:jc w:val="both"/>
      </w:pPr>
      <w:r>
        <w:rPr>
          <w:color w:val="000080"/>
          <w:u w:val="single" w:color="000080"/>
        </w:rPr>
        <w:t>Derechos del menor  ..........................................................</w:t>
      </w:r>
      <w:r>
        <w:rPr>
          <w:color w:val="000080"/>
          <w:u w:val="single" w:color="000080"/>
        </w:rPr>
        <w:t>..........................................                                                                                                                350</w:t>
      </w:r>
    </w:p>
    <w:p w:rsidR="00E23B86" w:rsidRDefault="00BA7C13">
      <w:pPr>
        <w:numPr>
          <w:ilvl w:val="0"/>
          <w:numId w:val="140"/>
        </w:numPr>
        <w:spacing w:after="154" w:line="257" w:lineRule="auto"/>
        <w:ind w:right="1" w:hanging="841"/>
        <w:jc w:val="both"/>
      </w:pPr>
      <w:r>
        <w:rPr>
          <w:color w:val="000080"/>
          <w:u w:val="single" w:color="000080"/>
        </w:rPr>
        <w:t xml:space="preserve">IV.- Ley 1/1997, de 7 de febrero, de atención integral a los menores ..........................   </w:t>
      </w:r>
      <w:r>
        <w:rPr>
          <w:color w:val="000080"/>
          <w:u w:val="single" w:color="000080"/>
        </w:rPr>
        <w:t xml:space="preserve">                          355</w:t>
      </w:r>
    </w:p>
    <w:p w:rsidR="00E23B86" w:rsidRDefault="00BA7C13">
      <w:pPr>
        <w:numPr>
          <w:ilvl w:val="0"/>
          <w:numId w:val="140"/>
        </w:numPr>
        <w:spacing w:after="2" w:line="257" w:lineRule="auto"/>
        <w:ind w:right="1" w:hanging="841"/>
        <w:jc w:val="both"/>
      </w:pPr>
      <w:r>
        <w:rPr>
          <w:color w:val="000080"/>
          <w:u w:val="single" w:color="000080"/>
        </w:rPr>
        <w:t xml:space="preserve">V.- Ley Orgánica 3/2018, de 5 de diciembre, de Protección de Datos Personales y </w:t>
      </w:r>
    </w:p>
    <w:p w:rsidR="00E23B86" w:rsidRDefault="00BA7C13">
      <w:pPr>
        <w:spacing w:after="154" w:line="257" w:lineRule="auto"/>
        <w:ind w:left="368" w:hanging="10"/>
      </w:pPr>
      <w:r>
        <w:rPr>
          <w:color w:val="000080"/>
          <w:u w:val="single" w:color="000080"/>
        </w:rPr>
        <w:t xml:space="preserve"> garantía de los derechos digitales  ................................................................................                            </w:t>
      </w:r>
      <w:r>
        <w:rPr>
          <w:color w:val="000080"/>
          <w:u w:val="single" w:color="000080"/>
        </w:rPr>
        <w:t xml:space="preserve">                                                             357</w:t>
      </w:r>
    </w:p>
    <w:p w:rsidR="00E23B86" w:rsidRDefault="00BA7C13">
      <w:pPr>
        <w:numPr>
          <w:ilvl w:val="0"/>
          <w:numId w:val="140"/>
        </w:numPr>
        <w:spacing w:after="152" w:line="257" w:lineRule="auto"/>
        <w:ind w:right="1" w:hanging="841"/>
        <w:jc w:val="both"/>
      </w:pPr>
      <w:r>
        <w:rPr>
          <w:color w:val="000080"/>
          <w:u w:val="single" w:color="000080"/>
        </w:rPr>
        <w:t>Ley 7/1985, de 2 de abril, reguladora de las Bases del Régimen Local  ........................                          358</w:t>
      </w:r>
    </w:p>
    <w:p w:rsidR="00E23B86" w:rsidRDefault="00BA7C13">
      <w:pPr>
        <w:numPr>
          <w:ilvl w:val="0"/>
          <w:numId w:val="140"/>
        </w:numPr>
        <w:spacing w:after="154" w:line="257" w:lineRule="auto"/>
        <w:ind w:right="1" w:hanging="841"/>
        <w:jc w:val="both"/>
      </w:pPr>
      <w:r>
        <w:rPr>
          <w:color w:val="000080"/>
          <w:u w:val="single" w:color="000080"/>
        </w:rPr>
        <w:t>Ley 7/2015, de 1 de abril, de los municipios de Canarias ..........</w:t>
      </w:r>
      <w:r>
        <w:rPr>
          <w:color w:val="000080"/>
          <w:u w:val="single" w:color="000080"/>
        </w:rPr>
        <w:t>..................................                                                  358</w:t>
      </w:r>
    </w:p>
    <w:p w:rsidR="00E23B86" w:rsidRDefault="00BA7C13">
      <w:pPr>
        <w:numPr>
          <w:ilvl w:val="0"/>
          <w:numId w:val="140"/>
        </w:numPr>
        <w:spacing w:after="152" w:line="257" w:lineRule="auto"/>
        <w:ind w:right="1" w:hanging="841"/>
        <w:jc w:val="both"/>
      </w:pPr>
      <w:r>
        <w:rPr>
          <w:color w:val="000080"/>
          <w:u w:val="single" w:color="000080"/>
        </w:rPr>
        <w:t>Ley 1/1997, de 7 de febrero, de atención integral a los menores  ...............................                                  359</w:t>
      </w:r>
    </w:p>
    <w:p w:rsidR="00E23B86" w:rsidRDefault="00BA7C13">
      <w:pPr>
        <w:numPr>
          <w:ilvl w:val="0"/>
          <w:numId w:val="140"/>
        </w:numPr>
        <w:spacing w:after="154" w:line="257" w:lineRule="auto"/>
        <w:ind w:right="1" w:hanging="841"/>
        <w:jc w:val="both"/>
      </w:pPr>
      <w:r>
        <w:rPr>
          <w:color w:val="000080"/>
          <w:u w:val="single" w:color="000080"/>
        </w:rPr>
        <w:t>Ley 7/1985, de 2 de abril, regulad</w:t>
      </w:r>
      <w:r>
        <w:rPr>
          <w:color w:val="000080"/>
          <w:u w:val="single" w:color="000080"/>
        </w:rPr>
        <w:t>ora de las Bases del Régimen Local ........................                           359  Ley 7/2015, de 1 de abril, de los municipios de Canarias  ............................................                                                 360</w:t>
      </w:r>
    </w:p>
    <w:p w:rsidR="00E23B86" w:rsidRDefault="00BA7C13">
      <w:pPr>
        <w:numPr>
          <w:ilvl w:val="0"/>
          <w:numId w:val="140"/>
        </w:numPr>
        <w:spacing w:after="143" w:line="249" w:lineRule="auto"/>
        <w:ind w:right="1" w:hanging="841"/>
        <w:jc w:val="both"/>
      </w:pPr>
      <w:r>
        <w:rPr>
          <w:b/>
          <w:color w:val="000080"/>
          <w:u w:val="single" w:color="000080"/>
        </w:rPr>
        <w:t>5.MOCIÓN CON CARÁCTER DE URGENTE DE CC-PNC  ...............................................                                                      373</w:t>
      </w:r>
    </w:p>
    <w:p w:rsidR="00E23B86" w:rsidRDefault="00BA7C13">
      <w:pPr>
        <w:numPr>
          <w:ilvl w:val="0"/>
          <w:numId w:val="140"/>
        </w:numPr>
        <w:spacing w:after="109" w:line="249" w:lineRule="auto"/>
        <w:ind w:right="1" w:hanging="841"/>
        <w:jc w:val="both"/>
      </w:pPr>
      <w:r>
        <w:rPr>
          <w:b/>
          <w:color w:val="000080"/>
          <w:u w:val="single" w:color="000080"/>
        </w:rPr>
        <w:t xml:space="preserve">6.EN EL GRUPO MUNICIPAL MIXTO  .........................................................................   </w:t>
      </w:r>
      <w:r>
        <w:rPr>
          <w:b/>
          <w:color w:val="000080"/>
          <w:u w:val="single" w:color="000080"/>
        </w:rPr>
        <w:t xml:space="preserve">                                                                                  373</w:t>
      </w:r>
    </w:p>
    <w:p w:rsidR="00E23B86" w:rsidRDefault="00BA7C13">
      <w:pPr>
        <w:numPr>
          <w:ilvl w:val="0"/>
          <w:numId w:val="140"/>
        </w:numPr>
        <w:spacing w:after="111" w:line="251" w:lineRule="auto"/>
        <w:ind w:right="1" w:hanging="841"/>
        <w:jc w:val="both"/>
      </w:pPr>
      <w:r>
        <w:rPr>
          <w:rFonts w:ascii="Arial" w:eastAsia="Arial" w:hAnsi="Arial" w:cs="Arial"/>
          <w:i/>
        </w:rPr>
        <w:t xml:space="preserve">Este documento denominado IV Plan Municipal de Prevención de Adicciones de Candelaria (2019-2023), es un instrumento de trabajo técnico que define las políticas sociales </w:t>
      </w:r>
      <w:r>
        <w:rPr>
          <w:rFonts w:ascii="Arial" w:eastAsia="Arial" w:hAnsi="Arial" w:cs="Arial"/>
          <w:i/>
        </w:rPr>
        <w:t>públicas de prevención de adicciones, a llevar a cabo en el espacio local.</w:t>
      </w:r>
    </w:p>
    <w:p w:rsidR="00E23B86" w:rsidRDefault="00BA7C13">
      <w:pPr>
        <w:numPr>
          <w:ilvl w:val="0"/>
          <w:numId w:val="140"/>
        </w:numPr>
        <w:spacing w:after="111" w:line="251" w:lineRule="auto"/>
        <w:ind w:right="1" w:hanging="841"/>
        <w:jc w:val="both"/>
      </w:pPr>
      <w:r>
        <w:rPr>
          <w:rFonts w:ascii="Arial" w:eastAsia="Arial" w:hAnsi="Arial" w:cs="Arial"/>
          <w:i/>
        </w:rPr>
        <w:t>El IV Plan Municipal, será el referente de planificación-acción para los próximos cinco años en el municipio, siendo un documento que deberá ser evaluado en su proceso, para ir ajus</w:t>
      </w:r>
      <w:r>
        <w:rPr>
          <w:rFonts w:ascii="Arial" w:eastAsia="Arial" w:hAnsi="Arial" w:cs="Arial"/>
          <w:i/>
        </w:rPr>
        <w:t>tando las acciones y medidas a las necesidades de la población, así como, la implementación o puesta en marcha de nuevas acciones que se detecten mediante la evaluación e investigación continua.</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326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3618" name="Group 56361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176" name="Rectangle 4417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44177" name="Rectangle 4417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266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3618" style="width:12.7031pt;height:280.35pt;position:absolute;mso-position-horizontal-relative:page;mso-position-horizontal:absolute;margin-left:681.958pt;mso-position-vertical-relative:page;margin-top:531.65pt;" coordsize="1613,35604">
                <v:rect id="Rectangle 4417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17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266 de 391 </w:t>
                        </w:r>
                      </w:p>
                    </w:txbxContent>
                  </v:textbox>
                </v:rect>
                <w10:wrap type="square"/>
              </v:group>
            </w:pict>
          </mc:Fallback>
        </mc:AlternateContent>
      </w:r>
      <w:r>
        <w:rPr>
          <w:rFonts w:ascii="Arial" w:eastAsia="Arial" w:hAnsi="Arial" w:cs="Arial"/>
          <w:i/>
        </w:rPr>
        <w:t>El documento se ha estructurado en nueve apartados. El apartado primero recoge y explica las competencias de la Corpora</w:t>
      </w:r>
      <w:r>
        <w:rPr>
          <w:rFonts w:ascii="Arial" w:eastAsia="Arial" w:hAnsi="Arial" w:cs="Arial"/>
          <w:i/>
        </w:rPr>
        <w:t>ción Local en materia de prevención e inserción social. En el apartado segundo se desarrolla el análisis de la problemática y aproximación epidemiológica y contextual del riesgo de adicciones en el ámbito municipal. En el tercer apartado recoge los princip</w:t>
      </w:r>
      <w:r>
        <w:rPr>
          <w:rFonts w:ascii="Arial" w:eastAsia="Arial" w:hAnsi="Arial" w:cs="Arial"/>
          <w:i/>
        </w:rPr>
        <w:t>ios sobre los que se sustenta el IV Plan Municipal y son los definidos desde la Estrategia Nacional sobre Adicciones 2017-2024 y el Plan de Acción sobre Adicciones 2018-2020. En el cuarto apartado se describen el campo de actuación del IV Plan, mientras qu</w:t>
      </w:r>
      <w:r>
        <w:rPr>
          <w:rFonts w:ascii="Arial" w:eastAsia="Arial" w:hAnsi="Arial" w:cs="Arial"/>
          <w:i/>
        </w:rPr>
        <w:t xml:space="preserve">e en el quinto y sexto se recoge la meta del IV Plan y los objetivos generales por áreas, respectivamente. </w:t>
      </w:r>
    </w:p>
    <w:p w:rsidR="00E23B86" w:rsidRDefault="00BA7C13">
      <w:pPr>
        <w:numPr>
          <w:ilvl w:val="0"/>
          <w:numId w:val="140"/>
        </w:numPr>
        <w:spacing w:after="111" w:line="251" w:lineRule="auto"/>
        <w:ind w:right="1" w:hanging="841"/>
        <w:jc w:val="both"/>
      </w:pPr>
      <w:r>
        <w:rPr>
          <w:rFonts w:ascii="Arial" w:eastAsia="Arial" w:hAnsi="Arial" w:cs="Arial"/>
          <w:i/>
        </w:rPr>
        <w:t>En el apartado sexto, se describen las acciones para cada una de las tres áreas de actuación y sus ámbitos o sectores prioritarios, donde se han dis</w:t>
      </w:r>
      <w:r>
        <w:rPr>
          <w:rFonts w:ascii="Arial" w:eastAsia="Arial" w:hAnsi="Arial" w:cs="Arial"/>
          <w:i/>
        </w:rPr>
        <w:t xml:space="preserve">eñado un total de 35 acciones. </w:t>
      </w:r>
    </w:p>
    <w:p w:rsidR="00E23B86" w:rsidRDefault="00BA7C13">
      <w:pPr>
        <w:numPr>
          <w:ilvl w:val="0"/>
          <w:numId w:val="140"/>
        </w:numPr>
        <w:spacing w:after="111" w:line="251" w:lineRule="auto"/>
        <w:ind w:right="1" w:hanging="841"/>
        <w:jc w:val="both"/>
      </w:pPr>
      <w:r>
        <w:rPr>
          <w:rFonts w:ascii="Arial" w:eastAsia="Arial" w:hAnsi="Arial" w:cs="Arial"/>
          <w:i/>
        </w:rPr>
        <w:t>En los tres últimos apartados se recoge el sistema de coordinación y organización del IV Plan (séptimo apartado), así como la descripción de los recursos a emplear (octavo aportado) y los mecanismos de evaluación del IV Plan</w:t>
      </w:r>
      <w:r>
        <w:rPr>
          <w:rFonts w:ascii="Arial" w:eastAsia="Arial" w:hAnsi="Arial" w:cs="Arial"/>
          <w:i/>
        </w:rPr>
        <w:t xml:space="preserve"> (noveno apartado). </w:t>
      </w:r>
    </w:p>
    <w:tbl>
      <w:tblPr>
        <w:tblStyle w:val="TableGrid"/>
        <w:tblW w:w="8123" w:type="dxa"/>
        <w:tblInd w:w="9" w:type="dxa"/>
        <w:tblCellMar>
          <w:top w:w="37" w:type="dxa"/>
          <w:left w:w="2" w:type="dxa"/>
          <w:bottom w:w="0" w:type="dxa"/>
          <w:right w:w="121" w:type="dxa"/>
        </w:tblCellMar>
        <w:tblLook w:val="04A0" w:firstRow="1" w:lastRow="0" w:firstColumn="1" w:lastColumn="0" w:noHBand="0" w:noVBand="1"/>
      </w:tblPr>
      <w:tblGrid>
        <w:gridCol w:w="349"/>
        <w:gridCol w:w="7774"/>
      </w:tblGrid>
      <w:tr w:rsidR="00E23B86">
        <w:trPr>
          <w:trHeight w:val="589"/>
        </w:trPr>
        <w:tc>
          <w:tcPr>
            <w:tcW w:w="349" w:type="dxa"/>
            <w:tcBorders>
              <w:top w:val="double" w:sz="2" w:space="0" w:color="00000A"/>
              <w:left w:val="double" w:sz="2" w:space="0" w:color="00000A"/>
              <w:bottom w:val="double" w:sz="2" w:space="0" w:color="00000A"/>
              <w:right w:val="nil"/>
            </w:tcBorders>
          </w:tcPr>
          <w:p w:rsidR="00E23B86" w:rsidRDefault="00BA7C13">
            <w:pPr>
              <w:spacing w:after="0"/>
              <w:ind w:left="91"/>
            </w:pPr>
            <w:r>
              <w:rPr>
                <w:rFonts w:ascii="Segoe UI Symbol" w:eastAsia="Segoe UI Symbol" w:hAnsi="Segoe UI Symbol" w:cs="Segoe UI Symbol"/>
                <w:sz w:val="20"/>
              </w:rPr>
              <w:t></w:t>
            </w:r>
          </w:p>
        </w:tc>
        <w:tc>
          <w:tcPr>
            <w:tcW w:w="7774" w:type="dxa"/>
            <w:tcBorders>
              <w:top w:val="double" w:sz="2" w:space="0" w:color="00000A"/>
              <w:left w:val="nil"/>
              <w:bottom w:val="double" w:sz="2" w:space="0" w:color="00000A"/>
              <w:right w:val="double" w:sz="2" w:space="0" w:color="00000A"/>
            </w:tcBorders>
          </w:tcPr>
          <w:p w:rsidR="00E23B86" w:rsidRDefault="00BA7C13">
            <w:pPr>
              <w:spacing w:after="0"/>
              <w:ind w:left="102" w:hanging="102"/>
              <w:jc w:val="both"/>
            </w:pPr>
            <w:r>
              <w:rPr>
                <w:rFonts w:ascii="Arial" w:eastAsia="Arial" w:hAnsi="Arial" w:cs="Arial"/>
                <w:i/>
              </w:rPr>
              <w:t xml:space="preserve">1. COMPETENCIAS DEL AYUNTAMIENTO EN MATERIA DE PREVENCIÓN DE DROGODEPENDENCIAS. </w:t>
            </w:r>
          </w:p>
        </w:tc>
      </w:tr>
    </w:tbl>
    <w:p w:rsidR="00E23B86" w:rsidRDefault="00BA7C13">
      <w:pPr>
        <w:numPr>
          <w:ilvl w:val="0"/>
          <w:numId w:val="140"/>
        </w:numPr>
        <w:spacing w:after="111" w:line="251" w:lineRule="auto"/>
        <w:ind w:right="1" w:hanging="841"/>
        <w:jc w:val="both"/>
      </w:pPr>
      <w:r>
        <w:rPr>
          <w:rFonts w:ascii="Arial" w:eastAsia="Arial" w:hAnsi="Arial" w:cs="Arial"/>
          <w:i/>
        </w:rPr>
        <w:t>La Ley 9/1998, de 22 de julio, sobre Prevención, Asistencia, e Inserción social en materia de drogodependencias de la Comunidad Autónoma de Canarias, determina las competencias atribuidas en materia de drogodependencias a los municipios, dependiendo del nú</w:t>
      </w:r>
      <w:r>
        <w:rPr>
          <w:rFonts w:ascii="Arial" w:eastAsia="Arial" w:hAnsi="Arial" w:cs="Arial"/>
          <w:i/>
        </w:rPr>
        <w:t>mero de habitantes de los mismos, e indica en su artículo 34 aquellas que le son atribuidas a las Corporaciones Locales que tengan población superior a los 20.000 habitantes.</w:t>
      </w:r>
    </w:p>
    <w:p w:rsidR="00E23B86" w:rsidRDefault="00BA7C13">
      <w:pPr>
        <w:numPr>
          <w:ilvl w:val="0"/>
          <w:numId w:val="140"/>
        </w:numPr>
        <w:spacing w:after="111" w:line="251" w:lineRule="auto"/>
        <w:ind w:right="1" w:hanging="841"/>
        <w:jc w:val="both"/>
      </w:pPr>
      <w:r>
        <w:rPr>
          <w:rFonts w:ascii="Arial" w:eastAsia="Arial" w:hAnsi="Arial" w:cs="Arial"/>
          <w:i/>
        </w:rPr>
        <w:t>El establecimiento de los criterios que regulan la localización, distancia y cara</w:t>
      </w:r>
      <w:r>
        <w:rPr>
          <w:rFonts w:ascii="Arial" w:eastAsia="Arial" w:hAnsi="Arial" w:cs="Arial"/>
          <w:i/>
        </w:rPr>
        <w:t>cterísticas que deberán reunir los establecimientos de suministro y venta de bebidas alcohólicas.</w:t>
      </w:r>
    </w:p>
    <w:p w:rsidR="00E23B86" w:rsidRDefault="00BA7C13">
      <w:pPr>
        <w:numPr>
          <w:ilvl w:val="0"/>
          <w:numId w:val="140"/>
        </w:numPr>
        <w:spacing w:after="111" w:line="251" w:lineRule="auto"/>
        <w:ind w:right="1" w:hanging="841"/>
        <w:jc w:val="both"/>
      </w:pPr>
      <w:r>
        <w:rPr>
          <w:rFonts w:ascii="Arial" w:eastAsia="Arial" w:hAnsi="Arial" w:cs="Arial"/>
          <w:i/>
        </w:rPr>
        <w:t>El otorgamiento de la autorización de apertura a locales o lugares de suministro y venta de bebidas alcohólicas.</w:t>
      </w:r>
    </w:p>
    <w:p w:rsidR="00E23B86" w:rsidRDefault="00BA7C13">
      <w:pPr>
        <w:spacing w:after="111" w:line="251" w:lineRule="auto"/>
        <w:ind w:left="355" w:hanging="10"/>
        <w:jc w:val="both"/>
      </w:pPr>
      <w:r>
        <w:rPr>
          <w:rFonts w:ascii="Arial" w:eastAsia="Arial" w:hAnsi="Arial" w:cs="Arial"/>
          <w:i/>
        </w:rPr>
        <w:t>Velar, en el marco de sus competencias, por el cumplimiento de las diferentes medidas de control que se establecen en el título III de esta Ley.</w:t>
      </w:r>
    </w:p>
    <w:p w:rsidR="00E23B86" w:rsidRDefault="00BA7C13">
      <w:pPr>
        <w:numPr>
          <w:ilvl w:val="0"/>
          <w:numId w:val="140"/>
        </w:numPr>
        <w:spacing w:after="111" w:line="251" w:lineRule="auto"/>
        <w:ind w:right="1" w:hanging="841"/>
        <w:jc w:val="both"/>
      </w:pPr>
      <w:r>
        <w:rPr>
          <w:rFonts w:ascii="Arial" w:eastAsia="Arial" w:hAnsi="Arial" w:cs="Arial"/>
          <w:i/>
        </w:rPr>
        <w:t>La colaboración con los sistemas educativo y sanitario en materia de educación para la salud.</w:t>
      </w:r>
    </w:p>
    <w:p w:rsidR="00E23B86" w:rsidRDefault="00BA7C13">
      <w:pPr>
        <w:numPr>
          <w:ilvl w:val="0"/>
          <w:numId w:val="140"/>
        </w:numPr>
        <w:spacing w:after="111" w:line="251" w:lineRule="auto"/>
        <w:ind w:right="1" w:hanging="841"/>
        <w:jc w:val="both"/>
      </w:pPr>
      <w:r>
        <w:rPr>
          <w:rFonts w:ascii="Arial" w:eastAsia="Arial" w:hAnsi="Arial" w:cs="Arial"/>
          <w:i/>
        </w:rPr>
        <w:t>Además de las señ</w:t>
      </w:r>
      <w:r>
        <w:rPr>
          <w:rFonts w:ascii="Arial" w:eastAsia="Arial" w:hAnsi="Arial" w:cs="Arial"/>
          <w:i/>
        </w:rPr>
        <w:t>aladas en el punto anterior, los municipios de más de 20.000 habitantes tienen las siguientes competencias y responsabilidades mínimas:</w:t>
      </w:r>
    </w:p>
    <w:p w:rsidR="00E23B86" w:rsidRDefault="00BA7C13">
      <w:pPr>
        <w:numPr>
          <w:ilvl w:val="0"/>
          <w:numId w:val="140"/>
        </w:numPr>
        <w:spacing w:after="111" w:line="251" w:lineRule="auto"/>
        <w:ind w:right="1" w:hanging="841"/>
        <w:jc w:val="both"/>
      </w:pPr>
      <w:r>
        <w:rPr>
          <w:rFonts w:ascii="Arial" w:eastAsia="Arial" w:hAnsi="Arial" w:cs="Arial"/>
          <w:i/>
        </w:rPr>
        <w:t>La aprobación de Planes Municipales sobre Drogas, elaborados en coordinación y de acuerdo con los criterios y directrice</w:t>
      </w:r>
      <w:r>
        <w:rPr>
          <w:rFonts w:ascii="Arial" w:eastAsia="Arial" w:hAnsi="Arial" w:cs="Arial"/>
          <w:i/>
        </w:rPr>
        <w:t>s del Plan Canario sobre Drogas, que incluyan programas de prevención e integración social, así como de información, orientación y motivación de drogodependientes a través de los centros de Servicios Sociales.</w:t>
      </w:r>
    </w:p>
    <w:p w:rsidR="00E23B86" w:rsidRDefault="00BA7C13">
      <w:pPr>
        <w:numPr>
          <w:ilvl w:val="0"/>
          <w:numId w:val="140"/>
        </w:numPr>
        <w:spacing w:after="111" w:line="251" w:lineRule="auto"/>
        <w:ind w:right="1" w:hanging="841"/>
        <w:jc w:val="both"/>
      </w:pPr>
      <w:r>
        <w:rPr>
          <w:rFonts w:ascii="Arial" w:eastAsia="Arial" w:hAnsi="Arial" w:cs="Arial"/>
          <w:i/>
        </w:rPr>
        <w:t>b) La coordinación de los programas de prevenc</w:t>
      </w:r>
      <w:r>
        <w:rPr>
          <w:rFonts w:ascii="Arial" w:eastAsia="Arial" w:hAnsi="Arial" w:cs="Arial"/>
          <w:i/>
        </w:rPr>
        <w:t>ión e integración social que se desarrollen exclusivamente en el ámbito de su municipio.</w:t>
      </w:r>
    </w:p>
    <w:p w:rsidR="00E23B86" w:rsidRDefault="00BA7C13">
      <w:pPr>
        <w:numPr>
          <w:ilvl w:val="0"/>
          <w:numId w:val="140"/>
        </w:numPr>
        <w:spacing w:after="111" w:line="251" w:lineRule="auto"/>
        <w:ind w:right="1" w:hanging="841"/>
        <w:jc w:val="both"/>
      </w:pPr>
      <w:r>
        <w:rPr>
          <w:rFonts w:ascii="Arial" w:eastAsia="Arial" w:hAnsi="Arial" w:cs="Arial"/>
          <w:i/>
        </w:rPr>
        <w:t>c) El apoyo a las asociaciones y entidades que en el municipio desarrollen actividades previstas en el Plan Canario sobre Drogas.</w:t>
      </w:r>
    </w:p>
    <w:p w:rsidR="00E23B86" w:rsidRDefault="00BA7C13">
      <w:pPr>
        <w:numPr>
          <w:ilvl w:val="0"/>
          <w:numId w:val="140"/>
        </w:numPr>
        <w:spacing w:after="111" w:line="251" w:lineRule="auto"/>
        <w:ind w:right="1" w:hanging="841"/>
        <w:jc w:val="both"/>
      </w:pPr>
      <w:r>
        <w:rPr>
          <w:rFonts w:ascii="Arial" w:eastAsia="Arial" w:hAnsi="Arial" w:cs="Arial"/>
          <w:i/>
        </w:rPr>
        <w:t>La formación en materia de drogas del</w:t>
      </w:r>
      <w:r>
        <w:rPr>
          <w:rFonts w:ascii="Arial" w:eastAsia="Arial" w:hAnsi="Arial" w:cs="Arial"/>
          <w:i/>
        </w:rPr>
        <w:t xml:space="preserve"> personal propio.</w:t>
      </w:r>
    </w:p>
    <w:p w:rsidR="00E23B86" w:rsidRDefault="00BA7C13">
      <w:pPr>
        <w:spacing w:after="10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336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2228" name="Group 56222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260" name="Rectangle 4426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4261" name="Rectangle 4426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267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2228" style="width:12.7031pt;height:280.35pt;position:absolute;mso-position-horizontal-relative:page;mso-position-horizontal:absolute;margin-left:681.958pt;mso-position-vertical-relative:page;margin-top:531.65pt;" coordsize="1613,35604">
                <v:rect id="Rectangle 4426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26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267 de 391 </w:t>
                        </w:r>
                      </w:p>
                    </w:txbxContent>
                  </v:textbox>
                </v:rect>
                <w10:wrap type="square"/>
              </v:group>
            </w:pict>
          </mc:Fallback>
        </mc:AlternateContent>
      </w:r>
      <w:r>
        <w:rPr>
          <w:rFonts w:ascii="Arial" w:eastAsia="Arial" w:hAnsi="Arial" w:cs="Arial"/>
          <w:i/>
        </w:rPr>
        <w:t>La promoción de la participación social en esta materia en su ámbito territorial.</w:t>
      </w:r>
    </w:p>
    <w:tbl>
      <w:tblPr>
        <w:tblStyle w:val="TableGrid"/>
        <w:tblW w:w="8123" w:type="dxa"/>
        <w:tblInd w:w="9" w:type="dxa"/>
        <w:tblCellMar>
          <w:top w:w="37" w:type="dxa"/>
          <w:left w:w="0" w:type="dxa"/>
          <w:bottom w:w="0" w:type="dxa"/>
          <w:right w:w="110" w:type="dxa"/>
        </w:tblCellMar>
        <w:tblLook w:val="04A0" w:firstRow="1" w:lastRow="0" w:firstColumn="1" w:lastColumn="0" w:noHBand="0" w:noVBand="1"/>
      </w:tblPr>
      <w:tblGrid>
        <w:gridCol w:w="351"/>
        <w:gridCol w:w="7772"/>
      </w:tblGrid>
      <w:tr w:rsidR="00E23B86">
        <w:trPr>
          <w:trHeight w:val="589"/>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ind w:left="102" w:hanging="102"/>
            </w:pPr>
            <w:r>
              <w:rPr>
                <w:rFonts w:ascii="Arial" w:eastAsia="Arial" w:hAnsi="Arial" w:cs="Arial"/>
                <w:i/>
              </w:rPr>
              <w:t xml:space="preserve">2. ANÁLISIS DE LA PROBLEMÁTICA Y APROXIMACIÓN EPIDEMIOLÓGICA Y CONTEXTUAL DE LAS ADICCIONES EN EL AMBITO MUNICIPAL  </w:t>
            </w:r>
          </w:p>
        </w:tc>
      </w:tr>
    </w:tbl>
    <w:p w:rsidR="00E23B86" w:rsidRDefault="00BA7C13">
      <w:pPr>
        <w:numPr>
          <w:ilvl w:val="0"/>
          <w:numId w:val="140"/>
        </w:numPr>
        <w:spacing w:after="273" w:line="251" w:lineRule="auto"/>
        <w:ind w:right="1" w:hanging="841"/>
        <w:jc w:val="both"/>
      </w:pPr>
      <w:r>
        <w:rPr>
          <w:rFonts w:ascii="Arial" w:eastAsia="Arial" w:hAnsi="Arial" w:cs="Arial"/>
          <w:i/>
        </w:rPr>
        <w:t xml:space="preserve">En este apartado se presentan datos necesarios para poder disponer de una aproximación más ajustada a la realidad social municipal.  Primeramente, se resumen los resultados de la evaluación del III Plan Municipal (2013-2017), para, a continuación, incluir </w:t>
      </w:r>
      <w:r>
        <w:rPr>
          <w:rFonts w:ascii="Arial" w:eastAsia="Arial" w:hAnsi="Arial" w:cs="Arial"/>
          <w:i/>
        </w:rPr>
        <w:t xml:space="preserve">los datos de la prevalencia del consumo en Canarias y añadir recomendaciones técnicas para la planificación de la prevención en adicciones. Por último, se muestra una descripción del contexto municipal en el ámbito demográfico, laboral y social, prestando </w:t>
      </w:r>
      <w:r>
        <w:rPr>
          <w:rFonts w:ascii="Arial" w:eastAsia="Arial" w:hAnsi="Arial" w:cs="Arial"/>
          <w:i/>
        </w:rPr>
        <w:t>atención a cuestiones relacionadas con los hábitos saludables de la población del municipio. Además, se presentan las principales conclusiones de un estudio sobre hábitos saludables del alumnado de primaria y secundaria, realizado en el año 2019.</w:t>
      </w:r>
    </w:p>
    <w:p w:rsidR="00E23B86" w:rsidRDefault="00BA7C13">
      <w:pPr>
        <w:numPr>
          <w:ilvl w:val="0"/>
          <w:numId w:val="140"/>
        </w:numPr>
        <w:spacing w:after="8" w:line="251" w:lineRule="auto"/>
        <w:ind w:right="1" w:hanging="841"/>
        <w:jc w:val="both"/>
      </w:pPr>
      <w:r>
        <w:rPr>
          <w:rFonts w:ascii="Arial" w:eastAsia="Arial" w:hAnsi="Arial" w:cs="Arial"/>
          <w:i/>
        </w:rPr>
        <w:t>2.1. Resu</w:t>
      </w:r>
      <w:r>
        <w:rPr>
          <w:rFonts w:ascii="Arial" w:eastAsia="Arial" w:hAnsi="Arial" w:cs="Arial"/>
          <w:i/>
        </w:rPr>
        <w:t>ltados de la evaluación del III Plan Municipal sobre</w:t>
      </w:r>
    </w:p>
    <w:p w:rsidR="00E23B86" w:rsidRDefault="00BA7C13">
      <w:pPr>
        <w:spacing w:after="250" w:line="251" w:lineRule="auto"/>
        <w:ind w:left="355" w:right="573" w:hanging="10"/>
        <w:jc w:val="both"/>
      </w:pPr>
      <w:r>
        <w:rPr>
          <w:rFonts w:ascii="Arial" w:eastAsia="Arial" w:hAnsi="Arial" w:cs="Arial"/>
          <w:i/>
        </w:rPr>
        <w:t xml:space="preserve">Drogodependencias (2013-2017) </w:t>
      </w:r>
    </w:p>
    <w:p w:rsidR="00E23B86" w:rsidRDefault="00BA7C13">
      <w:pPr>
        <w:numPr>
          <w:ilvl w:val="0"/>
          <w:numId w:val="140"/>
        </w:numPr>
        <w:spacing w:after="111" w:line="251" w:lineRule="auto"/>
        <w:ind w:right="1" w:hanging="841"/>
        <w:jc w:val="both"/>
      </w:pPr>
      <w:r>
        <w:rPr>
          <w:rFonts w:ascii="Arial" w:eastAsia="Arial" w:hAnsi="Arial" w:cs="Arial"/>
          <w:i/>
        </w:rPr>
        <w:t xml:space="preserve">Los resultados más relevantes de la evaluación del III Plan Municipal son:  </w:t>
      </w:r>
    </w:p>
    <w:p w:rsidR="00E23B86" w:rsidRDefault="00BA7C13">
      <w:pPr>
        <w:numPr>
          <w:ilvl w:val="0"/>
          <w:numId w:val="140"/>
        </w:numPr>
        <w:spacing w:after="151" w:line="251" w:lineRule="auto"/>
        <w:ind w:right="1" w:hanging="841"/>
        <w:jc w:val="both"/>
      </w:pPr>
      <w:r>
        <w:rPr>
          <w:rFonts w:ascii="Arial" w:eastAsia="Arial" w:hAnsi="Arial" w:cs="Arial"/>
          <w:i/>
        </w:rPr>
        <w:t>Las acciones de prevención escolar llevadas a cabo son periódicas, lo cual hace que estén plena</w:t>
      </w:r>
      <w:r>
        <w:rPr>
          <w:rFonts w:ascii="Arial" w:eastAsia="Arial" w:hAnsi="Arial" w:cs="Arial"/>
          <w:i/>
        </w:rPr>
        <w:t>mente consolidadas, sobre todo las acciones recogidas en los proyectos Renueva-T e Interróga-T. Sin duda, es una estrategia que ha de continuar consolidándose.</w:t>
      </w:r>
    </w:p>
    <w:p w:rsidR="00E23B86" w:rsidRDefault="00BA7C13">
      <w:pPr>
        <w:numPr>
          <w:ilvl w:val="0"/>
          <w:numId w:val="140"/>
        </w:numPr>
        <w:spacing w:after="111" w:line="251" w:lineRule="auto"/>
        <w:ind w:right="1" w:hanging="841"/>
        <w:jc w:val="both"/>
      </w:pPr>
      <w:r>
        <w:rPr>
          <w:rFonts w:ascii="Arial" w:eastAsia="Arial" w:hAnsi="Arial" w:cs="Arial"/>
          <w:i/>
        </w:rPr>
        <w:t>Respecto a las acciones de Prevención de la Concejalía de Servicios Sociales, las acciones con m</w:t>
      </w:r>
      <w:r>
        <w:rPr>
          <w:rFonts w:ascii="Arial" w:eastAsia="Arial" w:hAnsi="Arial" w:cs="Arial"/>
          <w:i/>
        </w:rPr>
        <w:t>ás beneficiarios/as son las dirigidas a prevenir el absentismo escolar. Esta acción es fundamental continuarla, pues gran</w:t>
      </w:r>
    </w:p>
    <w:p w:rsidR="00E23B86" w:rsidRDefault="00E23B86">
      <w:pPr>
        <w:sectPr w:rsidR="00E23B86">
          <w:headerReference w:type="even" r:id="rId29"/>
          <w:headerReference w:type="default" r:id="rId30"/>
          <w:footerReference w:type="even" r:id="rId31"/>
          <w:footerReference w:type="default" r:id="rId32"/>
          <w:headerReference w:type="first" r:id="rId33"/>
          <w:footerReference w:type="first" r:id="rId34"/>
          <w:pgSz w:w="14168" w:h="16840"/>
          <w:pgMar w:top="2005" w:right="2829" w:bottom="1449" w:left="3198" w:header="712" w:footer="712" w:gutter="0"/>
          <w:cols w:space="720"/>
        </w:sectPr>
      </w:pPr>
    </w:p>
    <w:p w:rsidR="00E23B86" w:rsidRDefault="00BA7C13">
      <w:pPr>
        <w:spacing w:after="151" w:line="251" w:lineRule="auto"/>
        <w:ind w:left="454" w:hanging="10"/>
        <w:jc w:val="both"/>
      </w:pPr>
      <w:r>
        <w:rPr>
          <w:rFonts w:ascii="Arial" w:eastAsia="Arial" w:hAnsi="Arial" w:cs="Arial"/>
          <w:i/>
        </w:rPr>
        <w:t>cantidad de menores se exponen al riesgo de poder consumir algún tipo de sustancia cuando se ausentan de los centros escolares.</w:t>
      </w:r>
    </w:p>
    <w:p w:rsidR="00E23B86" w:rsidRDefault="00BA7C13">
      <w:pPr>
        <w:numPr>
          <w:ilvl w:val="0"/>
          <w:numId w:val="140"/>
        </w:numPr>
        <w:spacing w:after="151" w:line="251" w:lineRule="auto"/>
        <w:ind w:right="1" w:hanging="841"/>
        <w:jc w:val="both"/>
      </w:pPr>
      <w:r>
        <w:rPr>
          <w:rFonts w:ascii="Arial" w:eastAsia="Arial" w:hAnsi="Arial" w:cs="Arial"/>
          <w:i/>
        </w:rPr>
        <w:t>Las acciones del resto de Concejalías del Ayuntamiento (Juventud, Deportes) son numerosas, pero en éstas no se aclara si efectiv</w:t>
      </w:r>
      <w:r>
        <w:rPr>
          <w:rFonts w:ascii="Arial" w:eastAsia="Arial" w:hAnsi="Arial" w:cs="Arial"/>
          <w:i/>
        </w:rPr>
        <w:t>amente, además de entretener a los/as jóvenes o menores, se implementan medidas dedicadas a la promoción de la salud y prevención del consumo de drogas. Aun así, se destaca la conexión entre dichas Concejalías y la de Servicios Sociales, pues anualmente in</w:t>
      </w:r>
      <w:r>
        <w:rPr>
          <w:rFonts w:ascii="Arial" w:eastAsia="Arial" w:hAnsi="Arial" w:cs="Arial"/>
          <w:i/>
        </w:rPr>
        <w:t>tercambian información a la hora de elaborar las memorias.</w:t>
      </w:r>
    </w:p>
    <w:p w:rsidR="00E23B86" w:rsidRDefault="00BA7C13">
      <w:pPr>
        <w:numPr>
          <w:ilvl w:val="0"/>
          <w:numId w:val="140"/>
        </w:numPr>
        <w:spacing w:after="151" w:line="251" w:lineRule="auto"/>
        <w:ind w:right="1" w:hanging="841"/>
        <w:jc w:val="both"/>
      </w:pPr>
      <w:r>
        <w:rPr>
          <w:rFonts w:ascii="Arial" w:eastAsia="Arial" w:hAnsi="Arial" w:cs="Arial"/>
          <w:i/>
        </w:rPr>
        <w:t>En lo referido a las atenciones de personas residentes en la Unidad Municipal de Drogodependencias, casi todas las atenciones son dirigidas a hombres que presentan poli-consumo. Además, las persona</w:t>
      </w:r>
      <w:r>
        <w:rPr>
          <w:rFonts w:ascii="Arial" w:eastAsia="Arial" w:hAnsi="Arial" w:cs="Arial"/>
          <w:i/>
        </w:rPr>
        <w:t>s que han sido atendidas en alguno de los recursos específicos de atención a las drogodependencias durante el año 2016 y 2017 (San Miguel, Proyecto Hombre y Proyecto Drago), fueron en su mayoría por heroína, seguida de alcohol, cannabis y cocaína. En cuant</w:t>
      </w:r>
      <w:r>
        <w:rPr>
          <w:rFonts w:ascii="Arial" w:eastAsia="Arial" w:hAnsi="Arial" w:cs="Arial"/>
          <w:i/>
        </w:rPr>
        <w:t>o al perfil mayoritario, la mayor parte fueron hombres en todas las drogas y mayores de 40 años.</w:t>
      </w:r>
    </w:p>
    <w:p w:rsidR="00E23B86" w:rsidRDefault="00BA7C13">
      <w:pPr>
        <w:numPr>
          <w:ilvl w:val="0"/>
          <w:numId w:val="140"/>
        </w:numPr>
        <w:spacing w:after="153" w:line="251" w:lineRule="auto"/>
        <w:ind w:right="1" w:hanging="841"/>
        <w:jc w:val="both"/>
      </w:pPr>
      <w:r>
        <w:rPr>
          <w:rFonts w:ascii="Arial" w:eastAsia="Arial" w:hAnsi="Arial" w:cs="Arial"/>
          <w:i/>
        </w:rPr>
        <w:t>En términos presupuestarios, la inversión realizada por la Unidad Municipal es inestable en cuanto a importes, pues varía considerablemente de un año a otro.</w:t>
      </w:r>
    </w:p>
    <w:p w:rsidR="00E23B86" w:rsidRDefault="00BA7C13">
      <w:pPr>
        <w:numPr>
          <w:ilvl w:val="0"/>
          <w:numId w:val="140"/>
        </w:numPr>
        <w:spacing w:after="149" w:line="251" w:lineRule="auto"/>
        <w:ind w:right="1" w:hanging="841"/>
        <w:jc w:val="both"/>
      </w:pPr>
      <w:r>
        <w:rPr>
          <w:rFonts w:ascii="Arial" w:eastAsia="Arial" w:hAnsi="Arial" w:cs="Arial"/>
          <w:i/>
        </w:rPr>
        <w:t>Los Recursos Humanos están compartidos con otras áreas, lo cual hace que no dispongan de la dedicación que el área de drogodependencias exige, asumiendo el personal trabajos extra de otras áreas.</w:t>
      </w:r>
    </w:p>
    <w:p w:rsidR="00E23B86" w:rsidRDefault="00BA7C13">
      <w:pPr>
        <w:spacing w:after="124" w:line="265" w:lineRule="auto"/>
        <w:ind w:left="94" w:right="13" w:hanging="10"/>
      </w:pPr>
      <w:r>
        <w:rPr>
          <w:noProof/>
        </w:rPr>
        <mc:AlternateContent>
          <mc:Choice Requires="wpg">
            <w:drawing>
              <wp:anchor distT="0" distB="0" distL="114300" distR="114300" simplePos="0" relativeHeight="2519347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5870" name="Group 55587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330" name="Rectangle 4433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44331" name="Rectangle 4433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268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5870" style="width:12.7031pt;height:280.35pt;position:absolute;mso-position-horizontal-relative:page;mso-position-horizontal:absolute;margin-left:681.958pt;mso-position-vertical-relative:page;margin-top:531.65pt;" coordsize="1613,35604">
                <v:rect id="Rectangle 4433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33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268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numPr>
          <w:ilvl w:val="0"/>
          <w:numId w:val="140"/>
        </w:numPr>
        <w:spacing w:after="149" w:line="251" w:lineRule="auto"/>
        <w:ind w:right="1" w:hanging="841"/>
        <w:jc w:val="both"/>
      </w:pPr>
      <w:r>
        <w:rPr>
          <w:rFonts w:ascii="Arial" w:eastAsia="Arial" w:hAnsi="Arial" w:cs="Arial"/>
          <w:i/>
        </w:rPr>
        <w:t xml:space="preserve">Además de realizar la Evaluación del III Plan, ésta, junto con la estructura del IV Plan, fue presentada a los recursos municipales para que realizaran las aportaciones que consideraran que debían ser tenidas en cuenta a la hora de elaborar el presente IV </w:t>
      </w:r>
      <w:r>
        <w:rPr>
          <w:rFonts w:ascii="Arial" w:eastAsia="Arial" w:hAnsi="Arial" w:cs="Arial"/>
          <w:i/>
        </w:rPr>
        <w:t>Plan. Dichas aportaciones de los diferentes recursos se caracterizaron por lo siguiente:</w:t>
      </w:r>
    </w:p>
    <w:p w:rsidR="00E23B86" w:rsidRDefault="00BA7C13">
      <w:pPr>
        <w:spacing w:after="124"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170" w:line="251" w:lineRule="auto"/>
        <w:ind w:right="1" w:hanging="841"/>
        <w:jc w:val="both"/>
      </w:pPr>
      <w:r>
        <w:rPr>
          <w:rFonts w:ascii="Arial" w:eastAsia="Arial" w:hAnsi="Arial" w:cs="Arial"/>
          <w:i/>
        </w:rPr>
        <w:t>La valoración que hacen las personas participantes sobre la estructura del documento de propuesta de planificación para el IV Plan Municipal de Prevención de Adiccio</w:t>
      </w:r>
      <w:r>
        <w:rPr>
          <w:rFonts w:ascii="Arial" w:eastAsia="Arial" w:hAnsi="Arial" w:cs="Arial"/>
          <w:i/>
        </w:rPr>
        <w:t xml:space="preserve">nes (2019-2023) del municipio de Candelaria, les parece adecuada. </w:t>
      </w:r>
    </w:p>
    <w:p w:rsidR="00E23B86" w:rsidRDefault="00BA7C13">
      <w:pPr>
        <w:numPr>
          <w:ilvl w:val="0"/>
          <w:numId w:val="140"/>
        </w:numPr>
        <w:spacing w:after="168" w:line="251" w:lineRule="auto"/>
        <w:ind w:right="1" w:hanging="841"/>
        <w:jc w:val="both"/>
      </w:pPr>
      <w:r>
        <w:rPr>
          <w:rFonts w:ascii="Arial" w:eastAsia="Arial" w:hAnsi="Arial" w:cs="Arial"/>
          <w:i/>
        </w:rPr>
        <w:t xml:space="preserve">La participación de los recursos municipales propios y de la comunidad ha sido baja, (pues la tasa de respuesta al documento no ha sido muy elevada), habiéndose enviado en tiempo y forma a </w:t>
      </w:r>
      <w:r>
        <w:rPr>
          <w:rFonts w:ascii="Arial" w:eastAsia="Arial" w:hAnsi="Arial" w:cs="Arial"/>
          <w:i/>
        </w:rPr>
        <w:t xml:space="preserve">los mismos.  </w:t>
      </w:r>
    </w:p>
    <w:p w:rsidR="00E23B86" w:rsidRDefault="00BA7C13">
      <w:pPr>
        <w:numPr>
          <w:ilvl w:val="0"/>
          <w:numId w:val="140"/>
        </w:numPr>
        <w:spacing w:after="168" w:line="251" w:lineRule="auto"/>
        <w:ind w:right="1" w:hanging="841"/>
        <w:jc w:val="both"/>
      </w:pPr>
      <w:r>
        <w:rPr>
          <w:rFonts w:ascii="Arial" w:eastAsia="Arial" w:hAnsi="Arial" w:cs="Arial"/>
          <w:i/>
        </w:rPr>
        <w:t>La valoración percibida sobre otros problemas y/o dificultades, destacan, son los ya expuestos en el diagnóstico.</w:t>
      </w:r>
    </w:p>
    <w:p w:rsidR="00E23B86" w:rsidRDefault="00BA7C13">
      <w:pPr>
        <w:numPr>
          <w:ilvl w:val="0"/>
          <w:numId w:val="140"/>
        </w:numPr>
        <w:spacing w:after="111" w:line="251" w:lineRule="auto"/>
        <w:ind w:right="1" w:hanging="841"/>
        <w:jc w:val="both"/>
      </w:pPr>
      <w:r>
        <w:rPr>
          <w:rFonts w:ascii="Arial" w:eastAsia="Arial" w:hAnsi="Arial" w:cs="Arial"/>
          <w:i/>
        </w:rPr>
        <w:t xml:space="preserve">Respecto a las valoraciones/opiniones sobre la información aportada y disponible en el ámbito municipal del documento aportado, </w:t>
      </w:r>
      <w:r>
        <w:rPr>
          <w:rFonts w:ascii="Arial" w:eastAsia="Arial" w:hAnsi="Arial" w:cs="Arial"/>
          <w:i/>
        </w:rPr>
        <w:t>es necesario destacar que no se realizan aportaciones relevantes. Las mismas se reiteran en las problemáticas mencionadas en la evaluación y proponen que mejore la coordinación interna entre áreas municipales a la hora de ofertar recursos, servicios o acti</w:t>
      </w:r>
      <w:r>
        <w:rPr>
          <w:rFonts w:ascii="Arial" w:eastAsia="Arial" w:hAnsi="Arial" w:cs="Arial"/>
          <w:i/>
        </w:rPr>
        <w:t>vidades a la comunidad (escuela, familias, etc.).</w:t>
      </w:r>
    </w:p>
    <w:p w:rsidR="00E23B86" w:rsidRDefault="00BA7C13">
      <w:pPr>
        <w:numPr>
          <w:ilvl w:val="0"/>
          <w:numId w:val="140"/>
        </w:numPr>
        <w:spacing w:after="149" w:line="251" w:lineRule="auto"/>
        <w:ind w:right="1" w:hanging="841"/>
        <w:jc w:val="both"/>
      </w:pPr>
      <w:r>
        <w:rPr>
          <w:rFonts w:ascii="Arial" w:eastAsia="Arial" w:hAnsi="Arial" w:cs="Arial"/>
          <w:i/>
        </w:rPr>
        <w:t xml:space="preserve">En las propuestas, medidas y sugerencias hechas por los/as participantes, cabe destacar que las podemos agrupar en varias categorías: </w:t>
      </w:r>
    </w:p>
    <w:p w:rsidR="00E23B86" w:rsidRDefault="00BA7C13">
      <w:pPr>
        <w:numPr>
          <w:ilvl w:val="4"/>
          <w:numId w:val="143"/>
        </w:numPr>
        <w:spacing w:after="148" w:line="251" w:lineRule="auto"/>
        <w:ind w:right="386" w:hanging="360"/>
        <w:jc w:val="both"/>
      </w:pPr>
      <w:r>
        <w:rPr>
          <w:rFonts w:ascii="Arial" w:eastAsia="Arial" w:hAnsi="Arial" w:cs="Arial"/>
          <w:i/>
        </w:rPr>
        <w:t>De tipo preventivo, informativo y educativo:  dirigida a menores, famil</w:t>
      </w:r>
      <w:r>
        <w:rPr>
          <w:rFonts w:ascii="Arial" w:eastAsia="Arial" w:hAnsi="Arial" w:cs="Arial"/>
          <w:i/>
        </w:rPr>
        <w:t>ias y profesionales.</w:t>
      </w:r>
    </w:p>
    <w:p w:rsidR="00E23B86" w:rsidRDefault="00BA7C13">
      <w:pPr>
        <w:numPr>
          <w:ilvl w:val="4"/>
          <w:numId w:val="143"/>
        </w:numPr>
        <w:spacing w:after="215" w:line="328" w:lineRule="auto"/>
        <w:ind w:right="386" w:hanging="360"/>
        <w:jc w:val="both"/>
      </w:pPr>
      <w:r>
        <w:rPr>
          <w:rFonts w:ascii="Arial" w:eastAsia="Arial" w:hAnsi="Arial" w:cs="Arial"/>
          <w:i/>
        </w:rPr>
        <w:t xml:space="preserve">De tipo organizativo: centrada en la coordinación, evaluación, oferta de servicios y actividades y protocolos de actuación. </w:t>
      </w:r>
      <w:r>
        <w:rPr>
          <w:rFonts w:ascii="Courier New" w:eastAsia="Courier New" w:hAnsi="Courier New" w:cs="Courier New"/>
          <w:sz w:val="20"/>
        </w:rPr>
        <w:t xml:space="preserve">o </w:t>
      </w:r>
      <w:r>
        <w:rPr>
          <w:rFonts w:ascii="Arial" w:eastAsia="Arial" w:hAnsi="Arial" w:cs="Arial"/>
          <w:i/>
        </w:rPr>
        <w:t>De mejora de recursos (incremento de medios humanos y materiales).</w:t>
      </w:r>
    </w:p>
    <w:p w:rsidR="00E23B86" w:rsidRDefault="00BA7C13">
      <w:pPr>
        <w:numPr>
          <w:ilvl w:val="0"/>
          <w:numId w:val="140"/>
        </w:numPr>
        <w:spacing w:after="248" w:line="251" w:lineRule="auto"/>
        <w:ind w:right="1" w:hanging="841"/>
        <w:jc w:val="both"/>
      </w:pPr>
      <w:r>
        <w:rPr>
          <w:rFonts w:ascii="Arial" w:eastAsia="Arial" w:hAnsi="Arial" w:cs="Arial"/>
          <w:i/>
        </w:rPr>
        <w:t>2.2. La prevalencia del consumo en Canaria</w:t>
      </w:r>
      <w:r>
        <w:rPr>
          <w:rFonts w:ascii="Arial" w:eastAsia="Arial" w:hAnsi="Arial" w:cs="Arial"/>
          <w:i/>
        </w:rPr>
        <w:t xml:space="preserve">s e indicaciones para la planificación de las acciones de prevención e inserción.  </w:t>
      </w:r>
    </w:p>
    <w:p w:rsidR="00E23B86" w:rsidRDefault="00BA7C13">
      <w:pPr>
        <w:numPr>
          <w:ilvl w:val="0"/>
          <w:numId w:val="140"/>
        </w:numPr>
        <w:spacing w:after="170" w:line="251" w:lineRule="auto"/>
        <w:ind w:right="1" w:hanging="841"/>
        <w:jc w:val="both"/>
      </w:pPr>
      <w:r>
        <w:rPr>
          <w:rFonts w:ascii="Arial" w:eastAsia="Arial" w:hAnsi="Arial" w:cs="Arial"/>
          <w:i/>
        </w:rPr>
        <w:t>Es preciso conocer cómo está la prevalencia del consumo en Canarias, y así poder establecer comparaciones con el escenario municipal y concretar las acciones a llevar a cabo. Los datos de referencia para conocer esa prevalencia proceden de las siguientes f</w:t>
      </w:r>
      <w:r>
        <w:rPr>
          <w:rFonts w:ascii="Arial" w:eastAsia="Arial" w:hAnsi="Arial" w:cs="Arial"/>
          <w:i/>
        </w:rPr>
        <w:t>uentes: Encuesta domiciliaria sobre alcohol y drogas en España 2016-2017 (EDADES 2017, población de 15 a 64 años) y la Encuesta sobre el uso de drogas en estudiantes de enseñanzas secundarias en España 2016-2017 (ESTUDES, estudiantes de 14 a 18 años).</w:t>
      </w:r>
    </w:p>
    <w:p w:rsidR="00E23B86" w:rsidRDefault="00BA7C13">
      <w:pPr>
        <w:numPr>
          <w:ilvl w:val="0"/>
          <w:numId w:val="140"/>
        </w:numPr>
        <w:spacing w:after="156" w:line="251" w:lineRule="auto"/>
        <w:ind w:right="1" w:hanging="841"/>
        <w:jc w:val="both"/>
      </w:pPr>
      <w:r>
        <w:rPr>
          <w:rFonts w:ascii="Arial" w:eastAsia="Arial" w:hAnsi="Arial" w:cs="Arial"/>
          <w:i/>
        </w:rPr>
        <w:t xml:space="preserve">Los </w:t>
      </w:r>
      <w:r>
        <w:rPr>
          <w:rFonts w:ascii="Arial" w:eastAsia="Arial" w:hAnsi="Arial" w:cs="Arial"/>
          <w:i/>
        </w:rPr>
        <w:t>datos relevantes para Canarias a destacar son los siguientes:</w:t>
      </w:r>
    </w:p>
    <w:p w:rsidR="00E23B86" w:rsidRDefault="00BA7C13">
      <w:pPr>
        <w:numPr>
          <w:ilvl w:val="0"/>
          <w:numId w:val="140"/>
        </w:numPr>
        <w:spacing w:after="168" w:line="251" w:lineRule="auto"/>
        <w:ind w:right="1" w:hanging="841"/>
        <w:jc w:val="both"/>
      </w:pPr>
      <w:r>
        <w:rPr>
          <w:noProof/>
        </w:rPr>
        <mc:AlternateContent>
          <mc:Choice Requires="wpg">
            <w:drawing>
              <wp:anchor distT="0" distB="0" distL="114300" distR="114300" simplePos="0" relativeHeight="2519357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6546" name="Group 55654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395" name="Rectangle 4439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4396" name="Rectangle 4439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Página 269 de 3</w:t>
                              </w:r>
                              <w:r>
                                <w:rPr>
                                  <w:rFonts w:ascii="Arial" w:eastAsia="Arial" w:hAnsi="Arial" w:cs="Arial"/>
                                  <w:sz w:val="12"/>
                                </w:rPr>
                                <w:t xml:space="preserve">91 </w:t>
                              </w:r>
                            </w:p>
                          </w:txbxContent>
                        </wps:txbx>
                        <wps:bodyPr horzOverflow="overflow" vert="horz" lIns="0" tIns="0" rIns="0" bIns="0" rtlCol="0">
                          <a:noAutofit/>
                        </wps:bodyPr>
                      </wps:wsp>
                    </wpg:wgp>
                  </a:graphicData>
                </a:graphic>
              </wp:anchor>
            </w:drawing>
          </mc:Choice>
          <mc:Fallback xmlns:a="http://schemas.openxmlformats.org/drawingml/2006/main">
            <w:pict>
              <v:group id="Group 556546" style="width:12.7031pt;height:280.35pt;position:absolute;mso-position-horizontal-relative:page;mso-position-horizontal:absolute;margin-left:681.958pt;mso-position-vertical-relative:page;margin-top:531.65pt;" coordsize="1613,35604">
                <v:rect id="Rectangle 4439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39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269 de 391 </w:t>
                        </w:r>
                      </w:p>
                    </w:txbxContent>
                  </v:textbox>
                </v:rect>
                <w10:wrap type="square"/>
              </v:group>
            </w:pict>
          </mc:Fallback>
        </mc:AlternateContent>
      </w:r>
      <w:r>
        <w:rPr>
          <w:rFonts w:ascii="Arial" w:eastAsia="Arial" w:hAnsi="Arial" w:cs="Arial"/>
          <w:i/>
        </w:rPr>
        <w:t>Sólo un 5,8% de la población declara no haber consumido alcohol y los hombres declaran un mayor consumo que las mujeres.</w:t>
      </w:r>
    </w:p>
    <w:p w:rsidR="00E23B86" w:rsidRDefault="00BA7C13">
      <w:pPr>
        <w:numPr>
          <w:ilvl w:val="0"/>
          <w:numId w:val="140"/>
        </w:numPr>
        <w:spacing w:after="168" w:line="251" w:lineRule="auto"/>
        <w:ind w:right="1" w:hanging="841"/>
        <w:jc w:val="both"/>
      </w:pPr>
      <w:r>
        <w:rPr>
          <w:rFonts w:ascii="Arial" w:eastAsia="Arial" w:hAnsi="Arial" w:cs="Arial"/>
          <w:i/>
        </w:rPr>
        <w:t>Existe un consumo de alcohol habitual en la población, pues un 57% ha consumido al menos un día en los últimos 7 días y un 11% decl</w:t>
      </w:r>
      <w:r>
        <w:rPr>
          <w:rFonts w:ascii="Arial" w:eastAsia="Arial" w:hAnsi="Arial" w:cs="Arial"/>
          <w:i/>
        </w:rPr>
        <w:t>aran un consumo diario a lo largo de la semana. La frecuencia de consumo es superior en las mujeres respecto a los hombres.</w:t>
      </w:r>
    </w:p>
    <w:p w:rsidR="00E23B86" w:rsidRDefault="00BA7C13">
      <w:pPr>
        <w:numPr>
          <w:ilvl w:val="0"/>
          <w:numId w:val="140"/>
        </w:numPr>
        <w:spacing w:after="170" w:line="251" w:lineRule="auto"/>
        <w:ind w:right="1" w:hanging="841"/>
        <w:jc w:val="both"/>
      </w:pPr>
      <w:r>
        <w:rPr>
          <w:rFonts w:ascii="Arial" w:eastAsia="Arial" w:hAnsi="Arial" w:cs="Arial"/>
          <w:i/>
        </w:rPr>
        <w:t>Un 72% declara haber consumido tabaco alguna vez en su vida y sólo un 36% declara consumir tabaco en los últimos doce meses. Son los</w:t>
      </w:r>
      <w:r>
        <w:rPr>
          <w:rFonts w:ascii="Arial" w:eastAsia="Arial" w:hAnsi="Arial" w:cs="Arial"/>
          <w:i/>
        </w:rPr>
        <w:t xml:space="preserve"> hombres los que consumen más tabaco y con más frecuencia que las mujeres.</w:t>
      </w:r>
    </w:p>
    <w:p w:rsidR="00E23B86" w:rsidRDefault="00BA7C13">
      <w:pPr>
        <w:numPr>
          <w:ilvl w:val="0"/>
          <w:numId w:val="140"/>
        </w:numPr>
        <w:spacing w:after="168" w:line="251" w:lineRule="auto"/>
        <w:ind w:right="1" w:hanging="841"/>
        <w:jc w:val="both"/>
      </w:pPr>
      <w:r>
        <w:rPr>
          <w:rFonts w:ascii="Arial" w:eastAsia="Arial" w:hAnsi="Arial" w:cs="Arial"/>
          <w:i/>
        </w:rPr>
        <w:t>Un 21% declara haber consumido tranquilizantes alguna vez en su vida, pero sólo un 14% dice haberlos consumido los últimos doce meses, y un 9% a diario. El consumo es mayor en las m</w:t>
      </w:r>
      <w:r>
        <w:rPr>
          <w:rFonts w:ascii="Arial" w:eastAsia="Arial" w:hAnsi="Arial" w:cs="Arial"/>
          <w:i/>
        </w:rPr>
        <w:t>ujeres que en los hombres.</w:t>
      </w:r>
    </w:p>
    <w:p w:rsidR="00E23B86" w:rsidRDefault="00BA7C13">
      <w:pPr>
        <w:numPr>
          <w:ilvl w:val="0"/>
          <w:numId w:val="140"/>
        </w:numPr>
        <w:spacing w:after="168" w:line="251" w:lineRule="auto"/>
        <w:ind w:right="1" w:hanging="841"/>
        <w:jc w:val="both"/>
      </w:pPr>
      <w:r>
        <w:rPr>
          <w:rFonts w:ascii="Arial" w:eastAsia="Arial" w:hAnsi="Arial" w:cs="Arial"/>
          <w:i/>
        </w:rPr>
        <w:t>Una de cada tres personas declara haber consumido derivados del cannabis, siendo los hombres los que más consumen respecto a las mujeres.</w:t>
      </w:r>
    </w:p>
    <w:p w:rsidR="00E23B86" w:rsidRDefault="00BA7C13">
      <w:pPr>
        <w:numPr>
          <w:ilvl w:val="0"/>
          <w:numId w:val="140"/>
        </w:numPr>
        <w:spacing w:after="170" w:line="251" w:lineRule="auto"/>
        <w:ind w:right="1" w:hanging="841"/>
        <w:jc w:val="both"/>
      </w:pPr>
      <w:r>
        <w:rPr>
          <w:rFonts w:ascii="Arial" w:eastAsia="Arial" w:hAnsi="Arial" w:cs="Arial"/>
          <w:i/>
        </w:rPr>
        <w:t>Un 3% declara haber consumido cocaína en lo últimos doce meses, y sólo un 1,8% dice haberlo</w:t>
      </w:r>
      <w:r>
        <w:rPr>
          <w:rFonts w:ascii="Arial" w:eastAsia="Arial" w:hAnsi="Arial" w:cs="Arial"/>
          <w:i/>
        </w:rPr>
        <w:t xml:space="preserve"> hecho en los últimos 30 días. El consumo es ocasional y son los hombres lo que más la consumen.</w:t>
      </w:r>
    </w:p>
    <w:p w:rsidR="00E23B86" w:rsidRDefault="00BA7C13">
      <w:pPr>
        <w:numPr>
          <w:ilvl w:val="0"/>
          <w:numId w:val="140"/>
        </w:numPr>
        <w:spacing w:after="168" w:line="251" w:lineRule="auto"/>
        <w:ind w:right="1" w:hanging="841"/>
        <w:jc w:val="both"/>
      </w:pPr>
      <w:r>
        <w:rPr>
          <w:rFonts w:ascii="Arial" w:eastAsia="Arial" w:hAnsi="Arial" w:cs="Arial"/>
          <w:i/>
        </w:rPr>
        <w:t>Un 6% declara haber consumido anfetaminas alguna vez en su vida, un 5% dice haber consumido alucinógenos y un 0,4% heroína. Son los hombres los que declaran co</w:t>
      </w:r>
      <w:r>
        <w:rPr>
          <w:rFonts w:ascii="Arial" w:eastAsia="Arial" w:hAnsi="Arial" w:cs="Arial"/>
          <w:i/>
        </w:rPr>
        <w:t xml:space="preserve">nsumir estas sustancias más, respecto a las mujeres. </w:t>
      </w:r>
    </w:p>
    <w:p w:rsidR="00E23B86" w:rsidRDefault="00BA7C13">
      <w:pPr>
        <w:numPr>
          <w:ilvl w:val="0"/>
          <w:numId w:val="140"/>
        </w:numPr>
        <w:spacing w:after="170" w:line="251" w:lineRule="auto"/>
        <w:ind w:right="1" w:hanging="841"/>
        <w:jc w:val="both"/>
      </w:pPr>
      <w:r>
        <w:rPr>
          <w:rFonts w:ascii="Arial" w:eastAsia="Arial" w:hAnsi="Arial" w:cs="Arial"/>
          <w:i/>
        </w:rPr>
        <w:t>Un 42% declara haber jugado dinero dentro de la red, un 26% dice jugar dinero un día al mes, mientras un 18% declara que juega fuera de internet entre 2-4 días al mes. Un 97% ha jugado sin dinero de for</w:t>
      </w:r>
      <w:r>
        <w:rPr>
          <w:rFonts w:ascii="Arial" w:eastAsia="Arial" w:hAnsi="Arial" w:cs="Arial"/>
          <w:i/>
        </w:rPr>
        <w:t xml:space="preserve">ma online. En general son los hombres los que más juegan.  </w:t>
      </w:r>
    </w:p>
    <w:p w:rsidR="00E23B86" w:rsidRDefault="00BA7C13">
      <w:pPr>
        <w:numPr>
          <w:ilvl w:val="0"/>
          <w:numId w:val="140"/>
        </w:numPr>
        <w:spacing w:after="170" w:line="251" w:lineRule="auto"/>
        <w:ind w:right="1" w:hanging="841"/>
        <w:jc w:val="both"/>
      </w:pPr>
      <w:r>
        <w:rPr>
          <w:rFonts w:ascii="Arial" w:eastAsia="Arial" w:hAnsi="Arial" w:cs="Arial"/>
          <w:i/>
        </w:rPr>
        <w:t>La frecuencia de consumo de alcohol y tabaco en población menor en los últimos treinta días, se sitúa en torno al 22%, y un 33% ha consumido tabaco o alcohol alguna vez en su vida.</w:t>
      </w:r>
    </w:p>
    <w:p w:rsidR="00E23B86" w:rsidRDefault="00BA7C13">
      <w:pPr>
        <w:numPr>
          <w:ilvl w:val="0"/>
          <w:numId w:val="140"/>
        </w:numPr>
        <w:spacing w:after="288" w:line="251" w:lineRule="auto"/>
        <w:ind w:right="1" w:hanging="841"/>
        <w:jc w:val="both"/>
      </w:pPr>
      <w:r>
        <w:rPr>
          <w:rFonts w:ascii="Arial" w:eastAsia="Arial" w:hAnsi="Arial" w:cs="Arial"/>
          <w:i/>
        </w:rPr>
        <w:t>Respecto al con</w:t>
      </w:r>
      <w:r>
        <w:rPr>
          <w:rFonts w:ascii="Arial" w:eastAsia="Arial" w:hAnsi="Arial" w:cs="Arial"/>
          <w:i/>
        </w:rPr>
        <w:t xml:space="preserve">sumo de derivados del cannabis en población menor, un 27% dice haberlos probado alguna vez en su vida, y un 16% dice haberlas consumido en los últimos treinta días.     </w:t>
      </w:r>
    </w:p>
    <w:p w:rsidR="00E23B86" w:rsidRDefault="00BA7C13">
      <w:pPr>
        <w:numPr>
          <w:ilvl w:val="0"/>
          <w:numId w:val="140"/>
        </w:numPr>
        <w:spacing w:after="238" w:line="251" w:lineRule="auto"/>
        <w:ind w:right="1" w:hanging="841"/>
        <w:jc w:val="both"/>
      </w:pPr>
      <w:r>
        <w:rPr>
          <w:rFonts w:ascii="Arial" w:eastAsia="Arial" w:hAnsi="Arial" w:cs="Arial"/>
          <w:i/>
        </w:rPr>
        <w:t xml:space="preserve">2.3. Descripción del contexto municipal   </w:t>
      </w:r>
    </w:p>
    <w:p w:rsidR="00E23B86" w:rsidRDefault="00BA7C13">
      <w:pPr>
        <w:numPr>
          <w:ilvl w:val="0"/>
          <w:numId w:val="140"/>
        </w:numPr>
        <w:spacing w:after="111" w:line="251" w:lineRule="auto"/>
        <w:ind w:right="1" w:hanging="841"/>
        <w:jc w:val="both"/>
      </w:pPr>
      <w:r>
        <w:rPr>
          <w:rFonts w:ascii="Arial" w:eastAsia="Arial" w:hAnsi="Arial" w:cs="Arial"/>
          <w:i/>
        </w:rPr>
        <w:t>Candelaria es uno de los municipios de Tenerife que está enclavado en su vertiente meridional en el ámbito del Sureste de la isla. Tiene una extensión superficial de 49,8 Km2 y se halla a unos 19 kilómetros de la capital (Santa Cruz de Tenerife). El desniv</w:t>
      </w:r>
      <w:r>
        <w:rPr>
          <w:rFonts w:ascii="Arial" w:eastAsia="Arial" w:hAnsi="Arial" w:cs="Arial"/>
          <w:i/>
        </w:rPr>
        <w:t xml:space="preserve">el orográfico que presenta todo su territorio hace que existan altitudes desde cero hasta 1.746 metros. </w:t>
      </w:r>
    </w:p>
    <w:p w:rsidR="00E23B86" w:rsidRDefault="00BA7C13">
      <w:pPr>
        <w:numPr>
          <w:ilvl w:val="0"/>
          <w:numId w:val="140"/>
        </w:numPr>
        <w:spacing w:after="111" w:line="251" w:lineRule="auto"/>
        <w:ind w:right="1" w:hanging="841"/>
        <w:jc w:val="both"/>
      </w:pPr>
      <w:r>
        <w:rPr>
          <w:rFonts w:ascii="Arial" w:eastAsia="Arial" w:hAnsi="Arial" w:cs="Arial"/>
          <w:i/>
        </w:rPr>
        <w:t xml:space="preserve">El municipio limita al Norte con El Rosario por Barranco Hondo, al Sur, con Arafo por el Barranco de Tapia, al Este con el Océano Atlántico y al Oeste </w:t>
      </w:r>
      <w:r>
        <w:rPr>
          <w:rFonts w:ascii="Arial" w:eastAsia="Arial" w:hAnsi="Arial" w:cs="Arial"/>
          <w:i/>
        </w:rPr>
        <w:t xml:space="preserve">con los montes que corresponden a La Matanza, La Victoria, El Sauzal y Santa Úrsula. El terreno está surcado con varios barrancos que conforman los barrios o caseríos. </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367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7301" name="Group 55730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466" name="Rectangle 4446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https://candelaria.sedele</w:t>
                              </w:r>
                              <w:r>
                                <w:rPr>
                                  <w:rFonts w:ascii="Arial" w:eastAsia="Arial" w:hAnsi="Arial" w:cs="Arial"/>
                                  <w:sz w:val="12"/>
                                </w:rPr>
                                <w:t xml:space="preserve">ctronica.es/ </w:t>
                              </w:r>
                            </w:p>
                          </w:txbxContent>
                        </wps:txbx>
                        <wps:bodyPr horzOverflow="overflow" vert="horz" lIns="0" tIns="0" rIns="0" bIns="0" rtlCol="0">
                          <a:noAutofit/>
                        </wps:bodyPr>
                      </wps:wsp>
                      <wps:wsp>
                        <wps:cNvPr id="44467" name="Rectangle 4446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7301" style="width:12.7031pt;height:280.35pt;position:absolute;mso-position-horizontal-relative:page;mso-position-horizontal:absolute;margin-left:681.958pt;mso-position-vertical-relative:page;margin-top:531.65pt;" coordsize="1613,35604">
                <v:rect id="Rectangle 4446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46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270 de 391 </w:t>
                        </w:r>
                      </w:p>
                    </w:txbxContent>
                  </v:textbox>
                </v:rect>
                <w10:wrap type="square"/>
              </v:group>
            </w:pict>
          </mc:Fallback>
        </mc:AlternateContent>
      </w:r>
      <w:r>
        <w:rPr>
          <w:rFonts w:ascii="Arial" w:eastAsia="Arial" w:hAnsi="Arial" w:cs="Arial"/>
          <w:i/>
        </w:rPr>
        <w:t>En cuanto a la actividad económica del municipio, siempre se ha basado en la ganadería y la agricultura. Contra la opinión común que se piensa que Candelaria es un pueblo de pescadores/as, la pesca en la economía local ya no tiene la importancia que tuvo e</w:t>
      </w:r>
      <w:r>
        <w:rPr>
          <w:rFonts w:ascii="Arial" w:eastAsia="Arial" w:hAnsi="Arial" w:cs="Arial"/>
          <w:i/>
        </w:rPr>
        <w:t>n las décadas anteriores y hoy apenas tiene significado en la economía municipal. El desarrollo agrícola y ganadero, limitado a los barrios altos, Igueste, Barranco Hondo, Araya, Cuevecitas y Malpaís, siempre se ha visto favorecido por la abundancia de agu</w:t>
      </w:r>
      <w:r>
        <w:rPr>
          <w:rFonts w:ascii="Arial" w:eastAsia="Arial" w:hAnsi="Arial" w:cs="Arial"/>
          <w:i/>
        </w:rPr>
        <w:t xml:space="preserve">as subterráneas, alumbradas por medio de pozos o galerías. </w:t>
      </w:r>
    </w:p>
    <w:p w:rsidR="00E23B86" w:rsidRDefault="00BA7C13">
      <w:pPr>
        <w:numPr>
          <w:ilvl w:val="0"/>
          <w:numId w:val="140"/>
        </w:numPr>
        <w:spacing w:after="111" w:line="251" w:lineRule="auto"/>
        <w:ind w:right="1" w:hanging="841"/>
        <w:jc w:val="both"/>
      </w:pPr>
      <w:r>
        <w:rPr>
          <w:rFonts w:ascii="Arial" w:eastAsia="Arial" w:hAnsi="Arial" w:cs="Arial"/>
          <w:i/>
        </w:rPr>
        <w:t>Los otros municipios del valle agrupan su núcleo poblacional entorno a un casco. Candelaria cuenta con varias entidades tan significativas como el centro por su población y recursos. Entre ellos s</w:t>
      </w:r>
      <w:r>
        <w:rPr>
          <w:rFonts w:ascii="Arial" w:eastAsia="Arial" w:hAnsi="Arial" w:cs="Arial"/>
          <w:i/>
        </w:rPr>
        <w:t>e encuentra Candelaria casco urbano, Las Caletillas, Punta Larga, La Viuda, El Ramonal, Barranco Hondo, Igueste de Candelaria, Araya, Cuevecitas, Malpaís y La Viuda.</w:t>
      </w:r>
    </w:p>
    <w:p w:rsidR="00E23B86" w:rsidRDefault="00BA7C13">
      <w:pPr>
        <w:numPr>
          <w:ilvl w:val="0"/>
          <w:numId w:val="140"/>
        </w:numPr>
        <w:spacing w:after="111" w:line="251" w:lineRule="auto"/>
        <w:ind w:right="1" w:hanging="841"/>
        <w:jc w:val="both"/>
      </w:pPr>
      <w:r>
        <w:rPr>
          <w:rFonts w:ascii="Arial" w:eastAsia="Arial" w:hAnsi="Arial" w:cs="Arial"/>
          <w:i/>
        </w:rPr>
        <w:t>Los recursos disponibles en el municipio dependen del tipo de Administración de la que est</w:t>
      </w:r>
      <w:r>
        <w:rPr>
          <w:rFonts w:ascii="Arial" w:eastAsia="Arial" w:hAnsi="Arial" w:cs="Arial"/>
          <w:i/>
        </w:rPr>
        <w:t>emos tratando. Así, desde la propia Administración municipal, se puede contar con las propias Concejalías del Iltre. Ayuntamiento de Candelaria, y en concreto o con carácter prioritario las de Servicios Sociales, Igualdad, Sanidad, Juventud, Deportes, Part</w:t>
      </w:r>
      <w:r>
        <w:rPr>
          <w:rFonts w:ascii="Arial" w:eastAsia="Arial" w:hAnsi="Arial" w:cs="Arial"/>
          <w:i/>
        </w:rPr>
        <w:t xml:space="preserve">icipación Ciudadana y Protección Civil, además de las Fuerzas de Seguridad Local. </w:t>
      </w:r>
    </w:p>
    <w:p w:rsidR="00E23B86" w:rsidRDefault="00BA7C13">
      <w:pPr>
        <w:numPr>
          <w:ilvl w:val="0"/>
          <w:numId w:val="140"/>
        </w:numPr>
        <w:spacing w:after="111" w:line="251" w:lineRule="auto"/>
        <w:ind w:right="1" w:hanging="841"/>
        <w:jc w:val="both"/>
      </w:pPr>
      <w:r>
        <w:rPr>
          <w:rFonts w:ascii="Arial" w:eastAsia="Arial" w:hAnsi="Arial" w:cs="Arial"/>
          <w:i/>
        </w:rPr>
        <w:t>En cuanto a los recursos educativos, existen cinco Centros de Enseñanza Infantil y Primaria del municipio de Candelaria: C.E.I.P. Igueste, C.E.I.P. Araya, C.E.I.P. Carmen Ál</w:t>
      </w:r>
      <w:r>
        <w:rPr>
          <w:rFonts w:ascii="Arial" w:eastAsia="Arial" w:hAnsi="Arial" w:cs="Arial"/>
          <w:i/>
        </w:rPr>
        <w:t xml:space="preserve">varez de la Rosa, C.E.I.P. Punta Larga y C.E.I.P. Príncipe Felipe”. Además, existen dos centros de enseñanza de secundaria; I.E.S. Punta Larga e I.E.S. Santa Ana, además de la Escuela de Adultos del municipio. </w:t>
      </w:r>
    </w:p>
    <w:p w:rsidR="00E23B86" w:rsidRDefault="00BA7C13">
      <w:pPr>
        <w:numPr>
          <w:ilvl w:val="0"/>
          <w:numId w:val="140"/>
        </w:numPr>
        <w:spacing w:after="156" w:line="251" w:lineRule="auto"/>
        <w:ind w:right="1" w:hanging="841"/>
        <w:jc w:val="both"/>
      </w:pPr>
      <w:r>
        <w:rPr>
          <w:rFonts w:ascii="Arial" w:eastAsia="Arial" w:hAnsi="Arial" w:cs="Arial"/>
          <w:i/>
        </w:rPr>
        <w:t>En lo relativo a recursos sanitarios se encue</w:t>
      </w:r>
      <w:r>
        <w:rPr>
          <w:rFonts w:ascii="Arial" w:eastAsia="Arial" w:hAnsi="Arial" w:cs="Arial"/>
          <w:i/>
        </w:rPr>
        <w:t>ntran en Candelaria varias farmacias, un Centro de Salud en el casco del municipio de Candelaria y los Consultorios Médicos Periféricos de Barranco Hondo e Igueste. Aunque físicamente no estén en Candelaria, es necesario tener en cuenta que existen recurso</w:t>
      </w:r>
      <w:r>
        <w:rPr>
          <w:rFonts w:ascii="Arial" w:eastAsia="Arial" w:hAnsi="Arial" w:cs="Arial"/>
          <w:i/>
        </w:rPr>
        <w:t>s externos que atienden a personas del municipio como las Unidades de Atención a las Drogodependencias y recursos en materia de desintoxicación/deshabituación y/o reinserción social en general. Por último, es necesario tener en cuenta otros agentes sociale</w:t>
      </w:r>
      <w:r>
        <w:rPr>
          <w:rFonts w:ascii="Arial" w:eastAsia="Arial" w:hAnsi="Arial" w:cs="Arial"/>
          <w:i/>
        </w:rPr>
        <w:t>s como el Servicio Insular de Atención Integral a la Mujer y la Radio municipal, además de las diferentes asociaciones culturales/vecinales/deportivas y las Fuerzas y Cuerpos de Seguridad.</w:t>
      </w:r>
    </w:p>
    <w:p w:rsidR="00E23B86" w:rsidRDefault="00BA7C13">
      <w:pPr>
        <w:numPr>
          <w:ilvl w:val="0"/>
          <w:numId w:val="140"/>
        </w:numPr>
        <w:spacing w:after="111" w:line="251" w:lineRule="auto"/>
        <w:ind w:right="1" w:hanging="841"/>
        <w:jc w:val="both"/>
      </w:pPr>
      <w:r>
        <w:rPr>
          <w:rFonts w:ascii="Arial" w:eastAsia="Arial" w:hAnsi="Arial" w:cs="Arial"/>
          <w:i/>
        </w:rPr>
        <w:t>2.3.1. Contexto demográfico y laboral</w:t>
      </w:r>
    </w:p>
    <w:p w:rsidR="00E23B86" w:rsidRDefault="00BA7C13">
      <w:pPr>
        <w:numPr>
          <w:ilvl w:val="0"/>
          <w:numId w:val="140"/>
        </w:numPr>
        <w:spacing w:after="111" w:line="251" w:lineRule="auto"/>
        <w:ind w:right="1" w:hanging="841"/>
        <w:jc w:val="both"/>
      </w:pPr>
      <w:r>
        <w:rPr>
          <w:rFonts w:ascii="Arial" w:eastAsia="Arial" w:hAnsi="Arial" w:cs="Arial"/>
          <w:i/>
        </w:rPr>
        <w:t>En lo referente a la evolució</w:t>
      </w:r>
      <w:r>
        <w:rPr>
          <w:rFonts w:ascii="Arial" w:eastAsia="Arial" w:hAnsi="Arial" w:cs="Arial"/>
          <w:i/>
        </w:rPr>
        <w:t>n de la población, en el periodo analizado (20112017), en general, la población ha crecido en torno a dos mil personas. Sin embargo, han existido periodos (2013 y 2015), donde la población decreció, si bien en el resto de las anualidades creció de forma ge</w:t>
      </w:r>
      <w:r>
        <w:rPr>
          <w:rFonts w:ascii="Arial" w:eastAsia="Arial" w:hAnsi="Arial" w:cs="Arial"/>
          <w:i/>
        </w:rPr>
        <w:t xml:space="preserve">neral.  El peso de la población de Candelaria con respecto a la población total de Tenerife, de los años 2010 al 2017, ha ganado peso respecto al total insular. Así, se pasó de un 2,8% en 2010 a un 3% de la población insular en 2017. </w:t>
      </w:r>
    </w:p>
    <w:p w:rsidR="00E23B86" w:rsidRDefault="00BA7C13">
      <w:pPr>
        <w:spacing w:after="82"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Según el sexo de la</w:t>
      </w:r>
      <w:r>
        <w:rPr>
          <w:rFonts w:ascii="Arial" w:eastAsia="Arial" w:hAnsi="Arial" w:cs="Arial"/>
          <w:i/>
        </w:rPr>
        <w:t>s personas residentes en Candelaria, en general en todo el periodo apenas hay variaciones entre hombres y mujeres, siendo el número de mujeres superior al de hombres, si bien las diferencias son mínimas (51% a 49%).</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377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7543" name="Group 55754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534" name="Rectangle 4453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4535" name="Rectangle 4453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7543" style="width:12.7031pt;height:280.35pt;position:absolute;mso-position-horizontal-relative:page;mso-position-horizontal:absolute;margin-left:681.958pt;mso-position-vertical-relative:page;margin-top:531.65pt;" coordsize="1613,35604">
                <v:rect id="Rectangle 4453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53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271 de 391 </w:t>
                        </w:r>
                      </w:p>
                    </w:txbxContent>
                  </v:textbox>
                </v:rect>
                <w10:wrap type="square"/>
              </v:group>
            </w:pict>
          </mc:Fallback>
        </mc:AlternateContent>
      </w:r>
      <w:r>
        <w:rPr>
          <w:rFonts w:ascii="Arial" w:eastAsia="Arial" w:hAnsi="Arial" w:cs="Arial"/>
          <w:i/>
        </w:rPr>
        <w:t>Para determinar la evolución de la población de Candelaria se</w:t>
      </w:r>
      <w:r>
        <w:rPr>
          <w:rFonts w:ascii="Arial" w:eastAsia="Arial" w:hAnsi="Arial" w:cs="Arial"/>
          <w:i/>
        </w:rPr>
        <w:t>gún la edad, se han obtenido los índices de juventud y envejecimiento del municipio. Se destaca que en el periodo estudiado (2011-2017), el índice de juventud descendió de un 15,67% a un 15,16%, mientras que el de envejecimiento subió de 12,18% a 14,72%. T</w:t>
      </w:r>
      <w:r>
        <w:rPr>
          <w:rFonts w:ascii="Arial" w:eastAsia="Arial" w:hAnsi="Arial" w:cs="Arial"/>
          <w:i/>
        </w:rPr>
        <w:t>odo ello indica que se está produciendo un progresivo envejecimiento de la población.</w:t>
      </w:r>
    </w:p>
    <w:p w:rsidR="00E23B86" w:rsidRDefault="00BA7C13">
      <w:pPr>
        <w:numPr>
          <w:ilvl w:val="0"/>
          <w:numId w:val="140"/>
        </w:numPr>
        <w:spacing w:after="111" w:line="251" w:lineRule="auto"/>
        <w:ind w:right="1" w:hanging="841"/>
        <w:jc w:val="both"/>
      </w:pPr>
      <w:r>
        <w:rPr>
          <w:rFonts w:ascii="Arial" w:eastAsia="Arial" w:hAnsi="Arial" w:cs="Arial"/>
          <w:i/>
        </w:rPr>
        <w:t>Respecto al número de desempleados/as, de 2011 a 2018, en general ha mejorado la situación progresivamente. Así, se inició el periodo con más de 2.500 desempleados/as, pa</w:t>
      </w:r>
      <w:r>
        <w:rPr>
          <w:rFonts w:ascii="Arial" w:eastAsia="Arial" w:hAnsi="Arial" w:cs="Arial"/>
          <w:i/>
        </w:rPr>
        <w:t>ra aumentar en el periodo más duro de la crisis económica (2012 y 2013), mientras que a partir de esa fecha ha ido progresivamente descendiendo. Analizando el desempleo por sexo, se observa que, si bien partieron de un número de desempleados/as similares e</w:t>
      </w:r>
      <w:r>
        <w:rPr>
          <w:rFonts w:ascii="Arial" w:eastAsia="Arial" w:hAnsi="Arial" w:cs="Arial"/>
          <w:i/>
        </w:rPr>
        <w:t>n 2011, poco a poco con el transcurrir de los años la brecha de género se ha ampliado. Así, en el momento actual es donde más diferencia hay entre el desempleo de hombres y mujeres, perjudicando más a las mujeres.</w:t>
      </w:r>
    </w:p>
    <w:p w:rsidR="00E23B86" w:rsidRDefault="00BA7C13">
      <w:pPr>
        <w:numPr>
          <w:ilvl w:val="0"/>
          <w:numId w:val="140"/>
        </w:numPr>
        <w:spacing w:after="111" w:line="251" w:lineRule="auto"/>
        <w:ind w:right="1" w:hanging="841"/>
        <w:jc w:val="both"/>
      </w:pPr>
      <w:r>
        <w:rPr>
          <w:rFonts w:ascii="Arial" w:eastAsia="Arial" w:hAnsi="Arial" w:cs="Arial"/>
          <w:i/>
        </w:rPr>
        <w:t>Por último, respecto al desempleo según gr</w:t>
      </w:r>
      <w:r>
        <w:rPr>
          <w:rFonts w:ascii="Arial" w:eastAsia="Arial" w:hAnsi="Arial" w:cs="Arial"/>
          <w:i/>
        </w:rPr>
        <w:t>andes grupos de edad, en general el número de desempleados/as mayores de 25 años ha ido disminuyendo, mientras que el/la de menores de 25 años se han mantenido estable. Aun así, se aprecia que afecta más a los/as mayores de 25 que a los/as menores de dicha</w:t>
      </w:r>
      <w:r>
        <w:rPr>
          <w:rFonts w:ascii="Arial" w:eastAsia="Arial" w:hAnsi="Arial" w:cs="Arial"/>
          <w:i/>
        </w:rPr>
        <w:t xml:space="preserve"> edad.</w:t>
      </w:r>
    </w:p>
    <w:p w:rsidR="00E23B86" w:rsidRDefault="00BA7C13">
      <w:pPr>
        <w:spacing w:after="152" w:line="251" w:lineRule="auto"/>
        <w:ind w:left="1534" w:right="573" w:hanging="10"/>
        <w:jc w:val="both"/>
      </w:pP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Análisis de los datos de atención a las drogodependencias</w:t>
      </w:r>
    </w:p>
    <w:p w:rsidR="00E23B86" w:rsidRDefault="00BA7C13">
      <w:pPr>
        <w:numPr>
          <w:ilvl w:val="0"/>
          <w:numId w:val="140"/>
        </w:numPr>
        <w:spacing w:after="111" w:line="251" w:lineRule="auto"/>
        <w:ind w:right="1" w:hanging="841"/>
        <w:jc w:val="both"/>
      </w:pPr>
      <w:r>
        <w:rPr>
          <w:rFonts w:ascii="Arial" w:eastAsia="Arial" w:hAnsi="Arial" w:cs="Arial"/>
          <w:i/>
        </w:rPr>
        <w:t>Datos de la Unidad de Prevención Municipal</w:t>
      </w:r>
    </w:p>
    <w:p w:rsidR="00E23B86" w:rsidRDefault="00BA7C13">
      <w:pPr>
        <w:numPr>
          <w:ilvl w:val="0"/>
          <w:numId w:val="140"/>
        </w:numPr>
        <w:spacing w:after="111" w:line="251" w:lineRule="auto"/>
        <w:ind w:right="1" w:hanging="841"/>
        <w:jc w:val="both"/>
      </w:pPr>
      <w:r>
        <w:rPr>
          <w:rFonts w:ascii="Arial" w:eastAsia="Arial" w:hAnsi="Arial" w:cs="Arial"/>
          <w:i/>
        </w:rPr>
        <w:t xml:space="preserve">El año de mayores atenciones fue en 2013, a partir del cual se fue reduciendo hasta el 2017, donde aumentó mínimamente. </w:t>
      </w:r>
    </w:p>
    <w:p w:rsidR="00E23B86" w:rsidRDefault="00BA7C13">
      <w:pPr>
        <w:numPr>
          <w:ilvl w:val="0"/>
          <w:numId w:val="140"/>
        </w:numPr>
        <w:spacing w:after="111" w:line="251" w:lineRule="auto"/>
        <w:ind w:right="1" w:hanging="841"/>
        <w:jc w:val="both"/>
      </w:pPr>
      <w:r>
        <w:rPr>
          <w:rFonts w:ascii="Arial" w:eastAsia="Arial" w:hAnsi="Arial" w:cs="Arial"/>
          <w:i/>
        </w:rPr>
        <w:t>Según el tipo de droga, e</w:t>
      </w:r>
      <w:r>
        <w:rPr>
          <w:rFonts w:ascii="Arial" w:eastAsia="Arial" w:hAnsi="Arial" w:cs="Arial"/>
          <w:i/>
        </w:rPr>
        <w:t>n general en 2013 la mayor atención fue por el cannabis, mientras que poco a poco el perfil que se impone de 2015 en adelante es el de policonsumo. También cabe destacar que en 2017 se detectaron casos de atención a ludopatías.</w:t>
      </w:r>
    </w:p>
    <w:p w:rsidR="00E23B86" w:rsidRDefault="00BA7C13">
      <w:pPr>
        <w:numPr>
          <w:ilvl w:val="0"/>
          <w:numId w:val="140"/>
        </w:numPr>
        <w:spacing w:after="111" w:line="251" w:lineRule="auto"/>
        <w:ind w:right="1" w:hanging="841"/>
        <w:jc w:val="both"/>
      </w:pPr>
      <w:r>
        <w:rPr>
          <w:rFonts w:ascii="Arial" w:eastAsia="Arial" w:hAnsi="Arial" w:cs="Arial"/>
          <w:i/>
        </w:rPr>
        <w:t>Según el sexo, la gran mayor</w:t>
      </w:r>
      <w:r>
        <w:rPr>
          <w:rFonts w:ascii="Arial" w:eastAsia="Arial" w:hAnsi="Arial" w:cs="Arial"/>
          <w:i/>
        </w:rPr>
        <w:t>ía de las personas atendidas son hombres en todo el periodo analizado.</w:t>
      </w:r>
    </w:p>
    <w:p w:rsidR="00E23B86" w:rsidRDefault="00BA7C13">
      <w:pPr>
        <w:numPr>
          <w:ilvl w:val="0"/>
          <w:numId w:val="140"/>
        </w:numPr>
        <w:spacing w:after="111" w:line="251" w:lineRule="auto"/>
        <w:ind w:right="1" w:hanging="841"/>
        <w:jc w:val="both"/>
      </w:pPr>
      <w:r>
        <w:rPr>
          <w:rFonts w:ascii="Arial" w:eastAsia="Arial" w:hAnsi="Arial" w:cs="Arial"/>
          <w:i/>
        </w:rPr>
        <w:t>Respecto a la edad, en 2013 la mayor parte son personas de 18 a 30 años, mientras que, en 2014, 2015 y 2017 la mayor parte son de entre 31 y 40 años, sobresaliendo la gran diferencia po</w:t>
      </w:r>
      <w:r>
        <w:rPr>
          <w:rFonts w:ascii="Arial" w:eastAsia="Arial" w:hAnsi="Arial" w:cs="Arial"/>
          <w:i/>
        </w:rPr>
        <w:t>r edad en ese último año, donde la gran mayoría son personas de 31 a 40 años, muy por encima del resto de intervalos de edad.</w:t>
      </w:r>
    </w:p>
    <w:p w:rsidR="00E23B86" w:rsidRDefault="00BA7C13">
      <w:pPr>
        <w:numPr>
          <w:ilvl w:val="0"/>
          <w:numId w:val="140"/>
        </w:numPr>
        <w:spacing w:after="111" w:line="251" w:lineRule="auto"/>
        <w:ind w:right="1" w:hanging="841"/>
        <w:jc w:val="both"/>
      </w:pPr>
      <w:r>
        <w:rPr>
          <w:rFonts w:ascii="Arial" w:eastAsia="Arial" w:hAnsi="Arial" w:cs="Arial"/>
          <w:i/>
        </w:rPr>
        <w:t>Datos de los Recursos de Atención a las Drogodependencias</w:t>
      </w:r>
    </w:p>
    <w:p w:rsidR="00E23B86" w:rsidRDefault="00BA7C13">
      <w:pPr>
        <w:numPr>
          <w:ilvl w:val="0"/>
          <w:numId w:val="140"/>
        </w:numPr>
        <w:spacing w:after="111" w:line="251" w:lineRule="auto"/>
        <w:ind w:right="1" w:hanging="841"/>
        <w:jc w:val="both"/>
      </w:pPr>
      <w:r>
        <w:rPr>
          <w:rFonts w:ascii="Arial" w:eastAsia="Arial" w:hAnsi="Arial" w:cs="Arial"/>
          <w:i/>
        </w:rPr>
        <w:t>En este apartado se muestran los datos ofrecidos por las diferentes enti</w:t>
      </w:r>
      <w:r>
        <w:rPr>
          <w:rFonts w:ascii="Arial" w:eastAsia="Arial" w:hAnsi="Arial" w:cs="Arial"/>
          <w:i/>
        </w:rPr>
        <w:t>dades autorizadas al tratamiento de población con algún tipo de adicción a sustancias como la Asociación San Miguel, Proyecto Hombre y Proyecto Drago. Es necesario tener en cuenta, que se ha tratado de homogeneizar las medidas, pero no ha sido posible en m</w:t>
      </w:r>
      <w:r>
        <w:rPr>
          <w:rFonts w:ascii="Arial" w:eastAsia="Arial" w:hAnsi="Arial" w:cs="Arial"/>
          <w:i/>
        </w:rPr>
        <w:t>uchos casos, por lo que se presentan datos comparables entre sí (por ello, a veces se suprimen años, ya que no se sabe el número total al estar el porcentaje y no el número absoluto).</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388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7784" name="Group 55778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615" name="Rectangle 4461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44616" name="Rectangle 4461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7784" style="width:12.7031pt;height:280.35pt;position:absolute;mso-position-horizontal-relative:page;mso-position-horizontal:absolute;margin-left:681.958pt;mso-position-vertical-relative:page;margin-top:531.65pt;" coordsize="1613,35604">
                <v:rect id="Rectangle 4461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61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272 de 391 </w:t>
                        </w:r>
                      </w:p>
                    </w:txbxContent>
                  </v:textbox>
                </v:rect>
                <w10:wrap type="square"/>
              </v:group>
            </w:pict>
          </mc:Fallback>
        </mc:AlternateContent>
      </w:r>
      <w:r>
        <w:rPr>
          <w:rFonts w:ascii="Arial" w:eastAsia="Arial" w:hAnsi="Arial" w:cs="Arial"/>
          <w:i/>
        </w:rPr>
        <w:t>Respecto al periodo analizado, el año en el que más se atendió a personas con problemáticas de adicciones a drogas de Candelaria f</w:t>
      </w:r>
      <w:r>
        <w:rPr>
          <w:rFonts w:ascii="Arial" w:eastAsia="Arial" w:hAnsi="Arial" w:cs="Arial"/>
          <w:i/>
        </w:rPr>
        <w:t xml:space="preserve">ue en 2014, si bien disminuyó en 2015 y aumentó en 2016 y 2017. La entidad que más personas atendió fue San Miguel en la mayor parte de las anualidades, seguida por Proyecto Hombre y Proyecto Drago. </w:t>
      </w:r>
    </w:p>
    <w:p w:rsidR="00E23B86" w:rsidRDefault="00BA7C13">
      <w:pPr>
        <w:numPr>
          <w:ilvl w:val="0"/>
          <w:numId w:val="140"/>
        </w:numPr>
        <w:spacing w:after="111" w:line="251" w:lineRule="auto"/>
        <w:ind w:right="1" w:hanging="841"/>
        <w:jc w:val="both"/>
      </w:pPr>
      <w:r>
        <w:rPr>
          <w:rFonts w:ascii="Arial" w:eastAsia="Arial" w:hAnsi="Arial" w:cs="Arial"/>
          <w:i/>
        </w:rPr>
        <w:t>Respecto al perfil general de la persona usuaria de la U</w:t>
      </w:r>
      <w:r>
        <w:rPr>
          <w:rFonts w:ascii="Arial" w:eastAsia="Arial" w:hAnsi="Arial" w:cs="Arial"/>
          <w:i/>
        </w:rPr>
        <w:t>AD San Miguel, la sustancia consumida por la mayor parte de los/as atendidos/as en 2016 y 2017 fue por heroína, seguida del alcohol, cannabis y cocaína. Además, la mayor parte son hombres y, por edades, el grupo mayoritario en 2016 y 2017 es de 31 a 40 año</w:t>
      </w:r>
      <w:r>
        <w:rPr>
          <w:rFonts w:ascii="Arial" w:eastAsia="Arial" w:hAnsi="Arial" w:cs="Arial"/>
          <w:i/>
        </w:rPr>
        <w:t>s, seguido de los de 41 a 50 y 51 a 60.</w:t>
      </w:r>
    </w:p>
    <w:p w:rsidR="00E23B86" w:rsidRDefault="00BA7C13">
      <w:pPr>
        <w:numPr>
          <w:ilvl w:val="0"/>
          <w:numId w:val="140"/>
        </w:numPr>
        <w:spacing w:after="111" w:line="251" w:lineRule="auto"/>
        <w:ind w:right="1" w:hanging="841"/>
        <w:jc w:val="both"/>
      </w:pPr>
      <w:r>
        <w:rPr>
          <w:rFonts w:ascii="Arial" w:eastAsia="Arial" w:hAnsi="Arial" w:cs="Arial"/>
          <w:i/>
        </w:rPr>
        <w:t>En lo referido a Proyecto Hombre, la mayor parte de las personas que atienden son por cocaína y cannabis y, según sexo, la mayor parte son hombres. Por otro lado, según edad, la mayor parte son personas de 51 a 60 años.</w:t>
      </w:r>
    </w:p>
    <w:p w:rsidR="00E23B86" w:rsidRDefault="00BA7C13">
      <w:pPr>
        <w:numPr>
          <w:ilvl w:val="0"/>
          <w:numId w:val="140"/>
        </w:numPr>
        <w:spacing w:after="111" w:line="251" w:lineRule="auto"/>
        <w:ind w:right="1" w:hanging="841"/>
        <w:jc w:val="both"/>
      </w:pPr>
      <w:r>
        <w:rPr>
          <w:rFonts w:ascii="Arial" w:eastAsia="Arial" w:hAnsi="Arial" w:cs="Arial"/>
          <w:i/>
        </w:rPr>
        <w:t xml:space="preserve">Respecto a la atención del Proyecto </w:t>
      </w:r>
      <w:r>
        <w:rPr>
          <w:rFonts w:ascii="Arial" w:eastAsia="Arial" w:hAnsi="Arial" w:cs="Arial"/>
          <w:i/>
        </w:rPr>
        <w:t>Drago, la totalidad de personas atendidas son por adicción al alcohol, siendo fundamentalmente hombres en 2016 y 2017 y con más de 51 años.</w:t>
      </w:r>
    </w:p>
    <w:p w:rsidR="00E23B86" w:rsidRDefault="00BA7C13">
      <w:pPr>
        <w:numPr>
          <w:ilvl w:val="0"/>
          <w:numId w:val="140"/>
        </w:numPr>
        <w:spacing w:after="8" w:line="251" w:lineRule="auto"/>
        <w:ind w:right="1" w:hanging="841"/>
        <w:jc w:val="both"/>
      </w:pPr>
      <w:r>
        <w:rPr>
          <w:rFonts w:ascii="Arial" w:eastAsia="Arial" w:hAnsi="Arial" w:cs="Arial"/>
          <w:i/>
        </w:rPr>
        <w:t>Datos sobre Atención Farmacéutica</w:t>
      </w:r>
    </w:p>
    <w:p w:rsidR="00E23B86" w:rsidRDefault="00BA7C13">
      <w:pPr>
        <w:numPr>
          <w:ilvl w:val="0"/>
          <w:numId w:val="140"/>
        </w:numPr>
        <w:spacing w:after="0" w:line="251" w:lineRule="auto"/>
        <w:ind w:right="1" w:hanging="841"/>
        <w:jc w:val="both"/>
      </w:pPr>
      <w:r>
        <w:rPr>
          <w:rFonts w:ascii="Arial" w:eastAsia="Arial" w:hAnsi="Arial" w:cs="Arial"/>
          <w:i/>
        </w:rPr>
        <w:t xml:space="preserve">Respecto a los datos de atención farmacéutica en Candelaria, exceptuando el 2012, </w:t>
      </w:r>
      <w:r>
        <w:rPr>
          <w:rFonts w:ascii="Arial" w:eastAsia="Arial" w:hAnsi="Arial" w:cs="Arial"/>
          <w:i/>
        </w:rPr>
        <w:t>en general las atenciones por drogodependencias fueron entre 11 y 15 personas por año.</w:t>
      </w:r>
    </w:p>
    <w:p w:rsidR="00E23B86" w:rsidRDefault="00BA7C13">
      <w:pPr>
        <w:spacing w:after="3"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8" w:line="251" w:lineRule="auto"/>
        <w:ind w:right="1" w:hanging="841"/>
        <w:jc w:val="both"/>
      </w:pPr>
      <w:r>
        <w:rPr>
          <w:rFonts w:ascii="Arial" w:eastAsia="Arial" w:hAnsi="Arial" w:cs="Arial"/>
          <w:i/>
        </w:rPr>
        <w:t xml:space="preserve">Datos sobre seguridad ciudadana  </w:t>
      </w:r>
    </w:p>
    <w:p w:rsidR="00E23B86" w:rsidRDefault="00BA7C13">
      <w:pPr>
        <w:numPr>
          <w:ilvl w:val="0"/>
          <w:numId w:val="140"/>
        </w:numPr>
        <w:spacing w:after="111" w:line="251" w:lineRule="auto"/>
        <w:ind w:right="1" w:hanging="841"/>
        <w:jc w:val="both"/>
      </w:pPr>
      <w:r>
        <w:rPr>
          <w:rFonts w:ascii="Arial" w:eastAsia="Arial" w:hAnsi="Arial" w:cs="Arial"/>
          <w:i/>
        </w:rPr>
        <w:t>La mayor parte de las sanciones interpuestas por la Guardia Civil son a hombres en todas las anualidades, excepto en 2014. Según la e</w:t>
      </w:r>
      <w:r>
        <w:rPr>
          <w:rFonts w:ascii="Arial" w:eastAsia="Arial" w:hAnsi="Arial" w:cs="Arial"/>
          <w:i/>
        </w:rPr>
        <w:t>dad, la mayor parte de las sanciones fueron a personas de entre 31 y 40 años. Llama la atención la progresiva disminución de las sanciones a las personas de 18 a 30 años, que no hace más que disminuir de 2013 en adelante. Respecto a la sustancia por la cua</w:t>
      </w:r>
      <w:r>
        <w:rPr>
          <w:rFonts w:ascii="Arial" w:eastAsia="Arial" w:hAnsi="Arial" w:cs="Arial"/>
          <w:i/>
        </w:rPr>
        <w:t xml:space="preserve">l la Guardia Civil sanciona, la mayor parte es cocaína, seguida del cannabis, siendo las mayores incautaciones, las de hachís. </w:t>
      </w:r>
    </w:p>
    <w:p w:rsidR="00E23B86" w:rsidRDefault="00BA7C13">
      <w:pPr>
        <w:numPr>
          <w:ilvl w:val="0"/>
          <w:numId w:val="140"/>
        </w:numPr>
        <w:spacing w:after="111" w:line="251" w:lineRule="auto"/>
        <w:ind w:right="1" w:hanging="841"/>
        <w:jc w:val="both"/>
      </w:pPr>
      <w:r>
        <w:rPr>
          <w:rFonts w:ascii="Arial" w:eastAsia="Arial" w:hAnsi="Arial" w:cs="Arial"/>
          <w:i/>
        </w:rPr>
        <w:t>En cuanto al número de actas realizadas por la Policía Local, se observa que en el año 2016 y 2017 han disminuido las sanciones.</w:t>
      </w:r>
      <w:r>
        <w:rPr>
          <w:rFonts w:ascii="Arial" w:eastAsia="Arial" w:hAnsi="Arial" w:cs="Arial"/>
          <w:i/>
        </w:rPr>
        <w:t xml:space="preserve"> Al igual que ocurría con la Guardia Civil, la mayor parte son hombres y las mayores incautaciones son por cannabis. Respecto a la edad, las sanciones a menores de edad han aumentado y las realizadas a mayores de edad han disminuido.</w:t>
      </w:r>
    </w:p>
    <w:p w:rsidR="00E23B86" w:rsidRDefault="00BA7C13">
      <w:pPr>
        <w:numPr>
          <w:ilvl w:val="0"/>
          <w:numId w:val="140"/>
        </w:numPr>
        <w:spacing w:after="111" w:line="251" w:lineRule="auto"/>
        <w:ind w:right="1" w:hanging="841"/>
        <w:jc w:val="both"/>
      </w:pPr>
      <w:r>
        <w:rPr>
          <w:rFonts w:ascii="Arial" w:eastAsia="Arial" w:hAnsi="Arial" w:cs="Arial"/>
          <w:i/>
        </w:rPr>
        <w:t xml:space="preserve">Por último, los datos </w:t>
      </w:r>
      <w:r>
        <w:rPr>
          <w:rFonts w:ascii="Arial" w:eastAsia="Arial" w:hAnsi="Arial" w:cs="Arial"/>
          <w:i/>
        </w:rPr>
        <w:t>de la Policía Canaria, correspondientes al año 2016, indican que la mayoría de las sanciones son interpuestas a hombres mayores de edad, principalmente por cannabis.</w:t>
      </w:r>
    </w:p>
    <w:p w:rsidR="00E23B86" w:rsidRDefault="00BA7C13">
      <w:pPr>
        <w:numPr>
          <w:ilvl w:val="0"/>
          <w:numId w:val="140"/>
        </w:numPr>
        <w:spacing w:after="138" w:line="251" w:lineRule="auto"/>
        <w:ind w:right="1" w:hanging="841"/>
        <w:jc w:val="both"/>
      </w:pPr>
      <w:r>
        <w:rPr>
          <w:rFonts w:ascii="Arial" w:eastAsia="Arial" w:hAnsi="Arial" w:cs="Arial"/>
          <w:i/>
        </w:rPr>
        <w:t xml:space="preserve">Datos sobre hábitos saludables de la población escolarizada en el municipio </w:t>
      </w:r>
    </w:p>
    <w:p w:rsidR="00E23B86" w:rsidRDefault="00BA7C13">
      <w:pPr>
        <w:numPr>
          <w:ilvl w:val="0"/>
          <w:numId w:val="140"/>
        </w:numPr>
        <w:spacing w:after="111" w:line="251" w:lineRule="auto"/>
        <w:ind w:right="1" w:hanging="841"/>
        <w:jc w:val="both"/>
      </w:pPr>
      <w:r>
        <w:rPr>
          <w:rFonts w:ascii="Arial" w:eastAsia="Arial" w:hAnsi="Arial" w:cs="Arial"/>
          <w:i/>
        </w:rPr>
        <w:t>En relación al alumnado de primaria, se observa que los hábitos de vida de los y las menores entrevistados/as se encuentran dentro de los parámetros establecidos para un correcto desarrollo y adquisición de un estilo de vida saludable. Asimismo, respecto a</w:t>
      </w:r>
      <w:r>
        <w:rPr>
          <w:rFonts w:ascii="Arial" w:eastAsia="Arial" w:hAnsi="Arial" w:cs="Arial"/>
          <w:i/>
        </w:rPr>
        <w:t xml:space="preserve"> las horas de sueño y descanso, la mitad de las niñas y niños entrevistados/as sí cumplen con las horas de sueño recomendadas como saludables, mientras que existe un porcentaje significativo de menores que están por debajo, lo que supone consecuencias nega</w:t>
      </w:r>
      <w:r>
        <w:rPr>
          <w:rFonts w:ascii="Arial" w:eastAsia="Arial" w:hAnsi="Arial" w:cs="Arial"/>
          <w:i/>
        </w:rPr>
        <w:t xml:space="preserve">tivas para su etapa actual de desarrollo, que pueden manifestarse en situaciones de riesgo psicológicas, biológicas y conductuales, así como en un bajo rendimiento académico. </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398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8041" name="Group 55804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690" name="Rectangle 4469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w:t>
                              </w:r>
                              <w:r>
                                <w:rPr>
                                  <w:rFonts w:ascii="Arial" w:eastAsia="Arial" w:hAnsi="Arial" w:cs="Arial"/>
                                  <w:sz w:val="12"/>
                                </w:rPr>
                                <w:t xml:space="preserve">.sedelectronica.es/ </w:t>
                              </w:r>
                            </w:p>
                          </w:txbxContent>
                        </wps:txbx>
                        <wps:bodyPr horzOverflow="overflow" vert="horz" lIns="0" tIns="0" rIns="0" bIns="0" rtlCol="0">
                          <a:noAutofit/>
                        </wps:bodyPr>
                      </wps:wsp>
                      <wps:wsp>
                        <wps:cNvPr id="44691" name="Rectangle 4469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8041" style="width:12.7031pt;height:280.35pt;position:absolute;mso-position-horizontal-relative:page;mso-position-horizontal:absolute;margin-left:681.958pt;mso-position-vertical-relative:page;margin-top:531.65pt;" coordsize="1613,35604">
                <v:rect id="Rectangle 4469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69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273 de 391 </w:t>
                        </w:r>
                      </w:p>
                    </w:txbxContent>
                  </v:textbox>
                </v:rect>
                <w10:wrap type="square"/>
              </v:group>
            </w:pict>
          </mc:Fallback>
        </mc:AlternateContent>
      </w:r>
      <w:r>
        <w:rPr>
          <w:rFonts w:ascii="Arial" w:eastAsia="Arial" w:hAnsi="Arial" w:cs="Arial"/>
          <w:i/>
        </w:rPr>
        <w:t>En cuanto a las actividades y estilos de vida, de los datos recogidos sobre ocio activo son positivos, debido a los beneficios que tiene en el desarrollo y creación de redes sociales y sistemas de apoyo entre el grupo de iguales en su comunidad y el desarr</w:t>
      </w:r>
      <w:r>
        <w:rPr>
          <w:rFonts w:ascii="Arial" w:eastAsia="Arial" w:hAnsi="Arial" w:cs="Arial"/>
          <w:i/>
        </w:rPr>
        <w:t>ollo de habilidades sociales. Cabe destacar que el uso de las redes sociales y las TIC, pueden provocar tanto consecuencias negativas (una posible adicción a las mismas), como positivas, siendo esta última una forma de inclusión y relación entre iguales. P</w:t>
      </w:r>
      <w:r>
        <w:rPr>
          <w:rFonts w:ascii="Arial" w:eastAsia="Arial" w:hAnsi="Arial" w:cs="Arial"/>
          <w:i/>
        </w:rPr>
        <w:t>or esto, es importante la existencia de acciones preventivas y de sensibilización tanto con los y las menores como con los/as progenitores/as de los y las mismos/as, para así dotarles de herramientas que eviten posibles adicciones. Por consiguiente, los da</w:t>
      </w:r>
      <w:r>
        <w:rPr>
          <w:rFonts w:ascii="Arial" w:eastAsia="Arial" w:hAnsi="Arial" w:cs="Arial"/>
          <w:i/>
        </w:rPr>
        <w:t>tos recogidos muestran que estos/as niños y niñas dedican tiempo diariamente a sus tareas escolares, tres o más días a la semana, lo que resulta muy positivo, ya que dichas actividades son beneficiosas para el desarrollo personal y social de los y las mism</w:t>
      </w:r>
      <w:r>
        <w:rPr>
          <w:rFonts w:ascii="Arial" w:eastAsia="Arial" w:hAnsi="Arial" w:cs="Arial"/>
          <w:i/>
        </w:rPr>
        <w:t>os/as.</w:t>
      </w:r>
    </w:p>
    <w:p w:rsidR="00E23B86" w:rsidRDefault="00BA7C13">
      <w:pPr>
        <w:numPr>
          <w:ilvl w:val="0"/>
          <w:numId w:val="140"/>
        </w:numPr>
        <w:spacing w:after="111" w:line="251" w:lineRule="auto"/>
        <w:ind w:right="1" w:hanging="841"/>
        <w:jc w:val="both"/>
      </w:pPr>
      <w:r>
        <w:rPr>
          <w:rFonts w:ascii="Arial" w:eastAsia="Arial" w:hAnsi="Arial" w:cs="Arial"/>
          <w:i/>
        </w:rPr>
        <w:t>Respecto a las situaciones vividas los últimos seis meses, se muestra un alto porcentaje de menores que en los últimos seis meses han tenido sentimientos de pena, tristeza y angustia por algún acontecimiento vivido. Este dato llama la atención puest</w:t>
      </w:r>
      <w:r>
        <w:rPr>
          <w:rFonts w:ascii="Arial" w:eastAsia="Arial" w:hAnsi="Arial" w:cs="Arial"/>
          <w:i/>
        </w:rPr>
        <w:t xml:space="preserve">o que, en estas edades, lo esperado es que predominen los sentimientos de bienestar, por encima de circunstancias negativas, además, de ser un factor protector ante posibles situaciones de riesgo. </w:t>
      </w:r>
    </w:p>
    <w:p w:rsidR="00E23B86" w:rsidRDefault="00BA7C13">
      <w:pPr>
        <w:numPr>
          <w:ilvl w:val="0"/>
          <w:numId w:val="140"/>
        </w:numPr>
        <w:spacing w:after="111" w:line="251" w:lineRule="auto"/>
        <w:ind w:right="1" w:hanging="841"/>
        <w:jc w:val="both"/>
      </w:pPr>
      <w:r>
        <w:rPr>
          <w:rFonts w:ascii="Arial" w:eastAsia="Arial" w:hAnsi="Arial" w:cs="Arial"/>
          <w:i/>
        </w:rPr>
        <w:t>En lo referente a la información y el conocimiento del alu</w:t>
      </w:r>
      <w:r>
        <w:rPr>
          <w:rFonts w:ascii="Arial" w:eastAsia="Arial" w:hAnsi="Arial" w:cs="Arial"/>
          <w:i/>
        </w:rPr>
        <w:t xml:space="preserve">mnado sobre drogas, se destaca que existe concienciación respecto a las adicciones y sus consecuencias, lo que supone un resultado muy positivo en cuanto a la sensibilización hacia el consumo que tienen. </w:t>
      </w:r>
    </w:p>
    <w:p w:rsidR="00E23B86" w:rsidRDefault="00BA7C13">
      <w:pPr>
        <w:numPr>
          <w:ilvl w:val="0"/>
          <w:numId w:val="140"/>
        </w:numPr>
        <w:spacing w:after="111" w:line="251" w:lineRule="auto"/>
        <w:ind w:right="1" w:hanging="841"/>
        <w:jc w:val="both"/>
      </w:pPr>
      <w:r>
        <w:rPr>
          <w:rFonts w:ascii="Arial" w:eastAsia="Arial" w:hAnsi="Arial" w:cs="Arial"/>
          <w:i/>
        </w:rPr>
        <w:t>Tras analizar los resultados obtenidos del estudian</w:t>
      </w:r>
      <w:r>
        <w:rPr>
          <w:rFonts w:ascii="Arial" w:eastAsia="Arial" w:hAnsi="Arial" w:cs="Arial"/>
          <w:i/>
        </w:rPr>
        <w:t xml:space="preserve">tado de secundaria, se observa, que, en relación a los hábitos de vida, estas y estos menores entrevistados/as se encuentran dentro de los parámetros establecidos para un correcto desarrollo y adquisición de un estilo de vida saludable. </w:t>
      </w:r>
    </w:p>
    <w:p w:rsidR="00E23B86" w:rsidRDefault="00BA7C13">
      <w:pPr>
        <w:numPr>
          <w:ilvl w:val="0"/>
          <w:numId w:val="140"/>
        </w:numPr>
        <w:spacing w:after="111" w:line="251" w:lineRule="auto"/>
        <w:ind w:right="1" w:hanging="841"/>
        <w:jc w:val="both"/>
      </w:pPr>
      <w:r>
        <w:rPr>
          <w:rFonts w:ascii="Arial" w:eastAsia="Arial" w:hAnsi="Arial" w:cs="Arial"/>
          <w:i/>
        </w:rPr>
        <w:t>Asimismo, respecto</w:t>
      </w:r>
      <w:r>
        <w:rPr>
          <w:rFonts w:ascii="Arial" w:eastAsia="Arial" w:hAnsi="Arial" w:cs="Arial"/>
          <w:i/>
        </w:rPr>
        <w:t xml:space="preserve"> a las horas de sueño, la mayor parte no cumplen con las horas de sueño recomendadas como saludables. Esto supone consecuencias negativas para su etapa actual de desarrollo, que pueden manifestarse en situaciones de riesgo psicológicas, biológicas y conduc</w:t>
      </w:r>
      <w:r>
        <w:rPr>
          <w:rFonts w:ascii="Arial" w:eastAsia="Arial" w:hAnsi="Arial" w:cs="Arial"/>
          <w:i/>
        </w:rPr>
        <w:t xml:space="preserve">tuales, produciéndose a su vez un bajo rendimiento académico. </w:t>
      </w:r>
    </w:p>
    <w:p w:rsidR="00E23B86" w:rsidRDefault="00BA7C13">
      <w:pPr>
        <w:numPr>
          <w:ilvl w:val="0"/>
          <w:numId w:val="140"/>
        </w:numPr>
        <w:spacing w:after="111" w:line="251" w:lineRule="auto"/>
        <w:ind w:right="1" w:hanging="841"/>
        <w:jc w:val="both"/>
      </w:pPr>
      <w:r>
        <w:rPr>
          <w:rFonts w:ascii="Arial" w:eastAsia="Arial" w:hAnsi="Arial" w:cs="Arial"/>
          <w:i/>
        </w:rPr>
        <w:t>En cuanto a las actividades y sus estilos de vida, los datos recogidos sobre ocio activo son positivos, debido a los beneficios que tienen para el desarrollo, la creación de redes sociales y lo</w:t>
      </w:r>
      <w:r>
        <w:rPr>
          <w:rFonts w:ascii="Arial" w:eastAsia="Arial" w:hAnsi="Arial" w:cs="Arial"/>
          <w:i/>
        </w:rPr>
        <w:t xml:space="preserve">s sistemas de apoyo dentro de la comunidad a través del contacto con otros/as iguales, que además supone el desarrollo de habilidades sociales. </w:t>
      </w:r>
    </w:p>
    <w:p w:rsidR="00E23B86" w:rsidRDefault="00BA7C13">
      <w:pPr>
        <w:numPr>
          <w:ilvl w:val="0"/>
          <w:numId w:val="140"/>
        </w:numPr>
        <w:spacing w:after="111" w:line="251" w:lineRule="auto"/>
        <w:ind w:right="1" w:hanging="841"/>
        <w:jc w:val="both"/>
      </w:pPr>
      <w:r>
        <w:rPr>
          <w:rFonts w:ascii="Arial" w:eastAsia="Arial" w:hAnsi="Arial" w:cs="Arial"/>
          <w:i/>
        </w:rPr>
        <w:t>Esto es algo que resulta prácticamente imprescindible en la edad en la que encuentran las personas objeto de es</w:t>
      </w:r>
      <w:r>
        <w:rPr>
          <w:rFonts w:ascii="Arial" w:eastAsia="Arial" w:hAnsi="Arial" w:cs="Arial"/>
          <w:i/>
        </w:rPr>
        <w:t>te estudio, las opiniones de sus iguales son muy valoradas en esta edad, supone un paso más en la búsqueda de su identidad y según la elección de las amistades que realizan, la presión que pueden sentir por sus iguales pueden ser beneficiosas o perjudicial</w:t>
      </w:r>
      <w:r>
        <w:rPr>
          <w:rFonts w:ascii="Arial" w:eastAsia="Arial" w:hAnsi="Arial" w:cs="Arial"/>
          <w:i/>
        </w:rPr>
        <w:t>es, por ello es importante que éstos se sientan apoyados/as, orientados/as y se les ayude a encaminar ese proceso de transición hacia la vida adulta de la mejor manera posible.</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408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8128" name="Group 55812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755" name="Rectangle 4475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w:t>
                              </w:r>
                              <w:r>
                                <w:rPr>
                                  <w:rFonts w:ascii="Arial" w:eastAsia="Arial" w:hAnsi="Arial" w:cs="Arial"/>
                                  <w:sz w:val="12"/>
                                </w:rPr>
                                <w:t xml:space="preserve">a.sedelectronica.es/ </w:t>
                              </w:r>
                            </w:p>
                          </w:txbxContent>
                        </wps:txbx>
                        <wps:bodyPr horzOverflow="overflow" vert="horz" lIns="0" tIns="0" rIns="0" bIns="0" rtlCol="0">
                          <a:noAutofit/>
                        </wps:bodyPr>
                      </wps:wsp>
                      <wps:wsp>
                        <wps:cNvPr id="44756" name="Rectangle 4475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8128" style="width:12.7031pt;height:280.35pt;position:absolute;mso-position-horizontal-relative:page;mso-position-horizontal:absolute;margin-left:681.958pt;mso-position-vertical-relative:page;margin-top:531.65pt;" coordsize="1613,35604">
                <v:rect id="Rectangle 4475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75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274 de 391 </w:t>
                        </w:r>
                      </w:p>
                    </w:txbxContent>
                  </v:textbox>
                </v:rect>
                <w10:wrap type="square"/>
              </v:group>
            </w:pict>
          </mc:Fallback>
        </mc:AlternateContent>
      </w:r>
      <w:r>
        <w:rPr>
          <w:rFonts w:ascii="Arial" w:eastAsia="Arial" w:hAnsi="Arial" w:cs="Arial"/>
          <w:i/>
        </w:rPr>
        <w:t>Cabe destacar que el uso de las redes sociales y las TIC, pueden provocar tanto consecuencias negativas, una posible adicción a las misma</w:t>
      </w:r>
      <w:r>
        <w:rPr>
          <w:rFonts w:ascii="Arial" w:eastAsia="Arial" w:hAnsi="Arial" w:cs="Arial"/>
          <w:i/>
        </w:rPr>
        <w:t>s, como positivas, siendo esta última una forma de inclusión y relación entre iguales. Por ello, es importante la existencia de acciones preventivas y de sensibilización tanto con los y las menores, como con sus progenitores/as, para así dotarles de herram</w:t>
      </w:r>
      <w:r>
        <w:rPr>
          <w:rFonts w:ascii="Arial" w:eastAsia="Arial" w:hAnsi="Arial" w:cs="Arial"/>
          <w:i/>
        </w:rPr>
        <w:t>ientas que eviten posibles adicciones. Por consiguiente, los datos recogidos muestran que éstos adolescentes dedican tiempo diariamente a sus tareas escolares, tres o más días a la semana, lo que resulta muy positivo, ya que dichas actividades son benefici</w:t>
      </w:r>
      <w:r>
        <w:rPr>
          <w:rFonts w:ascii="Arial" w:eastAsia="Arial" w:hAnsi="Arial" w:cs="Arial"/>
          <w:i/>
        </w:rPr>
        <w:t>osas para su desarrollo personal y social.</w:t>
      </w:r>
    </w:p>
    <w:p w:rsidR="00E23B86" w:rsidRDefault="00BA7C13">
      <w:pPr>
        <w:numPr>
          <w:ilvl w:val="0"/>
          <w:numId w:val="140"/>
        </w:numPr>
        <w:spacing w:after="111" w:line="251" w:lineRule="auto"/>
        <w:ind w:right="1" w:hanging="841"/>
        <w:jc w:val="both"/>
      </w:pPr>
      <w:r>
        <w:rPr>
          <w:rFonts w:ascii="Arial" w:eastAsia="Arial" w:hAnsi="Arial" w:cs="Arial"/>
          <w:i/>
        </w:rPr>
        <w:t>Respecto a las situaciones vividas los últimos seis meses, se muestra un alto porcentaje de menores que en los últimos seis meses han tenido sentimientos de pena, tristeza y angustia por algún acontecimiento vivid</w:t>
      </w:r>
      <w:r>
        <w:rPr>
          <w:rFonts w:ascii="Arial" w:eastAsia="Arial" w:hAnsi="Arial" w:cs="Arial"/>
          <w:i/>
        </w:rPr>
        <w:t>o. La adolescencia supone un momento de gran incertidumbre para los chicos y las chicas, ya que con estas edades comienza la transición de la infancia a la adultez, aumentando sus responsabilidades, algo que suele generar angustia ante los cambios y la tom</w:t>
      </w:r>
      <w:r>
        <w:rPr>
          <w:rFonts w:ascii="Arial" w:eastAsia="Arial" w:hAnsi="Arial" w:cs="Arial"/>
          <w:i/>
        </w:rPr>
        <w:t>a de decisiones que suele ser decisivo para su futuro. Los chicos y las chicas suelen agobiarse al no saber responder a las dudas que les surgen en esta etapa, lo que conlleva que se sientan incomprendidos/as, algo que habitualmente se relaciona con conduc</w:t>
      </w:r>
      <w:r>
        <w:rPr>
          <w:rFonts w:ascii="Arial" w:eastAsia="Arial" w:hAnsi="Arial" w:cs="Arial"/>
          <w:i/>
        </w:rPr>
        <w:t>tas rebeldes y sentimientos encontrados, por ello es importante llevar a cabo acciones que ayuden a los y las adolescentes a regular estos sentimientos, para crecer adecuadamente durante esta complicada etapa de su vida.</w:t>
      </w:r>
    </w:p>
    <w:p w:rsidR="00E23B86" w:rsidRDefault="00BA7C13">
      <w:pPr>
        <w:numPr>
          <w:ilvl w:val="0"/>
          <w:numId w:val="140"/>
        </w:numPr>
        <w:spacing w:after="111" w:line="251" w:lineRule="auto"/>
        <w:ind w:right="1" w:hanging="841"/>
        <w:jc w:val="both"/>
      </w:pPr>
      <w:r>
        <w:rPr>
          <w:rFonts w:ascii="Arial" w:eastAsia="Arial" w:hAnsi="Arial" w:cs="Arial"/>
          <w:i/>
        </w:rPr>
        <w:t>Analizando el consumo de drogas, se</w:t>
      </w:r>
      <w:r>
        <w:rPr>
          <w:rFonts w:ascii="Arial" w:eastAsia="Arial" w:hAnsi="Arial" w:cs="Arial"/>
          <w:i/>
        </w:rPr>
        <w:t xml:space="preserve"> destaca el significativo porcentaje de aquellos/as jóvenes que han consumido alcohol alguna vez en su vida, lo que supone un gran riesgo, sobre todo, a su corta edad. Este tipo de actividad puede desencadenar posibles adicciones futuras puesto que, al ser</w:t>
      </w:r>
      <w:r>
        <w:rPr>
          <w:rFonts w:ascii="Arial" w:eastAsia="Arial" w:hAnsi="Arial" w:cs="Arial"/>
          <w:i/>
        </w:rPr>
        <w:t xml:space="preserve"> el alcohol una droga legal en España, se normaliza su consumo obviando las graves consecuencias que puede acarrear. Como se menciona a lo largo del estudio, en esta etapa experimentan una serie de cambios que hacen de ésta un periodo de inseguridad, donde</w:t>
      </w:r>
      <w:r>
        <w:rPr>
          <w:rFonts w:ascii="Arial" w:eastAsia="Arial" w:hAnsi="Arial" w:cs="Arial"/>
          <w:i/>
        </w:rPr>
        <w:t xml:space="preserve"> los y las adolescentes tratan de encontrar su sitio dentro de la sociedad, el alcohol se relaciona normalmente con el ocio y la socialización. Por lo tanto, los altos porcentajes de consumo que se observan</w:t>
      </w:r>
    </w:p>
    <w:p w:rsidR="00E23B86" w:rsidRDefault="00BA7C13">
      <w:pPr>
        <w:spacing w:after="111" w:line="251" w:lineRule="auto"/>
        <w:ind w:left="454" w:hanging="10"/>
        <w:jc w:val="both"/>
      </w:pPr>
      <w:r>
        <w:rPr>
          <w:rFonts w:ascii="Arial" w:eastAsia="Arial" w:hAnsi="Arial" w:cs="Arial"/>
          <w:i/>
        </w:rPr>
        <w:t>se pueden relacionar con la normalización que tie</w:t>
      </w:r>
      <w:r>
        <w:rPr>
          <w:rFonts w:ascii="Arial" w:eastAsia="Arial" w:hAnsi="Arial" w:cs="Arial"/>
          <w:i/>
        </w:rPr>
        <w:t>ne nuestra sociedad de esta sustancia y lo arraigada que está en el día a día.</w:t>
      </w:r>
    </w:p>
    <w:p w:rsidR="00E23B86" w:rsidRDefault="00BA7C13">
      <w:pPr>
        <w:numPr>
          <w:ilvl w:val="0"/>
          <w:numId w:val="140"/>
        </w:numPr>
        <w:spacing w:after="111" w:line="251" w:lineRule="auto"/>
        <w:ind w:right="1" w:hanging="841"/>
        <w:jc w:val="both"/>
      </w:pPr>
      <w:r>
        <w:rPr>
          <w:rFonts w:ascii="Arial" w:eastAsia="Arial" w:hAnsi="Arial" w:cs="Arial"/>
          <w:i/>
        </w:rPr>
        <w:t>Existe un bajo consumo de cannabis y de drogas de diseño, destacando un bajo porcentaje en ambas, pero aun así altamente significativo debido a la edad del estudiantado entrevis</w:t>
      </w:r>
      <w:r>
        <w:rPr>
          <w:rFonts w:ascii="Arial" w:eastAsia="Arial" w:hAnsi="Arial" w:cs="Arial"/>
          <w:i/>
        </w:rPr>
        <w:t>tado.</w:t>
      </w:r>
    </w:p>
    <w:p w:rsidR="00E23B86" w:rsidRDefault="00BA7C13">
      <w:pPr>
        <w:numPr>
          <w:ilvl w:val="0"/>
          <w:numId w:val="140"/>
        </w:numPr>
        <w:spacing w:after="111" w:line="251" w:lineRule="auto"/>
        <w:ind w:right="1" w:hanging="841"/>
        <w:jc w:val="both"/>
      </w:pPr>
      <w:r>
        <w:rPr>
          <w:rFonts w:ascii="Arial" w:eastAsia="Arial" w:hAnsi="Arial" w:cs="Arial"/>
          <w:i/>
        </w:rPr>
        <w:t>El consumo de cannabis, tabaco y alcohol en las personas jóvenes entrevistadas, es sin duda un gran riesgo para su salud, ya que supone un problema grave para su desarrollo debido a la etapa vital en la que se encuentran. Este tipo de drogas están ca</w:t>
      </w:r>
      <w:r>
        <w:rPr>
          <w:rFonts w:ascii="Arial" w:eastAsia="Arial" w:hAnsi="Arial" w:cs="Arial"/>
          <w:i/>
        </w:rPr>
        <w:t xml:space="preserve">da vez más presentes en sus vidas lo que supone un incentivo para una posible adicción futura. Para combatir esto, es preciso que se establezcan políticas de prevención de las drogas y adicciones dentro del municipio, focalizadas fundamentalmente en estos </w:t>
      </w:r>
      <w:r>
        <w:rPr>
          <w:rFonts w:ascii="Arial" w:eastAsia="Arial" w:hAnsi="Arial" w:cs="Arial"/>
          <w:i/>
        </w:rPr>
        <w:t xml:space="preserve">jóvenes. </w:t>
      </w:r>
    </w:p>
    <w:p w:rsidR="00E23B86" w:rsidRDefault="00BA7C13">
      <w:pPr>
        <w:numPr>
          <w:ilvl w:val="0"/>
          <w:numId w:val="140"/>
        </w:numPr>
        <w:spacing w:after="273" w:line="251" w:lineRule="auto"/>
        <w:ind w:right="1" w:hanging="841"/>
        <w:jc w:val="both"/>
      </w:pPr>
      <w:r>
        <w:rPr>
          <w:rFonts w:ascii="Arial" w:eastAsia="Arial" w:hAnsi="Arial" w:cs="Arial"/>
          <w:i/>
        </w:rPr>
        <w:t>Cabe destacar que estos/as jóvenes entrevistados/as señalan que consumen drogas con el fin de divertirse. Por ello, es importante que se desarrollen de tal manera que su personalidad les haga ser capaces de no tener que optar a las drogas para de</w:t>
      </w:r>
      <w:r>
        <w:rPr>
          <w:rFonts w:ascii="Arial" w:eastAsia="Arial" w:hAnsi="Arial" w:cs="Arial"/>
          <w:i/>
        </w:rPr>
        <w:t xml:space="preserve">sinhibirse, relacionarse entre sí y divertirse en su día a día. </w:t>
      </w:r>
    </w:p>
    <w:p w:rsidR="00E23B86" w:rsidRDefault="00BA7C13">
      <w:pPr>
        <w:numPr>
          <w:ilvl w:val="0"/>
          <w:numId w:val="140"/>
        </w:numPr>
        <w:spacing w:after="236" w:line="251" w:lineRule="auto"/>
        <w:ind w:right="1" w:hanging="841"/>
        <w:jc w:val="both"/>
      </w:pPr>
      <w:r>
        <w:rPr>
          <w:rFonts w:ascii="Arial" w:eastAsia="Arial" w:hAnsi="Arial" w:cs="Arial"/>
          <w:i/>
        </w:rPr>
        <w:t xml:space="preserve">2.4. Recomendaciones para el diseño del IV Plan   </w:t>
      </w:r>
    </w:p>
    <w:p w:rsidR="00E23B86" w:rsidRDefault="00BA7C13">
      <w:pPr>
        <w:numPr>
          <w:ilvl w:val="0"/>
          <w:numId w:val="140"/>
        </w:numPr>
        <w:spacing w:after="111" w:line="251" w:lineRule="auto"/>
        <w:ind w:right="1" w:hanging="841"/>
        <w:jc w:val="both"/>
      </w:pPr>
      <w:r>
        <w:rPr>
          <w:rFonts w:ascii="Arial" w:eastAsia="Arial" w:hAnsi="Arial" w:cs="Arial"/>
          <w:i/>
        </w:rPr>
        <w:t>Tras los datos anteriormente expuestos, se plantean las siguientes recomendaciones a tener en cuenta para el diseño del IV Plan:</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418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58703" name="Group 55870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823" name="Rectangle 4482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4824" name="Rectangle 4482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58703" style="width:12.7031pt;height:280.35pt;position:absolute;mso-position-horizontal-relative:page;mso-position-horizontal:absolute;margin-left:681.958pt;mso-position-vertical-relative:page;margin-top:531.65pt;" coordsize="1613,35604">
                <v:rect id="Rectangle 4482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82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275 de 391 </w:t>
                        </w:r>
                      </w:p>
                    </w:txbxContent>
                  </v:textbox>
                </v:rect>
                <w10:wrap type="square"/>
              </v:group>
            </w:pict>
          </mc:Fallback>
        </mc:AlternateContent>
      </w:r>
      <w:r>
        <w:rPr>
          <w:rFonts w:ascii="Arial" w:eastAsia="Arial" w:hAnsi="Arial" w:cs="Arial"/>
          <w:i/>
        </w:rPr>
        <w:t>En las estrategias de prevención se debe priorizar el abordaj</w:t>
      </w:r>
      <w:r>
        <w:rPr>
          <w:rFonts w:ascii="Arial" w:eastAsia="Arial" w:hAnsi="Arial" w:cs="Arial"/>
          <w:i/>
        </w:rPr>
        <w:t>e prioritario de las sustancias psicoactivas legales o ilegales, y las adicciones comportamentales relacionadas con la ludopatía (juego presencial y online) y videojuegos, y las adicciones comportamentales relacionadas con las Nuevas Tecnologías (Redes Soc</w:t>
      </w:r>
      <w:r>
        <w:rPr>
          <w:rFonts w:ascii="Arial" w:eastAsia="Arial" w:hAnsi="Arial" w:cs="Arial"/>
          <w:i/>
        </w:rPr>
        <w:t xml:space="preserve">iales, Internet), así como otras como el sexo y las compras compulsivas. </w:t>
      </w:r>
    </w:p>
    <w:p w:rsidR="00E23B86" w:rsidRDefault="00BA7C13">
      <w:pPr>
        <w:numPr>
          <w:ilvl w:val="0"/>
          <w:numId w:val="140"/>
        </w:numPr>
        <w:spacing w:after="111" w:line="251" w:lineRule="auto"/>
        <w:ind w:right="1" w:hanging="841"/>
        <w:jc w:val="both"/>
      </w:pPr>
      <w:r>
        <w:rPr>
          <w:rFonts w:ascii="Arial" w:eastAsia="Arial" w:hAnsi="Arial" w:cs="Arial"/>
          <w:i/>
        </w:rPr>
        <w:t xml:space="preserve">La prevención debe trabajarse a tres niveles: universal, selectiva e indicada. </w:t>
      </w:r>
    </w:p>
    <w:p w:rsidR="00E23B86" w:rsidRDefault="00BA7C13">
      <w:pPr>
        <w:numPr>
          <w:ilvl w:val="0"/>
          <w:numId w:val="140"/>
        </w:numPr>
        <w:spacing w:after="111" w:line="251" w:lineRule="auto"/>
        <w:ind w:right="1" w:hanging="841"/>
        <w:jc w:val="both"/>
      </w:pPr>
      <w:r>
        <w:rPr>
          <w:rFonts w:ascii="Arial" w:eastAsia="Arial" w:hAnsi="Arial" w:cs="Arial"/>
          <w:i/>
        </w:rPr>
        <w:t>Los ámbitos prioritarios de la prevención deben ser el educativo, familiar, laboral, medios de comunic</w:t>
      </w:r>
      <w:r>
        <w:rPr>
          <w:rFonts w:ascii="Arial" w:eastAsia="Arial" w:hAnsi="Arial" w:cs="Arial"/>
          <w:i/>
        </w:rPr>
        <w:t>ación, Fuerzas y Cuerpos de Seguridad, Hostelería y Restauración, Sistema Sanitario, y Prevención Ambiental, y dentro de éste, los Contextos y Espacios de Ocio y la Urbanización Saludable.</w:t>
      </w:r>
    </w:p>
    <w:p w:rsidR="00E23B86" w:rsidRDefault="00BA7C13">
      <w:pPr>
        <w:numPr>
          <w:ilvl w:val="0"/>
          <w:numId w:val="140"/>
        </w:numPr>
        <w:spacing w:after="111" w:line="251" w:lineRule="auto"/>
        <w:ind w:right="1" w:hanging="841"/>
        <w:jc w:val="both"/>
      </w:pPr>
      <w:r>
        <w:rPr>
          <w:rFonts w:ascii="Arial" w:eastAsia="Arial" w:hAnsi="Arial" w:cs="Arial"/>
          <w:i/>
        </w:rPr>
        <w:t>En las estrategias de prevención debe incorporarse el enfoque del t</w:t>
      </w:r>
      <w:r>
        <w:rPr>
          <w:rFonts w:ascii="Arial" w:eastAsia="Arial" w:hAnsi="Arial" w:cs="Arial"/>
          <w:i/>
        </w:rPr>
        <w:t xml:space="preserve">rabajo comunitario, pues incluye además del ocio y tiempo libre, la prevención ambiental, principalmente, en espacios de ocio comunitario (fiestas locales) y de música y baile (festivales musicales, fiestas multitudinarias públicas o privadas), y debe ser </w:t>
      </w:r>
      <w:r>
        <w:rPr>
          <w:rFonts w:ascii="Arial" w:eastAsia="Arial" w:hAnsi="Arial" w:cs="Arial"/>
          <w:i/>
        </w:rPr>
        <w:t xml:space="preserve">complementada con acciones comunitarias de prevención en el ámbito local, para reducir los problemas asociados al consumo de alcohol, especialmente en menores. </w:t>
      </w:r>
    </w:p>
    <w:p w:rsidR="00E23B86" w:rsidRDefault="00BA7C13">
      <w:pPr>
        <w:numPr>
          <w:ilvl w:val="0"/>
          <w:numId w:val="140"/>
        </w:numPr>
        <w:spacing w:after="112" w:line="250" w:lineRule="auto"/>
        <w:ind w:right="1" w:hanging="841"/>
        <w:jc w:val="both"/>
      </w:pPr>
      <w:r>
        <w:rPr>
          <w:rFonts w:ascii="Arial" w:eastAsia="Arial" w:hAnsi="Arial" w:cs="Arial"/>
          <w:i/>
        </w:rPr>
        <w:t>Es fundamental apostar y apoyar los programas y acciones para la integración social de las pers</w:t>
      </w:r>
      <w:r>
        <w:rPr>
          <w:rFonts w:ascii="Arial" w:eastAsia="Arial" w:hAnsi="Arial" w:cs="Arial"/>
          <w:i/>
        </w:rPr>
        <w:t xml:space="preserve">onas con problemáticas de adicción a sustancias que puedan incorporarse al empleo y a los que no lo pueden debido a su estado de salud y cronificación de su adicción. </w:t>
      </w:r>
    </w:p>
    <w:p w:rsidR="00E23B86" w:rsidRDefault="00BA7C13">
      <w:pPr>
        <w:numPr>
          <w:ilvl w:val="0"/>
          <w:numId w:val="140"/>
        </w:numPr>
        <w:spacing w:after="111" w:line="251" w:lineRule="auto"/>
        <w:ind w:right="1" w:hanging="841"/>
        <w:jc w:val="both"/>
      </w:pPr>
      <w:r>
        <w:rPr>
          <w:rFonts w:ascii="Arial" w:eastAsia="Arial" w:hAnsi="Arial" w:cs="Arial"/>
          <w:i/>
        </w:rPr>
        <w:t>Reforzar el Plan con la formación y sensibilización social a profesionales del municipio</w:t>
      </w:r>
      <w:r>
        <w:rPr>
          <w:rFonts w:ascii="Arial" w:eastAsia="Arial" w:hAnsi="Arial" w:cs="Arial"/>
          <w:i/>
        </w:rPr>
        <w:t xml:space="preserve">, fomentar una concienciación para que las personas o entidades (deportivas, comunitarias…) sepan que no pueden vender alcohol en eventos deportivos, etc. </w:t>
      </w:r>
    </w:p>
    <w:p w:rsidR="00E23B86" w:rsidRDefault="00BA7C13">
      <w:pPr>
        <w:numPr>
          <w:ilvl w:val="0"/>
          <w:numId w:val="140"/>
        </w:numPr>
        <w:spacing w:after="111" w:line="251" w:lineRule="auto"/>
        <w:ind w:right="1" w:hanging="841"/>
        <w:jc w:val="both"/>
      </w:pPr>
      <w:r>
        <w:rPr>
          <w:rFonts w:ascii="Arial" w:eastAsia="Arial" w:hAnsi="Arial" w:cs="Arial"/>
          <w:i/>
        </w:rPr>
        <w:t xml:space="preserve">Insistir en la prevención con población menor y adolescente sobre el consumo del riesgo del alcohol </w:t>
      </w:r>
      <w:r>
        <w:rPr>
          <w:rFonts w:ascii="Arial" w:eastAsia="Arial" w:hAnsi="Arial" w:cs="Arial"/>
          <w:i/>
        </w:rPr>
        <w:t>y otras sustancias, junto a una baja percepción del riesgo y “normalización” social del consumo lúdico de sustancias (alcohol, cannabis, cocaína, nuevas sustancias psicoactivas, etc.). El consumo en la calle, contribuye a ese aspecto de normalización y ban</w:t>
      </w:r>
      <w:r>
        <w:rPr>
          <w:rFonts w:ascii="Arial" w:eastAsia="Arial" w:hAnsi="Arial" w:cs="Arial"/>
          <w:i/>
        </w:rPr>
        <w:t>alización, a pesar de que el acceso de menores a los juegos de azar (bares, salones sin control de acceso, online, etc.) esté regulado.</w:t>
      </w:r>
    </w:p>
    <w:p w:rsidR="00E23B86" w:rsidRDefault="00BA7C13">
      <w:pPr>
        <w:numPr>
          <w:ilvl w:val="0"/>
          <w:numId w:val="140"/>
        </w:numPr>
        <w:spacing w:after="111" w:line="251" w:lineRule="auto"/>
        <w:ind w:right="1" w:hanging="841"/>
        <w:jc w:val="both"/>
      </w:pPr>
      <w:r>
        <w:rPr>
          <w:rFonts w:ascii="Arial" w:eastAsia="Arial" w:hAnsi="Arial" w:cs="Arial"/>
          <w:i/>
        </w:rPr>
        <w:t>Incorporar en las acciones preventivas a las personas de edad avanzada (como colectivo de riesgo) sobre las que no exist</w:t>
      </w:r>
      <w:r>
        <w:rPr>
          <w:rFonts w:ascii="Arial" w:eastAsia="Arial" w:hAnsi="Arial" w:cs="Arial"/>
          <w:i/>
        </w:rPr>
        <w:t>en datos suficientes, pero sobre las que sabemos que consumen fármacos (psicofármacos, entre ellos) de forma más frecuente que el resto de la población.</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429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1107" name="Group 60110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4941" name="Rectangle 4494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4942" name="Rectangle 4494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276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1107" style="width:12.7031pt;height:280.35pt;position:absolute;mso-position-horizontal-relative:page;mso-position-horizontal:absolute;margin-left:681.958pt;mso-position-vertical-relative:page;margin-top:531.65pt;" coordsize="1613,35604">
                <v:rect id="Rectangle 4494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494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276 de 391 </w:t>
                        </w:r>
                      </w:p>
                    </w:txbxContent>
                  </v:textbox>
                </v:rect>
                <w10:wrap type="square"/>
              </v:group>
            </w:pict>
          </mc:Fallback>
        </mc:AlternateContent>
      </w:r>
      <w:r>
        <w:rPr>
          <w:rFonts w:ascii="Arial" w:eastAsia="Arial" w:hAnsi="Arial" w:cs="Arial"/>
          <w:i/>
        </w:rPr>
        <w:t>Incorporar la perspectiva de género (Ley Orgánica 3/2007, de 22 de marzo, para la igualdad efectiva de mujeres y hombres, art. 20), como marco analítico, desarro</w:t>
      </w:r>
      <w:r>
        <w:rPr>
          <w:rFonts w:ascii="Arial" w:eastAsia="Arial" w:hAnsi="Arial" w:cs="Arial"/>
          <w:i/>
        </w:rPr>
        <w:t>llando las herramientas necesarias que permitan visibilizar, analizar y hacer frente a la diferente presentación y afectación de las adicciones en las mujeres y poder hacer un mejor diagnóstico de la realidad, e incorporar las necesidades y realidad de las</w:t>
      </w:r>
      <w:r>
        <w:rPr>
          <w:rFonts w:ascii="Arial" w:eastAsia="Arial" w:hAnsi="Arial" w:cs="Arial"/>
          <w:i/>
        </w:rPr>
        <w:t xml:space="preserve"> mujeres en todas las acciones e intervenciones estratégicas.</w:t>
      </w:r>
    </w:p>
    <w:p w:rsidR="00E23B86" w:rsidRDefault="00BA7C13">
      <w:pPr>
        <w:numPr>
          <w:ilvl w:val="0"/>
          <w:numId w:val="140"/>
        </w:numPr>
        <w:spacing w:after="111" w:line="251" w:lineRule="auto"/>
        <w:ind w:right="1" w:hanging="841"/>
        <w:jc w:val="both"/>
      </w:pPr>
      <w:r>
        <w:rPr>
          <w:rFonts w:ascii="Arial" w:eastAsia="Arial" w:hAnsi="Arial" w:cs="Arial"/>
          <w:i/>
        </w:rPr>
        <w:t>Trabajar las respuestas preventivas adaptándolas a los nuevos contextos y formas de relación en las que se producen los consumos, especialmente las redes sociales, y aprovechar las oportunidades</w:t>
      </w:r>
      <w:r>
        <w:rPr>
          <w:rFonts w:ascii="Arial" w:eastAsia="Arial" w:hAnsi="Arial" w:cs="Arial"/>
          <w:i/>
        </w:rPr>
        <w:t xml:space="preserve"> que dichos contextos ofrecen para la prevención.</w:t>
      </w:r>
    </w:p>
    <w:p w:rsidR="00E23B86" w:rsidRDefault="00BA7C13">
      <w:pPr>
        <w:numPr>
          <w:ilvl w:val="0"/>
          <w:numId w:val="140"/>
        </w:numPr>
        <w:spacing w:after="111" w:line="251" w:lineRule="auto"/>
        <w:ind w:right="1" w:hanging="841"/>
        <w:jc w:val="both"/>
      </w:pPr>
      <w:r>
        <w:rPr>
          <w:rFonts w:ascii="Arial" w:eastAsia="Arial" w:hAnsi="Arial" w:cs="Arial"/>
          <w:i/>
        </w:rPr>
        <w:t>Trabajar la prevención dado el aumento del uso “patológico” de Internet, los medios digitales y las redes sociales, así como por el papel de las nuevas tecnologías como facilitadoras del acceso y potenciado</w:t>
      </w:r>
      <w:r>
        <w:rPr>
          <w:rFonts w:ascii="Arial" w:eastAsia="Arial" w:hAnsi="Arial" w:cs="Arial"/>
          <w:i/>
        </w:rPr>
        <w:t>ras de otras conductas adictivas.</w:t>
      </w:r>
    </w:p>
    <w:tbl>
      <w:tblPr>
        <w:tblStyle w:val="TableGrid"/>
        <w:tblW w:w="8123" w:type="dxa"/>
        <w:tblInd w:w="93"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LOS PRINCIPIOS DEL IV PLAN</w:t>
            </w:r>
          </w:p>
        </w:tc>
      </w:tr>
    </w:tbl>
    <w:p w:rsidR="00E23B86" w:rsidRDefault="00BA7C13">
      <w:pPr>
        <w:numPr>
          <w:ilvl w:val="0"/>
          <w:numId w:val="140"/>
        </w:numPr>
        <w:spacing w:after="111" w:line="251" w:lineRule="auto"/>
        <w:ind w:right="1" w:hanging="841"/>
        <w:jc w:val="both"/>
      </w:pPr>
      <w:r>
        <w:rPr>
          <w:rFonts w:ascii="Arial" w:eastAsia="Arial" w:hAnsi="Arial" w:cs="Arial"/>
          <w:i/>
        </w:rPr>
        <w:t>Para este IV Plan, se proponen una serie de principios establecidos desde la Estrategia Nacional sobre Adicciones 2017-2024 y desde el Plan de Acción sobre Adicciones 2018-2020.</w:t>
      </w:r>
    </w:p>
    <w:p w:rsidR="00E23B86" w:rsidRDefault="00BA7C13">
      <w:pPr>
        <w:spacing w:after="3" w:line="265" w:lineRule="auto"/>
        <w:ind w:left="94" w:right="13" w:hanging="10"/>
      </w:pPr>
      <w:r>
        <w:rPr>
          <w:rFonts w:ascii="Segoe UI Symbol" w:eastAsia="Segoe UI Symbol" w:hAnsi="Segoe UI Symbol" w:cs="Segoe UI Symbol"/>
          <w:sz w:val="20"/>
        </w:rPr>
        <w:t></w:t>
      </w:r>
    </w:p>
    <w:tbl>
      <w:tblPr>
        <w:tblStyle w:val="TableGrid"/>
        <w:tblW w:w="9869" w:type="dxa"/>
        <w:tblInd w:w="-960" w:type="dxa"/>
        <w:tblCellMar>
          <w:top w:w="0" w:type="dxa"/>
          <w:left w:w="0" w:type="dxa"/>
          <w:bottom w:w="0" w:type="dxa"/>
          <w:right w:w="129" w:type="dxa"/>
        </w:tblCellMar>
        <w:tblLook w:val="04A0" w:firstRow="1" w:lastRow="0" w:firstColumn="1" w:lastColumn="0" w:noHBand="0" w:noVBand="1"/>
      </w:tblPr>
      <w:tblGrid>
        <w:gridCol w:w="1"/>
        <w:gridCol w:w="797"/>
        <w:gridCol w:w="1769"/>
        <w:gridCol w:w="829"/>
        <w:gridCol w:w="6473"/>
      </w:tblGrid>
      <w:tr w:rsidR="00E23B86">
        <w:trPr>
          <w:trHeight w:val="262"/>
        </w:trPr>
        <w:tc>
          <w:tcPr>
            <w:tcW w:w="798" w:type="dxa"/>
            <w:gridSpan w:val="2"/>
            <w:tcBorders>
              <w:top w:val="single" w:sz="4" w:space="0" w:color="00000A"/>
              <w:left w:val="single" w:sz="4" w:space="0" w:color="00000A"/>
              <w:bottom w:val="single" w:sz="4" w:space="0" w:color="00000A"/>
              <w:right w:val="nil"/>
            </w:tcBorders>
            <w:shd w:val="clear" w:color="auto" w:fill="BFBFBF"/>
          </w:tcPr>
          <w:p w:rsidR="00E23B86" w:rsidRDefault="00E23B86"/>
        </w:tc>
        <w:tc>
          <w:tcPr>
            <w:tcW w:w="1769" w:type="dxa"/>
            <w:tcBorders>
              <w:top w:val="single" w:sz="4" w:space="0" w:color="00000A"/>
              <w:left w:val="nil"/>
              <w:bottom w:val="single" w:sz="4" w:space="0" w:color="00000A"/>
              <w:right w:val="single" w:sz="4" w:space="0" w:color="00000A"/>
            </w:tcBorders>
            <w:shd w:val="clear" w:color="auto" w:fill="BFBFBF"/>
          </w:tcPr>
          <w:p w:rsidR="00E23B86" w:rsidRDefault="00BA7C13">
            <w:pPr>
              <w:spacing w:after="0"/>
            </w:pPr>
            <w:r>
              <w:rPr>
                <w:rFonts w:ascii="Segoe UI Symbol" w:eastAsia="Segoe UI Symbol" w:hAnsi="Segoe UI Symbol" w:cs="Segoe UI Symbol"/>
                <w:sz w:val="20"/>
              </w:rPr>
              <w:t xml:space="preserve"> </w:t>
            </w:r>
            <w:r>
              <w:rPr>
                <w:rFonts w:ascii="Arial" w:eastAsia="Arial" w:hAnsi="Arial" w:cs="Arial"/>
                <w:i/>
              </w:rPr>
              <w:t>Principios</w:t>
            </w:r>
          </w:p>
        </w:tc>
        <w:tc>
          <w:tcPr>
            <w:tcW w:w="829" w:type="dxa"/>
            <w:tcBorders>
              <w:top w:val="single" w:sz="4" w:space="0" w:color="00000A"/>
              <w:left w:val="single" w:sz="4" w:space="0" w:color="00000A"/>
              <w:bottom w:val="single" w:sz="4" w:space="0" w:color="00000A"/>
              <w:right w:val="nil"/>
            </w:tcBorders>
            <w:shd w:val="clear" w:color="auto" w:fill="BFBFBF"/>
          </w:tcPr>
          <w:p w:rsidR="00E23B86" w:rsidRDefault="00E23B86"/>
        </w:tc>
        <w:tc>
          <w:tcPr>
            <w:tcW w:w="6473" w:type="dxa"/>
            <w:tcBorders>
              <w:top w:val="single" w:sz="4" w:space="0" w:color="00000A"/>
              <w:left w:val="nil"/>
              <w:bottom w:val="single" w:sz="4" w:space="0" w:color="00000A"/>
              <w:right w:val="single" w:sz="5" w:space="0" w:color="00000A"/>
            </w:tcBorders>
            <w:shd w:val="clear" w:color="auto" w:fill="BFBFBF"/>
          </w:tcPr>
          <w:p w:rsidR="00E23B86" w:rsidRDefault="00BA7C13">
            <w:pPr>
              <w:spacing w:after="0"/>
              <w:ind w:right="423"/>
              <w:jc w:val="center"/>
            </w:pPr>
            <w:r>
              <w:rPr>
                <w:rFonts w:ascii="Segoe UI Symbol" w:eastAsia="Segoe UI Symbol" w:hAnsi="Segoe UI Symbol" w:cs="Segoe UI Symbol"/>
                <w:sz w:val="20"/>
              </w:rPr>
              <w:t xml:space="preserve"> </w:t>
            </w:r>
            <w:r>
              <w:rPr>
                <w:rFonts w:ascii="Arial" w:eastAsia="Arial" w:hAnsi="Arial" w:cs="Arial"/>
                <w:i/>
              </w:rPr>
              <w:t xml:space="preserve">Énfasis </w:t>
            </w:r>
          </w:p>
        </w:tc>
      </w:tr>
      <w:tr w:rsidR="00E23B86">
        <w:trPr>
          <w:trHeight w:val="1010"/>
        </w:trPr>
        <w:tc>
          <w:tcPr>
            <w:tcW w:w="798" w:type="dxa"/>
            <w:gridSpan w:val="2"/>
            <w:tcBorders>
              <w:top w:val="single" w:sz="4" w:space="0" w:color="00000A"/>
              <w:left w:val="single" w:sz="4" w:space="0" w:color="00000A"/>
              <w:bottom w:val="single" w:sz="4" w:space="0" w:color="00000A"/>
              <w:right w:val="nil"/>
            </w:tcBorders>
            <w:shd w:val="clear" w:color="auto" w:fill="FFFFFF"/>
            <w:vAlign w:val="center"/>
          </w:tcPr>
          <w:p w:rsidR="00E23B86" w:rsidRDefault="00BA7C13">
            <w:pPr>
              <w:spacing w:after="0"/>
              <w:ind w:left="371"/>
              <w:jc w:val="center"/>
            </w:pPr>
            <w:r>
              <w:rPr>
                <w:rFonts w:ascii="Segoe UI Symbol" w:eastAsia="Segoe UI Symbol" w:hAnsi="Segoe UI Symbol" w:cs="Segoe UI Symbol"/>
                <w:sz w:val="20"/>
              </w:rPr>
              <w:t></w:t>
            </w:r>
          </w:p>
        </w:tc>
        <w:tc>
          <w:tcPr>
            <w:tcW w:w="1769" w:type="dxa"/>
            <w:tcBorders>
              <w:top w:val="single" w:sz="4" w:space="0" w:color="00000A"/>
              <w:left w:val="nil"/>
              <w:bottom w:val="single" w:sz="4" w:space="0" w:color="00000A"/>
              <w:right w:val="single" w:sz="4" w:space="0" w:color="00000A"/>
            </w:tcBorders>
            <w:shd w:val="clear" w:color="auto" w:fill="FFFFFF"/>
            <w:vAlign w:val="center"/>
          </w:tcPr>
          <w:p w:rsidR="00E23B86" w:rsidRDefault="00BA7C13">
            <w:pPr>
              <w:spacing w:after="0"/>
              <w:ind w:left="36"/>
            </w:pPr>
            <w:r>
              <w:rPr>
                <w:rFonts w:ascii="Arial" w:eastAsia="Arial" w:hAnsi="Arial" w:cs="Arial"/>
                <w:i/>
              </w:rPr>
              <w:t>Enfoque integral</w:t>
            </w:r>
          </w:p>
        </w:tc>
        <w:tc>
          <w:tcPr>
            <w:tcW w:w="829" w:type="dxa"/>
            <w:tcBorders>
              <w:top w:val="single" w:sz="4" w:space="0" w:color="00000A"/>
              <w:left w:val="single" w:sz="4" w:space="0" w:color="00000A"/>
              <w:bottom w:val="single" w:sz="4" w:space="0" w:color="00000A"/>
              <w:right w:val="nil"/>
            </w:tcBorders>
            <w:shd w:val="clear" w:color="auto" w:fill="FFFFFF"/>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5" w:space="0" w:color="00000A"/>
            </w:tcBorders>
            <w:shd w:val="clear" w:color="auto" w:fill="FFFFFF"/>
            <w:vAlign w:val="center"/>
          </w:tcPr>
          <w:p w:rsidR="00E23B86" w:rsidRDefault="00BA7C13">
            <w:pPr>
              <w:spacing w:after="0"/>
              <w:ind w:right="4"/>
              <w:jc w:val="both"/>
            </w:pPr>
            <w:r>
              <w:rPr>
                <w:rFonts w:ascii="Arial" w:eastAsia="Arial" w:hAnsi="Arial" w:cs="Arial"/>
                <w:i/>
              </w:rPr>
              <w:t xml:space="preserve">Por ser las adicciones un fenómeno multicausal, la respuesta debe ser integral, desde equipos profesionales que trabajan desde un enfoque biopsicosocial. </w:t>
            </w:r>
          </w:p>
        </w:tc>
      </w:tr>
      <w:tr w:rsidR="00E23B86">
        <w:trPr>
          <w:trHeight w:val="787"/>
        </w:trPr>
        <w:tc>
          <w:tcPr>
            <w:tcW w:w="798" w:type="dxa"/>
            <w:gridSpan w:val="2"/>
            <w:tcBorders>
              <w:top w:val="single" w:sz="4" w:space="0" w:color="00000A"/>
              <w:left w:val="single" w:sz="4" w:space="0" w:color="00000A"/>
              <w:bottom w:val="nil"/>
              <w:right w:val="nil"/>
            </w:tcBorders>
          </w:tcPr>
          <w:p w:rsidR="00E23B86" w:rsidRDefault="00E23B86"/>
        </w:tc>
        <w:tc>
          <w:tcPr>
            <w:tcW w:w="1769" w:type="dxa"/>
            <w:tcBorders>
              <w:top w:val="single" w:sz="4" w:space="0" w:color="00000A"/>
              <w:left w:val="nil"/>
              <w:bottom w:val="nil"/>
              <w:right w:val="single" w:sz="4" w:space="0" w:color="00000A"/>
            </w:tcBorders>
            <w:vAlign w:val="bottom"/>
          </w:tcPr>
          <w:p w:rsidR="00E23B86" w:rsidRDefault="00BA7C13">
            <w:pPr>
              <w:spacing w:after="0"/>
              <w:ind w:left="72"/>
            </w:pPr>
            <w:r>
              <w:rPr>
                <w:rFonts w:ascii="Segoe UI Symbol" w:eastAsia="Segoe UI Symbol" w:hAnsi="Segoe UI Symbol" w:cs="Segoe UI Symbol"/>
                <w:sz w:val="20"/>
              </w:rPr>
              <w:t xml:space="preserve"> </w:t>
            </w:r>
            <w:r>
              <w:rPr>
                <w:rFonts w:ascii="Arial" w:eastAsia="Arial" w:hAnsi="Arial" w:cs="Arial"/>
                <w:i/>
              </w:rPr>
              <w:t>Equidad</w:t>
            </w:r>
          </w:p>
        </w:tc>
        <w:tc>
          <w:tcPr>
            <w:tcW w:w="829" w:type="dxa"/>
            <w:tcBorders>
              <w:top w:val="single" w:sz="4" w:space="0" w:color="00000A"/>
              <w:left w:val="single" w:sz="4" w:space="0" w:color="00000A"/>
              <w:bottom w:val="nil"/>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nil"/>
              <w:right w:val="single" w:sz="5" w:space="0" w:color="00000A"/>
            </w:tcBorders>
            <w:vAlign w:val="center"/>
          </w:tcPr>
          <w:p w:rsidR="00E23B86" w:rsidRDefault="00BA7C13">
            <w:pPr>
              <w:spacing w:after="0"/>
              <w:jc w:val="both"/>
            </w:pPr>
            <w:r>
              <w:rPr>
                <w:rFonts w:ascii="Arial" w:eastAsia="Arial" w:hAnsi="Arial" w:cs="Arial"/>
                <w:i/>
              </w:rPr>
              <w:t>Facilidad de acceso a recursos en igualdad de condiciones y sin discriminación a las prestaciones preventivas, asistenciales.</w:t>
            </w:r>
          </w:p>
        </w:tc>
      </w:tr>
      <w:tr w:rsidR="00E23B86">
        <w:trPr>
          <w:trHeight w:val="595"/>
        </w:trPr>
        <w:tc>
          <w:tcPr>
            <w:tcW w:w="798" w:type="dxa"/>
            <w:gridSpan w:val="2"/>
            <w:tcBorders>
              <w:top w:val="nil"/>
              <w:left w:val="single" w:sz="4" w:space="0" w:color="00000A"/>
              <w:bottom w:val="single" w:sz="4" w:space="0" w:color="00000A"/>
              <w:right w:val="nil"/>
            </w:tcBorders>
          </w:tcPr>
          <w:p w:rsidR="00E23B86" w:rsidRDefault="00E23B86"/>
        </w:tc>
        <w:tc>
          <w:tcPr>
            <w:tcW w:w="1769" w:type="dxa"/>
            <w:tcBorders>
              <w:top w:val="nil"/>
              <w:left w:val="nil"/>
              <w:bottom w:val="single" w:sz="4" w:space="0" w:color="00000A"/>
              <w:right w:val="single" w:sz="4" w:space="0" w:color="00000A"/>
            </w:tcBorders>
          </w:tcPr>
          <w:p w:rsidR="00E23B86" w:rsidRDefault="00E23B86"/>
        </w:tc>
        <w:tc>
          <w:tcPr>
            <w:tcW w:w="829" w:type="dxa"/>
            <w:tcBorders>
              <w:top w:val="nil"/>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nil"/>
              <w:left w:val="nil"/>
              <w:bottom w:val="single" w:sz="4" w:space="0" w:color="00000A"/>
              <w:right w:val="single" w:sz="5" w:space="0" w:color="00000A"/>
            </w:tcBorders>
          </w:tcPr>
          <w:p w:rsidR="00E23B86" w:rsidRDefault="00BA7C13">
            <w:pPr>
              <w:spacing w:after="0"/>
              <w:jc w:val="both"/>
            </w:pPr>
            <w:r>
              <w:rPr>
                <w:rFonts w:ascii="Arial" w:eastAsia="Arial" w:hAnsi="Arial" w:cs="Arial"/>
                <w:i/>
              </w:rPr>
              <w:t>Prioridad con grupos sociales más vulnerables o con mayores dificultades para el acceso.</w:t>
            </w:r>
          </w:p>
        </w:tc>
      </w:tr>
      <w:tr w:rsidR="00E23B86">
        <w:trPr>
          <w:trHeight w:val="1009"/>
        </w:trPr>
        <w:tc>
          <w:tcPr>
            <w:tcW w:w="798" w:type="dxa"/>
            <w:gridSpan w:val="2"/>
            <w:tcBorders>
              <w:top w:val="single" w:sz="4" w:space="0" w:color="00000A"/>
              <w:left w:val="single" w:sz="4" w:space="0" w:color="00000A"/>
              <w:bottom w:val="single" w:sz="4" w:space="0" w:color="00000A"/>
              <w:right w:val="nil"/>
            </w:tcBorders>
          </w:tcPr>
          <w:p w:rsidR="00E23B86" w:rsidRDefault="00BA7C13">
            <w:pPr>
              <w:spacing w:after="0"/>
              <w:ind w:left="515"/>
              <w:jc w:val="center"/>
            </w:pPr>
            <w:r>
              <w:rPr>
                <w:rFonts w:ascii="Segoe UI Symbol" w:eastAsia="Segoe UI Symbol" w:hAnsi="Segoe UI Symbol" w:cs="Segoe UI Symbol"/>
                <w:sz w:val="20"/>
              </w:rPr>
              <w:t></w:t>
            </w:r>
          </w:p>
        </w:tc>
        <w:tc>
          <w:tcPr>
            <w:tcW w:w="1769" w:type="dxa"/>
            <w:tcBorders>
              <w:top w:val="single" w:sz="4" w:space="0" w:color="00000A"/>
              <w:left w:val="nil"/>
              <w:bottom w:val="single" w:sz="4" w:space="0" w:color="00000A"/>
              <w:right w:val="single" w:sz="4" w:space="0" w:color="00000A"/>
            </w:tcBorders>
            <w:vAlign w:val="center"/>
          </w:tcPr>
          <w:p w:rsidR="00E23B86" w:rsidRDefault="00BA7C13">
            <w:pPr>
              <w:spacing w:after="0"/>
              <w:ind w:left="470" w:hanging="362"/>
            </w:pPr>
            <w:r>
              <w:rPr>
                <w:rFonts w:ascii="Arial" w:eastAsia="Arial" w:hAnsi="Arial" w:cs="Arial"/>
                <w:i/>
              </w:rPr>
              <w:t>Perspectiva de Género</w:t>
            </w:r>
          </w:p>
        </w:tc>
        <w:tc>
          <w:tcPr>
            <w:tcW w:w="829"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5" w:space="0" w:color="00000A"/>
            </w:tcBorders>
            <w:vAlign w:val="center"/>
          </w:tcPr>
          <w:p w:rsidR="00E23B86" w:rsidRDefault="00BA7C13">
            <w:pPr>
              <w:spacing w:after="0"/>
              <w:ind w:right="3"/>
              <w:jc w:val="both"/>
            </w:pPr>
            <w:r>
              <w:rPr>
                <w:rFonts w:ascii="Arial" w:eastAsia="Arial" w:hAnsi="Arial" w:cs="Arial"/>
                <w:i/>
              </w:rPr>
              <w:t>Se propone perspectiva de género como marco analítico y de acción, así como de forma específica para visibilizar, analizar y hacer frente a las adicciones de las mujeres.</w:t>
            </w:r>
          </w:p>
        </w:tc>
      </w:tr>
      <w:tr w:rsidR="00E23B86">
        <w:trPr>
          <w:gridBefore w:val="1"/>
          <w:trHeight w:val="1260"/>
        </w:trPr>
        <w:tc>
          <w:tcPr>
            <w:tcW w:w="2566"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left="579"/>
            </w:pPr>
            <w:r>
              <w:rPr>
                <w:rFonts w:ascii="Segoe UI Symbol" w:eastAsia="Segoe UI Symbol" w:hAnsi="Segoe UI Symbol" w:cs="Segoe UI Symbol"/>
                <w:sz w:val="20"/>
              </w:rPr>
              <w:t xml:space="preserve"> </w:t>
            </w:r>
            <w:r>
              <w:rPr>
                <w:rFonts w:ascii="Arial" w:eastAsia="Arial" w:hAnsi="Arial" w:cs="Arial"/>
                <w:i/>
              </w:rPr>
              <w:t>Transparencia</w:t>
            </w:r>
          </w:p>
        </w:tc>
        <w:tc>
          <w:tcPr>
            <w:tcW w:w="829"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0"/>
              <w:ind w:right="4"/>
              <w:jc w:val="both"/>
            </w:pPr>
            <w:r>
              <w:rPr>
                <w:rFonts w:ascii="Arial" w:eastAsia="Arial" w:hAnsi="Arial" w:cs="Arial"/>
                <w:i/>
              </w:rPr>
              <w:t xml:space="preserve">Desde el Plan se continuará y mejorará para una mejor publicidad y difusión de los datos, de los resultados de su análisis, de la investigación y evaluación de los resultados y del impacto de las intervenciones. </w:t>
            </w:r>
          </w:p>
        </w:tc>
      </w:tr>
      <w:tr w:rsidR="00E23B86">
        <w:trPr>
          <w:gridBefore w:val="1"/>
          <w:trHeight w:val="1484"/>
        </w:trPr>
        <w:tc>
          <w:tcPr>
            <w:tcW w:w="2566" w:type="dxa"/>
            <w:gridSpan w:val="2"/>
            <w:tcBorders>
              <w:top w:val="single" w:sz="4" w:space="0" w:color="00000A"/>
              <w:left w:val="single" w:sz="5" w:space="0" w:color="00000A"/>
              <w:bottom w:val="nil"/>
              <w:right w:val="single" w:sz="4" w:space="0" w:color="00000A"/>
            </w:tcBorders>
            <w:vAlign w:val="bottom"/>
          </w:tcPr>
          <w:p w:rsidR="00E23B86" w:rsidRDefault="00BA7C13">
            <w:pPr>
              <w:spacing w:after="0"/>
              <w:ind w:left="797"/>
            </w:pPr>
            <w:r>
              <w:rPr>
                <w:rFonts w:ascii="Segoe UI Symbol" w:eastAsia="Segoe UI Symbol" w:hAnsi="Segoe UI Symbol" w:cs="Segoe UI Symbol"/>
                <w:sz w:val="20"/>
              </w:rPr>
              <w:t xml:space="preserve"> </w:t>
            </w:r>
            <w:r>
              <w:rPr>
                <w:rFonts w:ascii="Arial" w:eastAsia="Arial" w:hAnsi="Arial" w:cs="Arial"/>
                <w:i/>
              </w:rPr>
              <w:t>Evidencia</w:t>
            </w:r>
          </w:p>
          <w:p w:rsidR="00E23B86" w:rsidRDefault="00BA7C13">
            <w:pPr>
              <w:spacing w:after="0"/>
              <w:ind w:left="1199"/>
            </w:pPr>
            <w:r>
              <w:rPr>
                <w:rFonts w:ascii="Arial" w:eastAsia="Arial" w:hAnsi="Arial" w:cs="Arial"/>
                <w:i/>
              </w:rPr>
              <w:t>científica</w:t>
            </w:r>
          </w:p>
        </w:tc>
        <w:tc>
          <w:tcPr>
            <w:tcW w:w="829" w:type="dxa"/>
            <w:tcBorders>
              <w:top w:val="single" w:sz="4" w:space="0" w:color="00000A"/>
              <w:left w:val="single" w:sz="4" w:space="0" w:color="00000A"/>
              <w:bottom w:val="nil"/>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nil"/>
              <w:right w:val="single" w:sz="4" w:space="0" w:color="00000A"/>
            </w:tcBorders>
          </w:tcPr>
          <w:p w:rsidR="00E23B86" w:rsidRDefault="00BA7C13">
            <w:pPr>
              <w:spacing w:after="0"/>
              <w:ind w:right="2"/>
              <w:jc w:val="both"/>
            </w:pPr>
            <w:r>
              <w:rPr>
                <w:rFonts w:ascii="Arial" w:eastAsia="Arial" w:hAnsi="Arial" w:cs="Arial"/>
                <w:i/>
              </w:rPr>
              <w:t>Las acciones dirigidas a prevenir y a disminuir la presencia y los daños asociados a las adicciones, están empíricamente contrastadas, científicamente fundadas y eficientes, persiguiendo resultados realistas y cuantificables que puedan ser evaluados, fomen</w:t>
            </w:r>
            <w:r>
              <w:rPr>
                <w:rFonts w:ascii="Arial" w:eastAsia="Arial" w:hAnsi="Arial" w:cs="Arial"/>
                <w:i/>
              </w:rPr>
              <w:t>tando así las buenas prácticas.</w:t>
            </w:r>
          </w:p>
        </w:tc>
      </w:tr>
      <w:tr w:rsidR="00E23B86">
        <w:trPr>
          <w:gridBefore w:val="1"/>
          <w:trHeight w:val="910"/>
        </w:trPr>
        <w:tc>
          <w:tcPr>
            <w:tcW w:w="2566" w:type="dxa"/>
            <w:gridSpan w:val="2"/>
            <w:tcBorders>
              <w:top w:val="nil"/>
              <w:left w:val="single" w:sz="5" w:space="0" w:color="00000A"/>
              <w:bottom w:val="single" w:sz="4" w:space="0" w:color="00000A"/>
              <w:right w:val="single" w:sz="4" w:space="0" w:color="00000A"/>
            </w:tcBorders>
          </w:tcPr>
          <w:p w:rsidR="00E23B86" w:rsidRDefault="00E23B86"/>
        </w:tc>
        <w:tc>
          <w:tcPr>
            <w:tcW w:w="829" w:type="dxa"/>
            <w:tcBorders>
              <w:top w:val="nil"/>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nil"/>
              <w:left w:val="nil"/>
              <w:bottom w:val="single" w:sz="4" w:space="0" w:color="00000A"/>
              <w:right w:val="single" w:sz="4" w:space="0" w:color="00000A"/>
            </w:tcBorders>
          </w:tcPr>
          <w:p w:rsidR="00E23B86" w:rsidRDefault="00BA7C13">
            <w:pPr>
              <w:spacing w:after="0"/>
              <w:ind w:right="2"/>
              <w:jc w:val="both"/>
            </w:pPr>
            <w:r>
              <w:rPr>
                <w:rFonts w:ascii="Arial" w:eastAsia="Arial" w:hAnsi="Arial" w:cs="Arial"/>
                <w:i/>
              </w:rPr>
              <w:t>Las acciones están apoyadas en metodologías de intervención respaldadas por la comunidad profesional y las recomendaciones de las instituciones.</w:t>
            </w:r>
          </w:p>
        </w:tc>
      </w:tr>
      <w:tr w:rsidR="00E23B86">
        <w:trPr>
          <w:gridBefore w:val="1"/>
          <w:trHeight w:val="1636"/>
        </w:trPr>
        <w:tc>
          <w:tcPr>
            <w:tcW w:w="2566"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ind w:left="643"/>
            </w:pPr>
            <w:r>
              <w:rPr>
                <w:rFonts w:ascii="Segoe UI Symbol" w:eastAsia="Segoe UI Symbol" w:hAnsi="Segoe UI Symbol" w:cs="Segoe UI Symbol"/>
                <w:sz w:val="20"/>
              </w:rPr>
              <w:t xml:space="preserve"> </w:t>
            </w:r>
            <w:r>
              <w:rPr>
                <w:rFonts w:ascii="Arial" w:eastAsia="Arial" w:hAnsi="Arial" w:cs="Arial"/>
                <w:i/>
              </w:rPr>
              <w:t>Participación</w:t>
            </w:r>
          </w:p>
          <w:p w:rsidR="00E23B86" w:rsidRDefault="00BA7C13">
            <w:pPr>
              <w:spacing w:after="0"/>
              <w:ind w:left="222"/>
              <w:jc w:val="center"/>
            </w:pPr>
            <w:r>
              <w:rPr>
                <w:rFonts w:ascii="Segoe UI Symbol" w:eastAsia="Segoe UI Symbol" w:hAnsi="Segoe UI Symbol" w:cs="Segoe UI Symbol"/>
                <w:sz w:val="20"/>
              </w:rPr>
              <w:t></w:t>
            </w:r>
          </w:p>
        </w:tc>
        <w:tc>
          <w:tcPr>
            <w:tcW w:w="829" w:type="dxa"/>
            <w:tcBorders>
              <w:top w:val="single" w:sz="4" w:space="0" w:color="00000A"/>
              <w:left w:val="single" w:sz="4" w:space="0" w:color="00000A"/>
              <w:bottom w:val="single" w:sz="4" w:space="0" w:color="00000A"/>
              <w:right w:val="nil"/>
            </w:tcBorders>
          </w:tcPr>
          <w:p w:rsidR="00E23B86" w:rsidRDefault="00BA7C13">
            <w:pPr>
              <w:spacing w:after="339"/>
              <w:ind w:left="331"/>
              <w:jc w:val="center"/>
            </w:pPr>
            <w:r>
              <w:rPr>
                <w:rFonts w:ascii="Segoe UI Symbol" w:eastAsia="Segoe UI Symbol" w:hAnsi="Segoe UI Symbol" w:cs="Segoe UI Symbol"/>
                <w:sz w:val="20"/>
              </w:rPr>
              <w:t></w:t>
            </w:r>
          </w:p>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118" w:line="241" w:lineRule="auto"/>
            </w:pPr>
            <w:r>
              <w:rPr>
                <w:rFonts w:ascii="Arial" w:eastAsia="Arial" w:hAnsi="Arial" w:cs="Arial"/>
                <w:i/>
              </w:rPr>
              <w:t xml:space="preserve">Información y sensibilización de la sociedad en su conjunto, a fin de que se involucre de forma directa en este tema. </w:t>
            </w:r>
          </w:p>
          <w:p w:rsidR="00E23B86" w:rsidRDefault="00BA7C13">
            <w:pPr>
              <w:spacing w:after="0"/>
              <w:ind w:right="1"/>
              <w:jc w:val="both"/>
            </w:pPr>
            <w:r>
              <w:rPr>
                <w:rFonts w:ascii="Arial" w:eastAsia="Arial" w:hAnsi="Arial" w:cs="Arial"/>
                <w:i/>
              </w:rPr>
              <w:t xml:space="preserve">Se trabaja en la identificación, motivación e implicación activa de los grupos poblacionales que se hallan en situaciones de mayor vulnerabilidad. </w:t>
            </w:r>
          </w:p>
        </w:tc>
      </w:tr>
      <w:tr w:rsidR="00E23B86">
        <w:trPr>
          <w:gridBefore w:val="1"/>
          <w:trHeight w:val="1262"/>
        </w:trPr>
        <w:tc>
          <w:tcPr>
            <w:tcW w:w="2566"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line="241" w:lineRule="auto"/>
              <w:ind w:left="1481" w:hanging="984"/>
            </w:pPr>
            <w:r>
              <w:rPr>
                <w:rFonts w:ascii="Segoe UI Symbol" w:eastAsia="Segoe UI Symbol" w:hAnsi="Segoe UI Symbol" w:cs="Segoe UI Symbol"/>
                <w:sz w:val="20"/>
              </w:rPr>
              <w:t xml:space="preserve"> </w:t>
            </w:r>
            <w:r>
              <w:rPr>
                <w:rFonts w:ascii="Arial" w:eastAsia="Arial" w:hAnsi="Arial" w:cs="Arial"/>
                <w:i/>
              </w:rPr>
              <w:t>Intersectorialida d e</w:t>
            </w:r>
          </w:p>
          <w:p w:rsidR="00E23B86" w:rsidRDefault="00BA7C13">
            <w:pPr>
              <w:spacing w:after="0"/>
              <w:ind w:right="16"/>
              <w:jc w:val="right"/>
            </w:pPr>
            <w:r>
              <w:rPr>
                <w:rFonts w:ascii="Arial" w:eastAsia="Arial" w:hAnsi="Arial" w:cs="Arial"/>
                <w:i/>
              </w:rPr>
              <w:t>interdisciplinarie</w:t>
            </w:r>
          </w:p>
          <w:p w:rsidR="00E23B86" w:rsidRDefault="00BA7C13">
            <w:pPr>
              <w:spacing w:after="0"/>
              <w:ind w:left="828"/>
              <w:jc w:val="center"/>
            </w:pPr>
            <w:r>
              <w:rPr>
                <w:rFonts w:ascii="Arial" w:eastAsia="Arial" w:hAnsi="Arial" w:cs="Arial"/>
                <w:i/>
              </w:rPr>
              <w:t>dad</w:t>
            </w:r>
          </w:p>
        </w:tc>
        <w:tc>
          <w:tcPr>
            <w:tcW w:w="829"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 xml:space="preserve">Ofrecer un enfoque y un abordaje multifactorial, intersectorial y multidisciplinar, y aspirar a una optimización de esfuerzos y recursos mediante la coordinación y cooperación de los distintos agentes. </w:t>
            </w:r>
          </w:p>
        </w:tc>
      </w:tr>
      <w:tr w:rsidR="00E23B86">
        <w:trPr>
          <w:gridBefore w:val="1"/>
          <w:trHeight w:val="787"/>
        </w:trPr>
        <w:tc>
          <w:tcPr>
            <w:tcW w:w="2566" w:type="dxa"/>
            <w:gridSpan w:val="2"/>
            <w:tcBorders>
              <w:top w:val="single" w:sz="4" w:space="0" w:color="00000A"/>
              <w:left w:val="single" w:sz="5" w:space="0" w:color="00000A"/>
              <w:bottom w:val="nil"/>
              <w:right w:val="single" w:sz="4" w:space="0" w:color="00000A"/>
            </w:tcBorders>
            <w:vAlign w:val="bottom"/>
          </w:tcPr>
          <w:p w:rsidR="00E23B86" w:rsidRDefault="00BA7C13">
            <w:pPr>
              <w:spacing w:after="0"/>
              <w:ind w:left="472"/>
              <w:jc w:val="center"/>
            </w:pPr>
            <w:r>
              <w:rPr>
                <w:rFonts w:ascii="Segoe UI Symbol" w:eastAsia="Segoe UI Symbol" w:hAnsi="Segoe UI Symbol" w:cs="Segoe UI Symbol"/>
                <w:sz w:val="20"/>
              </w:rPr>
              <w:t xml:space="preserve"> </w:t>
            </w:r>
            <w:r>
              <w:rPr>
                <w:rFonts w:ascii="Arial" w:eastAsia="Arial" w:hAnsi="Arial" w:cs="Arial"/>
                <w:i/>
              </w:rPr>
              <w:t>Calidad</w:t>
            </w:r>
          </w:p>
        </w:tc>
        <w:tc>
          <w:tcPr>
            <w:tcW w:w="829" w:type="dxa"/>
            <w:tcBorders>
              <w:top w:val="single" w:sz="4" w:space="0" w:color="00000A"/>
              <w:left w:val="single" w:sz="4" w:space="0" w:color="00000A"/>
              <w:bottom w:val="nil"/>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nil"/>
              <w:right w:val="single" w:sz="4" w:space="0" w:color="00000A"/>
            </w:tcBorders>
            <w:vAlign w:val="center"/>
          </w:tcPr>
          <w:p w:rsidR="00E23B86" w:rsidRDefault="00BA7C13">
            <w:pPr>
              <w:spacing w:after="0"/>
              <w:jc w:val="both"/>
            </w:pPr>
            <w:r>
              <w:rPr>
                <w:rFonts w:ascii="Arial" w:eastAsia="Arial" w:hAnsi="Arial" w:cs="Arial"/>
                <w:i/>
              </w:rPr>
              <w:t>Garantizar una acción preventiva a las p</w:t>
            </w:r>
            <w:r>
              <w:rPr>
                <w:rFonts w:ascii="Arial" w:eastAsia="Arial" w:hAnsi="Arial" w:cs="Arial"/>
                <w:i/>
              </w:rPr>
              <w:t xml:space="preserve">ersonas directa o indirectamente afectadas por las adicciones. </w:t>
            </w:r>
          </w:p>
        </w:tc>
      </w:tr>
      <w:tr w:rsidR="00E23B86">
        <w:trPr>
          <w:gridBefore w:val="1"/>
          <w:trHeight w:val="595"/>
        </w:trPr>
        <w:tc>
          <w:tcPr>
            <w:tcW w:w="2566" w:type="dxa"/>
            <w:gridSpan w:val="2"/>
            <w:tcBorders>
              <w:top w:val="nil"/>
              <w:left w:val="single" w:sz="5" w:space="0" w:color="00000A"/>
              <w:bottom w:val="single" w:sz="4" w:space="0" w:color="00000A"/>
              <w:right w:val="single" w:sz="4" w:space="0" w:color="00000A"/>
            </w:tcBorders>
          </w:tcPr>
          <w:p w:rsidR="00E23B86" w:rsidRDefault="00E23B86"/>
        </w:tc>
        <w:tc>
          <w:tcPr>
            <w:tcW w:w="829" w:type="dxa"/>
            <w:tcBorders>
              <w:top w:val="nil"/>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nil"/>
              <w:left w:val="nil"/>
              <w:bottom w:val="single" w:sz="4" w:space="0" w:color="00000A"/>
              <w:right w:val="single" w:sz="4" w:space="0" w:color="00000A"/>
            </w:tcBorders>
          </w:tcPr>
          <w:p w:rsidR="00E23B86" w:rsidRDefault="00BA7C13">
            <w:pPr>
              <w:spacing w:after="0"/>
            </w:pPr>
            <w:r>
              <w:rPr>
                <w:rFonts w:ascii="Arial" w:eastAsia="Arial" w:hAnsi="Arial" w:cs="Arial"/>
                <w:i/>
              </w:rPr>
              <w:t>Este principio se respalda en el descrito en la “evidencia científica”.</w:t>
            </w:r>
          </w:p>
        </w:tc>
      </w:tr>
      <w:tr w:rsidR="00E23B86">
        <w:trPr>
          <w:gridBefore w:val="1"/>
          <w:trHeight w:val="1515"/>
        </w:trPr>
        <w:tc>
          <w:tcPr>
            <w:tcW w:w="2566" w:type="dxa"/>
            <w:gridSpan w:val="2"/>
            <w:tcBorders>
              <w:top w:val="single" w:sz="4" w:space="0" w:color="00000A"/>
              <w:left w:val="single" w:sz="5" w:space="0" w:color="00000A"/>
              <w:bottom w:val="single" w:sz="4" w:space="0" w:color="00000A"/>
              <w:right w:val="single" w:sz="4" w:space="0" w:color="00000A"/>
            </w:tcBorders>
            <w:vAlign w:val="center"/>
          </w:tcPr>
          <w:p w:rsidR="00E23B86" w:rsidRDefault="00BA7C13">
            <w:pPr>
              <w:spacing w:after="0" w:line="243" w:lineRule="auto"/>
              <w:ind w:left="967" w:hanging="250"/>
            </w:pPr>
            <w:r>
              <w:rPr>
                <w:rFonts w:ascii="Segoe UI Symbol" w:eastAsia="Segoe UI Symbol" w:hAnsi="Segoe UI Symbol" w:cs="Segoe UI Symbol"/>
                <w:sz w:val="20"/>
              </w:rPr>
              <w:t xml:space="preserve"> </w:t>
            </w:r>
            <w:r>
              <w:rPr>
                <w:rFonts w:ascii="Arial" w:eastAsia="Arial" w:hAnsi="Arial" w:cs="Arial"/>
                <w:i/>
              </w:rPr>
              <w:t>Eficiencia y sostenibilidad</w:t>
            </w:r>
          </w:p>
          <w:p w:rsidR="00E23B86" w:rsidRDefault="00BA7C13">
            <w:pPr>
              <w:spacing w:after="0"/>
              <w:ind w:left="222"/>
              <w:jc w:val="center"/>
            </w:pPr>
            <w:r>
              <w:rPr>
                <w:rFonts w:ascii="Segoe UI Symbol" w:eastAsia="Segoe UI Symbol" w:hAnsi="Segoe UI Symbol" w:cs="Segoe UI Symbol"/>
                <w:sz w:val="20"/>
              </w:rPr>
              <w:t></w:t>
            </w:r>
          </w:p>
        </w:tc>
        <w:tc>
          <w:tcPr>
            <w:tcW w:w="829"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Apostando por una gestión eficiente de los recursos que garanticen la eficacia y la sostenibilidad del sistema y su evaluación; y que permita asegurar la ejecución de las políticas acordadas, mediante la consignación presupuestaria correspondiente.</w:t>
            </w:r>
          </w:p>
        </w:tc>
      </w:tr>
    </w:tbl>
    <w:p w:rsidR="00E23B86" w:rsidRDefault="00BA7C13">
      <w:pPr>
        <w:spacing w:after="3"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90" w:line="251" w:lineRule="auto"/>
        <w:ind w:right="1" w:hanging="841"/>
        <w:jc w:val="both"/>
      </w:pPr>
      <w:r>
        <w:rPr>
          <w:rFonts w:ascii="Arial" w:eastAsia="Arial" w:hAnsi="Arial" w:cs="Arial"/>
          <w:i/>
        </w:rPr>
        <w:t xml:space="preserve">Fuente: Estrategia Nacional sobre Adicciones 2017 – 2024. </w:t>
      </w:r>
    </w:p>
    <w:tbl>
      <w:tblPr>
        <w:tblStyle w:val="TableGrid"/>
        <w:tblW w:w="8123" w:type="dxa"/>
        <w:tblInd w:w="93"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CAMPO DE ACTUACIÓN  </w:t>
            </w:r>
          </w:p>
        </w:tc>
      </w:tr>
    </w:tbl>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439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7404" name="Group 60740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083" name="Rectangle 4508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5084" name="Rectangle 4508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277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7404" style="width:12.7031pt;height:280.35pt;position:absolute;mso-position-horizontal-relative:page;mso-position-horizontal:absolute;margin-left:681.958pt;mso-position-vertical-relative:page;margin-top:531.65pt;" coordsize="1613,35604">
                <v:rect id="Rectangle 4508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08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277 de 391 </w:t>
                        </w:r>
                      </w:p>
                    </w:txbxContent>
                  </v:textbox>
                </v:rect>
                <w10:wrap type="square"/>
              </v:group>
            </w:pict>
          </mc:Fallback>
        </mc:AlternateContent>
      </w:r>
      <w:r>
        <w:rPr>
          <w:rFonts w:ascii="Arial" w:eastAsia="Arial" w:hAnsi="Arial" w:cs="Arial"/>
          <w:i/>
        </w:rPr>
        <w:t>Para este IV Plan, y en consonancia con la Estrategia Nacional sobre Adicciones 2017-2024, la prevención y las acciones para la reducción de riesgos se centrarán</w:t>
      </w:r>
      <w:r>
        <w:rPr>
          <w:rFonts w:ascii="Arial" w:eastAsia="Arial" w:hAnsi="Arial" w:cs="Arial"/>
          <w:i/>
        </w:rPr>
        <w:t xml:space="preserve"> en las siguientes adicciones:</w:t>
      </w:r>
    </w:p>
    <w:p w:rsidR="00E23B86" w:rsidRDefault="00BA7C13">
      <w:pPr>
        <w:numPr>
          <w:ilvl w:val="0"/>
          <w:numId w:val="140"/>
        </w:numPr>
        <w:spacing w:after="111" w:line="251" w:lineRule="auto"/>
        <w:ind w:right="1" w:hanging="841"/>
        <w:jc w:val="both"/>
      </w:pPr>
      <w:r>
        <w:rPr>
          <w:rFonts w:ascii="Arial" w:eastAsia="Arial" w:hAnsi="Arial" w:cs="Arial"/>
          <w:i/>
        </w:rPr>
        <w:t>Drogas legales: tabaco, alcohol.</w:t>
      </w:r>
    </w:p>
    <w:p w:rsidR="00E23B86" w:rsidRDefault="00BA7C13">
      <w:pPr>
        <w:numPr>
          <w:ilvl w:val="0"/>
          <w:numId w:val="140"/>
        </w:numPr>
        <w:spacing w:after="111" w:line="251" w:lineRule="auto"/>
        <w:ind w:right="1" w:hanging="841"/>
        <w:jc w:val="both"/>
      </w:pPr>
      <w:r>
        <w:rPr>
          <w:rFonts w:ascii="Arial" w:eastAsia="Arial" w:hAnsi="Arial" w:cs="Arial"/>
          <w:i/>
        </w:rPr>
        <w:t>Fármacos de prescripción médica y otras sustancias con potencial adictivo.</w:t>
      </w:r>
    </w:p>
    <w:p w:rsidR="00E23B86" w:rsidRDefault="00BA7C13">
      <w:pPr>
        <w:numPr>
          <w:ilvl w:val="0"/>
          <w:numId w:val="140"/>
        </w:numPr>
        <w:spacing w:after="111" w:line="251" w:lineRule="auto"/>
        <w:ind w:right="1" w:hanging="841"/>
        <w:jc w:val="both"/>
      </w:pPr>
      <w:r>
        <w:rPr>
          <w:rFonts w:ascii="Arial" w:eastAsia="Arial" w:hAnsi="Arial" w:cs="Arial"/>
          <w:i/>
        </w:rPr>
        <w:t>Drogas ilegales, incluidas las nuevas sustancias psicoactivas.</w:t>
      </w:r>
    </w:p>
    <w:p w:rsidR="00E23B86" w:rsidRDefault="00BA7C13">
      <w:pPr>
        <w:numPr>
          <w:ilvl w:val="0"/>
          <w:numId w:val="140"/>
        </w:numPr>
        <w:spacing w:after="111" w:line="251" w:lineRule="auto"/>
        <w:ind w:right="1" w:hanging="841"/>
        <w:jc w:val="both"/>
      </w:pPr>
      <w:r>
        <w:rPr>
          <w:rFonts w:ascii="Arial" w:eastAsia="Arial" w:hAnsi="Arial" w:cs="Arial"/>
          <w:i/>
        </w:rPr>
        <w:t>Adicciones comportamentales relacionadas con la ludopa</w:t>
      </w:r>
      <w:r>
        <w:rPr>
          <w:rFonts w:ascii="Arial" w:eastAsia="Arial" w:hAnsi="Arial" w:cs="Arial"/>
          <w:i/>
        </w:rPr>
        <w:t>tía (juego presencial y online) y videojuegos.</w:t>
      </w:r>
    </w:p>
    <w:p w:rsidR="00E23B86" w:rsidRDefault="00BA7C13">
      <w:pPr>
        <w:numPr>
          <w:ilvl w:val="0"/>
          <w:numId w:val="140"/>
        </w:numPr>
        <w:spacing w:after="111" w:line="251" w:lineRule="auto"/>
        <w:ind w:right="1" w:hanging="841"/>
        <w:jc w:val="both"/>
      </w:pPr>
      <w:r>
        <w:rPr>
          <w:rFonts w:ascii="Arial" w:eastAsia="Arial" w:hAnsi="Arial" w:cs="Arial"/>
          <w:i/>
        </w:rPr>
        <w:t>Adicciones comportamentales relacionadas con las Tecnologías de la Información y la Comunicación (Redes Sociales, Internet).</w:t>
      </w:r>
    </w:p>
    <w:p w:rsidR="00E23B86" w:rsidRDefault="00BA7C13">
      <w:pPr>
        <w:spacing w:after="82" w:line="265" w:lineRule="auto"/>
        <w:ind w:left="94" w:right="13" w:hanging="10"/>
      </w:pPr>
      <w:r>
        <w:rPr>
          <w:rFonts w:ascii="Segoe UI Symbol" w:eastAsia="Segoe UI Symbol" w:hAnsi="Segoe UI Symbol" w:cs="Segoe UI Symbol"/>
          <w:sz w:val="20"/>
        </w:rPr>
        <w:t></w:t>
      </w:r>
    </w:p>
    <w:tbl>
      <w:tblPr>
        <w:tblStyle w:val="TableGrid"/>
        <w:tblW w:w="8123" w:type="dxa"/>
        <w:tblInd w:w="93"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589"/>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ind w:left="102" w:hanging="102"/>
            </w:pPr>
            <w:r>
              <w:rPr>
                <w:rFonts w:ascii="Arial" w:eastAsia="Arial" w:hAnsi="Arial" w:cs="Arial"/>
                <w:i/>
              </w:rPr>
              <w:t xml:space="preserve">META Y OBJETIVOS GENERALES DEL IV PLAN SOBRE ADICCIONES DE CANDELARIA  </w:t>
            </w:r>
          </w:p>
        </w:tc>
      </w:tr>
    </w:tbl>
    <w:p w:rsidR="00E23B86" w:rsidRDefault="00BA7C13">
      <w:pPr>
        <w:spacing w:after="82"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La meta principal de este IV Plan de Adicciones es lograr una comunidad saludable, más informada y sensibilizada ante las drogas y otras adicciones, haciendo énfasis en los siguientes objetivos generales según las áreas de actuación.</w:t>
      </w:r>
    </w:p>
    <w:p w:rsidR="00E23B86" w:rsidRDefault="00BA7C13">
      <w:pPr>
        <w:numPr>
          <w:ilvl w:val="0"/>
          <w:numId w:val="140"/>
        </w:numPr>
        <w:spacing w:after="111" w:line="251" w:lineRule="auto"/>
        <w:ind w:right="1" w:hanging="841"/>
        <w:jc w:val="both"/>
      </w:pPr>
      <w:r>
        <w:rPr>
          <w:rFonts w:ascii="Arial" w:eastAsia="Arial" w:hAnsi="Arial" w:cs="Arial"/>
          <w:i/>
        </w:rPr>
        <w:t>Área de prevención y s</w:t>
      </w:r>
      <w:r>
        <w:rPr>
          <w:rFonts w:ascii="Arial" w:eastAsia="Arial" w:hAnsi="Arial" w:cs="Arial"/>
          <w:i/>
        </w:rPr>
        <w:t xml:space="preserve">ensibilización.  </w:t>
      </w:r>
    </w:p>
    <w:p w:rsidR="00E23B86" w:rsidRDefault="00BA7C13">
      <w:pPr>
        <w:numPr>
          <w:ilvl w:val="0"/>
          <w:numId w:val="140"/>
        </w:numPr>
        <w:spacing w:after="111" w:line="251" w:lineRule="auto"/>
        <w:ind w:right="1" w:hanging="841"/>
        <w:jc w:val="both"/>
      </w:pPr>
      <w:r>
        <w:rPr>
          <w:rFonts w:ascii="Arial" w:eastAsia="Arial" w:hAnsi="Arial" w:cs="Arial"/>
          <w:i/>
        </w:rPr>
        <w:t>Objetivo general: potenciar acciones encaminadas a reducir los factores de riesgo y potenciar los de protección frente al consumo de drogas y otras adicciones relacionadas con conductas con potencial adictivo.</w:t>
      </w:r>
    </w:p>
    <w:p w:rsidR="00E23B86" w:rsidRDefault="00BA7C13">
      <w:pPr>
        <w:numPr>
          <w:ilvl w:val="0"/>
          <w:numId w:val="140"/>
        </w:numPr>
        <w:spacing w:after="111" w:line="251" w:lineRule="auto"/>
        <w:ind w:right="1" w:hanging="841"/>
        <w:jc w:val="both"/>
      </w:pPr>
      <w:r>
        <w:rPr>
          <w:rFonts w:ascii="Arial" w:eastAsia="Arial" w:hAnsi="Arial" w:cs="Arial"/>
          <w:i/>
        </w:rPr>
        <w:t>Área de incorporación social</w:t>
      </w:r>
      <w:r>
        <w:rPr>
          <w:rFonts w:ascii="Arial" w:eastAsia="Arial" w:hAnsi="Arial" w:cs="Arial"/>
          <w:i/>
        </w:rPr>
        <w:t>.</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449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1279" name="Group 58127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165" name="Rectangle 4516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5166" name="Rectangle 4516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1279" style="width:12.7031pt;height:280.35pt;position:absolute;mso-position-horizontal-relative:page;mso-position-horizontal:absolute;margin-left:681.958pt;mso-position-vertical-relative:page;margin-top:531.65pt;" coordsize="1613,35604">
                <v:rect id="Rectangle 4516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16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278 de 391 </w:t>
                        </w:r>
                      </w:p>
                    </w:txbxContent>
                  </v:textbox>
                </v:rect>
                <w10:wrap type="square"/>
              </v:group>
            </w:pict>
          </mc:Fallback>
        </mc:AlternateContent>
      </w:r>
      <w:r>
        <w:rPr>
          <w:rFonts w:ascii="Arial" w:eastAsia="Arial" w:hAnsi="Arial" w:cs="Arial"/>
          <w:i/>
        </w:rPr>
        <w:t>Objetivo general: promover la coordinación y participación de los distintos agentes sociales de la comunidad y los recursos existentes, en los procesos de incorporación laboral y social de las personas en situación de riesgo o vulnerabilidad.</w:t>
      </w:r>
    </w:p>
    <w:p w:rsidR="00E23B86" w:rsidRDefault="00BA7C13">
      <w:pPr>
        <w:numPr>
          <w:ilvl w:val="0"/>
          <w:numId w:val="140"/>
        </w:numPr>
        <w:spacing w:after="111" w:line="251" w:lineRule="auto"/>
        <w:ind w:right="1" w:hanging="841"/>
        <w:jc w:val="both"/>
      </w:pPr>
      <w:r>
        <w:rPr>
          <w:rFonts w:ascii="Arial" w:eastAsia="Arial" w:hAnsi="Arial" w:cs="Arial"/>
          <w:i/>
        </w:rPr>
        <w:t>Área de sopor</w:t>
      </w:r>
      <w:r>
        <w:rPr>
          <w:rFonts w:ascii="Arial" w:eastAsia="Arial" w:hAnsi="Arial" w:cs="Arial"/>
          <w:i/>
        </w:rPr>
        <w:t xml:space="preserve">te y apoyo a los procesos de gestión del IV Plan. </w:t>
      </w:r>
    </w:p>
    <w:p w:rsidR="00E23B86" w:rsidRDefault="00BA7C13">
      <w:pPr>
        <w:numPr>
          <w:ilvl w:val="0"/>
          <w:numId w:val="140"/>
        </w:numPr>
        <w:spacing w:after="111" w:line="251" w:lineRule="auto"/>
        <w:ind w:right="1" w:hanging="841"/>
        <w:jc w:val="both"/>
      </w:pPr>
      <w:r>
        <w:rPr>
          <w:rFonts w:ascii="Arial" w:eastAsia="Arial" w:hAnsi="Arial" w:cs="Arial"/>
          <w:i/>
        </w:rPr>
        <w:t>Objetivo general: desarrollar los procesos básicos, de recursos y avanzados de gestión a lo largo de la ejecución de las acciones del IV Plan Municipal, para lograr los objetivos buscados en las áreas de p</w:t>
      </w:r>
      <w:r>
        <w:rPr>
          <w:rFonts w:ascii="Arial" w:eastAsia="Arial" w:hAnsi="Arial" w:cs="Arial"/>
          <w:i/>
        </w:rPr>
        <w:t>revención e incorporación social.</w:t>
      </w:r>
    </w:p>
    <w:tbl>
      <w:tblPr>
        <w:tblStyle w:val="TableGrid"/>
        <w:tblW w:w="8123" w:type="dxa"/>
        <w:tblInd w:w="93"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ÁREAS DE ACTUACIÓN </w:t>
            </w:r>
          </w:p>
        </w:tc>
      </w:tr>
    </w:tbl>
    <w:p w:rsidR="00E23B86" w:rsidRDefault="00BA7C13">
      <w:pPr>
        <w:numPr>
          <w:ilvl w:val="0"/>
          <w:numId w:val="140"/>
        </w:numPr>
        <w:spacing w:after="271" w:line="251" w:lineRule="auto"/>
        <w:ind w:right="1" w:hanging="841"/>
        <w:jc w:val="both"/>
      </w:pPr>
      <w:r>
        <w:rPr>
          <w:rFonts w:ascii="Arial" w:eastAsia="Arial" w:hAnsi="Arial" w:cs="Arial"/>
          <w:i/>
        </w:rPr>
        <w:t xml:space="preserve">Para abordar la prevención de las drogodependencias y otras adicciones, se trabajará sobre las tres áreas comentadas anteriormente. Dentro de cada una de estas áreas, se especificarán las acciones y </w:t>
      </w:r>
      <w:r>
        <w:rPr>
          <w:rFonts w:ascii="Arial" w:eastAsia="Arial" w:hAnsi="Arial" w:cs="Arial"/>
          <w:i/>
        </w:rPr>
        <w:t xml:space="preserve">medidas por ámbitos, entendidos como el sector, contexto o colectivo al que van dirigidas las acciones. Los ámbitos de actuación son los que propone la Estrategia Nacional sobre Adicciones 2017-2024 y son los siguientes: escolar, familiar y comunitario. </w:t>
      </w:r>
    </w:p>
    <w:p w:rsidR="00E23B86" w:rsidRDefault="00BA7C13">
      <w:pPr>
        <w:numPr>
          <w:ilvl w:val="0"/>
          <w:numId w:val="140"/>
        </w:numPr>
        <w:spacing w:after="238" w:line="251" w:lineRule="auto"/>
        <w:ind w:right="1" w:hanging="841"/>
        <w:jc w:val="both"/>
      </w:pPr>
      <w:r>
        <w:rPr>
          <w:rFonts w:ascii="Arial" w:eastAsia="Arial" w:hAnsi="Arial" w:cs="Arial"/>
          <w:i/>
        </w:rPr>
        <w:t xml:space="preserve">6.1. ÁREA DE PREVENCIÓN Y SENSIBILIZACIÓN </w:t>
      </w:r>
    </w:p>
    <w:p w:rsidR="00E23B86" w:rsidRDefault="00BA7C13">
      <w:pPr>
        <w:numPr>
          <w:ilvl w:val="0"/>
          <w:numId w:val="140"/>
        </w:numPr>
        <w:spacing w:after="111" w:line="251" w:lineRule="auto"/>
        <w:ind w:right="1" w:hanging="841"/>
        <w:jc w:val="both"/>
      </w:pPr>
      <w:r>
        <w:rPr>
          <w:rFonts w:ascii="Arial" w:eastAsia="Arial" w:hAnsi="Arial" w:cs="Arial"/>
          <w:i/>
        </w:rPr>
        <w:t>La prevención y sensibilización entendida como todas aquellas acciones e intervenciones dirigidas a reducir los factores de riesgo (evitar el consumo experimental y esporádico y que éste no se convierta en continu</w:t>
      </w:r>
      <w:r>
        <w:rPr>
          <w:rFonts w:ascii="Arial" w:eastAsia="Arial" w:hAnsi="Arial" w:cs="Arial"/>
          <w:i/>
        </w:rPr>
        <w:t>ado y provoque daños) y potenciar los factores de protección (estilo de vida saludable, ocio y tiempo libre, formación…).</w:t>
      </w:r>
    </w:p>
    <w:p w:rsidR="00E23B86" w:rsidRDefault="00BA7C13">
      <w:pPr>
        <w:numPr>
          <w:ilvl w:val="0"/>
          <w:numId w:val="140"/>
        </w:numPr>
        <w:spacing w:after="111" w:line="251" w:lineRule="auto"/>
        <w:ind w:right="1" w:hanging="841"/>
        <w:jc w:val="both"/>
      </w:pPr>
      <w:r>
        <w:rPr>
          <w:rFonts w:ascii="Arial" w:eastAsia="Arial" w:hAnsi="Arial" w:cs="Arial"/>
          <w:i/>
        </w:rPr>
        <w:t>Las intervenciones preventivas propuestas se clasifican en tres niveles, en función de la población a las que van dirigidas:</w:t>
      </w:r>
    </w:p>
    <w:p w:rsidR="00E23B86" w:rsidRDefault="00BA7C13">
      <w:pPr>
        <w:numPr>
          <w:ilvl w:val="0"/>
          <w:numId w:val="140"/>
        </w:numPr>
        <w:spacing w:after="111" w:line="251" w:lineRule="auto"/>
        <w:ind w:right="1" w:hanging="841"/>
        <w:jc w:val="both"/>
      </w:pPr>
      <w:r>
        <w:rPr>
          <w:rFonts w:ascii="Arial" w:eastAsia="Arial" w:hAnsi="Arial" w:cs="Arial"/>
          <w:i/>
        </w:rPr>
        <w:t>Universal</w:t>
      </w:r>
      <w:r>
        <w:rPr>
          <w:rFonts w:ascii="Arial" w:eastAsia="Arial" w:hAnsi="Arial" w:cs="Arial"/>
          <w:i/>
        </w:rPr>
        <w:t>: acciones dirigidas para toda la población dentro del ámbito concreto (educativo, laboral, familiar).</w:t>
      </w:r>
    </w:p>
    <w:p w:rsidR="00E23B86" w:rsidRDefault="00BA7C13">
      <w:pPr>
        <w:spacing w:after="84"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Selectiva: acciones dirigidas a un subgrupo o colectivo que presentan unas características que lo hacen potencial consumidor.</w:t>
      </w:r>
    </w:p>
    <w:p w:rsidR="00E23B86" w:rsidRDefault="00BA7C13">
      <w:pPr>
        <w:numPr>
          <w:ilvl w:val="0"/>
          <w:numId w:val="140"/>
        </w:numPr>
        <w:spacing w:after="151" w:line="251" w:lineRule="auto"/>
        <w:ind w:right="1" w:hanging="841"/>
        <w:jc w:val="both"/>
      </w:pPr>
      <w:r>
        <w:rPr>
          <w:rFonts w:ascii="Arial" w:eastAsia="Arial" w:hAnsi="Arial" w:cs="Arial"/>
          <w:i/>
        </w:rPr>
        <w:t xml:space="preserve">Indicada: acciones dirigidas a un subgrupo con conductas o problemas ya de consumo de sustancias y donde existe una relación problemática con las adicciones. </w:t>
      </w:r>
    </w:p>
    <w:p w:rsidR="00E23B86" w:rsidRDefault="00BA7C13">
      <w:pPr>
        <w:numPr>
          <w:ilvl w:val="0"/>
          <w:numId w:val="140"/>
        </w:numPr>
        <w:spacing w:after="111" w:line="251" w:lineRule="auto"/>
        <w:ind w:right="1" w:hanging="841"/>
        <w:jc w:val="both"/>
      </w:pPr>
      <w:r>
        <w:rPr>
          <w:rFonts w:ascii="Arial" w:eastAsia="Arial" w:hAnsi="Arial" w:cs="Arial"/>
          <w:i/>
        </w:rPr>
        <w:t xml:space="preserve">6.1.1. Ámbito Educativo </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45984"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5609" name="Group 60560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274" name="Rectangle 4527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45275" name="Rectangle 4527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279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5609" style="width:12.7031pt;height:280.35pt;position:absolute;mso-position-horizontal-relative:page;mso-position-horizontal:absolute;margin-left:681.958pt;mso-position-vertical-relative:page;margin-top:531.65pt;" coordsize="1613,35604">
                <v:rect id="Rectangle 4527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27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279 de 391 </w:t>
                        </w:r>
                      </w:p>
                    </w:txbxContent>
                  </v:textbox>
                </v:rect>
                <w10:wrap type="topAndBottom"/>
              </v:group>
            </w:pict>
          </mc:Fallback>
        </mc:AlternateContent>
      </w:r>
      <w:r>
        <w:rPr>
          <w:rFonts w:ascii="Arial" w:eastAsia="Arial" w:hAnsi="Arial" w:cs="Arial"/>
          <w:i/>
        </w:rPr>
        <w:t xml:space="preserve">Para este ámbito se proponen acciones encaminadas a la prevención del consumo de drogas y otras adicciones en el ámbito educativo </w:t>
      </w:r>
      <w:r>
        <w:rPr>
          <w:rFonts w:ascii="Arial" w:eastAsia="Arial" w:hAnsi="Arial" w:cs="Arial"/>
          <w:i/>
        </w:rPr>
        <w:t xml:space="preserve">formal. Son necesarias estas acciones para prevenir el riesgo y que no suceda el consumo en estas edades tempranas.  Las acciones van dirigidas al estudiantado, profesorado, padres, madres, y/o tutores/as legales.  </w:t>
      </w:r>
    </w:p>
    <w:p w:rsidR="00E23B86" w:rsidRDefault="00BA7C13">
      <w:pPr>
        <w:spacing w:after="84"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Objetivo general</w:t>
      </w:r>
    </w:p>
    <w:p w:rsidR="00E23B86" w:rsidRDefault="00BA7C13">
      <w:pPr>
        <w:numPr>
          <w:ilvl w:val="0"/>
          <w:numId w:val="140"/>
        </w:numPr>
        <w:spacing w:after="112" w:line="250" w:lineRule="auto"/>
        <w:ind w:right="1" w:hanging="841"/>
        <w:jc w:val="both"/>
      </w:pPr>
      <w:r>
        <w:rPr>
          <w:rFonts w:ascii="Arial" w:eastAsia="Arial" w:hAnsi="Arial" w:cs="Arial"/>
          <w:i/>
        </w:rPr>
        <w:t>Llevar a cabo acciones y medidas preventivas en el ámbito escolar de manera conjunta entre profesorado, padres/madres/tutores/as y estudiantado, destinadas a reducir los factores de riesgo y potenciar los de protección, frente a las drogas y las nuevas adi</w:t>
      </w:r>
      <w:r>
        <w:rPr>
          <w:rFonts w:ascii="Arial" w:eastAsia="Arial" w:hAnsi="Arial" w:cs="Arial"/>
          <w:i/>
        </w:rPr>
        <w:t>cciones.</w:t>
      </w:r>
    </w:p>
    <w:p w:rsidR="00E23B86" w:rsidRDefault="00BA7C13">
      <w:pPr>
        <w:spacing w:after="82" w:line="265" w:lineRule="auto"/>
        <w:ind w:left="94" w:right="13" w:hanging="10"/>
      </w:pPr>
      <w:r>
        <w:rPr>
          <w:rFonts w:ascii="Segoe UI Symbol" w:eastAsia="Segoe UI Symbol" w:hAnsi="Segoe UI Symbol" w:cs="Segoe UI Symbol"/>
          <w:sz w:val="20"/>
        </w:rPr>
        <w:t></w:t>
      </w:r>
    </w:p>
    <w:p w:rsidR="00E23B86" w:rsidRDefault="00BA7C13">
      <w:pPr>
        <w:spacing w:after="3" w:line="265" w:lineRule="auto"/>
        <w:ind w:left="94" w:right="13" w:hanging="10"/>
      </w:pPr>
      <w:r>
        <w:rPr>
          <w:rFonts w:ascii="Segoe UI Symbol" w:eastAsia="Segoe UI Symbol" w:hAnsi="Segoe UI Symbol" w:cs="Segoe UI Symbol"/>
          <w:sz w:val="20"/>
        </w:rPr>
        <w:t></w:t>
      </w:r>
    </w:p>
    <w:tbl>
      <w:tblPr>
        <w:tblStyle w:val="TableGrid"/>
        <w:tblW w:w="9340" w:type="dxa"/>
        <w:tblInd w:w="-695" w:type="dxa"/>
        <w:tblCellMar>
          <w:top w:w="11" w:type="dxa"/>
          <w:left w:w="50" w:type="dxa"/>
          <w:bottom w:w="0" w:type="dxa"/>
          <w:right w:w="133" w:type="dxa"/>
        </w:tblCellMar>
        <w:tblLook w:val="04A0" w:firstRow="1" w:lastRow="0" w:firstColumn="1" w:lastColumn="0" w:noHBand="0" w:noVBand="1"/>
      </w:tblPr>
      <w:tblGrid>
        <w:gridCol w:w="1"/>
        <w:gridCol w:w="778"/>
        <w:gridCol w:w="1"/>
        <w:gridCol w:w="5402"/>
        <w:gridCol w:w="1"/>
        <w:gridCol w:w="3157"/>
        <w:gridCol w:w="1"/>
      </w:tblGrid>
      <w:tr w:rsidR="00E23B86">
        <w:trPr>
          <w:gridBefore w:val="1"/>
          <w:trHeight w:val="454"/>
        </w:trPr>
        <w:tc>
          <w:tcPr>
            <w:tcW w:w="779" w:type="dxa"/>
            <w:gridSpan w:val="2"/>
            <w:tcBorders>
              <w:top w:val="single" w:sz="4" w:space="0" w:color="00000A"/>
              <w:left w:val="single" w:sz="5" w:space="0" w:color="00000A"/>
              <w:bottom w:val="single" w:sz="4" w:space="0" w:color="00000A"/>
              <w:right w:val="nil"/>
            </w:tcBorders>
            <w:shd w:val="clear" w:color="auto" w:fill="BFBFBF"/>
          </w:tcPr>
          <w:p w:rsidR="00E23B86" w:rsidRDefault="00BA7C13">
            <w:pPr>
              <w:spacing w:after="0"/>
              <w:ind w:left="458"/>
              <w:jc w:val="center"/>
            </w:pPr>
            <w:r>
              <w:rPr>
                <w:rFonts w:ascii="Segoe UI Symbol" w:eastAsia="Segoe UI Symbol" w:hAnsi="Segoe UI Symbol" w:cs="Segoe UI Symbol"/>
                <w:sz w:val="20"/>
              </w:rPr>
              <w:t></w:t>
            </w:r>
          </w:p>
        </w:tc>
        <w:tc>
          <w:tcPr>
            <w:tcW w:w="5403" w:type="dxa"/>
            <w:gridSpan w:val="2"/>
            <w:tcBorders>
              <w:top w:val="single" w:sz="4" w:space="0" w:color="00000A"/>
              <w:left w:val="nil"/>
              <w:bottom w:val="single" w:sz="4" w:space="0" w:color="00000A"/>
              <w:right w:val="single" w:sz="4" w:space="0" w:color="00000A"/>
            </w:tcBorders>
            <w:shd w:val="clear" w:color="auto" w:fill="BFBFBF"/>
          </w:tcPr>
          <w:p w:rsidR="00E23B86" w:rsidRDefault="00BA7C13">
            <w:pPr>
              <w:spacing w:after="0"/>
              <w:ind w:left="62"/>
            </w:pPr>
            <w:r>
              <w:rPr>
                <w:rFonts w:ascii="Arial" w:eastAsia="Arial" w:hAnsi="Arial" w:cs="Arial"/>
                <w:i/>
              </w:rPr>
              <w:t>Actuaciones a desarrollar según nivel de prevención</w:t>
            </w:r>
          </w:p>
        </w:tc>
        <w:tc>
          <w:tcPr>
            <w:tcW w:w="3158" w:type="dxa"/>
            <w:gridSpan w:val="2"/>
            <w:tcBorders>
              <w:top w:val="nil"/>
              <w:left w:val="single" w:sz="4" w:space="0" w:color="00000A"/>
              <w:bottom w:val="single" w:sz="4" w:space="0" w:color="00000A"/>
              <w:right w:val="nil"/>
            </w:tcBorders>
          </w:tcPr>
          <w:p w:rsidR="00E23B86" w:rsidRDefault="00BA7C13">
            <w:pPr>
              <w:spacing w:after="0"/>
              <w:ind w:left="311"/>
            </w:pPr>
            <w:r>
              <w:rPr>
                <w:rFonts w:ascii="Segoe UI Symbol" w:eastAsia="Segoe UI Symbol" w:hAnsi="Segoe UI Symbol" w:cs="Segoe UI Symbol"/>
                <w:sz w:val="20"/>
              </w:rPr>
              <w:t></w:t>
            </w:r>
          </w:p>
        </w:tc>
      </w:tr>
      <w:tr w:rsidR="00E23B86">
        <w:trPr>
          <w:gridBefore w:val="1"/>
          <w:trHeight w:val="454"/>
        </w:trPr>
        <w:tc>
          <w:tcPr>
            <w:tcW w:w="779" w:type="dxa"/>
            <w:gridSpan w:val="2"/>
            <w:tcBorders>
              <w:top w:val="single" w:sz="4" w:space="0" w:color="00000A"/>
              <w:left w:val="single" w:sz="5" w:space="0" w:color="00000A"/>
              <w:bottom w:val="single" w:sz="4" w:space="0" w:color="00000A"/>
              <w:right w:val="nil"/>
            </w:tcBorders>
            <w:shd w:val="clear" w:color="auto" w:fill="BFBFBF"/>
          </w:tcPr>
          <w:p w:rsidR="00E23B86" w:rsidRDefault="00E23B86"/>
        </w:tc>
        <w:tc>
          <w:tcPr>
            <w:tcW w:w="8561" w:type="dxa"/>
            <w:gridSpan w:val="4"/>
            <w:tcBorders>
              <w:top w:val="single" w:sz="4" w:space="0" w:color="00000A"/>
              <w:left w:val="nil"/>
              <w:bottom w:val="single" w:sz="4" w:space="0" w:color="00000A"/>
              <w:right w:val="single" w:sz="5" w:space="0" w:color="00000A"/>
            </w:tcBorders>
            <w:shd w:val="clear" w:color="auto" w:fill="BFBFBF"/>
          </w:tcPr>
          <w:p w:rsidR="00E23B86" w:rsidRDefault="00BA7C13">
            <w:pPr>
              <w:spacing w:after="0"/>
              <w:ind w:right="358"/>
              <w:jc w:val="center"/>
            </w:pPr>
            <w:r>
              <w:rPr>
                <w:rFonts w:ascii="Segoe UI Symbol" w:eastAsia="Segoe UI Symbol" w:hAnsi="Segoe UI Symbol" w:cs="Segoe UI Symbol"/>
                <w:sz w:val="20"/>
              </w:rPr>
              <w:t xml:space="preserve"> </w:t>
            </w:r>
            <w:r>
              <w:rPr>
                <w:rFonts w:ascii="Arial" w:eastAsia="Arial" w:hAnsi="Arial" w:cs="Arial"/>
                <w:i/>
              </w:rPr>
              <w:t>Actuación</w:t>
            </w:r>
          </w:p>
        </w:tc>
      </w:tr>
      <w:tr w:rsidR="00E23B86">
        <w:trPr>
          <w:gridBefore w:val="1"/>
          <w:trHeight w:val="1022"/>
        </w:trPr>
        <w:tc>
          <w:tcPr>
            <w:tcW w:w="779" w:type="dxa"/>
            <w:gridSpan w:val="2"/>
            <w:tcBorders>
              <w:top w:val="single" w:sz="4" w:space="0" w:color="00000A"/>
              <w:left w:val="single" w:sz="5" w:space="0" w:color="00000A"/>
              <w:bottom w:val="single" w:sz="4" w:space="0" w:color="00000A"/>
              <w:right w:val="nil"/>
            </w:tcBorders>
            <w:shd w:val="clear" w:color="auto" w:fill="FFFFFF"/>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4"/>
            <w:tcBorders>
              <w:top w:val="single" w:sz="4" w:space="0" w:color="00000A"/>
              <w:left w:val="nil"/>
              <w:bottom w:val="single" w:sz="4" w:space="0" w:color="00000A"/>
              <w:right w:val="single" w:sz="5" w:space="0" w:color="00000A"/>
            </w:tcBorders>
            <w:shd w:val="clear" w:color="auto" w:fill="FFFFFF"/>
          </w:tcPr>
          <w:p w:rsidR="00E23B86" w:rsidRDefault="00BA7C13">
            <w:pPr>
              <w:spacing w:after="0"/>
              <w:ind w:right="3"/>
              <w:jc w:val="both"/>
            </w:pPr>
            <w:r>
              <w:rPr>
                <w:rFonts w:ascii="Arial" w:eastAsia="Arial" w:hAnsi="Arial" w:cs="Arial"/>
                <w:i/>
              </w:rPr>
              <w:t>Acción E1. Diseño e implementación de programas, proyectos y actividades preventivas dentro del espacio escolar, con la implicación de profesorado, padres, madres y/o tutores/as legales destinados a mejorar la competencia social del estudiantado ante los r</w:t>
            </w:r>
            <w:r>
              <w:rPr>
                <w:rFonts w:ascii="Arial" w:eastAsia="Arial" w:hAnsi="Arial" w:cs="Arial"/>
                <w:i/>
              </w:rPr>
              <w:t xml:space="preserve">iegos de consumo y adicciones. </w:t>
            </w:r>
          </w:p>
        </w:tc>
      </w:tr>
      <w:tr w:rsidR="00E23B86">
        <w:trPr>
          <w:gridBefore w:val="1"/>
          <w:trHeight w:val="770"/>
        </w:trPr>
        <w:tc>
          <w:tcPr>
            <w:tcW w:w="779" w:type="dxa"/>
            <w:gridSpan w:val="2"/>
            <w:tcBorders>
              <w:top w:val="single" w:sz="4" w:space="0" w:color="00000A"/>
              <w:left w:val="single" w:sz="5"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4"/>
            <w:tcBorders>
              <w:top w:val="single" w:sz="4" w:space="0" w:color="00000A"/>
              <w:left w:val="nil"/>
              <w:bottom w:val="single" w:sz="4" w:space="0" w:color="00000A"/>
              <w:right w:val="single" w:sz="5" w:space="0" w:color="00000A"/>
            </w:tcBorders>
          </w:tcPr>
          <w:p w:rsidR="00E23B86" w:rsidRDefault="00BA7C13">
            <w:pPr>
              <w:spacing w:after="0"/>
              <w:ind w:right="2"/>
              <w:jc w:val="both"/>
            </w:pPr>
            <w:r>
              <w:rPr>
                <w:rFonts w:ascii="Arial" w:eastAsia="Arial" w:hAnsi="Arial" w:cs="Arial"/>
                <w:i/>
              </w:rPr>
              <w:t>Acción E2. Poner en marcha programas o proyectos de intervención temprana dirigidos a  menores adolescentes, que presentan dentro o fuera  del contexto escolar conductas de riesgo.</w:t>
            </w:r>
          </w:p>
        </w:tc>
      </w:tr>
      <w:tr w:rsidR="00E23B86">
        <w:trPr>
          <w:gridBefore w:val="1"/>
          <w:trHeight w:val="768"/>
        </w:trPr>
        <w:tc>
          <w:tcPr>
            <w:tcW w:w="779" w:type="dxa"/>
            <w:gridSpan w:val="2"/>
            <w:tcBorders>
              <w:top w:val="single" w:sz="4" w:space="0" w:color="00000A"/>
              <w:left w:val="single" w:sz="5"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4"/>
            <w:tcBorders>
              <w:top w:val="single" w:sz="4" w:space="0" w:color="00000A"/>
              <w:left w:val="nil"/>
              <w:bottom w:val="single" w:sz="4" w:space="0" w:color="00000A"/>
              <w:right w:val="single" w:sz="5" w:space="0" w:color="00000A"/>
            </w:tcBorders>
          </w:tcPr>
          <w:p w:rsidR="00E23B86" w:rsidRDefault="00BA7C13">
            <w:pPr>
              <w:spacing w:after="0"/>
              <w:ind w:right="6"/>
              <w:jc w:val="both"/>
            </w:pPr>
            <w:r>
              <w:rPr>
                <w:rFonts w:ascii="Arial" w:eastAsia="Arial" w:hAnsi="Arial" w:cs="Arial"/>
                <w:i/>
              </w:rPr>
              <w:t>Acción E3. Ofertar a los centros educativos un proyecto/programa de orientación personalizada, ya sea de manera individual o grupal, dirigido a estudiantes que presentan vulnerabilidad ante riesgo de consumo o  adicciones.</w:t>
            </w:r>
          </w:p>
        </w:tc>
      </w:tr>
      <w:tr w:rsidR="00E23B86">
        <w:trPr>
          <w:gridBefore w:val="1"/>
          <w:trHeight w:val="1022"/>
        </w:trPr>
        <w:tc>
          <w:tcPr>
            <w:tcW w:w="779" w:type="dxa"/>
            <w:gridSpan w:val="2"/>
            <w:tcBorders>
              <w:top w:val="single" w:sz="4" w:space="0" w:color="00000A"/>
              <w:left w:val="single" w:sz="5"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4"/>
            <w:tcBorders>
              <w:top w:val="single" w:sz="4" w:space="0" w:color="00000A"/>
              <w:left w:val="nil"/>
              <w:bottom w:val="single" w:sz="4" w:space="0" w:color="00000A"/>
              <w:right w:val="single" w:sz="5" w:space="0" w:color="00000A"/>
            </w:tcBorders>
          </w:tcPr>
          <w:p w:rsidR="00E23B86" w:rsidRDefault="00BA7C13">
            <w:pPr>
              <w:spacing w:after="0"/>
              <w:ind w:right="3"/>
              <w:jc w:val="both"/>
            </w:pPr>
            <w:r>
              <w:rPr>
                <w:rFonts w:ascii="Arial" w:eastAsia="Arial" w:hAnsi="Arial" w:cs="Arial"/>
                <w:i/>
              </w:rPr>
              <w:t xml:space="preserve">Acción E4. Llevar a cabo durante el desarrollo del curso académico y en coordinación con profesorado, estudiantado y progenitores/as y/o tutores/as, campañas específicas destinadas al estudiantado, sobre factores de riesgo y protección de la salud. </w:t>
            </w:r>
          </w:p>
        </w:tc>
      </w:tr>
      <w:tr w:rsidR="00E23B86">
        <w:trPr>
          <w:gridBefore w:val="1"/>
          <w:trHeight w:val="770"/>
        </w:trPr>
        <w:tc>
          <w:tcPr>
            <w:tcW w:w="779" w:type="dxa"/>
            <w:gridSpan w:val="2"/>
            <w:tcBorders>
              <w:top w:val="single" w:sz="4" w:space="0" w:color="00000A"/>
              <w:left w:val="single" w:sz="5"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4"/>
            <w:tcBorders>
              <w:top w:val="single" w:sz="4" w:space="0" w:color="00000A"/>
              <w:left w:val="nil"/>
              <w:bottom w:val="single" w:sz="4" w:space="0" w:color="00000A"/>
              <w:right w:val="single" w:sz="5" w:space="0" w:color="00000A"/>
            </w:tcBorders>
          </w:tcPr>
          <w:p w:rsidR="00E23B86" w:rsidRDefault="00BA7C13">
            <w:pPr>
              <w:spacing w:after="0"/>
              <w:jc w:val="both"/>
            </w:pPr>
            <w:r>
              <w:rPr>
                <w:rFonts w:ascii="Arial" w:eastAsia="Arial" w:hAnsi="Arial" w:cs="Arial"/>
                <w:i/>
              </w:rPr>
              <w:t>Acción E5. Ofertar espacios de encuentro y formación al profesorado, sobre herramientas de detección y actuación ante situaciones de riesgo relacionadas con el consumo de drogas y las adicciones.</w:t>
            </w:r>
          </w:p>
        </w:tc>
      </w:tr>
      <w:tr w:rsidR="00E23B86">
        <w:trPr>
          <w:gridBefore w:val="1"/>
          <w:trHeight w:val="517"/>
        </w:trPr>
        <w:tc>
          <w:tcPr>
            <w:tcW w:w="779" w:type="dxa"/>
            <w:gridSpan w:val="2"/>
            <w:tcBorders>
              <w:top w:val="single" w:sz="4" w:space="0" w:color="00000A"/>
              <w:left w:val="single" w:sz="5"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4"/>
            <w:tcBorders>
              <w:top w:val="single" w:sz="4" w:space="0" w:color="00000A"/>
              <w:left w:val="nil"/>
              <w:bottom w:val="single" w:sz="4" w:space="0" w:color="00000A"/>
              <w:right w:val="single" w:sz="5" w:space="0" w:color="00000A"/>
            </w:tcBorders>
          </w:tcPr>
          <w:p w:rsidR="00E23B86" w:rsidRDefault="00BA7C13">
            <w:pPr>
              <w:spacing w:after="0"/>
              <w:jc w:val="both"/>
            </w:pPr>
            <w:r>
              <w:rPr>
                <w:rFonts w:ascii="Arial" w:eastAsia="Arial" w:hAnsi="Arial" w:cs="Arial"/>
                <w:i/>
              </w:rPr>
              <w:t>Acción E6.  Prestar un apoyo y asesoramiento al profesorado que participa en las acciones preventivas, para ayudarles a mejorar las actuaciones y aportar nuevas</w:t>
            </w:r>
          </w:p>
        </w:tc>
      </w:tr>
      <w:tr w:rsidR="00E23B86">
        <w:trPr>
          <w:gridAfter w:val="1"/>
          <w:trHeight w:val="454"/>
        </w:trPr>
        <w:tc>
          <w:tcPr>
            <w:tcW w:w="779" w:type="dxa"/>
            <w:gridSpan w:val="2"/>
            <w:tcBorders>
              <w:top w:val="single" w:sz="4" w:space="0" w:color="00000A"/>
              <w:left w:val="single" w:sz="4" w:space="0" w:color="00000A"/>
              <w:bottom w:val="single" w:sz="4" w:space="0" w:color="00000A"/>
              <w:right w:val="nil"/>
            </w:tcBorders>
            <w:shd w:val="clear" w:color="auto" w:fill="BFBFBF"/>
          </w:tcPr>
          <w:p w:rsidR="00E23B86" w:rsidRDefault="00BA7C13">
            <w:pPr>
              <w:spacing w:after="0"/>
              <w:ind w:left="461"/>
              <w:jc w:val="center"/>
            </w:pPr>
            <w:r>
              <w:rPr>
                <w:rFonts w:ascii="Segoe UI Symbol" w:eastAsia="Segoe UI Symbol" w:hAnsi="Segoe UI Symbol" w:cs="Segoe UI Symbol"/>
                <w:sz w:val="20"/>
              </w:rPr>
              <w:t></w:t>
            </w:r>
          </w:p>
        </w:tc>
        <w:tc>
          <w:tcPr>
            <w:tcW w:w="5403" w:type="dxa"/>
            <w:gridSpan w:val="2"/>
            <w:tcBorders>
              <w:top w:val="single" w:sz="4" w:space="0" w:color="00000A"/>
              <w:left w:val="nil"/>
              <w:bottom w:val="single" w:sz="4" w:space="0" w:color="00000A"/>
              <w:right w:val="single" w:sz="4" w:space="0" w:color="00000A"/>
            </w:tcBorders>
            <w:shd w:val="clear" w:color="auto" w:fill="BFBFBF"/>
          </w:tcPr>
          <w:p w:rsidR="00E23B86" w:rsidRDefault="00BA7C13">
            <w:pPr>
              <w:spacing w:after="0"/>
              <w:ind w:left="62"/>
            </w:pPr>
            <w:r>
              <w:rPr>
                <w:rFonts w:ascii="Arial" w:eastAsia="Arial" w:hAnsi="Arial" w:cs="Arial"/>
                <w:i/>
              </w:rPr>
              <w:t>Actuaciones a desarrollar según nivel de prevención</w:t>
            </w:r>
          </w:p>
        </w:tc>
        <w:tc>
          <w:tcPr>
            <w:tcW w:w="3158" w:type="dxa"/>
            <w:gridSpan w:val="2"/>
            <w:tcBorders>
              <w:top w:val="nil"/>
              <w:left w:val="single" w:sz="4" w:space="0" w:color="00000A"/>
              <w:bottom w:val="single" w:sz="4" w:space="0" w:color="00000A"/>
              <w:right w:val="nil"/>
            </w:tcBorders>
          </w:tcPr>
          <w:p w:rsidR="00E23B86" w:rsidRDefault="00BA7C13">
            <w:pPr>
              <w:spacing w:after="0"/>
              <w:ind w:left="311"/>
            </w:pPr>
            <w:r>
              <w:rPr>
                <w:rFonts w:ascii="Segoe UI Symbol" w:eastAsia="Segoe UI Symbol" w:hAnsi="Segoe UI Symbol" w:cs="Segoe UI Symbol"/>
                <w:sz w:val="20"/>
              </w:rPr>
              <w:t></w:t>
            </w:r>
          </w:p>
        </w:tc>
      </w:tr>
      <w:tr w:rsidR="00E23B86">
        <w:trPr>
          <w:gridAfter w:val="1"/>
          <w:trHeight w:val="454"/>
        </w:trPr>
        <w:tc>
          <w:tcPr>
            <w:tcW w:w="779" w:type="dxa"/>
            <w:gridSpan w:val="2"/>
            <w:tcBorders>
              <w:top w:val="single" w:sz="4" w:space="0" w:color="00000A"/>
              <w:left w:val="single" w:sz="4" w:space="0" w:color="00000A"/>
              <w:bottom w:val="single" w:sz="4" w:space="0" w:color="00000A"/>
              <w:right w:val="nil"/>
            </w:tcBorders>
            <w:shd w:val="clear" w:color="auto" w:fill="BFBFBF"/>
          </w:tcPr>
          <w:p w:rsidR="00E23B86" w:rsidRDefault="00E23B86"/>
        </w:tc>
        <w:tc>
          <w:tcPr>
            <w:tcW w:w="8561" w:type="dxa"/>
            <w:gridSpan w:val="4"/>
            <w:tcBorders>
              <w:top w:val="single" w:sz="4" w:space="0" w:color="00000A"/>
              <w:left w:val="nil"/>
              <w:bottom w:val="single" w:sz="4" w:space="0" w:color="00000A"/>
              <w:right w:val="single" w:sz="5" w:space="0" w:color="00000A"/>
            </w:tcBorders>
            <w:shd w:val="clear" w:color="auto" w:fill="BFBFBF"/>
          </w:tcPr>
          <w:p w:rsidR="00E23B86" w:rsidRDefault="00BA7C13">
            <w:pPr>
              <w:spacing w:after="0"/>
              <w:ind w:right="355"/>
              <w:jc w:val="center"/>
            </w:pPr>
            <w:r>
              <w:rPr>
                <w:rFonts w:ascii="Segoe UI Symbol" w:eastAsia="Segoe UI Symbol" w:hAnsi="Segoe UI Symbol" w:cs="Segoe UI Symbol"/>
                <w:sz w:val="20"/>
              </w:rPr>
              <w:t xml:space="preserve"> </w:t>
            </w:r>
            <w:r>
              <w:rPr>
                <w:rFonts w:ascii="Arial" w:eastAsia="Arial" w:hAnsi="Arial" w:cs="Arial"/>
                <w:i/>
              </w:rPr>
              <w:t>Actuación</w:t>
            </w:r>
          </w:p>
        </w:tc>
      </w:tr>
      <w:tr w:rsidR="00E23B86">
        <w:trPr>
          <w:gridAfter w:val="1"/>
          <w:trHeight w:val="264"/>
        </w:trPr>
        <w:tc>
          <w:tcPr>
            <w:tcW w:w="779" w:type="dxa"/>
            <w:gridSpan w:val="2"/>
            <w:tcBorders>
              <w:top w:val="single" w:sz="4" w:space="0" w:color="00000A"/>
              <w:left w:val="single" w:sz="4" w:space="0" w:color="00000A"/>
              <w:bottom w:val="single" w:sz="4" w:space="0" w:color="00000A"/>
              <w:right w:val="nil"/>
            </w:tcBorders>
            <w:shd w:val="clear" w:color="auto" w:fill="FFFFFF"/>
          </w:tcPr>
          <w:p w:rsidR="00E23B86" w:rsidRDefault="00E23B86"/>
        </w:tc>
        <w:tc>
          <w:tcPr>
            <w:tcW w:w="8561" w:type="dxa"/>
            <w:gridSpan w:val="4"/>
            <w:tcBorders>
              <w:top w:val="single" w:sz="4" w:space="0" w:color="00000A"/>
              <w:left w:val="nil"/>
              <w:bottom w:val="single" w:sz="4" w:space="0" w:color="00000A"/>
              <w:right w:val="single" w:sz="5" w:space="0" w:color="00000A"/>
            </w:tcBorders>
            <w:shd w:val="clear" w:color="auto" w:fill="FFFFFF"/>
          </w:tcPr>
          <w:p w:rsidR="00E23B86" w:rsidRDefault="00BA7C13">
            <w:pPr>
              <w:spacing w:after="0"/>
            </w:pPr>
            <w:r>
              <w:rPr>
                <w:rFonts w:ascii="Arial" w:eastAsia="Arial" w:hAnsi="Arial" w:cs="Arial"/>
                <w:i/>
              </w:rPr>
              <w:t xml:space="preserve">herramientas preventivas. </w:t>
            </w:r>
          </w:p>
        </w:tc>
      </w:tr>
      <w:tr w:rsidR="00E23B86">
        <w:trPr>
          <w:gridAfter w:val="1"/>
          <w:trHeight w:val="1275"/>
        </w:trPr>
        <w:tc>
          <w:tcPr>
            <w:tcW w:w="779" w:type="dxa"/>
            <w:gridSpan w:val="2"/>
            <w:tcBorders>
              <w:top w:val="single" w:sz="4" w:space="0" w:color="00000A"/>
              <w:left w:val="single" w:sz="4" w:space="0" w:color="00000A"/>
              <w:bottom w:val="single" w:sz="4" w:space="0" w:color="00000A"/>
              <w:right w:val="nil"/>
            </w:tcBorders>
          </w:tcPr>
          <w:p w:rsidR="00E23B86" w:rsidRDefault="00BA7C13">
            <w:pPr>
              <w:spacing w:after="0"/>
              <w:ind w:left="337"/>
              <w:jc w:val="center"/>
            </w:pPr>
            <w:r>
              <w:rPr>
                <w:rFonts w:ascii="Segoe UI Symbol" w:eastAsia="Segoe UI Symbol" w:hAnsi="Segoe UI Symbol" w:cs="Segoe UI Symbol"/>
                <w:sz w:val="20"/>
              </w:rPr>
              <w:t></w:t>
            </w:r>
          </w:p>
        </w:tc>
        <w:tc>
          <w:tcPr>
            <w:tcW w:w="8561" w:type="dxa"/>
            <w:gridSpan w:val="4"/>
            <w:tcBorders>
              <w:top w:val="single" w:sz="4" w:space="0" w:color="00000A"/>
              <w:left w:val="nil"/>
              <w:bottom w:val="single" w:sz="4" w:space="0" w:color="00000A"/>
              <w:right w:val="single" w:sz="5" w:space="0" w:color="00000A"/>
            </w:tcBorders>
          </w:tcPr>
          <w:p w:rsidR="00E23B86" w:rsidRDefault="00BA7C13">
            <w:pPr>
              <w:spacing w:after="0"/>
              <w:jc w:val="both"/>
            </w:pPr>
            <w:r>
              <w:rPr>
                <w:rFonts w:ascii="Arial" w:eastAsia="Arial" w:hAnsi="Arial" w:cs="Arial"/>
                <w:i/>
              </w:rPr>
              <w:t>Acción E7.  Crear un espacio y sistema de coordinación entre equipos docentes de los centros educativos y profesionales externos que intervienen, para evaluar resultados, potenciar la participación, análisis de necesidades y la búsqueda de soluciones viabl</w:t>
            </w:r>
            <w:r>
              <w:rPr>
                <w:rFonts w:ascii="Arial" w:eastAsia="Arial" w:hAnsi="Arial" w:cs="Arial"/>
                <w:i/>
              </w:rPr>
              <w:t xml:space="preserve">es para la prevención de adicciones y promoción de la salud en los centros. </w:t>
            </w:r>
          </w:p>
        </w:tc>
      </w:tr>
    </w:tbl>
    <w:p w:rsidR="00E23B86" w:rsidRDefault="00BA7C13">
      <w:pPr>
        <w:spacing w:after="124" w:line="265" w:lineRule="auto"/>
        <w:ind w:left="94" w:right="13" w:hanging="10"/>
      </w:pPr>
      <w:r>
        <w:rPr>
          <w:rFonts w:ascii="Segoe UI Symbol" w:eastAsia="Segoe UI Symbol" w:hAnsi="Segoe UI Symbol" w:cs="Segoe UI Symbol"/>
          <w:sz w:val="20"/>
        </w:rPr>
        <w:t></w:t>
      </w:r>
      <w:r>
        <w:rPr>
          <w:rFonts w:ascii="Arial" w:eastAsia="Arial" w:hAnsi="Arial" w:cs="Arial"/>
          <w:i/>
        </w:rPr>
        <w:t xml:space="preserve">   </w:t>
      </w:r>
    </w:p>
    <w:p w:rsidR="00E23B86" w:rsidRDefault="00BA7C13">
      <w:pPr>
        <w:numPr>
          <w:ilvl w:val="0"/>
          <w:numId w:val="140"/>
        </w:numPr>
        <w:spacing w:after="111" w:line="251" w:lineRule="auto"/>
        <w:ind w:right="1" w:hanging="841"/>
        <w:jc w:val="both"/>
      </w:pPr>
      <w:r>
        <w:rPr>
          <w:rFonts w:ascii="Arial" w:eastAsia="Arial" w:hAnsi="Arial" w:cs="Arial"/>
          <w:i/>
        </w:rPr>
        <w:t xml:space="preserve">6.1.2. Ámbito Familiar </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47008"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9228" name="Group 60922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405" name="Rectangle 4540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5406" name="Rectangle 4540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280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9228" style="width:12.7031pt;height:280.35pt;position:absolute;mso-position-horizontal-relative:page;mso-position-horizontal:absolute;margin-left:681.958pt;mso-position-vertical-relative:page;margin-top:531.65pt;" coordsize="1613,35604">
                <v:rect id="Rectangle 4540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40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280 de 391 </w:t>
                        </w:r>
                      </w:p>
                    </w:txbxContent>
                  </v:textbox>
                </v:rect>
                <w10:wrap type="topAndBottom"/>
              </v:group>
            </w:pict>
          </mc:Fallback>
        </mc:AlternateContent>
      </w:r>
      <w:r>
        <w:rPr>
          <w:rFonts w:ascii="Arial" w:eastAsia="Arial" w:hAnsi="Arial" w:cs="Arial"/>
          <w:i/>
        </w:rPr>
        <w:t>La familia es considerada el agente de la socialización primaria y en ella es donde se construye el carácter, personalidad, valores, de los niños y las niñas. La</w:t>
      </w:r>
      <w:r>
        <w:rPr>
          <w:rFonts w:ascii="Arial" w:eastAsia="Arial" w:hAnsi="Arial" w:cs="Arial"/>
          <w:i/>
        </w:rPr>
        <w:t xml:space="preserve"> prevención centrada en la familia es clave para promover estilos de vida sana en sus miembros/as y cumple una función clave en el desarrollo evolutivo de los y las menores. La prevención hacia la familia debe ir encaminada a dotar de recursos a las mismas</w:t>
      </w:r>
      <w:r>
        <w:rPr>
          <w:rFonts w:ascii="Arial" w:eastAsia="Arial" w:hAnsi="Arial" w:cs="Arial"/>
          <w:i/>
        </w:rPr>
        <w:t xml:space="preserve"> para que sean agentes de prevención y dotarles de estrategias para hacer frente a las situaciones de la vida a las que se deberán enfrentar sus hijos/as, y/o algún progenitor/a. </w:t>
      </w:r>
    </w:p>
    <w:p w:rsidR="00E23B86" w:rsidRDefault="00BA7C13">
      <w:pPr>
        <w:spacing w:after="84"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Objetivo general </w:t>
      </w:r>
    </w:p>
    <w:p w:rsidR="00E23B86" w:rsidRDefault="00BA7C13">
      <w:pPr>
        <w:numPr>
          <w:ilvl w:val="0"/>
          <w:numId w:val="140"/>
        </w:numPr>
        <w:spacing w:after="0" w:line="251" w:lineRule="auto"/>
        <w:ind w:right="1" w:hanging="841"/>
        <w:jc w:val="both"/>
      </w:pPr>
      <w:r>
        <w:rPr>
          <w:rFonts w:ascii="Arial" w:eastAsia="Arial" w:hAnsi="Arial" w:cs="Arial"/>
          <w:i/>
        </w:rPr>
        <w:t>Potenciar y promover modelos familiares positivos en lo referido a la educación para la salud, además de ofertar programas preventivos para todas las familias, así como para las familias cuyos hijos/as están en riesgo de consumo de drogas u otros comportam</w:t>
      </w:r>
      <w:r>
        <w:rPr>
          <w:rFonts w:ascii="Arial" w:eastAsia="Arial" w:hAnsi="Arial" w:cs="Arial"/>
          <w:i/>
        </w:rPr>
        <w:t xml:space="preserve">ientos adictivos. </w:t>
      </w:r>
    </w:p>
    <w:p w:rsidR="00E23B86" w:rsidRDefault="00BA7C13">
      <w:pPr>
        <w:spacing w:after="3" w:line="265" w:lineRule="auto"/>
        <w:ind w:left="94" w:right="13" w:hanging="10"/>
      </w:pPr>
      <w:r>
        <w:rPr>
          <w:rFonts w:ascii="Segoe UI Symbol" w:eastAsia="Segoe UI Symbol" w:hAnsi="Segoe UI Symbol" w:cs="Segoe UI Symbol"/>
          <w:sz w:val="20"/>
        </w:rPr>
        <w:t></w:t>
      </w:r>
    </w:p>
    <w:tbl>
      <w:tblPr>
        <w:tblStyle w:val="TableGrid"/>
        <w:tblW w:w="9606" w:type="dxa"/>
        <w:tblInd w:w="-829" w:type="dxa"/>
        <w:tblCellMar>
          <w:top w:w="13" w:type="dxa"/>
          <w:left w:w="362" w:type="dxa"/>
          <w:bottom w:w="4" w:type="dxa"/>
          <w:right w:w="131" w:type="dxa"/>
        </w:tblCellMar>
        <w:tblLook w:val="04A0" w:firstRow="1" w:lastRow="0" w:firstColumn="1" w:lastColumn="0" w:noHBand="0" w:noVBand="1"/>
      </w:tblPr>
      <w:tblGrid>
        <w:gridCol w:w="6540"/>
        <w:gridCol w:w="3066"/>
      </w:tblGrid>
      <w:tr w:rsidR="00E23B86">
        <w:trPr>
          <w:trHeight w:val="454"/>
        </w:trPr>
        <w:tc>
          <w:tcPr>
            <w:tcW w:w="6540" w:type="dxa"/>
            <w:tcBorders>
              <w:top w:val="single" w:sz="4" w:space="0" w:color="00000A"/>
              <w:left w:val="single" w:sz="5" w:space="0" w:color="00000A"/>
              <w:bottom w:val="single" w:sz="4" w:space="0" w:color="00000A"/>
              <w:right w:val="single" w:sz="4" w:space="0" w:color="00000A"/>
            </w:tcBorders>
            <w:shd w:val="clear" w:color="auto" w:fill="BFBFBF"/>
          </w:tcPr>
          <w:p w:rsidR="00E23B86" w:rsidRDefault="00BA7C13">
            <w:pPr>
              <w:spacing w:after="0"/>
              <w:ind w:left="349"/>
            </w:pPr>
            <w:r>
              <w:rPr>
                <w:rFonts w:ascii="Segoe UI Symbol" w:eastAsia="Segoe UI Symbol" w:hAnsi="Segoe UI Symbol" w:cs="Segoe UI Symbol"/>
                <w:sz w:val="20"/>
              </w:rPr>
              <w:t xml:space="preserve"> </w:t>
            </w:r>
            <w:r>
              <w:rPr>
                <w:rFonts w:ascii="Arial" w:eastAsia="Arial" w:hAnsi="Arial" w:cs="Arial"/>
                <w:i/>
              </w:rPr>
              <w:t>Actuaciones a desarrollar según nivel de prevención</w:t>
            </w:r>
          </w:p>
        </w:tc>
        <w:tc>
          <w:tcPr>
            <w:tcW w:w="3066" w:type="dxa"/>
            <w:tcBorders>
              <w:top w:val="nil"/>
              <w:left w:val="single" w:sz="4" w:space="0" w:color="00000A"/>
              <w:bottom w:val="single" w:sz="4" w:space="0" w:color="00000A"/>
              <w:right w:val="nil"/>
            </w:tcBorders>
          </w:tcPr>
          <w:p w:rsidR="00E23B86" w:rsidRDefault="00BA7C13">
            <w:pPr>
              <w:spacing w:after="0"/>
            </w:pPr>
            <w:r>
              <w:rPr>
                <w:rFonts w:ascii="Segoe UI Symbol" w:eastAsia="Segoe UI Symbol" w:hAnsi="Segoe UI Symbol" w:cs="Segoe UI Symbol"/>
                <w:sz w:val="20"/>
              </w:rPr>
              <w:t></w:t>
            </w:r>
          </w:p>
        </w:tc>
      </w:tr>
      <w:tr w:rsidR="00E23B86">
        <w:trPr>
          <w:trHeight w:val="454"/>
        </w:trPr>
        <w:tc>
          <w:tcPr>
            <w:tcW w:w="9606" w:type="dxa"/>
            <w:gridSpan w:val="2"/>
            <w:tcBorders>
              <w:top w:val="single" w:sz="4" w:space="0" w:color="00000A"/>
              <w:left w:val="single" w:sz="5" w:space="0" w:color="00000A"/>
              <w:bottom w:val="single" w:sz="4" w:space="0" w:color="00000A"/>
              <w:right w:val="single" w:sz="5" w:space="0" w:color="00000A"/>
            </w:tcBorders>
            <w:shd w:val="clear" w:color="auto" w:fill="BFBFBF"/>
          </w:tcPr>
          <w:p w:rsidR="00E23B86" w:rsidRDefault="00BA7C13">
            <w:pPr>
              <w:spacing w:after="0"/>
              <w:ind w:left="110"/>
              <w:jc w:val="center"/>
            </w:pPr>
            <w:r>
              <w:rPr>
                <w:rFonts w:ascii="Segoe UI Symbol" w:eastAsia="Segoe UI Symbol" w:hAnsi="Segoe UI Symbol" w:cs="Segoe UI Symbol"/>
                <w:sz w:val="20"/>
              </w:rPr>
              <w:t xml:space="preserve"> </w:t>
            </w:r>
            <w:r>
              <w:rPr>
                <w:rFonts w:ascii="Arial" w:eastAsia="Arial" w:hAnsi="Arial" w:cs="Arial"/>
                <w:i/>
              </w:rPr>
              <w:t>Actuación</w:t>
            </w:r>
          </w:p>
        </w:tc>
      </w:tr>
      <w:tr w:rsidR="00E23B86">
        <w:trPr>
          <w:trHeight w:val="1022"/>
        </w:trPr>
        <w:tc>
          <w:tcPr>
            <w:tcW w:w="9606" w:type="dxa"/>
            <w:gridSpan w:val="2"/>
            <w:tcBorders>
              <w:top w:val="single" w:sz="4" w:space="0" w:color="00000A"/>
              <w:left w:val="single" w:sz="5" w:space="0" w:color="00000A"/>
              <w:bottom w:val="single" w:sz="4" w:space="0" w:color="00000A"/>
              <w:right w:val="single" w:sz="5" w:space="0" w:color="00000A"/>
            </w:tcBorders>
            <w:shd w:val="clear" w:color="auto" w:fill="FFFFFF"/>
          </w:tcPr>
          <w:p w:rsidR="00E23B86" w:rsidRDefault="00BA7C13">
            <w:pPr>
              <w:spacing w:after="0"/>
              <w:ind w:left="468" w:hanging="360"/>
              <w:jc w:val="both"/>
            </w:pPr>
            <w:r>
              <w:rPr>
                <w:rFonts w:ascii="Segoe UI Symbol" w:eastAsia="Segoe UI Symbol" w:hAnsi="Segoe UI Symbol" w:cs="Segoe UI Symbol"/>
                <w:sz w:val="20"/>
              </w:rPr>
              <w:t xml:space="preserve"> </w:t>
            </w:r>
            <w:r>
              <w:rPr>
                <w:rFonts w:ascii="Arial" w:eastAsia="Arial" w:hAnsi="Arial" w:cs="Arial"/>
                <w:i/>
              </w:rPr>
              <w:t>Acción F1. Ofertar, a los padres/madres/tutores/as que presentan dificultades relacionadas con el consumo o adicciones de los hijos/as o algún/a progenitor/a o figura educativa, un programa/proyecto de orientación personalizada, ya sea de manera individual</w:t>
            </w:r>
            <w:r>
              <w:rPr>
                <w:rFonts w:ascii="Arial" w:eastAsia="Arial" w:hAnsi="Arial" w:cs="Arial"/>
                <w:i/>
              </w:rPr>
              <w:t xml:space="preserve"> o grupal, para apoyarles y revertir las situaciones de riesgo. </w:t>
            </w:r>
          </w:p>
        </w:tc>
      </w:tr>
      <w:tr w:rsidR="00E23B86">
        <w:trPr>
          <w:trHeight w:val="768"/>
        </w:trPr>
        <w:tc>
          <w:tcPr>
            <w:tcW w:w="9606" w:type="dxa"/>
            <w:gridSpan w:val="2"/>
            <w:tcBorders>
              <w:top w:val="single" w:sz="4" w:space="0" w:color="00000A"/>
              <w:left w:val="single" w:sz="5" w:space="0" w:color="00000A"/>
              <w:bottom w:val="single" w:sz="4" w:space="0" w:color="00000A"/>
              <w:right w:val="single" w:sz="5" w:space="0" w:color="00000A"/>
            </w:tcBorders>
          </w:tcPr>
          <w:p w:rsidR="00E23B86" w:rsidRDefault="00BA7C13">
            <w:pPr>
              <w:spacing w:after="0"/>
              <w:ind w:left="468" w:right="9" w:hanging="360"/>
              <w:jc w:val="both"/>
            </w:pPr>
            <w:r>
              <w:rPr>
                <w:rFonts w:ascii="Segoe UI Symbol" w:eastAsia="Segoe UI Symbol" w:hAnsi="Segoe UI Symbol" w:cs="Segoe UI Symbol"/>
                <w:sz w:val="20"/>
              </w:rPr>
              <w:t xml:space="preserve"> </w:t>
            </w:r>
            <w:r>
              <w:rPr>
                <w:rFonts w:ascii="Arial" w:eastAsia="Arial" w:hAnsi="Arial" w:cs="Arial"/>
                <w:i/>
              </w:rPr>
              <w:t>Acción F2. Ofertar espacios de formación y encuentro en el municipio dirigido a padres/madres/tutores/as con el fin de dotarles de herramientas y estrategias educativas que promuevan los factores de protección ante el consumo y adicciones.</w:t>
            </w:r>
          </w:p>
        </w:tc>
      </w:tr>
      <w:tr w:rsidR="00E23B86">
        <w:trPr>
          <w:trHeight w:val="1022"/>
        </w:trPr>
        <w:tc>
          <w:tcPr>
            <w:tcW w:w="9606" w:type="dxa"/>
            <w:gridSpan w:val="2"/>
            <w:tcBorders>
              <w:top w:val="single" w:sz="4" w:space="0" w:color="00000A"/>
              <w:left w:val="single" w:sz="5" w:space="0" w:color="00000A"/>
              <w:bottom w:val="single" w:sz="4" w:space="0" w:color="00000A"/>
              <w:right w:val="single" w:sz="5" w:space="0" w:color="00000A"/>
            </w:tcBorders>
          </w:tcPr>
          <w:p w:rsidR="00E23B86" w:rsidRDefault="00BA7C13">
            <w:pPr>
              <w:spacing w:after="0"/>
              <w:ind w:left="468" w:right="3" w:hanging="360"/>
              <w:jc w:val="both"/>
            </w:pPr>
            <w:r>
              <w:rPr>
                <w:rFonts w:ascii="Segoe UI Symbol" w:eastAsia="Segoe UI Symbol" w:hAnsi="Segoe UI Symbol" w:cs="Segoe UI Symbol"/>
                <w:sz w:val="20"/>
              </w:rPr>
              <w:t xml:space="preserve"> </w:t>
            </w:r>
            <w:r>
              <w:rPr>
                <w:rFonts w:ascii="Arial" w:eastAsia="Arial" w:hAnsi="Arial" w:cs="Arial"/>
                <w:i/>
              </w:rPr>
              <w:t>Acción F3. Or</w:t>
            </w:r>
            <w:r>
              <w:rPr>
                <w:rFonts w:ascii="Arial" w:eastAsia="Arial" w:hAnsi="Arial" w:cs="Arial"/>
                <w:i/>
              </w:rPr>
              <w:t>ganizar espacios de encuentro e intercambio entre las familias del municipio, mediante la celebración de días internacionales, eventos, actividades comunitarias, con el fin de potenciar las redes de apoyo entre éstas y el intercambio de experiencias educat</w:t>
            </w:r>
            <w:r>
              <w:rPr>
                <w:rFonts w:ascii="Arial" w:eastAsia="Arial" w:hAnsi="Arial" w:cs="Arial"/>
                <w:i/>
              </w:rPr>
              <w:t>ivas.</w:t>
            </w:r>
          </w:p>
        </w:tc>
      </w:tr>
      <w:tr w:rsidR="00E23B86">
        <w:trPr>
          <w:trHeight w:val="770"/>
        </w:trPr>
        <w:tc>
          <w:tcPr>
            <w:tcW w:w="9606" w:type="dxa"/>
            <w:gridSpan w:val="2"/>
            <w:tcBorders>
              <w:top w:val="single" w:sz="4" w:space="0" w:color="00000A"/>
              <w:left w:val="single" w:sz="5" w:space="0" w:color="00000A"/>
              <w:bottom w:val="single" w:sz="4" w:space="0" w:color="00000A"/>
              <w:right w:val="single" w:sz="5" w:space="0" w:color="00000A"/>
            </w:tcBorders>
          </w:tcPr>
          <w:p w:rsidR="00E23B86" w:rsidRDefault="00BA7C13">
            <w:pPr>
              <w:spacing w:after="0"/>
              <w:ind w:left="468" w:right="5" w:hanging="360"/>
              <w:jc w:val="both"/>
            </w:pPr>
            <w:r>
              <w:rPr>
                <w:rFonts w:ascii="Segoe UI Symbol" w:eastAsia="Segoe UI Symbol" w:hAnsi="Segoe UI Symbol" w:cs="Segoe UI Symbol"/>
                <w:sz w:val="20"/>
              </w:rPr>
              <w:t xml:space="preserve"> </w:t>
            </w:r>
            <w:r>
              <w:rPr>
                <w:rFonts w:ascii="Arial" w:eastAsia="Arial" w:hAnsi="Arial" w:cs="Arial"/>
                <w:i/>
              </w:rPr>
              <w:t>Acción F4.  Llevar a cabo formación de los/as agentes sociales de la comunidad que intervienen o se relacionan con las familias del municipio con el fin de que sean agentes de prevención y detección de riesgos.</w:t>
            </w:r>
          </w:p>
        </w:tc>
      </w:tr>
      <w:tr w:rsidR="00E23B86">
        <w:trPr>
          <w:trHeight w:val="768"/>
        </w:trPr>
        <w:tc>
          <w:tcPr>
            <w:tcW w:w="9606" w:type="dxa"/>
            <w:gridSpan w:val="2"/>
            <w:tcBorders>
              <w:top w:val="single" w:sz="4" w:space="0" w:color="00000A"/>
              <w:left w:val="single" w:sz="5" w:space="0" w:color="00000A"/>
              <w:bottom w:val="single" w:sz="4" w:space="0" w:color="00000A"/>
              <w:right w:val="single" w:sz="5" w:space="0" w:color="00000A"/>
            </w:tcBorders>
          </w:tcPr>
          <w:p w:rsidR="00E23B86" w:rsidRDefault="00BA7C13">
            <w:pPr>
              <w:spacing w:after="0"/>
              <w:ind w:left="468" w:right="5" w:hanging="360"/>
              <w:jc w:val="both"/>
            </w:pPr>
            <w:r>
              <w:rPr>
                <w:rFonts w:ascii="Segoe UI Symbol" w:eastAsia="Segoe UI Symbol" w:hAnsi="Segoe UI Symbol" w:cs="Segoe UI Symbol"/>
                <w:sz w:val="20"/>
              </w:rPr>
              <w:t xml:space="preserve"> </w:t>
            </w:r>
            <w:r>
              <w:rPr>
                <w:rFonts w:ascii="Arial" w:eastAsia="Arial" w:hAnsi="Arial" w:cs="Arial"/>
                <w:i/>
              </w:rPr>
              <w:t xml:space="preserve">Acción F5. Poner en marcha protocolos o procedimientos de detección e intervención familiar dirigidos a los/as agentes sociales del municipio con el fin de coordinar las acciones. </w:t>
            </w:r>
          </w:p>
        </w:tc>
      </w:tr>
      <w:tr w:rsidR="00E23B86">
        <w:trPr>
          <w:trHeight w:val="385"/>
        </w:trPr>
        <w:tc>
          <w:tcPr>
            <w:tcW w:w="9606" w:type="dxa"/>
            <w:gridSpan w:val="2"/>
            <w:tcBorders>
              <w:top w:val="single" w:sz="4" w:space="0" w:color="00000A"/>
              <w:left w:val="single" w:sz="5" w:space="0" w:color="00000A"/>
              <w:bottom w:val="single" w:sz="4" w:space="0" w:color="00000A"/>
              <w:right w:val="single" w:sz="5" w:space="0" w:color="00000A"/>
            </w:tcBorders>
            <w:vAlign w:val="bottom"/>
          </w:tcPr>
          <w:p w:rsidR="00E23B86" w:rsidRDefault="00BA7C13">
            <w:pPr>
              <w:spacing w:after="0"/>
              <w:ind w:left="108"/>
            </w:pPr>
            <w:r>
              <w:rPr>
                <w:rFonts w:ascii="Segoe UI Symbol" w:eastAsia="Segoe UI Symbol" w:hAnsi="Segoe UI Symbol" w:cs="Segoe UI Symbol"/>
                <w:sz w:val="20"/>
              </w:rPr>
              <w:t xml:space="preserve"> </w:t>
            </w:r>
            <w:r>
              <w:rPr>
                <w:rFonts w:ascii="Arial" w:eastAsia="Arial" w:hAnsi="Arial" w:cs="Arial"/>
                <w:i/>
              </w:rPr>
              <w:t>Acción F6. Ofertar un espacio de encuentro para la información y orienta</w:t>
            </w:r>
            <w:r>
              <w:rPr>
                <w:rFonts w:ascii="Arial" w:eastAsia="Arial" w:hAnsi="Arial" w:cs="Arial"/>
                <w:i/>
              </w:rPr>
              <w:t>ción sobre</w:t>
            </w:r>
          </w:p>
        </w:tc>
      </w:tr>
    </w:tbl>
    <w:p w:rsidR="00E23B86" w:rsidRDefault="00BA7C13">
      <w:pPr>
        <w:pBdr>
          <w:top w:val="single" w:sz="4" w:space="0" w:color="00000A"/>
          <w:left w:val="single" w:sz="5" w:space="0" w:color="00000A"/>
          <w:bottom w:val="single" w:sz="4" w:space="0" w:color="00000A"/>
          <w:right w:val="single" w:sz="5" w:space="0" w:color="00000A"/>
        </w:pBdr>
        <w:spacing w:after="131" w:line="240" w:lineRule="auto"/>
        <w:jc w:val="both"/>
      </w:pPr>
      <w:r>
        <w:rPr>
          <w:rFonts w:ascii="Arial" w:eastAsia="Arial" w:hAnsi="Arial" w:cs="Arial"/>
          <w:i/>
        </w:rPr>
        <w:t xml:space="preserve">competencias educativas para promover hábitos saludables en progenitores/as y/o tutores/as, de niños/as del ciclo de infantil (0-4 años) (escuela infantil municipal y escuelas privadas). </w:t>
      </w:r>
    </w:p>
    <w:p w:rsidR="00E23B86" w:rsidRDefault="00BA7C13">
      <w:pPr>
        <w:spacing w:after="122"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6.1.3. Ámbito Comunitario </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48032"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6589" name="Group 60658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513" name="Rectangle 4551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5514" name="Rectangle 4551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281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6589" style="width:12.7031pt;height:280.35pt;position:absolute;mso-position-horizontal-relative:page;mso-position-horizontal:absolute;margin-left:681.958pt;mso-position-vertical-relative:page;margin-top:531.65pt;" coordsize="1613,35604">
                <v:rect id="Rectangle 4551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51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281 de 391 </w:t>
                        </w:r>
                      </w:p>
                    </w:txbxContent>
                  </v:textbox>
                </v:rect>
                <w10:wrap type="topAndBottom"/>
              </v:group>
            </w:pict>
          </mc:Fallback>
        </mc:AlternateContent>
      </w:r>
      <w:r>
        <w:rPr>
          <w:rFonts w:ascii="Arial" w:eastAsia="Arial" w:hAnsi="Arial" w:cs="Arial"/>
          <w:i/>
        </w:rPr>
        <w:t>Nos referimos con comunidad, al escenario donde se dan intera</w:t>
      </w:r>
      <w:r>
        <w:rPr>
          <w:rFonts w:ascii="Arial" w:eastAsia="Arial" w:hAnsi="Arial" w:cs="Arial"/>
          <w:i/>
        </w:rPr>
        <w:t>cciones, oferta y demanda, uso del espacio público, ocio y tiempo libre, etc. Incluye este ámbito a la ciudadanía, la idiosincrasia de cada zona, realizando intervenciones por barrios, a través de las asociaciones vecinales, juveniles, jóvenes, adultos/as,</w:t>
      </w:r>
      <w:r>
        <w:rPr>
          <w:rFonts w:ascii="Arial" w:eastAsia="Arial" w:hAnsi="Arial" w:cs="Arial"/>
          <w:i/>
        </w:rPr>
        <w:t xml:space="preserve"> niños/as, mediadores/as, líderes/esas comunitarios/as, etc.</w:t>
      </w:r>
    </w:p>
    <w:p w:rsidR="00E23B86" w:rsidRDefault="00BA7C13">
      <w:pPr>
        <w:numPr>
          <w:ilvl w:val="0"/>
          <w:numId w:val="140"/>
        </w:numPr>
        <w:spacing w:after="111" w:line="251" w:lineRule="auto"/>
        <w:ind w:right="1" w:hanging="841"/>
        <w:jc w:val="both"/>
      </w:pPr>
      <w:r>
        <w:rPr>
          <w:rFonts w:ascii="Arial" w:eastAsia="Arial" w:hAnsi="Arial" w:cs="Arial"/>
          <w:i/>
        </w:rPr>
        <w:t>Las acciones deben apoyarse desde las asociaciones y organizaciones juveniles, profesionales, líderes/esas comunitarios/as (educadores/as de calle, animadores/as socioculturales, monitores/as deportivos y de tiempo libre, miembros/as de asociaciones juveni</w:t>
      </w:r>
      <w:r>
        <w:rPr>
          <w:rFonts w:ascii="Arial" w:eastAsia="Arial" w:hAnsi="Arial" w:cs="Arial"/>
          <w:i/>
        </w:rPr>
        <w:t>les, etc.).</w:t>
      </w:r>
    </w:p>
    <w:p w:rsidR="00E23B86" w:rsidRDefault="00BA7C13">
      <w:pPr>
        <w:numPr>
          <w:ilvl w:val="0"/>
          <w:numId w:val="140"/>
        </w:numPr>
        <w:spacing w:after="111" w:line="251" w:lineRule="auto"/>
        <w:ind w:right="1" w:hanging="841"/>
        <w:jc w:val="both"/>
      </w:pPr>
      <w:r>
        <w:rPr>
          <w:rFonts w:ascii="Arial" w:eastAsia="Arial" w:hAnsi="Arial" w:cs="Arial"/>
          <w:i/>
        </w:rPr>
        <w:t xml:space="preserve">Objetivo general </w:t>
      </w:r>
    </w:p>
    <w:p w:rsidR="00E23B86" w:rsidRDefault="00BA7C13">
      <w:pPr>
        <w:numPr>
          <w:ilvl w:val="0"/>
          <w:numId w:val="140"/>
        </w:numPr>
        <w:spacing w:after="0" w:line="251" w:lineRule="auto"/>
        <w:ind w:right="1" w:hanging="841"/>
        <w:jc w:val="both"/>
      </w:pPr>
      <w:r>
        <w:rPr>
          <w:rFonts w:ascii="Arial" w:eastAsia="Arial" w:hAnsi="Arial" w:cs="Arial"/>
          <w:i/>
        </w:rPr>
        <w:t>Promover la educación para la salud y prevención de las conductas adictivas tanto para la población residente como agentes sociales municipales, velando por una mejora de la prevención y detección precoz del consumo de sustanc</w:t>
      </w:r>
      <w:r>
        <w:rPr>
          <w:rFonts w:ascii="Arial" w:eastAsia="Arial" w:hAnsi="Arial" w:cs="Arial"/>
          <w:i/>
        </w:rPr>
        <w:t>ias y otras adicciones a través de los/as agentes sociales presentes en el territorio.</w:t>
      </w:r>
    </w:p>
    <w:p w:rsidR="00E23B86" w:rsidRDefault="00BA7C13">
      <w:pPr>
        <w:spacing w:after="3" w:line="265" w:lineRule="auto"/>
        <w:ind w:left="94" w:right="13" w:hanging="10"/>
      </w:pPr>
      <w:r>
        <w:rPr>
          <w:rFonts w:ascii="Segoe UI Symbol" w:eastAsia="Segoe UI Symbol" w:hAnsi="Segoe UI Symbol" w:cs="Segoe UI Symbol"/>
          <w:sz w:val="20"/>
        </w:rPr>
        <w:t></w:t>
      </w:r>
    </w:p>
    <w:tbl>
      <w:tblPr>
        <w:tblStyle w:val="TableGrid"/>
        <w:tblW w:w="9624" w:type="dxa"/>
        <w:tblInd w:w="-837" w:type="dxa"/>
        <w:tblCellMar>
          <w:top w:w="0" w:type="dxa"/>
          <w:left w:w="0" w:type="dxa"/>
          <w:bottom w:w="0" w:type="dxa"/>
          <w:right w:w="130" w:type="dxa"/>
        </w:tblCellMar>
        <w:tblLook w:val="04A0" w:firstRow="1" w:lastRow="0" w:firstColumn="1" w:lastColumn="0" w:noHBand="0" w:noVBand="1"/>
      </w:tblPr>
      <w:tblGrid>
        <w:gridCol w:w="1"/>
        <w:gridCol w:w="723"/>
        <w:gridCol w:w="5841"/>
        <w:gridCol w:w="3059"/>
        <w:gridCol w:w="1"/>
      </w:tblGrid>
      <w:tr w:rsidR="00E23B86">
        <w:trPr>
          <w:gridBefore w:val="1"/>
          <w:trHeight w:val="454"/>
        </w:trPr>
        <w:tc>
          <w:tcPr>
            <w:tcW w:w="723" w:type="dxa"/>
            <w:tcBorders>
              <w:top w:val="single" w:sz="4" w:space="0" w:color="00000A"/>
              <w:left w:val="single" w:sz="5" w:space="0" w:color="00000A"/>
              <w:bottom w:val="single" w:sz="4" w:space="0" w:color="00000A"/>
              <w:right w:val="nil"/>
            </w:tcBorders>
            <w:shd w:val="clear" w:color="auto" w:fill="BFBFBF"/>
          </w:tcPr>
          <w:p w:rsidR="00E23B86" w:rsidRDefault="00E23B86"/>
        </w:tc>
        <w:tc>
          <w:tcPr>
            <w:tcW w:w="5841" w:type="dxa"/>
            <w:tcBorders>
              <w:top w:val="single" w:sz="4" w:space="0" w:color="00000A"/>
              <w:left w:val="nil"/>
              <w:bottom w:val="single" w:sz="4" w:space="0" w:color="00000A"/>
              <w:right w:val="single" w:sz="4" w:space="0" w:color="00000A"/>
            </w:tcBorders>
            <w:shd w:val="clear" w:color="auto" w:fill="BFBFBF"/>
          </w:tcPr>
          <w:p w:rsidR="00E23B86" w:rsidRDefault="00BA7C13">
            <w:pPr>
              <w:spacing w:after="0"/>
            </w:pPr>
            <w:r>
              <w:rPr>
                <w:rFonts w:ascii="Segoe UI Symbol" w:eastAsia="Segoe UI Symbol" w:hAnsi="Segoe UI Symbol" w:cs="Segoe UI Symbol"/>
                <w:sz w:val="20"/>
              </w:rPr>
              <w:t xml:space="preserve"> </w:t>
            </w:r>
            <w:r>
              <w:rPr>
                <w:rFonts w:ascii="Arial" w:eastAsia="Arial" w:hAnsi="Arial" w:cs="Arial"/>
                <w:i/>
              </w:rPr>
              <w:t>Actuaciones a desarrollar según nivel de prevención</w:t>
            </w:r>
          </w:p>
        </w:tc>
        <w:tc>
          <w:tcPr>
            <w:tcW w:w="3060" w:type="dxa"/>
            <w:gridSpan w:val="2"/>
            <w:tcBorders>
              <w:top w:val="nil"/>
              <w:left w:val="single" w:sz="4" w:space="0" w:color="00000A"/>
              <w:bottom w:val="single" w:sz="4" w:space="0" w:color="00000A"/>
              <w:right w:val="nil"/>
            </w:tcBorders>
          </w:tcPr>
          <w:p w:rsidR="00E23B86" w:rsidRDefault="00BA7C13">
            <w:pPr>
              <w:spacing w:after="0"/>
              <w:ind w:left="361"/>
            </w:pPr>
            <w:r>
              <w:rPr>
                <w:rFonts w:ascii="Segoe UI Symbol" w:eastAsia="Segoe UI Symbol" w:hAnsi="Segoe UI Symbol" w:cs="Segoe UI Symbol"/>
                <w:sz w:val="20"/>
              </w:rPr>
              <w:t></w:t>
            </w:r>
          </w:p>
        </w:tc>
      </w:tr>
      <w:tr w:rsidR="00E23B86">
        <w:trPr>
          <w:gridBefore w:val="1"/>
          <w:trHeight w:val="454"/>
        </w:trPr>
        <w:tc>
          <w:tcPr>
            <w:tcW w:w="723" w:type="dxa"/>
            <w:tcBorders>
              <w:top w:val="single" w:sz="4" w:space="0" w:color="00000A"/>
              <w:left w:val="single" w:sz="5" w:space="0" w:color="00000A"/>
              <w:bottom w:val="single" w:sz="4" w:space="0" w:color="00000A"/>
              <w:right w:val="nil"/>
            </w:tcBorders>
            <w:shd w:val="clear" w:color="auto" w:fill="BFBFBF"/>
          </w:tcPr>
          <w:p w:rsidR="00E23B86" w:rsidRDefault="00E23B86"/>
        </w:tc>
        <w:tc>
          <w:tcPr>
            <w:tcW w:w="8901" w:type="dxa"/>
            <w:gridSpan w:val="3"/>
            <w:tcBorders>
              <w:top w:val="single" w:sz="4" w:space="0" w:color="00000A"/>
              <w:left w:val="nil"/>
              <w:bottom w:val="single" w:sz="4" w:space="0" w:color="00000A"/>
              <w:right w:val="single" w:sz="5" w:space="0" w:color="00000A"/>
            </w:tcBorders>
            <w:shd w:val="clear" w:color="auto" w:fill="BFBFBF"/>
          </w:tcPr>
          <w:p w:rsidR="00E23B86" w:rsidRDefault="00BA7C13">
            <w:pPr>
              <w:spacing w:after="0"/>
              <w:ind w:right="254"/>
              <w:jc w:val="center"/>
            </w:pPr>
            <w:r>
              <w:rPr>
                <w:rFonts w:ascii="Segoe UI Symbol" w:eastAsia="Segoe UI Symbol" w:hAnsi="Segoe UI Symbol" w:cs="Segoe UI Symbol"/>
                <w:sz w:val="20"/>
              </w:rPr>
              <w:t xml:space="preserve"> </w:t>
            </w:r>
            <w:r>
              <w:rPr>
                <w:rFonts w:ascii="Arial" w:eastAsia="Arial" w:hAnsi="Arial" w:cs="Arial"/>
                <w:i/>
              </w:rPr>
              <w:t>Actuación</w:t>
            </w:r>
          </w:p>
        </w:tc>
      </w:tr>
      <w:tr w:rsidR="00E23B86">
        <w:trPr>
          <w:gridBefore w:val="1"/>
          <w:trHeight w:val="1010"/>
        </w:trPr>
        <w:tc>
          <w:tcPr>
            <w:tcW w:w="723" w:type="dxa"/>
            <w:tcBorders>
              <w:top w:val="single" w:sz="4" w:space="0" w:color="00000A"/>
              <w:left w:val="single" w:sz="5" w:space="0" w:color="00000A"/>
              <w:bottom w:val="single" w:sz="4" w:space="0" w:color="00000A"/>
              <w:right w:val="nil"/>
            </w:tcBorders>
            <w:shd w:val="clear" w:color="auto" w:fill="FFFFFF"/>
          </w:tcPr>
          <w:p w:rsidR="00E23B86" w:rsidRDefault="00BA7C13">
            <w:pPr>
              <w:spacing w:after="0"/>
              <w:ind w:left="437"/>
              <w:jc w:val="center"/>
            </w:pPr>
            <w:r>
              <w:rPr>
                <w:rFonts w:ascii="Segoe UI Symbol" w:eastAsia="Segoe UI Symbol" w:hAnsi="Segoe UI Symbol" w:cs="Segoe UI Symbol"/>
                <w:sz w:val="20"/>
              </w:rPr>
              <w:t></w:t>
            </w:r>
          </w:p>
        </w:tc>
        <w:tc>
          <w:tcPr>
            <w:tcW w:w="8901" w:type="dxa"/>
            <w:gridSpan w:val="3"/>
            <w:tcBorders>
              <w:top w:val="single" w:sz="4" w:space="0" w:color="00000A"/>
              <w:left w:val="nil"/>
              <w:bottom w:val="single" w:sz="4" w:space="0" w:color="00000A"/>
              <w:right w:val="single" w:sz="5" w:space="0" w:color="00000A"/>
            </w:tcBorders>
            <w:shd w:val="clear" w:color="auto" w:fill="FFFFFF"/>
            <w:vAlign w:val="center"/>
          </w:tcPr>
          <w:p w:rsidR="00E23B86" w:rsidRDefault="00BA7C13">
            <w:pPr>
              <w:spacing w:after="0"/>
              <w:ind w:left="106" w:right="2"/>
              <w:jc w:val="both"/>
            </w:pPr>
            <w:r>
              <w:rPr>
                <w:rFonts w:ascii="Arial" w:eastAsia="Arial" w:hAnsi="Arial" w:cs="Arial"/>
                <w:i/>
              </w:rPr>
              <w:t xml:space="preserve">Acción C1. Poner en marcha programas, proyectos y/o actividades de educación para la salud y prevención de conductas adictivas dirigidas a los/as agentes sociales del municipio.  </w:t>
            </w:r>
          </w:p>
        </w:tc>
      </w:tr>
      <w:tr w:rsidR="00E23B86">
        <w:trPr>
          <w:gridBefore w:val="1"/>
          <w:trHeight w:val="1008"/>
        </w:trPr>
        <w:tc>
          <w:tcPr>
            <w:tcW w:w="723" w:type="dxa"/>
            <w:tcBorders>
              <w:top w:val="single" w:sz="4" w:space="0" w:color="00000A"/>
              <w:left w:val="single" w:sz="5" w:space="0" w:color="00000A"/>
              <w:bottom w:val="single" w:sz="4" w:space="0" w:color="00000A"/>
              <w:right w:val="nil"/>
            </w:tcBorders>
          </w:tcPr>
          <w:p w:rsidR="00E23B86" w:rsidRDefault="00BA7C13">
            <w:pPr>
              <w:spacing w:after="0"/>
              <w:ind w:left="437"/>
              <w:jc w:val="center"/>
            </w:pPr>
            <w:r>
              <w:rPr>
                <w:rFonts w:ascii="Segoe UI Symbol" w:eastAsia="Segoe UI Symbol" w:hAnsi="Segoe UI Symbol" w:cs="Segoe UI Symbol"/>
                <w:sz w:val="20"/>
              </w:rPr>
              <w:t></w:t>
            </w:r>
          </w:p>
        </w:tc>
        <w:tc>
          <w:tcPr>
            <w:tcW w:w="8901" w:type="dxa"/>
            <w:gridSpan w:val="3"/>
            <w:tcBorders>
              <w:top w:val="single" w:sz="4" w:space="0" w:color="00000A"/>
              <w:left w:val="nil"/>
              <w:bottom w:val="single" w:sz="4" w:space="0" w:color="00000A"/>
              <w:right w:val="single" w:sz="5" w:space="0" w:color="00000A"/>
            </w:tcBorders>
            <w:vAlign w:val="center"/>
          </w:tcPr>
          <w:p w:rsidR="00E23B86" w:rsidRDefault="00BA7C13">
            <w:pPr>
              <w:spacing w:after="0"/>
              <w:ind w:left="106" w:right="2"/>
              <w:jc w:val="both"/>
            </w:pPr>
            <w:r>
              <w:rPr>
                <w:rFonts w:ascii="Arial" w:eastAsia="Arial" w:hAnsi="Arial" w:cs="Arial"/>
                <w:i/>
              </w:rPr>
              <w:t xml:space="preserve">Acción C2. Ofrecer información y formación a los/as agentes sociales de la comunidad, dando prioridad a quiénes intervienen a través de ocio, cultura, deporte, con menores y adolescentes del municipio y personal propio de la Corporación Local. </w:t>
            </w:r>
          </w:p>
        </w:tc>
      </w:tr>
      <w:tr w:rsidR="00E23B86">
        <w:trPr>
          <w:gridBefore w:val="1"/>
          <w:trHeight w:val="756"/>
        </w:trPr>
        <w:tc>
          <w:tcPr>
            <w:tcW w:w="723" w:type="dxa"/>
            <w:tcBorders>
              <w:top w:val="single" w:sz="4" w:space="0" w:color="00000A"/>
              <w:left w:val="single" w:sz="5" w:space="0" w:color="00000A"/>
              <w:bottom w:val="single" w:sz="4" w:space="0" w:color="00000A"/>
              <w:right w:val="nil"/>
            </w:tcBorders>
          </w:tcPr>
          <w:p w:rsidR="00E23B86" w:rsidRDefault="00BA7C13">
            <w:pPr>
              <w:spacing w:after="0"/>
              <w:ind w:left="437"/>
              <w:jc w:val="center"/>
            </w:pPr>
            <w:r>
              <w:rPr>
                <w:rFonts w:ascii="Segoe UI Symbol" w:eastAsia="Segoe UI Symbol" w:hAnsi="Segoe UI Symbol" w:cs="Segoe UI Symbol"/>
                <w:sz w:val="20"/>
              </w:rPr>
              <w:t></w:t>
            </w:r>
          </w:p>
        </w:tc>
        <w:tc>
          <w:tcPr>
            <w:tcW w:w="8901" w:type="dxa"/>
            <w:gridSpan w:val="3"/>
            <w:tcBorders>
              <w:top w:val="single" w:sz="4" w:space="0" w:color="00000A"/>
              <w:left w:val="nil"/>
              <w:bottom w:val="single" w:sz="4" w:space="0" w:color="00000A"/>
              <w:right w:val="single" w:sz="5" w:space="0" w:color="00000A"/>
            </w:tcBorders>
            <w:vAlign w:val="center"/>
          </w:tcPr>
          <w:p w:rsidR="00E23B86" w:rsidRDefault="00BA7C13">
            <w:pPr>
              <w:spacing w:after="0"/>
              <w:ind w:left="106"/>
              <w:jc w:val="both"/>
            </w:pPr>
            <w:r>
              <w:rPr>
                <w:rFonts w:ascii="Arial" w:eastAsia="Arial" w:hAnsi="Arial" w:cs="Arial"/>
                <w:i/>
              </w:rPr>
              <w:t>Acción C3. Poner en marcha protocolos y procedimientos para la detección precoz y coordinación de las actuaciones con persona en riesgo de consumo o adicciones.</w:t>
            </w:r>
          </w:p>
        </w:tc>
      </w:tr>
      <w:tr w:rsidR="00E23B86">
        <w:trPr>
          <w:gridBefore w:val="1"/>
          <w:trHeight w:val="1262"/>
        </w:trPr>
        <w:tc>
          <w:tcPr>
            <w:tcW w:w="723" w:type="dxa"/>
            <w:tcBorders>
              <w:top w:val="single" w:sz="4" w:space="0" w:color="00000A"/>
              <w:left w:val="single" w:sz="5" w:space="0" w:color="00000A"/>
              <w:bottom w:val="single" w:sz="4" w:space="0" w:color="00000A"/>
              <w:right w:val="nil"/>
            </w:tcBorders>
          </w:tcPr>
          <w:p w:rsidR="00E23B86" w:rsidRDefault="00BA7C13">
            <w:pPr>
              <w:spacing w:after="0"/>
              <w:ind w:left="437"/>
              <w:jc w:val="center"/>
            </w:pPr>
            <w:r>
              <w:rPr>
                <w:rFonts w:ascii="Segoe UI Symbol" w:eastAsia="Segoe UI Symbol" w:hAnsi="Segoe UI Symbol" w:cs="Segoe UI Symbol"/>
                <w:sz w:val="20"/>
              </w:rPr>
              <w:t></w:t>
            </w:r>
          </w:p>
        </w:tc>
        <w:tc>
          <w:tcPr>
            <w:tcW w:w="8901" w:type="dxa"/>
            <w:gridSpan w:val="3"/>
            <w:tcBorders>
              <w:top w:val="single" w:sz="4" w:space="0" w:color="00000A"/>
              <w:left w:val="nil"/>
              <w:bottom w:val="single" w:sz="4" w:space="0" w:color="00000A"/>
              <w:right w:val="single" w:sz="5" w:space="0" w:color="00000A"/>
            </w:tcBorders>
            <w:vAlign w:val="center"/>
          </w:tcPr>
          <w:p w:rsidR="00E23B86" w:rsidRDefault="00BA7C13">
            <w:pPr>
              <w:spacing w:after="0"/>
              <w:ind w:left="106"/>
              <w:jc w:val="both"/>
            </w:pPr>
            <w:r>
              <w:rPr>
                <w:rFonts w:ascii="Arial" w:eastAsia="Arial" w:hAnsi="Arial" w:cs="Arial"/>
                <w:i/>
              </w:rPr>
              <w:t>Acción C4. Llevar a cabo un seguimiento y supervisión de la prevención ambiental municipal (cumplimiento de ordenanzas municipales, publicidad de drogas, tiendas y clubes de consumidores/as de derivados cannábicos, espacios de juegos de apuestas, etc.).</w:t>
            </w:r>
          </w:p>
        </w:tc>
      </w:tr>
      <w:tr w:rsidR="00E23B86">
        <w:trPr>
          <w:gridBefore w:val="1"/>
          <w:trHeight w:val="1010"/>
        </w:trPr>
        <w:tc>
          <w:tcPr>
            <w:tcW w:w="723" w:type="dxa"/>
            <w:tcBorders>
              <w:top w:val="single" w:sz="4" w:space="0" w:color="00000A"/>
              <w:left w:val="single" w:sz="5" w:space="0" w:color="00000A"/>
              <w:bottom w:val="single" w:sz="4" w:space="0" w:color="00000A"/>
              <w:right w:val="nil"/>
            </w:tcBorders>
          </w:tcPr>
          <w:p w:rsidR="00E23B86" w:rsidRDefault="00BA7C13">
            <w:pPr>
              <w:spacing w:after="0"/>
              <w:ind w:left="437"/>
              <w:jc w:val="center"/>
            </w:pPr>
            <w:r>
              <w:rPr>
                <w:rFonts w:ascii="Segoe UI Symbol" w:eastAsia="Segoe UI Symbol" w:hAnsi="Segoe UI Symbol" w:cs="Segoe UI Symbol"/>
                <w:sz w:val="20"/>
              </w:rPr>
              <w:t></w:t>
            </w:r>
          </w:p>
        </w:tc>
        <w:tc>
          <w:tcPr>
            <w:tcW w:w="8901" w:type="dxa"/>
            <w:gridSpan w:val="3"/>
            <w:tcBorders>
              <w:top w:val="single" w:sz="4" w:space="0" w:color="00000A"/>
              <w:left w:val="nil"/>
              <w:bottom w:val="single" w:sz="4" w:space="0" w:color="00000A"/>
              <w:right w:val="single" w:sz="5" w:space="0" w:color="00000A"/>
            </w:tcBorders>
            <w:vAlign w:val="center"/>
          </w:tcPr>
          <w:p w:rsidR="00E23B86" w:rsidRDefault="00BA7C13">
            <w:pPr>
              <w:spacing w:after="0"/>
              <w:ind w:left="106" w:right="3"/>
              <w:jc w:val="both"/>
            </w:pPr>
            <w:r>
              <w:rPr>
                <w:rFonts w:ascii="Arial" w:eastAsia="Arial" w:hAnsi="Arial" w:cs="Arial"/>
                <w:i/>
              </w:rPr>
              <w:t>Acción C5. Ofertar o aprovechar los espacios de encuentro de la ciudadanía (espacios de uso compartidos, días de celebración, etc.), para llevar a cabo educación para la salud y prevención de las adicciones.</w:t>
            </w:r>
          </w:p>
        </w:tc>
      </w:tr>
      <w:tr w:rsidR="00E23B86">
        <w:trPr>
          <w:gridBefore w:val="1"/>
          <w:trHeight w:val="637"/>
        </w:trPr>
        <w:tc>
          <w:tcPr>
            <w:tcW w:w="723" w:type="dxa"/>
            <w:tcBorders>
              <w:top w:val="single" w:sz="4" w:space="0" w:color="00000A"/>
              <w:left w:val="single" w:sz="5" w:space="0" w:color="00000A"/>
              <w:bottom w:val="single" w:sz="4" w:space="0" w:color="00000A"/>
              <w:right w:val="nil"/>
            </w:tcBorders>
          </w:tcPr>
          <w:p w:rsidR="00E23B86" w:rsidRDefault="00BA7C13">
            <w:pPr>
              <w:spacing w:after="0"/>
              <w:ind w:left="437"/>
              <w:jc w:val="center"/>
            </w:pPr>
            <w:r>
              <w:rPr>
                <w:rFonts w:ascii="Segoe UI Symbol" w:eastAsia="Segoe UI Symbol" w:hAnsi="Segoe UI Symbol" w:cs="Segoe UI Symbol"/>
                <w:sz w:val="20"/>
              </w:rPr>
              <w:t></w:t>
            </w:r>
          </w:p>
        </w:tc>
        <w:tc>
          <w:tcPr>
            <w:tcW w:w="8901" w:type="dxa"/>
            <w:gridSpan w:val="3"/>
            <w:tcBorders>
              <w:top w:val="single" w:sz="4" w:space="0" w:color="00000A"/>
              <w:left w:val="nil"/>
              <w:bottom w:val="single" w:sz="4" w:space="0" w:color="00000A"/>
              <w:right w:val="single" w:sz="5" w:space="0" w:color="00000A"/>
            </w:tcBorders>
            <w:vAlign w:val="bottom"/>
          </w:tcPr>
          <w:p w:rsidR="00E23B86" w:rsidRDefault="00BA7C13">
            <w:pPr>
              <w:spacing w:after="0"/>
              <w:ind w:left="106"/>
              <w:jc w:val="both"/>
            </w:pPr>
            <w:r>
              <w:rPr>
                <w:rFonts w:ascii="Arial" w:eastAsia="Arial" w:hAnsi="Arial" w:cs="Arial"/>
                <w:i/>
              </w:rPr>
              <w:t>Acción C6. Ofertar al tejido asociativo municipal (jóvenes, mayores,  vecinos/as, etc.) un catálogo de actividades informativas, de sensibilización y de orientación sobre</w:t>
            </w:r>
          </w:p>
        </w:tc>
      </w:tr>
      <w:tr w:rsidR="00E23B86">
        <w:trPr>
          <w:gridAfter w:val="1"/>
          <w:trHeight w:val="503"/>
        </w:trPr>
        <w:tc>
          <w:tcPr>
            <w:tcW w:w="9624" w:type="dxa"/>
            <w:gridSpan w:val="4"/>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60"/>
            </w:pPr>
            <w:r>
              <w:rPr>
                <w:rFonts w:ascii="Arial" w:eastAsia="Arial" w:hAnsi="Arial" w:cs="Arial"/>
                <w:i/>
              </w:rPr>
              <w:t xml:space="preserve">educación para la salud y prevención de adicciones </w:t>
            </w:r>
          </w:p>
        </w:tc>
      </w:tr>
      <w:tr w:rsidR="00E23B86">
        <w:trPr>
          <w:gridAfter w:val="1"/>
          <w:trHeight w:val="1008"/>
        </w:trPr>
        <w:tc>
          <w:tcPr>
            <w:tcW w:w="9624" w:type="dxa"/>
            <w:gridSpan w:val="4"/>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60" w:right="1" w:hanging="360"/>
              <w:jc w:val="both"/>
            </w:pPr>
            <w:r>
              <w:rPr>
                <w:rFonts w:ascii="Segoe UI Symbol" w:eastAsia="Segoe UI Symbol" w:hAnsi="Segoe UI Symbol" w:cs="Segoe UI Symbol"/>
                <w:sz w:val="20"/>
              </w:rPr>
              <w:t xml:space="preserve"> </w:t>
            </w:r>
            <w:r>
              <w:rPr>
                <w:rFonts w:ascii="Arial" w:eastAsia="Arial" w:hAnsi="Arial" w:cs="Arial"/>
                <w:i/>
              </w:rPr>
              <w:t xml:space="preserve">Acción C7. Llevar a cabo campañas de sensibilización sobre hábitos saludables para toda la comunidad y/o específica por sectores sobre hábitos de vida saludable y prevención de adicciones. </w:t>
            </w:r>
          </w:p>
        </w:tc>
      </w:tr>
      <w:tr w:rsidR="00E23B86">
        <w:trPr>
          <w:gridAfter w:val="1"/>
          <w:trHeight w:val="1010"/>
        </w:trPr>
        <w:tc>
          <w:tcPr>
            <w:tcW w:w="9624" w:type="dxa"/>
            <w:gridSpan w:val="4"/>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60" w:right="5" w:hanging="360"/>
              <w:jc w:val="both"/>
            </w:pPr>
            <w:r>
              <w:rPr>
                <w:rFonts w:ascii="Segoe UI Symbol" w:eastAsia="Segoe UI Symbol" w:hAnsi="Segoe UI Symbol" w:cs="Segoe UI Symbol"/>
                <w:sz w:val="20"/>
              </w:rPr>
              <w:t xml:space="preserve"> </w:t>
            </w:r>
            <w:r>
              <w:rPr>
                <w:rFonts w:ascii="Arial" w:eastAsia="Arial" w:hAnsi="Arial" w:cs="Arial"/>
                <w:i/>
              </w:rPr>
              <w:t>Acción C8.  Crear un espacio virtual interactivo (residentes) d</w:t>
            </w:r>
            <w:r>
              <w:rPr>
                <w:rFonts w:ascii="Arial" w:eastAsia="Arial" w:hAnsi="Arial" w:cs="Arial"/>
                <w:i/>
              </w:rPr>
              <w:t>entro de la web institucional, centrado en la promoción de hábitos de vida saludable y prevención de adicciones.</w:t>
            </w:r>
          </w:p>
        </w:tc>
      </w:tr>
      <w:tr w:rsidR="00E23B86">
        <w:trPr>
          <w:gridAfter w:val="1"/>
          <w:trHeight w:val="1262"/>
        </w:trPr>
        <w:tc>
          <w:tcPr>
            <w:tcW w:w="9624" w:type="dxa"/>
            <w:gridSpan w:val="4"/>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60" w:right="2" w:hanging="360"/>
              <w:jc w:val="both"/>
            </w:pPr>
            <w:r>
              <w:rPr>
                <w:rFonts w:ascii="Segoe UI Symbol" w:eastAsia="Segoe UI Symbol" w:hAnsi="Segoe UI Symbol" w:cs="Segoe UI Symbol"/>
                <w:sz w:val="20"/>
              </w:rPr>
              <w:t xml:space="preserve"> </w:t>
            </w:r>
            <w:r>
              <w:rPr>
                <w:rFonts w:ascii="Arial" w:eastAsia="Arial" w:hAnsi="Arial" w:cs="Arial"/>
                <w:i/>
              </w:rPr>
              <w:t>Acción C9. Organizar y poner en marcha actividades de prevención de adicciones y promoción de la salud en eventos y fiestas municipales, dirigidas a sensibilizar, informar y hacer seguimiento de la comprobación de la prevención ambiental (menores y venta d</w:t>
            </w:r>
            <w:r>
              <w:rPr>
                <w:rFonts w:ascii="Arial" w:eastAsia="Arial" w:hAnsi="Arial" w:cs="Arial"/>
                <w:i/>
              </w:rPr>
              <w:t xml:space="preserve">e alcohol, menores y eventos, publicidad, ordenanza municipal de fiestas, etc.). </w:t>
            </w:r>
          </w:p>
        </w:tc>
      </w:tr>
      <w:tr w:rsidR="00E23B86">
        <w:trPr>
          <w:gridAfter w:val="1"/>
          <w:trHeight w:val="1008"/>
        </w:trPr>
        <w:tc>
          <w:tcPr>
            <w:tcW w:w="9624" w:type="dxa"/>
            <w:gridSpan w:val="4"/>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60" w:right="10" w:hanging="360"/>
              <w:jc w:val="both"/>
            </w:pPr>
            <w:r>
              <w:rPr>
                <w:rFonts w:ascii="Segoe UI Symbol" w:eastAsia="Segoe UI Symbol" w:hAnsi="Segoe UI Symbol" w:cs="Segoe UI Symbol"/>
                <w:sz w:val="20"/>
              </w:rPr>
              <w:t xml:space="preserve"> </w:t>
            </w:r>
            <w:r>
              <w:rPr>
                <w:rFonts w:ascii="Arial" w:eastAsia="Arial" w:hAnsi="Arial" w:cs="Arial"/>
                <w:i/>
              </w:rPr>
              <w:t>Acción C10. Llevar a cabo acciones en los distintos barrios del municipio educación de calle centrada en la promoción de la participación en la educación para la salud, co</w:t>
            </w:r>
            <w:r>
              <w:rPr>
                <w:rFonts w:ascii="Arial" w:eastAsia="Arial" w:hAnsi="Arial" w:cs="Arial"/>
                <w:i/>
              </w:rPr>
              <w:t>ordinando las mismas con el tejido asociativo existente.</w:t>
            </w:r>
          </w:p>
        </w:tc>
      </w:tr>
      <w:tr w:rsidR="00E23B86">
        <w:trPr>
          <w:gridAfter w:val="1"/>
          <w:trHeight w:val="1010"/>
        </w:trPr>
        <w:tc>
          <w:tcPr>
            <w:tcW w:w="9624" w:type="dxa"/>
            <w:gridSpan w:val="4"/>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60" w:right="2" w:hanging="360"/>
              <w:jc w:val="both"/>
            </w:pPr>
            <w:r>
              <w:rPr>
                <w:rFonts w:ascii="Segoe UI Symbol" w:eastAsia="Segoe UI Symbol" w:hAnsi="Segoe UI Symbol" w:cs="Segoe UI Symbol"/>
                <w:sz w:val="20"/>
              </w:rPr>
              <w:t xml:space="preserve"> </w:t>
            </w:r>
            <w:r>
              <w:rPr>
                <w:rFonts w:ascii="Arial" w:eastAsia="Arial" w:hAnsi="Arial" w:cs="Arial"/>
                <w:i/>
              </w:rPr>
              <w:t>Acción C11. Editar material de orientación, información y sensibilización, en formato digital y papel, para toda la comunidad o sectores específicos de la población, centrado en hábitos de vida saludable y prevención de adicciones.</w:t>
            </w:r>
          </w:p>
        </w:tc>
      </w:tr>
      <w:tr w:rsidR="00E23B86">
        <w:trPr>
          <w:gridAfter w:val="1"/>
          <w:trHeight w:val="1262"/>
        </w:trPr>
        <w:tc>
          <w:tcPr>
            <w:tcW w:w="9624" w:type="dxa"/>
            <w:gridSpan w:val="4"/>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60" w:right="7" w:hanging="360"/>
              <w:jc w:val="both"/>
            </w:pPr>
            <w:r>
              <w:rPr>
                <w:rFonts w:ascii="Segoe UI Symbol" w:eastAsia="Segoe UI Symbol" w:hAnsi="Segoe UI Symbol" w:cs="Segoe UI Symbol"/>
                <w:sz w:val="20"/>
              </w:rPr>
              <w:t xml:space="preserve"> </w:t>
            </w:r>
            <w:r>
              <w:rPr>
                <w:rFonts w:ascii="Arial" w:eastAsia="Arial" w:hAnsi="Arial" w:cs="Arial"/>
                <w:i/>
              </w:rPr>
              <w:t xml:space="preserve">Acción C12. Llevar a </w:t>
            </w:r>
            <w:r>
              <w:rPr>
                <w:rFonts w:ascii="Arial" w:eastAsia="Arial" w:hAnsi="Arial" w:cs="Arial"/>
                <w:i/>
              </w:rPr>
              <w:t>cabo campañas de información, sensibilización y orientación al sector servicios del municipio sobre prevención ambiental (cumplimiento de normativas menores-alcohol-tabaco, evitar mensajes no saludables, eliminar publicidad y reclamos sexistas, etc.).</w:t>
            </w:r>
          </w:p>
        </w:tc>
      </w:tr>
      <w:tr w:rsidR="00E23B86">
        <w:trPr>
          <w:gridAfter w:val="1"/>
          <w:trHeight w:val="756"/>
        </w:trPr>
        <w:tc>
          <w:tcPr>
            <w:tcW w:w="9624" w:type="dxa"/>
            <w:gridSpan w:val="4"/>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60" w:hanging="360"/>
              <w:jc w:val="both"/>
            </w:pPr>
            <w:r>
              <w:rPr>
                <w:rFonts w:ascii="Segoe UI Symbol" w:eastAsia="Segoe UI Symbol" w:hAnsi="Segoe UI Symbol" w:cs="Segoe UI Symbol"/>
                <w:sz w:val="20"/>
              </w:rPr>
              <w:t xml:space="preserve"> </w:t>
            </w:r>
            <w:r>
              <w:rPr>
                <w:rFonts w:ascii="Arial" w:eastAsia="Arial" w:hAnsi="Arial" w:cs="Arial"/>
                <w:i/>
              </w:rPr>
              <w:t xml:space="preserve">Acción C13. Realizar, a través del espacio de radio municipal, programas sobre promoción de la salud y prevención de adicciones. </w:t>
            </w:r>
          </w:p>
        </w:tc>
      </w:tr>
      <w:tr w:rsidR="00E23B86">
        <w:trPr>
          <w:gridAfter w:val="1"/>
          <w:trHeight w:val="1263"/>
        </w:trPr>
        <w:tc>
          <w:tcPr>
            <w:tcW w:w="9624" w:type="dxa"/>
            <w:gridSpan w:val="4"/>
            <w:tcBorders>
              <w:top w:val="single" w:sz="4" w:space="0" w:color="00000A"/>
              <w:left w:val="single" w:sz="4" w:space="0" w:color="00000A"/>
              <w:bottom w:val="single" w:sz="4" w:space="0" w:color="00000A"/>
              <w:right w:val="single" w:sz="4" w:space="0" w:color="00000A"/>
            </w:tcBorders>
            <w:vAlign w:val="center"/>
          </w:tcPr>
          <w:p w:rsidR="00E23B86" w:rsidRDefault="00BA7C13">
            <w:pPr>
              <w:spacing w:after="0"/>
              <w:ind w:left="360" w:right="6" w:hanging="360"/>
              <w:jc w:val="both"/>
            </w:pPr>
            <w:r>
              <w:rPr>
                <w:rFonts w:ascii="Segoe UI Symbol" w:eastAsia="Segoe UI Symbol" w:hAnsi="Segoe UI Symbol" w:cs="Segoe UI Symbol"/>
                <w:sz w:val="20"/>
              </w:rPr>
              <w:t xml:space="preserve"> </w:t>
            </w:r>
            <w:r>
              <w:rPr>
                <w:rFonts w:ascii="Arial" w:eastAsia="Arial" w:hAnsi="Arial" w:cs="Arial"/>
                <w:i/>
              </w:rPr>
              <w:t>Acción C14. Llevar a cabo acciones específicas de prevención de adicciones y promoción de la salud con personas de edad ava</w:t>
            </w:r>
            <w:r>
              <w:rPr>
                <w:rFonts w:ascii="Arial" w:eastAsia="Arial" w:hAnsi="Arial" w:cs="Arial"/>
                <w:i/>
              </w:rPr>
              <w:t>nzada (como colectivo de riesgo) por no existir datos suficientes, pero sobre las que sabemos que consumen fármacos (psicofármacos, entre ellos) de forma más frecuente que el resto de la población.</w:t>
            </w:r>
          </w:p>
        </w:tc>
      </w:tr>
    </w:tbl>
    <w:p w:rsidR="00E23B86" w:rsidRDefault="00BA7C13">
      <w:pPr>
        <w:spacing w:after="3" w:line="265" w:lineRule="auto"/>
        <w:ind w:left="94" w:right="13" w:hanging="10"/>
      </w:pPr>
      <w:r>
        <w:rPr>
          <w:noProof/>
        </w:rPr>
        <mc:AlternateContent>
          <mc:Choice Requires="wpg">
            <w:drawing>
              <wp:anchor distT="0" distB="0" distL="114300" distR="114300" simplePos="0" relativeHeight="2519490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0623" name="Group 56062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599" name="Rectangle 4559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5600" name="Rectangle 4560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282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0623" style="width:12.7031pt;height:280.35pt;position:absolute;mso-position-horizontal-relative:page;mso-position-horizontal:absolute;margin-left:681.958pt;mso-position-vertical-relative:page;margin-top:531.65pt;" coordsize="1613,35604">
                <v:rect id="Rectangle 4559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60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282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numPr>
          <w:ilvl w:val="0"/>
          <w:numId w:val="140"/>
        </w:numPr>
        <w:spacing w:after="238" w:line="251" w:lineRule="auto"/>
        <w:ind w:right="1" w:hanging="841"/>
        <w:jc w:val="both"/>
      </w:pPr>
      <w:r>
        <w:rPr>
          <w:rFonts w:ascii="Arial" w:eastAsia="Arial" w:hAnsi="Arial" w:cs="Arial"/>
          <w:i/>
        </w:rPr>
        <w:t>6.2. ÁREA DE INSERCIÓN SOCIAL</w:t>
      </w:r>
    </w:p>
    <w:p w:rsidR="00E23B86" w:rsidRDefault="00BA7C13">
      <w:pPr>
        <w:numPr>
          <w:ilvl w:val="0"/>
          <w:numId w:val="140"/>
        </w:numPr>
        <w:spacing w:after="111" w:line="251" w:lineRule="auto"/>
        <w:ind w:right="1" w:hanging="841"/>
        <w:jc w:val="both"/>
      </w:pPr>
      <w:r>
        <w:rPr>
          <w:rFonts w:ascii="Arial" w:eastAsia="Arial" w:hAnsi="Arial" w:cs="Arial"/>
          <w:i/>
        </w:rPr>
        <w:t>La Corporación Local, tiene d</w:t>
      </w:r>
      <w:r>
        <w:rPr>
          <w:rFonts w:ascii="Arial" w:eastAsia="Arial" w:hAnsi="Arial" w:cs="Arial"/>
          <w:i/>
        </w:rPr>
        <w:t>entro de sus competencias (Ley 9/1998, de 22 de julio, sobre prevención, asistencia, e inserción social en materia de drogodependencias de la Comunidad Canaria), apoyar en los procesos de incorporación social.</w:t>
      </w:r>
    </w:p>
    <w:p w:rsidR="00E23B86" w:rsidRDefault="00BA7C13">
      <w:pPr>
        <w:numPr>
          <w:ilvl w:val="0"/>
          <w:numId w:val="140"/>
        </w:numPr>
        <w:spacing w:after="111" w:line="251" w:lineRule="auto"/>
        <w:ind w:right="1" w:hanging="841"/>
        <w:jc w:val="both"/>
      </w:pPr>
      <w:r>
        <w:rPr>
          <w:rFonts w:ascii="Arial" w:eastAsia="Arial" w:hAnsi="Arial" w:cs="Arial"/>
          <w:i/>
        </w:rPr>
        <w:t>Así mismo, la Ley 16/2019 de 2 de mayo de Serv</w:t>
      </w:r>
      <w:r>
        <w:rPr>
          <w:rFonts w:ascii="Arial" w:eastAsia="Arial" w:hAnsi="Arial" w:cs="Arial"/>
          <w:i/>
        </w:rPr>
        <w:t>icios Sociales de Canarias, en su artículo 4 apartado 5, indica que los Servicios Sociales se dirigen especialmente a prevenir y a compensar el déficit de apoyo social y económico en situaciones de riesgo y exclusión social, promoviendo actitudes y capacid</w:t>
      </w:r>
      <w:r>
        <w:rPr>
          <w:rFonts w:ascii="Arial" w:eastAsia="Arial" w:hAnsi="Arial" w:cs="Arial"/>
          <w:i/>
        </w:rPr>
        <w:t>ades que faciliten la inclusión de las personas, desde una perspectiva integral y participada. En el apartado 7, se define que los Servicios Sociales coordinarán con todos los sistemas que inciden en la calidad de vida, como los de salud, igualdad de géner</w:t>
      </w:r>
      <w:r>
        <w:rPr>
          <w:rFonts w:ascii="Arial" w:eastAsia="Arial" w:hAnsi="Arial" w:cs="Arial"/>
          <w:i/>
        </w:rPr>
        <w:t>o, prevención y protección de las mujeres contra la violencia de género, educativos, culturales, de empleo, de vivienda, urbanísticos, judiciales, entre otros.</w:t>
      </w:r>
    </w:p>
    <w:p w:rsidR="00E23B86" w:rsidRDefault="00BA7C13">
      <w:pPr>
        <w:numPr>
          <w:ilvl w:val="0"/>
          <w:numId w:val="140"/>
        </w:numPr>
        <w:spacing w:after="111" w:line="251" w:lineRule="auto"/>
        <w:ind w:right="1" w:hanging="841"/>
        <w:jc w:val="both"/>
      </w:pPr>
      <w:r>
        <w:rPr>
          <w:rFonts w:ascii="Arial" w:eastAsia="Arial" w:hAnsi="Arial" w:cs="Arial"/>
          <w:i/>
        </w:rPr>
        <w:t>También en el apoyo a la inserción, se debe tener en cuenta la Estrategia Canaria de Inclusión S</w:t>
      </w:r>
      <w:r>
        <w:rPr>
          <w:rFonts w:ascii="Arial" w:eastAsia="Arial" w:hAnsi="Arial" w:cs="Arial"/>
          <w:i/>
        </w:rPr>
        <w:t>ocial 2019-2021, que en su eje I (Inclusión Social Activa) desarrolla una serie de objetivos y actuaciones, destinadas a la inserción laboral y el acceso a servicios básicos.</w:t>
      </w:r>
    </w:p>
    <w:p w:rsidR="00E23B86" w:rsidRDefault="00BA7C13">
      <w:pPr>
        <w:spacing w:after="82" w:line="265" w:lineRule="auto"/>
        <w:ind w:left="94"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Objetivo general </w:t>
      </w:r>
    </w:p>
    <w:p w:rsidR="00E23B86" w:rsidRDefault="00BA7C13">
      <w:pPr>
        <w:numPr>
          <w:ilvl w:val="0"/>
          <w:numId w:val="140"/>
        </w:numPr>
        <w:spacing w:after="0" w:line="251" w:lineRule="auto"/>
        <w:ind w:right="1" w:hanging="841"/>
        <w:jc w:val="both"/>
      </w:pPr>
      <w:r>
        <w:rPr>
          <w:noProof/>
        </w:rPr>
        <mc:AlternateContent>
          <mc:Choice Requires="wpg">
            <w:drawing>
              <wp:anchor distT="0" distB="0" distL="114300" distR="114300" simplePos="0" relativeHeight="2519500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3708" name="Group 60370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696" name="Rectangle 4569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5697" name="Rectangle 4569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283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3708" style="width:12.7031pt;height:280.35pt;position:absolute;mso-position-horizontal-relative:page;mso-position-horizontal:absolute;margin-left:681.958pt;mso-position-vertical-relative:page;margin-top:531.65pt;" coordsize="1613,35604">
                <v:rect id="Rectangle 4569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69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283 de 391 </w:t>
                        </w:r>
                      </w:p>
                    </w:txbxContent>
                  </v:textbox>
                </v:rect>
                <w10:wrap type="square"/>
              </v:group>
            </w:pict>
          </mc:Fallback>
        </mc:AlternateContent>
      </w:r>
      <w:r>
        <w:rPr>
          <w:rFonts w:ascii="Arial" w:eastAsia="Arial" w:hAnsi="Arial" w:cs="Arial"/>
          <w:i/>
        </w:rPr>
        <w:t>Potenciar la colaboración y participación de los recursos y a</w:t>
      </w:r>
      <w:r>
        <w:rPr>
          <w:rFonts w:ascii="Arial" w:eastAsia="Arial" w:hAnsi="Arial" w:cs="Arial"/>
          <w:i/>
        </w:rPr>
        <w:t>gentes sociales municipales en el apoyo a la población consumidora y su entorno familiar, facilitando la implantación de medidas formativas, laborales y sociales que favorezcan su proceso de incorporación social y laboral para una adecuada integración soci</w:t>
      </w:r>
      <w:r>
        <w:rPr>
          <w:rFonts w:ascii="Arial" w:eastAsia="Arial" w:hAnsi="Arial" w:cs="Arial"/>
          <w:i/>
        </w:rPr>
        <w:t>al.</w:t>
      </w:r>
    </w:p>
    <w:p w:rsidR="00E23B86" w:rsidRDefault="00BA7C13">
      <w:pPr>
        <w:spacing w:after="3" w:line="265" w:lineRule="auto"/>
        <w:ind w:left="94" w:right="13" w:hanging="10"/>
      </w:pPr>
      <w:r>
        <w:rPr>
          <w:rFonts w:ascii="Segoe UI Symbol" w:eastAsia="Segoe UI Symbol" w:hAnsi="Segoe UI Symbol" w:cs="Segoe UI Symbol"/>
          <w:sz w:val="20"/>
        </w:rPr>
        <w:t></w:t>
      </w:r>
    </w:p>
    <w:tbl>
      <w:tblPr>
        <w:tblStyle w:val="TableGrid"/>
        <w:tblW w:w="9624" w:type="dxa"/>
        <w:tblInd w:w="-837" w:type="dxa"/>
        <w:tblCellMar>
          <w:top w:w="11" w:type="dxa"/>
          <w:left w:w="0" w:type="dxa"/>
          <w:bottom w:w="0" w:type="dxa"/>
          <w:right w:w="133" w:type="dxa"/>
        </w:tblCellMar>
        <w:tblLook w:val="04A0" w:firstRow="1" w:lastRow="0" w:firstColumn="1" w:lastColumn="0" w:noHBand="0" w:noVBand="1"/>
      </w:tblPr>
      <w:tblGrid>
        <w:gridCol w:w="723"/>
        <w:gridCol w:w="5841"/>
        <w:gridCol w:w="3060"/>
      </w:tblGrid>
      <w:tr w:rsidR="00E23B86">
        <w:trPr>
          <w:trHeight w:val="454"/>
        </w:trPr>
        <w:tc>
          <w:tcPr>
            <w:tcW w:w="723" w:type="dxa"/>
            <w:tcBorders>
              <w:top w:val="single" w:sz="4" w:space="0" w:color="00000A"/>
              <w:left w:val="single" w:sz="5" w:space="0" w:color="00000A"/>
              <w:bottom w:val="single" w:sz="4" w:space="0" w:color="00000A"/>
              <w:right w:val="nil"/>
            </w:tcBorders>
            <w:shd w:val="clear" w:color="auto" w:fill="BFBFBF"/>
          </w:tcPr>
          <w:p w:rsidR="00E23B86" w:rsidRDefault="00E23B86"/>
        </w:tc>
        <w:tc>
          <w:tcPr>
            <w:tcW w:w="5841" w:type="dxa"/>
            <w:tcBorders>
              <w:top w:val="single" w:sz="4" w:space="0" w:color="00000A"/>
              <w:left w:val="nil"/>
              <w:bottom w:val="single" w:sz="4" w:space="0" w:color="00000A"/>
              <w:right w:val="single" w:sz="4" w:space="0" w:color="00000A"/>
            </w:tcBorders>
            <w:shd w:val="clear" w:color="auto" w:fill="BFBFBF"/>
          </w:tcPr>
          <w:p w:rsidR="00E23B86" w:rsidRDefault="00BA7C13">
            <w:pPr>
              <w:spacing w:after="0"/>
            </w:pPr>
            <w:r>
              <w:rPr>
                <w:rFonts w:ascii="Segoe UI Symbol" w:eastAsia="Segoe UI Symbol" w:hAnsi="Segoe UI Symbol" w:cs="Segoe UI Symbol"/>
                <w:sz w:val="20"/>
              </w:rPr>
              <w:t xml:space="preserve"> </w:t>
            </w:r>
            <w:r>
              <w:rPr>
                <w:rFonts w:ascii="Arial" w:eastAsia="Arial" w:hAnsi="Arial" w:cs="Arial"/>
                <w:i/>
              </w:rPr>
              <w:t>Actuaciones a desarrollar según nivel de prevención</w:t>
            </w:r>
          </w:p>
        </w:tc>
        <w:tc>
          <w:tcPr>
            <w:tcW w:w="3060" w:type="dxa"/>
            <w:tcBorders>
              <w:top w:val="nil"/>
              <w:left w:val="single" w:sz="4" w:space="0" w:color="00000A"/>
              <w:bottom w:val="single" w:sz="4" w:space="0" w:color="00000A"/>
              <w:right w:val="nil"/>
            </w:tcBorders>
          </w:tcPr>
          <w:p w:rsidR="00E23B86" w:rsidRDefault="00BA7C13">
            <w:pPr>
              <w:spacing w:after="0"/>
              <w:ind w:left="361"/>
            </w:pPr>
            <w:r>
              <w:rPr>
                <w:rFonts w:ascii="Segoe UI Symbol" w:eastAsia="Segoe UI Symbol" w:hAnsi="Segoe UI Symbol" w:cs="Segoe UI Symbol"/>
                <w:sz w:val="20"/>
              </w:rPr>
              <w:t></w:t>
            </w:r>
          </w:p>
        </w:tc>
      </w:tr>
      <w:tr w:rsidR="00E23B86">
        <w:trPr>
          <w:trHeight w:val="454"/>
        </w:trPr>
        <w:tc>
          <w:tcPr>
            <w:tcW w:w="723" w:type="dxa"/>
            <w:tcBorders>
              <w:top w:val="single" w:sz="4" w:space="0" w:color="00000A"/>
              <w:left w:val="single" w:sz="5" w:space="0" w:color="00000A"/>
              <w:bottom w:val="single" w:sz="4" w:space="0" w:color="00000A"/>
              <w:right w:val="nil"/>
            </w:tcBorders>
            <w:shd w:val="clear" w:color="auto" w:fill="BFBFBF"/>
          </w:tcPr>
          <w:p w:rsidR="00E23B86" w:rsidRDefault="00E23B86"/>
        </w:tc>
        <w:tc>
          <w:tcPr>
            <w:tcW w:w="8901" w:type="dxa"/>
            <w:gridSpan w:val="2"/>
            <w:tcBorders>
              <w:top w:val="single" w:sz="4" w:space="0" w:color="00000A"/>
              <w:left w:val="nil"/>
              <w:bottom w:val="single" w:sz="4" w:space="0" w:color="00000A"/>
              <w:right w:val="single" w:sz="4" w:space="0" w:color="00000A"/>
            </w:tcBorders>
            <w:shd w:val="clear" w:color="auto" w:fill="BFBFBF"/>
          </w:tcPr>
          <w:p w:rsidR="00E23B86" w:rsidRDefault="00BA7C13">
            <w:pPr>
              <w:spacing w:after="0"/>
              <w:ind w:right="251"/>
              <w:jc w:val="center"/>
            </w:pPr>
            <w:r>
              <w:rPr>
                <w:rFonts w:ascii="Segoe UI Symbol" w:eastAsia="Segoe UI Symbol" w:hAnsi="Segoe UI Symbol" w:cs="Segoe UI Symbol"/>
                <w:sz w:val="20"/>
              </w:rPr>
              <w:t xml:space="preserve"> </w:t>
            </w:r>
            <w:r>
              <w:rPr>
                <w:rFonts w:ascii="Arial" w:eastAsia="Arial" w:hAnsi="Arial" w:cs="Arial"/>
                <w:i/>
              </w:rPr>
              <w:t>Actuación</w:t>
            </w:r>
          </w:p>
        </w:tc>
      </w:tr>
      <w:tr w:rsidR="00E23B86">
        <w:trPr>
          <w:trHeight w:val="1142"/>
        </w:trPr>
        <w:tc>
          <w:tcPr>
            <w:tcW w:w="723" w:type="dxa"/>
            <w:tcBorders>
              <w:top w:val="single" w:sz="4" w:space="0" w:color="00000A"/>
              <w:left w:val="single" w:sz="5" w:space="0" w:color="00000A"/>
              <w:bottom w:val="single" w:sz="4" w:space="0" w:color="00000A"/>
              <w:right w:val="nil"/>
            </w:tcBorders>
            <w:shd w:val="clear" w:color="auto" w:fill="FFFFFF"/>
          </w:tcPr>
          <w:p w:rsidR="00E23B86" w:rsidRDefault="00BA7C13">
            <w:pPr>
              <w:spacing w:after="0"/>
              <w:ind w:left="440"/>
              <w:jc w:val="center"/>
            </w:pPr>
            <w:r>
              <w:rPr>
                <w:rFonts w:ascii="Segoe UI Symbol" w:eastAsia="Segoe UI Symbol" w:hAnsi="Segoe UI Symbol" w:cs="Segoe UI Symbol"/>
                <w:sz w:val="20"/>
              </w:rPr>
              <w:t></w:t>
            </w:r>
          </w:p>
        </w:tc>
        <w:tc>
          <w:tcPr>
            <w:tcW w:w="8901" w:type="dxa"/>
            <w:gridSpan w:val="2"/>
            <w:tcBorders>
              <w:top w:val="single" w:sz="4" w:space="0" w:color="00000A"/>
              <w:left w:val="nil"/>
              <w:bottom w:val="single" w:sz="4" w:space="0" w:color="00000A"/>
              <w:right w:val="single" w:sz="4" w:space="0" w:color="00000A"/>
            </w:tcBorders>
            <w:shd w:val="clear" w:color="auto" w:fill="FFFFFF"/>
          </w:tcPr>
          <w:p w:rsidR="00E23B86" w:rsidRDefault="00BA7C13">
            <w:pPr>
              <w:spacing w:after="0"/>
              <w:ind w:left="106" w:right="1"/>
              <w:jc w:val="both"/>
            </w:pPr>
            <w:r>
              <w:rPr>
                <w:rFonts w:ascii="Arial" w:eastAsia="Arial" w:hAnsi="Arial" w:cs="Arial"/>
                <w:i/>
              </w:rPr>
              <w:t>Acción ISL1. Ofertar un espacio para la atención individualizada a las familias con algún miembro/a con problemas de consumo (mayor o menor de edad), en su proceso de recuperación e integración social y que estén en tratamiento en la red de atención de adi</w:t>
            </w:r>
            <w:r>
              <w:rPr>
                <w:rFonts w:ascii="Arial" w:eastAsia="Arial" w:hAnsi="Arial" w:cs="Arial"/>
                <w:i/>
              </w:rPr>
              <w:t xml:space="preserve">cciones. </w:t>
            </w:r>
          </w:p>
        </w:tc>
      </w:tr>
      <w:tr w:rsidR="00E23B86">
        <w:trPr>
          <w:trHeight w:val="888"/>
        </w:trPr>
        <w:tc>
          <w:tcPr>
            <w:tcW w:w="723" w:type="dxa"/>
            <w:tcBorders>
              <w:top w:val="single" w:sz="4" w:space="0" w:color="00000A"/>
              <w:left w:val="single" w:sz="5" w:space="0" w:color="00000A"/>
              <w:bottom w:val="single" w:sz="4" w:space="0" w:color="00000A"/>
              <w:right w:val="nil"/>
            </w:tcBorders>
          </w:tcPr>
          <w:p w:rsidR="00E23B86" w:rsidRDefault="00BA7C13">
            <w:pPr>
              <w:spacing w:after="0"/>
              <w:ind w:left="440"/>
              <w:jc w:val="center"/>
            </w:pPr>
            <w:r>
              <w:rPr>
                <w:rFonts w:ascii="Segoe UI Symbol" w:eastAsia="Segoe UI Symbol" w:hAnsi="Segoe UI Symbol" w:cs="Segoe UI Symbol"/>
                <w:sz w:val="20"/>
              </w:rPr>
              <w:t></w:t>
            </w:r>
          </w:p>
        </w:tc>
        <w:tc>
          <w:tcPr>
            <w:tcW w:w="8901" w:type="dxa"/>
            <w:gridSpan w:val="2"/>
            <w:tcBorders>
              <w:top w:val="single" w:sz="4" w:space="0" w:color="00000A"/>
              <w:left w:val="nil"/>
              <w:bottom w:val="single" w:sz="4" w:space="0" w:color="00000A"/>
              <w:right w:val="single" w:sz="4" w:space="0" w:color="00000A"/>
            </w:tcBorders>
          </w:tcPr>
          <w:p w:rsidR="00E23B86" w:rsidRDefault="00BA7C13">
            <w:pPr>
              <w:spacing w:after="0"/>
              <w:ind w:left="106" w:right="1"/>
              <w:jc w:val="both"/>
            </w:pPr>
            <w:r>
              <w:rPr>
                <w:rFonts w:ascii="Arial" w:eastAsia="Arial" w:hAnsi="Arial" w:cs="Arial"/>
                <w:i/>
              </w:rPr>
              <w:t xml:space="preserve">Acción ISL2. Diseñar itinerarios de inserción laboral personalizados para las personas y familias en coordinación con los/as agentes sociales y Servicios Sociales y recursos de la comunidad. </w:t>
            </w:r>
          </w:p>
        </w:tc>
      </w:tr>
      <w:tr w:rsidR="00E23B86">
        <w:trPr>
          <w:trHeight w:val="890"/>
        </w:trPr>
        <w:tc>
          <w:tcPr>
            <w:tcW w:w="723" w:type="dxa"/>
            <w:tcBorders>
              <w:top w:val="single" w:sz="4" w:space="0" w:color="00000A"/>
              <w:left w:val="single" w:sz="5" w:space="0" w:color="00000A"/>
              <w:bottom w:val="single" w:sz="4" w:space="0" w:color="00000A"/>
              <w:right w:val="nil"/>
            </w:tcBorders>
          </w:tcPr>
          <w:p w:rsidR="00E23B86" w:rsidRDefault="00BA7C13">
            <w:pPr>
              <w:spacing w:after="0"/>
              <w:ind w:left="440"/>
              <w:jc w:val="center"/>
            </w:pPr>
            <w:r>
              <w:rPr>
                <w:rFonts w:ascii="Segoe UI Symbol" w:eastAsia="Segoe UI Symbol" w:hAnsi="Segoe UI Symbol" w:cs="Segoe UI Symbol"/>
                <w:sz w:val="20"/>
              </w:rPr>
              <w:t></w:t>
            </w:r>
          </w:p>
        </w:tc>
        <w:tc>
          <w:tcPr>
            <w:tcW w:w="8901" w:type="dxa"/>
            <w:gridSpan w:val="2"/>
            <w:tcBorders>
              <w:top w:val="single" w:sz="4" w:space="0" w:color="00000A"/>
              <w:left w:val="nil"/>
              <w:bottom w:val="single" w:sz="4" w:space="0" w:color="00000A"/>
              <w:right w:val="single" w:sz="4" w:space="0" w:color="00000A"/>
            </w:tcBorders>
          </w:tcPr>
          <w:p w:rsidR="00E23B86" w:rsidRDefault="00BA7C13">
            <w:pPr>
              <w:spacing w:after="0"/>
              <w:ind w:left="106"/>
              <w:jc w:val="both"/>
            </w:pPr>
            <w:r>
              <w:rPr>
                <w:rFonts w:ascii="Arial" w:eastAsia="Arial" w:hAnsi="Arial" w:cs="Arial"/>
                <w:i/>
              </w:rPr>
              <w:t xml:space="preserve">Acción ISL3. Ofertar, desde los Servicios Sociales, el apoyo social y los recursos, prestaciones y otras ayudas técnicas a las personas y familias que precisan apoyo en su proceso de recuperación e inserción social. </w:t>
            </w:r>
          </w:p>
        </w:tc>
      </w:tr>
      <w:tr w:rsidR="00E23B86">
        <w:trPr>
          <w:trHeight w:val="889"/>
        </w:trPr>
        <w:tc>
          <w:tcPr>
            <w:tcW w:w="723" w:type="dxa"/>
            <w:tcBorders>
              <w:top w:val="single" w:sz="4" w:space="0" w:color="00000A"/>
              <w:left w:val="single" w:sz="5" w:space="0" w:color="00000A"/>
              <w:bottom w:val="single" w:sz="4" w:space="0" w:color="00000A"/>
              <w:right w:val="nil"/>
            </w:tcBorders>
          </w:tcPr>
          <w:p w:rsidR="00E23B86" w:rsidRDefault="00BA7C13">
            <w:pPr>
              <w:spacing w:after="0"/>
              <w:ind w:left="440"/>
              <w:jc w:val="center"/>
            </w:pPr>
            <w:r>
              <w:rPr>
                <w:rFonts w:ascii="Segoe UI Symbol" w:eastAsia="Segoe UI Symbol" w:hAnsi="Segoe UI Symbol" w:cs="Segoe UI Symbol"/>
                <w:sz w:val="20"/>
              </w:rPr>
              <w:t></w:t>
            </w:r>
          </w:p>
        </w:tc>
        <w:tc>
          <w:tcPr>
            <w:tcW w:w="8901" w:type="dxa"/>
            <w:gridSpan w:val="2"/>
            <w:tcBorders>
              <w:top w:val="single" w:sz="4" w:space="0" w:color="00000A"/>
              <w:left w:val="nil"/>
              <w:bottom w:val="single" w:sz="4" w:space="0" w:color="00000A"/>
              <w:right w:val="single" w:sz="4" w:space="0" w:color="00000A"/>
            </w:tcBorders>
          </w:tcPr>
          <w:p w:rsidR="00E23B86" w:rsidRDefault="00BA7C13">
            <w:pPr>
              <w:spacing w:after="0"/>
              <w:ind w:left="106" w:right="9"/>
              <w:jc w:val="both"/>
            </w:pPr>
            <w:r>
              <w:rPr>
                <w:rFonts w:ascii="Arial" w:eastAsia="Arial" w:hAnsi="Arial" w:cs="Arial"/>
                <w:i/>
              </w:rPr>
              <w:t xml:space="preserve">Acción ISL4. Ofertar a las personas con problemas de consumo y sus familias, los recursos de ocio, culturales, deportivos, etc., como parte del apoyo en su proceso de inserción. </w:t>
            </w:r>
          </w:p>
        </w:tc>
      </w:tr>
    </w:tbl>
    <w:p w:rsidR="00E23B86" w:rsidRDefault="00BA7C13">
      <w:pPr>
        <w:spacing w:after="3" w:line="265" w:lineRule="auto"/>
        <w:ind w:left="94" w:right="13" w:hanging="10"/>
      </w:pPr>
      <w:r>
        <w:rPr>
          <w:rFonts w:ascii="Segoe UI Symbol" w:eastAsia="Segoe UI Symbol" w:hAnsi="Segoe UI Symbol" w:cs="Segoe UI Symbol"/>
          <w:sz w:val="20"/>
        </w:rPr>
        <w:t></w:t>
      </w:r>
    </w:p>
    <w:p w:rsidR="00E23B86" w:rsidRDefault="00E23B86">
      <w:pPr>
        <w:sectPr w:rsidR="00E23B86">
          <w:headerReference w:type="even" r:id="rId35"/>
          <w:headerReference w:type="default" r:id="rId36"/>
          <w:footerReference w:type="even" r:id="rId37"/>
          <w:footerReference w:type="default" r:id="rId38"/>
          <w:headerReference w:type="first" r:id="rId39"/>
          <w:footerReference w:type="first" r:id="rId40"/>
          <w:pgSz w:w="14168" w:h="16840"/>
          <w:pgMar w:top="2002" w:right="2415" w:bottom="1445" w:left="3114" w:header="712" w:footer="712" w:gutter="0"/>
          <w:cols w:space="720"/>
        </w:sectPr>
      </w:pPr>
    </w:p>
    <w:p w:rsidR="00E23B86" w:rsidRDefault="00BA7C13">
      <w:pPr>
        <w:spacing w:after="262"/>
        <w:ind w:left="360"/>
      </w:pPr>
      <w:r>
        <w:rPr>
          <w:rFonts w:ascii="Arial" w:eastAsia="Arial" w:hAnsi="Arial" w:cs="Arial"/>
          <w:i/>
        </w:rPr>
        <w:t xml:space="preserve"> </w:t>
      </w:r>
    </w:p>
    <w:p w:rsidR="00E23B86" w:rsidRDefault="00BA7C13">
      <w:pPr>
        <w:spacing w:after="275" w:line="251" w:lineRule="auto"/>
        <w:ind w:left="730" w:right="573" w:hanging="10"/>
        <w:jc w:val="both"/>
      </w:pPr>
      <w:r>
        <w:rPr>
          <w:rFonts w:ascii="Courier New" w:eastAsia="Courier New" w:hAnsi="Courier New" w:cs="Courier New"/>
          <w:sz w:val="20"/>
        </w:rPr>
        <w:t xml:space="preserve">o </w:t>
      </w:r>
      <w:r>
        <w:rPr>
          <w:rFonts w:ascii="Arial" w:eastAsia="Arial" w:hAnsi="Arial" w:cs="Arial"/>
          <w:i/>
        </w:rPr>
        <w:t xml:space="preserve">ÁREA DE SOPORTE Y APOYO </w:t>
      </w:r>
    </w:p>
    <w:p w:rsidR="00E23B86" w:rsidRDefault="00BA7C13">
      <w:pPr>
        <w:numPr>
          <w:ilvl w:val="0"/>
          <w:numId w:val="140"/>
        </w:numPr>
        <w:spacing w:after="111" w:line="251" w:lineRule="auto"/>
        <w:ind w:right="1" w:hanging="841"/>
        <w:jc w:val="both"/>
      </w:pPr>
      <w:r>
        <w:rPr>
          <w:rFonts w:ascii="Arial" w:eastAsia="Arial" w:hAnsi="Arial" w:cs="Arial"/>
          <w:i/>
        </w:rPr>
        <w:t xml:space="preserve">El área de soporte y apoyo es clave en los procesos de gestión y las acciones van encaminadas a facilitar la implementación y ejecución del IV Plan Municipal. </w:t>
      </w:r>
    </w:p>
    <w:p w:rsidR="00E23B86" w:rsidRDefault="00BA7C13">
      <w:pPr>
        <w:numPr>
          <w:ilvl w:val="0"/>
          <w:numId w:val="140"/>
        </w:numPr>
        <w:spacing w:after="111" w:line="251" w:lineRule="auto"/>
        <w:ind w:right="1" w:hanging="841"/>
        <w:jc w:val="both"/>
      </w:pPr>
      <w:r>
        <w:rPr>
          <w:rFonts w:ascii="Arial" w:eastAsia="Arial" w:hAnsi="Arial" w:cs="Arial"/>
          <w:i/>
        </w:rPr>
        <w:t>Objetivo general</w:t>
      </w:r>
    </w:p>
    <w:p w:rsidR="00E23B86" w:rsidRDefault="00BA7C13">
      <w:pPr>
        <w:numPr>
          <w:ilvl w:val="0"/>
          <w:numId w:val="140"/>
        </w:numPr>
        <w:spacing w:after="111" w:line="251" w:lineRule="auto"/>
        <w:ind w:right="1" w:hanging="841"/>
        <w:jc w:val="both"/>
      </w:pPr>
      <w:r>
        <w:rPr>
          <w:rFonts w:ascii="Arial" w:eastAsia="Arial" w:hAnsi="Arial" w:cs="Arial"/>
          <w:i/>
        </w:rPr>
        <w:t>Desarrollar y ejecutar por parte del equipo del IV Plan, los procesos básicos d</w:t>
      </w:r>
      <w:r>
        <w:rPr>
          <w:rFonts w:ascii="Arial" w:eastAsia="Arial" w:hAnsi="Arial" w:cs="Arial"/>
          <w:i/>
        </w:rPr>
        <w:t xml:space="preserve">e gestión (investigación, evaluación, planificación e interlocución (coordinación) interna y externa), los procesos de gestión de recursos (recursos humanos, materiales, económicos y metodológicos necesarios), y los procesos avanzados de gestión (calidad, </w:t>
      </w:r>
      <w:r>
        <w:rPr>
          <w:rFonts w:ascii="Arial" w:eastAsia="Arial" w:hAnsi="Arial" w:cs="Arial"/>
          <w:i/>
        </w:rPr>
        <w:t xml:space="preserve">marketing social, participación, etc.,). </w:t>
      </w:r>
    </w:p>
    <w:p w:rsidR="00E23B86" w:rsidRDefault="00BA7C13">
      <w:pPr>
        <w:spacing w:after="3" w:line="265" w:lineRule="auto"/>
        <w:ind w:left="-5" w:right="13" w:hanging="10"/>
      </w:pPr>
      <w:r>
        <w:rPr>
          <w:noProof/>
        </w:rPr>
        <mc:AlternateContent>
          <mc:Choice Requires="wpg">
            <w:drawing>
              <wp:anchor distT="0" distB="0" distL="114300" distR="114300" simplePos="0" relativeHeight="2519511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3476" name="Group 60347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796" name="Rectangle 4579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5797" name="Rectangle 4579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284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3476" style="width:12.7031pt;height:280.35pt;position:absolute;mso-position-horizontal-relative:page;mso-position-horizontal:absolute;margin-left:681.958pt;mso-position-vertical-relative:page;margin-top:531.65pt;" coordsize="1613,35604">
                <v:rect id="Rectangle 4579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79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284 de 391 </w:t>
                        </w:r>
                      </w:p>
                    </w:txbxContent>
                  </v:textbox>
                </v:rect>
                <w10:wrap type="square"/>
              </v:group>
            </w:pict>
          </mc:Fallback>
        </mc:AlternateContent>
      </w:r>
      <w:r>
        <w:rPr>
          <w:rFonts w:ascii="Segoe UI Symbol" w:eastAsia="Segoe UI Symbol" w:hAnsi="Segoe UI Symbol" w:cs="Segoe UI Symbol"/>
          <w:sz w:val="20"/>
        </w:rPr>
        <w:t></w:t>
      </w:r>
    </w:p>
    <w:tbl>
      <w:tblPr>
        <w:tblStyle w:val="TableGrid"/>
        <w:tblW w:w="8611" w:type="dxa"/>
        <w:tblInd w:w="-415" w:type="dxa"/>
        <w:tblCellMar>
          <w:top w:w="11" w:type="dxa"/>
          <w:left w:w="54" w:type="dxa"/>
          <w:bottom w:w="0" w:type="dxa"/>
          <w:right w:w="131" w:type="dxa"/>
        </w:tblCellMar>
        <w:tblLook w:val="04A0" w:firstRow="1" w:lastRow="0" w:firstColumn="1" w:lastColumn="0" w:noHBand="0" w:noVBand="1"/>
      </w:tblPr>
      <w:tblGrid>
        <w:gridCol w:w="775"/>
        <w:gridCol w:w="7836"/>
      </w:tblGrid>
      <w:tr w:rsidR="00E23B86">
        <w:trPr>
          <w:trHeight w:val="384"/>
        </w:trPr>
        <w:tc>
          <w:tcPr>
            <w:tcW w:w="775" w:type="dxa"/>
            <w:tcBorders>
              <w:top w:val="single" w:sz="4" w:space="0" w:color="00000A"/>
              <w:left w:val="single" w:sz="5" w:space="0" w:color="00000A"/>
              <w:bottom w:val="single" w:sz="4" w:space="0" w:color="00000A"/>
              <w:right w:val="nil"/>
            </w:tcBorders>
            <w:shd w:val="clear" w:color="auto" w:fill="BFBFBF"/>
          </w:tcPr>
          <w:p w:rsidR="00E23B86" w:rsidRDefault="00E23B86"/>
        </w:tc>
        <w:tc>
          <w:tcPr>
            <w:tcW w:w="7836" w:type="dxa"/>
            <w:tcBorders>
              <w:top w:val="single" w:sz="4" w:space="0" w:color="00000A"/>
              <w:left w:val="nil"/>
              <w:bottom w:val="single" w:sz="4" w:space="0" w:color="00000A"/>
              <w:right w:val="single" w:sz="4" w:space="0" w:color="00000A"/>
            </w:tcBorders>
            <w:shd w:val="clear" w:color="auto" w:fill="BFBFBF"/>
          </w:tcPr>
          <w:p w:rsidR="00E23B86" w:rsidRDefault="00BA7C13">
            <w:pPr>
              <w:spacing w:after="0"/>
              <w:ind w:right="360"/>
              <w:jc w:val="center"/>
            </w:pPr>
            <w:r>
              <w:rPr>
                <w:rFonts w:ascii="Segoe UI Symbol" w:eastAsia="Segoe UI Symbol" w:hAnsi="Segoe UI Symbol" w:cs="Segoe UI Symbol"/>
                <w:sz w:val="20"/>
              </w:rPr>
              <w:t xml:space="preserve"> </w:t>
            </w:r>
            <w:r>
              <w:rPr>
                <w:rFonts w:ascii="Arial" w:eastAsia="Arial" w:hAnsi="Arial" w:cs="Arial"/>
                <w:i/>
              </w:rPr>
              <w:t>Actuaciones</w:t>
            </w:r>
            <w:r>
              <w:rPr>
                <w:rFonts w:ascii="Arial" w:eastAsia="Arial" w:hAnsi="Arial" w:cs="Arial"/>
                <w:i/>
              </w:rPr>
              <w:t xml:space="preserve"> a desarrollar</w:t>
            </w:r>
          </w:p>
        </w:tc>
      </w:tr>
      <w:tr w:rsidR="00E23B86">
        <w:trPr>
          <w:trHeight w:val="1262"/>
        </w:trPr>
        <w:tc>
          <w:tcPr>
            <w:tcW w:w="775"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7836" w:type="dxa"/>
            <w:tcBorders>
              <w:top w:val="single" w:sz="4" w:space="0" w:color="00000A"/>
              <w:left w:val="nil"/>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Acción SA1: Promover la participación activa en la comisión mixta municipal de coordinación, y las comisiones de trabajo específico, de todos los recursos de la comunidad y agentes implicados/as, como espacio de coordinación, planificación, evaluación y to</w:t>
            </w:r>
            <w:r>
              <w:rPr>
                <w:rFonts w:ascii="Arial" w:eastAsia="Arial" w:hAnsi="Arial" w:cs="Arial"/>
                <w:i/>
              </w:rPr>
              <w:t>ma de decisiones.</w:t>
            </w:r>
          </w:p>
        </w:tc>
      </w:tr>
      <w:tr w:rsidR="00E23B86">
        <w:trPr>
          <w:trHeight w:val="888"/>
        </w:trPr>
        <w:tc>
          <w:tcPr>
            <w:tcW w:w="775"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7836" w:type="dxa"/>
            <w:tcBorders>
              <w:top w:val="single" w:sz="4" w:space="0" w:color="00000A"/>
              <w:left w:val="nil"/>
              <w:bottom w:val="single" w:sz="4" w:space="0" w:color="00000A"/>
              <w:right w:val="single" w:sz="4" w:space="0" w:color="00000A"/>
            </w:tcBorders>
          </w:tcPr>
          <w:p w:rsidR="00E23B86" w:rsidRDefault="00BA7C13">
            <w:pPr>
              <w:spacing w:after="0"/>
              <w:ind w:right="2"/>
              <w:jc w:val="both"/>
            </w:pPr>
            <w:r>
              <w:rPr>
                <w:rFonts w:ascii="Arial" w:eastAsia="Arial" w:hAnsi="Arial" w:cs="Arial"/>
                <w:i/>
              </w:rPr>
              <w:t xml:space="preserve">Acción SA2. Difundir y comunicar de una forma adecuada este IV Plan Municipal, a todos los recursos implicados, facilitando el lenguaje y la transmisión de información, así como emplear los soportes adecuados. </w:t>
            </w:r>
          </w:p>
        </w:tc>
      </w:tr>
      <w:tr w:rsidR="00E23B86">
        <w:trPr>
          <w:trHeight w:val="1142"/>
        </w:trPr>
        <w:tc>
          <w:tcPr>
            <w:tcW w:w="775"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7836" w:type="dxa"/>
            <w:tcBorders>
              <w:top w:val="single" w:sz="4" w:space="0" w:color="00000A"/>
              <w:left w:val="nil"/>
              <w:bottom w:val="single" w:sz="4" w:space="0" w:color="00000A"/>
              <w:right w:val="single" w:sz="4" w:space="0" w:color="00000A"/>
            </w:tcBorders>
          </w:tcPr>
          <w:p w:rsidR="00E23B86" w:rsidRDefault="00BA7C13">
            <w:pPr>
              <w:spacing w:after="0"/>
              <w:jc w:val="both"/>
            </w:pPr>
            <w:r>
              <w:rPr>
                <w:rFonts w:ascii="Arial" w:eastAsia="Arial" w:hAnsi="Arial" w:cs="Arial"/>
                <w:i/>
              </w:rPr>
              <w:t>Acción SA3. Llevar a cabo estudios, análisis de necesidades e investigaciones, con el fin de conocer en todo momento la realidad social en el ámbito de promoción de la salud, empleando, si es necesario, recursos externos al Ayuntamiento.</w:t>
            </w:r>
          </w:p>
        </w:tc>
      </w:tr>
      <w:tr w:rsidR="00E23B86">
        <w:trPr>
          <w:trHeight w:val="891"/>
        </w:trPr>
        <w:tc>
          <w:tcPr>
            <w:tcW w:w="775"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7836" w:type="dxa"/>
            <w:tcBorders>
              <w:top w:val="single" w:sz="4" w:space="0" w:color="00000A"/>
              <w:left w:val="nil"/>
              <w:bottom w:val="single" w:sz="4" w:space="0" w:color="00000A"/>
              <w:right w:val="single" w:sz="4" w:space="0" w:color="00000A"/>
            </w:tcBorders>
          </w:tcPr>
          <w:p w:rsidR="00E23B86" w:rsidRDefault="00BA7C13">
            <w:pPr>
              <w:spacing w:after="0"/>
              <w:ind w:right="2"/>
              <w:jc w:val="both"/>
            </w:pPr>
            <w:r>
              <w:rPr>
                <w:rFonts w:ascii="Arial" w:eastAsia="Arial" w:hAnsi="Arial" w:cs="Arial"/>
                <w:i/>
              </w:rPr>
              <w:t xml:space="preserve">Acción SA4. Promover la organización y realización de acciones formativas, dirigidas al personal implicado en el ámbito de las adicciones, procurando que dichas acciones formativas, estén avaladas por algún organismo oficial. </w:t>
            </w:r>
          </w:p>
        </w:tc>
      </w:tr>
    </w:tbl>
    <w:p w:rsidR="00E23B86" w:rsidRDefault="00BA7C13">
      <w:pPr>
        <w:spacing w:after="80" w:line="265" w:lineRule="auto"/>
        <w:ind w:left="-5" w:right="13" w:hanging="10"/>
      </w:pPr>
      <w:r>
        <w:rPr>
          <w:rFonts w:ascii="Segoe UI Symbol" w:eastAsia="Segoe UI Symbol" w:hAnsi="Segoe UI Symbol" w:cs="Segoe UI Symbol"/>
          <w:sz w:val="20"/>
        </w:rPr>
        <w:t></w:t>
      </w:r>
    </w:p>
    <w:tbl>
      <w:tblPr>
        <w:tblStyle w:val="TableGrid"/>
        <w:tblW w:w="8123" w:type="dxa"/>
        <w:tblInd w:w="9"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COORDINACIÓN DE LAS ACTUACIONES DEL IV PLAN</w:t>
            </w:r>
          </w:p>
        </w:tc>
      </w:tr>
    </w:tbl>
    <w:p w:rsidR="00E23B86" w:rsidRDefault="00BA7C13">
      <w:pPr>
        <w:numPr>
          <w:ilvl w:val="0"/>
          <w:numId w:val="140"/>
        </w:numPr>
        <w:spacing w:after="111" w:line="251" w:lineRule="auto"/>
        <w:ind w:right="1" w:hanging="841"/>
        <w:jc w:val="both"/>
      </w:pPr>
      <w:r>
        <w:rPr>
          <w:rFonts w:ascii="Arial" w:eastAsia="Arial" w:hAnsi="Arial" w:cs="Arial"/>
          <w:i/>
        </w:rPr>
        <w:t xml:space="preserve">La coordinación del IV Plan es la clave para su ejecución y el logro de resultados, para que ésta sea operativa se propone la coordinación a dos niveles: </w:t>
      </w:r>
    </w:p>
    <w:p w:rsidR="00E23B86" w:rsidRDefault="00BA7C13">
      <w:pPr>
        <w:numPr>
          <w:ilvl w:val="0"/>
          <w:numId w:val="140"/>
        </w:numPr>
        <w:spacing w:after="170" w:line="251" w:lineRule="auto"/>
        <w:ind w:right="1" w:hanging="841"/>
        <w:jc w:val="both"/>
      </w:pPr>
      <w:r>
        <w:rPr>
          <w:rFonts w:ascii="Arial" w:eastAsia="Arial" w:hAnsi="Arial" w:cs="Arial"/>
          <w:i/>
        </w:rPr>
        <w:t>Coordinación interna o institucional: Se desarrollará entre responsables políticos/as y personal técnico de la Concejalía de Servicios Sociales y otras Concejalías.</w:t>
      </w:r>
    </w:p>
    <w:p w:rsidR="00E23B86" w:rsidRDefault="00BA7C13">
      <w:pPr>
        <w:numPr>
          <w:ilvl w:val="0"/>
          <w:numId w:val="140"/>
        </w:numPr>
        <w:spacing w:after="168" w:line="251" w:lineRule="auto"/>
        <w:ind w:right="1" w:hanging="841"/>
        <w:jc w:val="both"/>
      </w:pPr>
      <w:r>
        <w:rPr>
          <w:rFonts w:ascii="Arial" w:eastAsia="Arial" w:hAnsi="Arial" w:cs="Arial"/>
          <w:i/>
        </w:rPr>
        <w:t>Coordinación externa o de participación social. Se realizará con otras instituciones de car</w:t>
      </w:r>
      <w:r>
        <w:rPr>
          <w:rFonts w:ascii="Arial" w:eastAsia="Arial" w:hAnsi="Arial" w:cs="Arial"/>
          <w:i/>
        </w:rPr>
        <w:t xml:space="preserve">ácter público o privado, que tengan competencias en materia de adicciones. </w:t>
      </w:r>
    </w:p>
    <w:p w:rsidR="00E23B86" w:rsidRDefault="00BA7C13">
      <w:pPr>
        <w:numPr>
          <w:ilvl w:val="0"/>
          <w:numId w:val="140"/>
        </w:numPr>
        <w:spacing w:after="111" w:line="251" w:lineRule="auto"/>
        <w:ind w:right="1" w:hanging="841"/>
        <w:jc w:val="both"/>
      </w:pPr>
      <w:r>
        <w:rPr>
          <w:rFonts w:ascii="Arial" w:eastAsia="Arial" w:hAnsi="Arial" w:cs="Arial"/>
          <w:i/>
        </w:rPr>
        <w:t xml:space="preserve">Para lleva a la práctica dicha coordinación, es preciso la creación de dos comisiones: </w:t>
      </w:r>
    </w:p>
    <w:p w:rsidR="00E23B86" w:rsidRDefault="00BA7C13">
      <w:pPr>
        <w:numPr>
          <w:ilvl w:val="0"/>
          <w:numId w:val="140"/>
        </w:numPr>
        <w:spacing w:after="8" w:line="251" w:lineRule="auto"/>
        <w:ind w:right="1" w:hanging="841"/>
        <w:jc w:val="both"/>
      </w:pPr>
      <w:r>
        <w:rPr>
          <w:rFonts w:ascii="Arial" w:eastAsia="Arial" w:hAnsi="Arial" w:cs="Arial"/>
          <w:i/>
        </w:rPr>
        <w:t>La Comisión Municipal de Prevención de Adicciones de Candelaria</w:t>
      </w:r>
    </w:p>
    <w:p w:rsidR="00E23B86" w:rsidRDefault="00BA7C13">
      <w:pPr>
        <w:spacing w:after="111" w:line="251" w:lineRule="auto"/>
        <w:ind w:left="355" w:right="573" w:hanging="10"/>
        <w:jc w:val="both"/>
      </w:pPr>
      <w:r>
        <w:rPr>
          <w:rFonts w:ascii="Arial" w:eastAsia="Arial" w:hAnsi="Arial" w:cs="Arial"/>
          <w:i/>
        </w:rPr>
        <w:t xml:space="preserve">(coordinación interna). </w:t>
      </w:r>
    </w:p>
    <w:p w:rsidR="00E23B86" w:rsidRDefault="00BA7C13">
      <w:pPr>
        <w:numPr>
          <w:ilvl w:val="0"/>
          <w:numId w:val="140"/>
        </w:numPr>
        <w:spacing w:after="0" w:line="484" w:lineRule="auto"/>
        <w:ind w:right="1" w:hanging="841"/>
        <w:jc w:val="both"/>
      </w:pPr>
      <w:r>
        <w:rPr>
          <w:rFonts w:ascii="Arial" w:eastAsia="Arial" w:hAnsi="Arial" w:cs="Arial"/>
          <w:i/>
        </w:rPr>
        <w:t xml:space="preserve">La Comisión Mixta de Prevención de Adicciones de Candelaria. </w:t>
      </w:r>
      <w:r>
        <w:rPr>
          <w:rFonts w:ascii="Segoe UI Symbol" w:eastAsia="Segoe UI Symbol" w:hAnsi="Segoe UI Symbol" w:cs="Segoe UI Symbol"/>
          <w:sz w:val="20"/>
        </w:rPr>
        <w:t xml:space="preserve"> </w:t>
      </w:r>
      <w:r>
        <w:rPr>
          <w:rFonts w:ascii="Arial" w:eastAsia="Arial" w:hAnsi="Arial" w:cs="Arial"/>
          <w:i/>
        </w:rPr>
        <w:t>7.1. Comisión Municipal de Prevención de Adicciones de Candelaria</w:t>
      </w:r>
    </w:p>
    <w:p w:rsidR="00E23B86" w:rsidRDefault="00BA7C13">
      <w:pPr>
        <w:numPr>
          <w:ilvl w:val="0"/>
          <w:numId w:val="140"/>
        </w:numPr>
        <w:spacing w:after="111" w:line="251" w:lineRule="auto"/>
        <w:ind w:right="1" w:hanging="841"/>
        <w:jc w:val="both"/>
      </w:pPr>
      <w:r>
        <w:rPr>
          <w:rFonts w:ascii="Arial" w:eastAsia="Arial" w:hAnsi="Arial" w:cs="Arial"/>
          <w:i/>
        </w:rPr>
        <w:t xml:space="preserve">Sus integrantes serán: </w:t>
      </w:r>
    </w:p>
    <w:p w:rsidR="00E23B86" w:rsidRDefault="00BA7C13">
      <w:pPr>
        <w:numPr>
          <w:ilvl w:val="0"/>
          <w:numId w:val="140"/>
        </w:numPr>
        <w:spacing w:after="111" w:line="251" w:lineRule="auto"/>
        <w:ind w:right="1" w:hanging="841"/>
        <w:jc w:val="both"/>
      </w:pPr>
      <w:r>
        <w:rPr>
          <w:rFonts w:ascii="Arial" w:eastAsia="Arial" w:hAnsi="Arial" w:cs="Arial"/>
          <w:i/>
        </w:rPr>
        <w:t xml:space="preserve">Quien ostente la Alcaldía o Presidencia del Ayuntamiento, o Concejalía en quien delegue, que ostentará </w:t>
      </w:r>
      <w:r>
        <w:rPr>
          <w:rFonts w:ascii="Arial" w:eastAsia="Arial" w:hAnsi="Arial" w:cs="Arial"/>
          <w:i/>
        </w:rPr>
        <w:t>la Presidencia de la Comisión.</w:t>
      </w:r>
    </w:p>
    <w:p w:rsidR="00E23B86" w:rsidRDefault="00BA7C13">
      <w:pPr>
        <w:numPr>
          <w:ilvl w:val="0"/>
          <w:numId w:val="140"/>
        </w:numPr>
        <w:spacing w:after="111" w:line="251" w:lineRule="auto"/>
        <w:ind w:right="1" w:hanging="841"/>
        <w:jc w:val="both"/>
      </w:pPr>
      <w:r>
        <w:rPr>
          <w:rFonts w:ascii="Arial" w:eastAsia="Arial" w:hAnsi="Arial" w:cs="Arial"/>
          <w:i/>
        </w:rPr>
        <w:t>La persona que ostente la Concejalía con competencias en prevención de adicciones/drogodependencias.</w:t>
      </w:r>
    </w:p>
    <w:p w:rsidR="00E23B86" w:rsidRDefault="00BA7C13">
      <w:pPr>
        <w:numPr>
          <w:ilvl w:val="0"/>
          <w:numId w:val="140"/>
        </w:numPr>
        <w:spacing w:after="111" w:line="251" w:lineRule="auto"/>
        <w:ind w:right="1" w:hanging="841"/>
        <w:jc w:val="both"/>
      </w:pPr>
      <w:r>
        <w:rPr>
          <w:rFonts w:ascii="Arial" w:eastAsia="Arial" w:hAnsi="Arial" w:cs="Arial"/>
          <w:i/>
        </w:rPr>
        <w:t>Representantes de los grupos políticos municipales.</w:t>
      </w:r>
    </w:p>
    <w:p w:rsidR="00E23B86" w:rsidRDefault="00BA7C13">
      <w:pPr>
        <w:numPr>
          <w:ilvl w:val="0"/>
          <w:numId w:val="140"/>
        </w:numPr>
        <w:spacing w:after="111" w:line="251" w:lineRule="auto"/>
        <w:ind w:right="1" w:hanging="841"/>
        <w:jc w:val="both"/>
      </w:pPr>
      <w:r>
        <w:rPr>
          <w:rFonts w:ascii="Arial" w:eastAsia="Arial" w:hAnsi="Arial" w:cs="Arial"/>
          <w:i/>
        </w:rPr>
        <w:t>Personal de Secretaría del Ayuntamiento o funcionariado en quien delegue</w:t>
      </w:r>
      <w:r>
        <w:rPr>
          <w:rFonts w:ascii="Arial" w:eastAsia="Arial" w:hAnsi="Arial" w:cs="Arial"/>
          <w:i/>
        </w:rPr>
        <w:t>, que asumirá las funciones derivadas de la Secretaría de la Comisión Municipal.</w:t>
      </w:r>
    </w:p>
    <w:p w:rsidR="00E23B86" w:rsidRDefault="00BA7C13">
      <w:pPr>
        <w:numPr>
          <w:ilvl w:val="0"/>
          <w:numId w:val="140"/>
        </w:numPr>
        <w:spacing w:after="111" w:line="251" w:lineRule="auto"/>
        <w:ind w:right="1" w:hanging="841"/>
        <w:jc w:val="both"/>
      </w:pPr>
      <w:r>
        <w:rPr>
          <w:rFonts w:ascii="Arial" w:eastAsia="Arial" w:hAnsi="Arial" w:cs="Arial"/>
          <w:i/>
        </w:rPr>
        <w:t xml:space="preserve">Esta Comisión estará asistida en la celebración de sus reuniones periódicas por el/la Técnico/a Municipal en Prevención de Adicciones. Se reunirá con una periodicidad anual y </w:t>
      </w:r>
      <w:r>
        <w:rPr>
          <w:rFonts w:ascii="Arial" w:eastAsia="Arial" w:hAnsi="Arial" w:cs="Arial"/>
          <w:i/>
        </w:rPr>
        <w:t>sus funciones serán:</w:t>
      </w:r>
    </w:p>
    <w:p w:rsidR="00E23B86" w:rsidRDefault="00BA7C13">
      <w:pPr>
        <w:numPr>
          <w:ilvl w:val="0"/>
          <w:numId w:val="140"/>
        </w:numPr>
        <w:spacing w:after="111" w:line="251" w:lineRule="auto"/>
        <w:ind w:right="1" w:hanging="841"/>
        <w:jc w:val="both"/>
      </w:pPr>
      <w:r>
        <w:rPr>
          <w:rFonts w:ascii="Arial" w:eastAsia="Arial" w:hAnsi="Arial" w:cs="Arial"/>
          <w:i/>
        </w:rPr>
        <w:t>Definir y aprobar anualmente las líneas de actuación prioritarias del Plan Municipal.</w:t>
      </w:r>
    </w:p>
    <w:p w:rsidR="00E23B86" w:rsidRDefault="00BA7C13">
      <w:pPr>
        <w:numPr>
          <w:ilvl w:val="0"/>
          <w:numId w:val="140"/>
        </w:numPr>
        <w:spacing w:after="0" w:line="484" w:lineRule="auto"/>
        <w:ind w:right="1" w:hanging="841"/>
        <w:jc w:val="both"/>
      </w:pPr>
      <w:r>
        <w:rPr>
          <w:noProof/>
        </w:rPr>
        <mc:AlternateContent>
          <mc:Choice Requires="wpg">
            <w:drawing>
              <wp:anchor distT="0" distB="0" distL="114300" distR="114300" simplePos="0" relativeHeight="2519521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2566" name="Group 56256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870" name="Rectangle 4587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5871" name="Rectangle 4587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w:t>
                              </w:r>
                              <w:r>
                                <w:rPr>
                                  <w:rFonts w:ascii="Arial" w:eastAsia="Arial" w:hAnsi="Arial" w:cs="Arial"/>
                                  <w:sz w:val="12"/>
                                </w:rPr>
                                <w:t xml:space="preserve">ataforma esPublico Gestiona | Página 285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2566" style="width:12.7031pt;height:280.35pt;position:absolute;mso-position-horizontal-relative:page;mso-position-horizontal:absolute;margin-left:681.958pt;mso-position-vertical-relative:page;margin-top:531.65pt;" coordsize="1613,35604">
                <v:rect id="Rectangle 4587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87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285 de 391 </w:t>
                        </w:r>
                      </w:p>
                    </w:txbxContent>
                  </v:textbox>
                </v:rect>
                <w10:wrap type="square"/>
              </v:group>
            </w:pict>
          </mc:Fallback>
        </mc:AlternateContent>
      </w:r>
      <w:r>
        <w:rPr>
          <w:rFonts w:ascii="Arial" w:eastAsia="Arial" w:hAnsi="Arial" w:cs="Arial"/>
          <w:i/>
        </w:rPr>
        <w:t xml:space="preserve">Aprobar las líneas de trabajo y realizar el seguimiento. </w:t>
      </w:r>
      <w:r>
        <w:rPr>
          <w:rFonts w:ascii="Segoe UI Symbol" w:eastAsia="Segoe UI Symbol" w:hAnsi="Segoe UI Symbol" w:cs="Segoe UI Symbol"/>
          <w:sz w:val="20"/>
        </w:rPr>
        <w:t xml:space="preserve"> </w:t>
      </w:r>
      <w:r>
        <w:rPr>
          <w:rFonts w:ascii="Arial" w:eastAsia="Arial" w:hAnsi="Arial" w:cs="Arial"/>
          <w:i/>
        </w:rPr>
        <w:t>7.2. Comisión Mixta de Prevención de Adicciones de Candelaria</w:t>
      </w:r>
    </w:p>
    <w:p w:rsidR="00E23B86" w:rsidRDefault="00BA7C13">
      <w:pPr>
        <w:numPr>
          <w:ilvl w:val="0"/>
          <w:numId w:val="140"/>
        </w:numPr>
        <w:spacing w:after="111" w:line="251" w:lineRule="auto"/>
        <w:ind w:right="1" w:hanging="841"/>
        <w:jc w:val="both"/>
      </w:pPr>
      <w:r>
        <w:rPr>
          <w:rFonts w:ascii="Arial" w:eastAsia="Arial" w:hAnsi="Arial" w:cs="Arial"/>
          <w:i/>
        </w:rPr>
        <w:t xml:space="preserve">Sus integrantes serán: </w:t>
      </w:r>
    </w:p>
    <w:p w:rsidR="00E23B86" w:rsidRDefault="00BA7C13">
      <w:pPr>
        <w:numPr>
          <w:ilvl w:val="0"/>
          <w:numId w:val="140"/>
        </w:numPr>
        <w:spacing w:after="111" w:line="251" w:lineRule="auto"/>
        <w:ind w:right="1" w:hanging="841"/>
        <w:jc w:val="both"/>
      </w:pPr>
      <w:r>
        <w:rPr>
          <w:rFonts w:ascii="Arial" w:eastAsia="Arial" w:hAnsi="Arial" w:cs="Arial"/>
          <w:i/>
        </w:rPr>
        <w:t>La persona que ostente la Concejalía con competencias en adicc</w:t>
      </w:r>
      <w:r>
        <w:rPr>
          <w:rFonts w:ascii="Arial" w:eastAsia="Arial" w:hAnsi="Arial" w:cs="Arial"/>
          <w:i/>
        </w:rPr>
        <w:t>iones.</w:t>
      </w:r>
    </w:p>
    <w:p w:rsidR="00E23B86" w:rsidRDefault="00BA7C13">
      <w:pPr>
        <w:numPr>
          <w:ilvl w:val="0"/>
          <w:numId w:val="140"/>
        </w:numPr>
        <w:spacing w:after="111" w:line="251" w:lineRule="auto"/>
        <w:ind w:right="1" w:hanging="841"/>
        <w:jc w:val="both"/>
      </w:pPr>
      <w:r>
        <w:rPr>
          <w:rFonts w:ascii="Arial" w:eastAsia="Arial" w:hAnsi="Arial" w:cs="Arial"/>
          <w:i/>
        </w:rPr>
        <w:t>Representantes de los grupos políticos municipales.</w:t>
      </w:r>
    </w:p>
    <w:p w:rsidR="00E23B86" w:rsidRDefault="00BA7C13">
      <w:pPr>
        <w:numPr>
          <w:ilvl w:val="0"/>
          <w:numId w:val="140"/>
        </w:numPr>
        <w:spacing w:after="111" w:line="251" w:lineRule="auto"/>
        <w:ind w:right="1" w:hanging="841"/>
        <w:jc w:val="both"/>
      </w:pPr>
      <w:r>
        <w:rPr>
          <w:rFonts w:ascii="Arial" w:eastAsia="Arial" w:hAnsi="Arial" w:cs="Arial"/>
          <w:i/>
        </w:rPr>
        <w:t>Los/las técnicos/as municipales de las Áreas del Ayuntamiento adscritas al Plan Municipal en Prevención de Adicciones.</w:t>
      </w:r>
    </w:p>
    <w:p w:rsidR="00E23B86" w:rsidRDefault="00BA7C13">
      <w:pPr>
        <w:numPr>
          <w:ilvl w:val="0"/>
          <w:numId w:val="140"/>
        </w:numPr>
        <w:spacing w:after="111" w:line="251" w:lineRule="auto"/>
        <w:ind w:right="1" w:hanging="841"/>
        <w:jc w:val="both"/>
      </w:pPr>
      <w:r>
        <w:rPr>
          <w:rFonts w:ascii="Arial" w:eastAsia="Arial" w:hAnsi="Arial" w:cs="Arial"/>
          <w:i/>
        </w:rPr>
        <w:t>Los/las representantes de los recursos institucionales del municipio.</w:t>
      </w:r>
    </w:p>
    <w:p w:rsidR="00E23B86" w:rsidRDefault="00BA7C13">
      <w:pPr>
        <w:numPr>
          <w:ilvl w:val="0"/>
          <w:numId w:val="140"/>
        </w:numPr>
        <w:spacing w:after="111" w:line="251" w:lineRule="auto"/>
        <w:ind w:right="1" w:hanging="841"/>
        <w:jc w:val="both"/>
      </w:pPr>
      <w:r>
        <w:rPr>
          <w:rFonts w:ascii="Arial" w:eastAsia="Arial" w:hAnsi="Arial" w:cs="Arial"/>
          <w:i/>
        </w:rPr>
        <w:t xml:space="preserve">Los/las </w:t>
      </w:r>
      <w:r>
        <w:rPr>
          <w:rFonts w:ascii="Arial" w:eastAsia="Arial" w:hAnsi="Arial" w:cs="Arial"/>
          <w:i/>
        </w:rPr>
        <w:t>representantes de las asociaciones y entidades ciudadanas.</w:t>
      </w:r>
    </w:p>
    <w:p w:rsidR="00E23B86" w:rsidRDefault="00BA7C13">
      <w:pPr>
        <w:numPr>
          <w:ilvl w:val="0"/>
          <w:numId w:val="140"/>
        </w:numPr>
        <w:spacing w:after="111" w:line="251" w:lineRule="auto"/>
        <w:ind w:right="1" w:hanging="841"/>
        <w:jc w:val="both"/>
      </w:pPr>
      <w:r>
        <w:rPr>
          <w:rFonts w:ascii="Arial" w:eastAsia="Arial" w:hAnsi="Arial" w:cs="Arial"/>
          <w:i/>
        </w:rPr>
        <w:t>El/la técnico/a municipal en Prevención de Adicciones que actuará como Secretario/a de la Comisión.</w:t>
      </w:r>
    </w:p>
    <w:p w:rsidR="00E23B86" w:rsidRDefault="00BA7C13">
      <w:pPr>
        <w:numPr>
          <w:ilvl w:val="0"/>
          <w:numId w:val="140"/>
        </w:numPr>
        <w:spacing w:after="111" w:line="251" w:lineRule="auto"/>
        <w:ind w:right="1" w:hanging="841"/>
        <w:jc w:val="both"/>
      </w:pPr>
      <w:r>
        <w:rPr>
          <w:rFonts w:ascii="Arial" w:eastAsia="Arial" w:hAnsi="Arial" w:cs="Arial"/>
          <w:i/>
        </w:rPr>
        <w:t>La periodicidad de las reuniones de la Comisión Mixta se establecerá según la necesidad de las mi</w:t>
      </w:r>
      <w:r>
        <w:rPr>
          <w:rFonts w:ascii="Arial" w:eastAsia="Arial" w:hAnsi="Arial" w:cs="Arial"/>
          <w:i/>
        </w:rPr>
        <w:t>smas, y las funciones serán:</w:t>
      </w:r>
    </w:p>
    <w:p w:rsidR="00E23B86" w:rsidRDefault="00BA7C13">
      <w:pPr>
        <w:numPr>
          <w:ilvl w:val="0"/>
          <w:numId w:val="140"/>
        </w:numPr>
        <w:spacing w:after="111" w:line="251" w:lineRule="auto"/>
        <w:ind w:right="1" w:hanging="841"/>
        <w:jc w:val="both"/>
      </w:pPr>
      <w:r>
        <w:rPr>
          <w:rFonts w:ascii="Arial" w:eastAsia="Arial" w:hAnsi="Arial" w:cs="Arial"/>
          <w:i/>
        </w:rPr>
        <w:t>El seguimiento y evaluación del Plan.</w:t>
      </w:r>
    </w:p>
    <w:p w:rsidR="00E23B86" w:rsidRDefault="00BA7C13">
      <w:pPr>
        <w:numPr>
          <w:ilvl w:val="0"/>
          <w:numId w:val="140"/>
        </w:numPr>
        <w:spacing w:after="111" w:line="251" w:lineRule="auto"/>
        <w:ind w:right="1" w:hanging="841"/>
        <w:jc w:val="both"/>
      </w:pPr>
      <w:r>
        <w:rPr>
          <w:rFonts w:ascii="Arial" w:eastAsia="Arial" w:hAnsi="Arial" w:cs="Arial"/>
          <w:i/>
        </w:rPr>
        <w:t>Establecer las líneas de actuación.</w:t>
      </w:r>
    </w:p>
    <w:p w:rsidR="00E23B86" w:rsidRDefault="00BA7C13">
      <w:pPr>
        <w:numPr>
          <w:ilvl w:val="0"/>
          <w:numId w:val="140"/>
        </w:numPr>
        <w:spacing w:after="111" w:line="251" w:lineRule="auto"/>
        <w:ind w:right="1" w:hanging="841"/>
        <w:jc w:val="both"/>
      </w:pPr>
      <w:r>
        <w:rPr>
          <w:rFonts w:ascii="Arial" w:eastAsia="Arial" w:hAnsi="Arial" w:cs="Arial"/>
          <w:i/>
        </w:rPr>
        <w:t>Coordinar las actuaciones y programas en Adicciones de las distintas instituciones, entidades y grupos sociales.</w:t>
      </w:r>
    </w:p>
    <w:p w:rsidR="00E23B86" w:rsidRDefault="00BA7C13">
      <w:pPr>
        <w:numPr>
          <w:ilvl w:val="0"/>
          <w:numId w:val="140"/>
        </w:numPr>
        <w:spacing w:after="111" w:line="251" w:lineRule="auto"/>
        <w:ind w:right="1" w:hanging="841"/>
        <w:jc w:val="both"/>
      </w:pPr>
      <w:r>
        <w:rPr>
          <w:rFonts w:ascii="Arial" w:eastAsia="Arial" w:hAnsi="Arial" w:cs="Arial"/>
          <w:i/>
        </w:rPr>
        <w:t>Esta comisión podrá operativizarse en grupos de trabajo sobre la base de los ámbitos de intervención ya señalados (educativo, familiar, laboral y de ocio y tiempo libre), estableciéndose las reuniones según cada grupo de trabajo y tendrán como funciones pr</w:t>
      </w:r>
      <w:r>
        <w:rPr>
          <w:rFonts w:ascii="Arial" w:eastAsia="Arial" w:hAnsi="Arial" w:cs="Arial"/>
          <w:i/>
        </w:rPr>
        <w:t>oponer y elevar a la Comisión Mixta las siguientes cuestiones:</w:t>
      </w:r>
    </w:p>
    <w:p w:rsidR="00E23B86" w:rsidRDefault="00BA7C13">
      <w:pPr>
        <w:spacing w:after="111" w:line="251" w:lineRule="auto"/>
        <w:ind w:left="355" w:right="573" w:hanging="10"/>
        <w:jc w:val="both"/>
      </w:pPr>
      <w:r>
        <w:rPr>
          <w:rFonts w:ascii="Arial" w:eastAsia="Arial" w:hAnsi="Arial" w:cs="Arial"/>
          <w:i/>
        </w:rPr>
        <w:t>Nuevas propuestas de intervención.</w:t>
      </w:r>
    </w:p>
    <w:p w:rsidR="00E23B86" w:rsidRDefault="00BA7C13">
      <w:pPr>
        <w:numPr>
          <w:ilvl w:val="0"/>
          <w:numId w:val="140"/>
        </w:numPr>
        <w:spacing w:after="111" w:line="251" w:lineRule="auto"/>
        <w:ind w:right="1" w:hanging="841"/>
        <w:jc w:val="both"/>
      </w:pPr>
      <w:r>
        <w:rPr>
          <w:rFonts w:ascii="Arial" w:eastAsia="Arial" w:hAnsi="Arial" w:cs="Arial"/>
          <w:i/>
        </w:rPr>
        <w:t xml:space="preserve">La elaboración de diagnósticos y exposición de necesidades. </w:t>
      </w:r>
    </w:p>
    <w:p w:rsidR="00E23B86" w:rsidRDefault="00BA7C13">
      <w:pPr>
        <w:numPr>
          <w:ilvl w:val="0"/>
          <w:numId w:val="140"/>
        </w:numPr>
        <w:spacing w:after="111" w:line="251" w:lineRule="auto"/>
        <w:ind w:right="1" w:hanging="841"/>
        <w:jc w:val="both"/>
      </w:pPr>
      <w:r>
        <w:rPr>
          <w:rFonts w:ascii="Arial" w:eastAsia="Arial" w:hAnsi="Arial" w:cs="Arial"/>
          <w:i/>
        </w:rPr>
        <w:t>Estudios e Investigaciones.</w:t>
      </w:r>
    </w:p>
    <w:p w:rsidR="00E23B86" w:rsidRDefault="00BA7C13">
      <w:pPr>
        <w:numPr>
          <w:ilvl w:val="0"/>
          <w:numId w:val="140"/>
        </w:numPr>
        <w:spacing w:after="90" w:line="251" w:lineRule="auto"/>
        <w:ind w:right="1" w:hanging="841"/>
        <w:jc w:val="both"/>
      </w:pPr>
      <w:r>
        <w:rPr>
          <w:rFonts w:ascii="Arial" w:eastAsia="Arial" w:hAnsi="Arial" w:cs="Arial"/>
          <w:i/>
        </w:rPr>
        <w:t>Seguimiento y evaluación de las intervenciones llevadas en cada ámbit</w:t>
      </w:r>
      <w:r>
        <w:rPr>
          <w:rFonts w:ascii="Arial" w:eastAsia="Arial" w:hAnsi="Arial" w:cs="Arial"/>
          <w:i/>
        </w:rPr>
        <w:t xml:space="preserve">o. </w:t>
      </w:r>
    </w:p>
    <w:tbl>
      <w:tblPr>
        <w:tblStyle w:val="TableGrid"/>
        <w:tblW w:w="8123" w:type="dxa"/>
        <w:tblInd w:w="9"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RECURSOS DEL IV PLAN  </w:t>
            </w:r>
          </w:p>
        </w:tc>
      </w:tr>
    </w:tbl>
    <w:p w:rsidR="00E23B86" w:rsidRDefault="00BA7C13">
      <w:pPr>
        <w:numPr>
          <w:ilvl w:val="0"/>
          <w:numId w:val="140"/>
        </w:numPr>
        <w:spacing w:after="111" w:line="251" w:lineRule="auto"/>
        <w:ind w:right="1" w:hanging="841"/>
        <w:jc w:val="both"/>
      </w:pPr>
      <w:r>
        <w:rPr>
          <w:rFonts w:ascii="Arial" w:eastAsia="Arial" w:hAnsi="Arial" w:cs="Arial"/>
          <w:i/>
        </w:rPr>
        <w:t>Para la implementación y ejecución del IV Plan Municipal de Prevención de Adicciones (2019-2023) del municipio de Candelaria, se dispondrá de los recursos ya existentes y se adjudicarán los recursos necesarios para desarrollar las medidas.</w:t>
      </w:r>
    </w:p>
    <w:p w:rsidR="00E23B86" w:rsidRDefault="00BA7C13">
      <w:pPr>
        <w:numPr>
          <w:ilvl w:val="0"/>
          <w:numId w:val="140"/>
        </w:numPr>
        <w:spacing w:after="112" w:line="345" w:lineRule="auto"/>
        <w:ind w:right="1" w:hanging="841"/>
        <w:jc w:val="both"/>
      </w:pPr>
      <w:r>
        <w:rPr>
          <w:rFonts w:ascii="Arial" w:eastAsia="Arial" w:hAnsi="Arial" w:cs="Arial"/>
          <w:i/>
        </w:rPr>
        <w:t>Como recursos re</w:t>
      </w:r>
      <w:r>
        <w:rPr>
          <w:rFonts w:ascii="Arial" w:eastAsia="Arial" w:hAnsi="Arial" w:cs="Arial"/>
          <w:i/>
        </w:rPr>
        <w:t xml:space="preserve">lacionados con el Plan que ya existen (sin dedicación exclusiva, responsables de otras áreas y funciones): </w:t>
      </w:r>
      <w:r>
        <w:rPr>
          <w:rFonts w:ascii="Courier New" w:eastAsia="Courier New" w:hAnsi="Courier New" w:cs="Courier New"/>
          <w:sz w:val="20"/>
        </w:rPr>
        <w:t xml:space="preserve">o </w:t>
      </w:r>
      <w:r>
        <w:rPr>
          <w:rFonts w:ascii="Arial" w:eastAsia="Arial" w:hAnsi="Arial" w:cs="Arial"/>
          <w:i/>
        </w:rPr>
        <w:t xml:space="preserve">1 Trabajadora Social (responsable del Plan) </w:t>
      </w:r>
      <w:r>
        <w:rPr>
          <w:rFonts w:ascii="Courier New" w:eastAsia="Courier New" w:hAnsi="Courier New" w:cs="Courier New"/>
          <w:sz w:val="20"/>
        </w:rPr>
        <w:t xml:space="preserve">o </w:t>
      </w:r>
      <w:r>
        <w:rPr>
          <w:rFonts w:ascii="Arial" w:eastAsia="Arial" w:hAnsi="Arial" w:cs="Arial"/>
          <w:i/>
        </w:rPr>
        <w:t xml:space="preserve">1 Pedagoga </w:t>
      </w:r>
    </w:p>
    <w:p w:rsidR="00E23B86" w:rsidRDefault="00BA7C13">
      <w:pPr>
        <w:spacing w:after="193" w:line="251" w:lineRule="auto"/>
        <w:ind w:left="730" w:right="573" w:hanging="10"/>
        <w:jc w:val="both"/>
      </w:pPr>
      <w:r>
        <w:rPr>
          <w:rFonts w:ascii="Courier New" w:eastAsia="Courier New" w:hAnsi="Courier New" w:cs="Courier New"/>
          <w:sz w:val="20"/>
        </w:rPr>
        <w:t xml:space="preserve">o </w:t>
      </w:r>
      <w:r>
        <w:rPr>
          <w:rFonts w:ascii="Arial" w:eastAsia="Arial" w:hAnsi="Arial" w:cs="Arial"/>
          <w:i/>
        </w:rPr>
        <w:t xml:space="preserve">1 Trabajadora Social   </w:t>
      </w:r>
    </w:p>
    <w:p w:rsidR="00E23B86" w:rsidRDefault="00BA7C13">
      <w:pPr>
        <w:spacing w:after="14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67" w:line="251" w:lineRule="auto"/>
        <w:ind w:right="1" w:hanging="841"/>
        <w:jc w:val="both"/>
      </w:pPr>
      <w:r>
        <w:rPr>
          <w:noProof/>
        </w:rPr>
        <mc:AlternateContent>
          <mc:Choice Requires="wpg">
            <w:drawing>
              <wp:anchor distT="0" distB="0" distL="114300" distR="114300" simplePos="0" relativeHeight="2519531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9072" name="Group 56907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5949" name="Rectangle 4594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5950" name="Rectangle 4595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286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9072" style="width:12.7031pt;height:280.35pt;position:absolute;mso-position-horizontal-relative:page;mso-position-horizontal:absolute;margin-left:681.958pt;mso-position-vertical-relative:page;margin-top:531.65pt;" coordsize="1613,35604">
                <v:rect id="Rectangle 4594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595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286 de 391 </w:t>
                        </w:r>
                      </w:p>
                    </w:txbxContent>
                  </v:textbox>
                </v:rect>
                <w10:wrap type="square"/>
              </v:group>
            </w:pict>
          </mc:Fallback>
        </mc:AlternateContent>
      </w:r>
      <w:r>
        <w:rPr>
          <w:rFonts w:ascii="Arial" w:eastAsia="Arial" w:hAnsi="Arial" w:cs="Arial"/>
          <w:i/>
        </w:rPr>
        <w:t>Como recursos relacionados con el Plan, que no existen y serí</w:t>
      </w:r>
      <w:r>
        <w:rPr>
          <w:rFonts w:ascii="Arial" w:eastAsia="Arial" w:hAnsi="Arial" w:cs="Arial"/>
          <w:i/>
        </w:rPr>
        <w:t>a necesario implementar:</w:t>
      </w:r>
    </w:p>
    <w:p w:rsidR="00E23B86" w:rsidRDefault="00BA7C13">
      <w:pPr>
        <w:numPr>
          <w:ilvl w:val="4"/>
          <w:numId w:val="148"/>
        </w:numPr>
        <w:spacing w:after="196" w:line="251" w:lineRule="auto"/>
        <w:ind w:right="20" w:hanging="360"/>
        <w:jc w:val="both"/>
      </w:pPr>
      <w:r>
        <w:rPr>
          <w:rFonts w:ascii="Arial" w:eastAsia="Arial" w:hAnsi="Arial" w:cs="Arial"/>
          <w:i/>
        </w:rPr>
        <w:t>Educadores/as de calle para trabajar en los barrios.</w:t>
      </w:r>
    </w:p>
    <w:p w:rsidR="00E23B86" w:rsidRDefault="00BA7C13">
      <w:pPr>
        <w:numPr>
          <w:ilvl w:val="4"/>
          <w:numId w:val="148"/>
        </w:numPr>
        <w:spacing w:after="167" w:line="251" w:lineRule="auto"/>
        <w:ind w:right="20" w:hanging="360"/>
        <w:jc w:val="both"/>
      </w:pPr>
      <w:r>
        <w:rPr>
          <w:rFonts w:ascii="Arial" w:eastAsia="Arial" w:hAnsi="Arial" w:cs="Arial"/>
          <w:i/>
        </w:rPr>
        <w:t>Equipo de expertos con perfiles de trabajadores/as sociales, Psicólogos/as y expertos/as en familia para ofertar servicios de atención temprana, asesoramiento, etc.</w:t>
      </w:r>
    </w:p>
    <w:p w:rsidR="00E23B86" w:rsidRDefault="00BA7C13">
      <w:pPr>
        <w:numPr>
          <w:ilvl w:val="4"/>
          <w:numId w:val="148"/>
        </w:numPr>
        <w:spacing w:after="164" w:line="251" w:lineRule="auto"/>
        <w:ind w:right="20" w:hanging="360"/>
        <w:jc w:val="both"/>
      </w:pPr>
      <w:r>
        <w:rPr>
          <w:rFonts w:ascii="Arial" w:eastAsia="Arial" w:hAnsi="Arial" w:cs="Arial"/>
          <w:i/>
        </w:rPr>
        <w:t xml:space="preserve">Experto/a en </w:t>
      </w:r>
      <w:r>
        <w:rPr>
          <w:rFonts w:ascii="Arial" w:eastAsia="Arial" w:hAnsi="Arial" w:cs="Arial"/>
          <w:i/>
        </w:rPr>
        <w:t>redes sociales para gestionar la prevención desde un ámbito virtual.</w:t>
      </w:r>
    </w:p>
    <w:p w:rsidR="00E23B86" w:rsidRDefault="00BA7C13">
      <w:pPr>
        <w:numPr>
          <w:ilvl w:val="4"/>
          <w:numId w:val="148"/>
        </w:numPr>
        <w:spacing w:after="166" w:line="251" w:lineRule="auto"/>
        <w:ind w:right="20" w:hanging="360"/>
        <w:jc w:val="both"/>
      </w:pPr>
      <w:r>
        <w:rPr>
          <w:rFonts w:ascii="Arial" w:eastAsia="Arial" w:hAnsi="Arial" w:cs="Arial"/>
          <w:i/>
        </w:rPr>
        <w:t>Contratación de servicios para asesorar, evaluar e investigar sobre prevención de adicciones.</w:t>
      </w:r>
    </w:p>
    <w:p w:rsidR="00E23B86" w:rsidRDefault="00BA7C13">
      <w:pPr>
        <w:numPr>
          <w:ilvl w:val="4"/>
          <w:numId w:val="148"/>
        </w:numPr>
        <w:spacing w:after="167" w:line="251" w:lineRule="auto"/>
        <w:ind w:right="20" w:hanging="360"/>
        <w:jc w:val="both"/>
      </w:pPr>
      <w:r>
        <w:rPr>
          <w:rFonts w:ascii="Arial" w:eastAsia="Arial" w:hAnsi="Arial" w:cs="Arial"/>
          <w:i/>
        </w:rPr>
        <w:t>Recursos presupuestarios para contratar servicios de publicidad, edición de folletos, cursos,</w:t>
      </w:r>
      <w:r>
        <w:rPr>
          <w:rFonts w:ascii="Arial" w:eastAsia="Arial" w:hAnsi="Arial" w:cs="Arial"/>
          <w:i/>
        </w:rPr>
        <w:t xml:space="preserve"> talleres, charlas, etc. en el ámbito comunitario y educativo.</w:t>
      </w:r>
    </w:p>
    <w:p w:rsidR="00E23B86" w:rsidRDefault="00BA7C13">
      <w:pPr>
        <w:spacing w:after="14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El Ayuntamiento de Candelaria cuanta con la aplicación presupuestaria 23100.22616 correspondiente a la Unidad de Prevención, Absentismo y Drogodependencias, así como la aplicación 23100.48002</w:t>
      </w:r>
      <w:r>
        <w:rPr>
          <w:rFonts w:ascii="Arial" w:eastAsia="Arial" w:hAnsi="Arial" w:cs="Arial"/>
          <w:i/>
        </w:rPr>
        <w:t xml:space="preserve"> de Prevención y Reinserción del Plan Concertado de Prestaciones Básicas de los Servicios Sociales Municipales. </w:t>
      </w:r>
    </w:p>
    <w:p w:rsidR="00E23B86" w:rsidRDefault="00BA7C13">
      <w:pPr>
        <w:numPr>
          <w:ilvl w:val="0"/>
          <w:numId w:val="140"/>
        </w:numPr>
        <w:spacing w:after="111" w:line="251" w:lineRule="auto"/>
        <w:ind w:right="1" w:hanging="841"/>
        <w:jc w:val="both"/>
      </w:pPr>
      <w:r>
        <w:rPr>
          <w:rFonts w:ascii="Arial" w:eastAsia="Arial" w:hAnsi="Arial" w:cs="Arial"/>
          <w:i/>
        </w:rPr>
        <w:t xml:space="preserve">Así mismo, deberá dotar de los recursos materiales necesarios para el desarrollo de las actuaciones de dicho Plan. </w:t>
      </w:r>
    </w:p>
    <w:tbl>
      <w:tblPr>
        <w:tblStyle w:val="TableGrid"/>
        <w:tblW w:w="8123" w:type="dxa"/>
        <w:tblInd w:w="9"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EVALUACIÓN Y SEGUIMIENTO DEL PLAN </w:t>
            </w:r>
          </w:p>
        </w:tc>
      </w:tr>
    </w:tbl>
    <w:p w:rsidR="00E23B86" w:rsidRDefault="00BA7C13">
      <w:pPr>
        <w:numPr>
          <w:ilvl w:val="0"/>
          <w:numId w:val="140"/>
        </w:numPr>
        <w:spacing w:after="111" w:line="251" w:lineRule="auto"/>
        <w:ind w:right="1" w:hanging="841"/>
        <w:jc w:val="both"/>
      </w:pPr>
      <w:r>
        <w:rPr>
          <w:rFonts w:ascii="Arial" w:eastAsia="Arial" w:hAnsi="Arial" w:cs="Arial"/>
          <w:i/>
        </w:rPr>
        <w:t xml:space="preserve">El IV Plan Municipal de Prevención de Drogodependencias y otras Adicciones (2019-2023) del municipio de Candelaria, precisa de un sistema de evaluación y seguimiento que garantice el logro de los objetivos marcados. </w:t>
      </w:r>
    </w:p>
    <w:p w:rsidR="00E23B86" w:rsidRDefault="00BA7C13">
      <w:pPr>
        <w:numPr>
          <w:ilvl w:val="0"/>
          <w:numId w:val="140"/>
        </w:numPr>
        <w:spacing w:after="111" w:line="251" w:lineRule="auto"/>
        <w:ind w:right="1" w:hanging="841"/>
        <w:jc w:val="both"/>
      </w:pPr>
      <w:r>
        <w:rPr>
          <w:rFonts w:ascii="Arial" w:eastAsia="Arial" w:hAnsi="Arial" w:cs="Arial"/>
          <w:i/>
        </w:rPr>
        <w:t>Los</w:t>
      </w:r>
      <w:r>
        <w:rPr>
          <w:rFonts w:ascii="Arial" w:eastAsia="Arial" w:hAnsi="Arial" w:cs="Arial"/>
          <w:i/>
        </w:rPr>
        <w:t xml:space="preserve"> objetivos de la evaluación serán: </w:t>
      </w:r>
    </w:p>
    <w:p w:rsidR="00E23B86" w:rsidRDefault="00BA7C13">
      <w:pPr>
        <w:numPr>
          <w:ilvl w:val="0"/>
          <w:numId w:val="140"/>
        </w:numPr>
        <w:spacing w:after="111" w:line="251" w:lineRule="auto"/>
        <w:ind w:right="1" w:hanging="841"/>
        <w:jc w:val="both"/>
      </w:pPr>
      <w:r>
        <w:rPr>
          <w:rFonts w:ascii="Arial" w:eastAsia="Arial" w:hAnsi="Arial" w:cs="Arial"/>
          <w:i/>
        </w:rPr>
        <w:t>Evaluar la ejecución de las acciones de las distintas estrategias del Plan Municipal tanto en su diseño, proceso, resultados e impacto.</w:t>
      </w:r>
    </w:p>
    <w:p w:rsidR="00E23B86" w:rsidRDefault="00BA7C13">
      <w:pPr>
        <w:numPr>
          <w:ilvl w:val="0"/>
          <w:numId w:val="140"/>
        </w:numPr>
        <w:spacing w:after="111" w:line="251" w:lineRule="auto"/>
        <w:ind w:right="1" w:hanging="841"/>
        <w:jc w:val="both"/>
      </w:pPr>
      <w:r>
        <w:rPr>
          <w:rFonts w:ascii="Arial" w:eastAsia="Arial" w:hAnsi="Arial" w:cs="Arial"/>
          <w:i/>
        </w:rPr>
        <w:t>Hacer partícipes del proceso evaluativo a los/as técnicos/as, agentes sociales parti</w:t>
      </w:r>
      <w:r>
        <w:rPr>
          <w:rFonts w:ascii="Arial" w:eastAsia="Arial" w:hAnsi="Arial" w:cs="Arial"/>
          <w:i/>
        </w:rPr>
        <w:t>cipantes y a la población.</w:t>
      </w:r>
    </w:p>
    <w:p w:rsidR="00E23B86" w:rsidRDefault="00BA7C13">
      <w:pPr>
        <w:numPr>
          <w:ilvl w:val="0"/>
          <w:numId w:val="140"/>
        </w:numPr>
        <w:spacing w:after="111" w:line="251" w:lineRule="auto"/>
        <w:ind w:right="1" w:hanging="841"/>
        <w:jc w:val="both"/>
      </w:pPr>
      <w:r>
        <w:rPr>
          <w:rFonts w:ascii="Arial" w:eastAsia="Arial" w:hAnsi="Arial" w:cs="Arial"/>
          <w:i/>
        </w:rPr>
        <w:t>Como procedimiento para evaluar y hacer un seguimiento del mismo se tendrán en cuenta los siguientes aspectos:</w:t>
      </w:r>
    </w:p>
    <w:p w:rsidR="00E23B86" w:rsidRDefault="00BA7C13">
      <w:pPr>
        <w:numPr>
          <w:ilvl w:val="0"/>
          <w:numId w:val="140"/>
        </w:numPr>
        <w:spacing w:after="111" w:line="251" w:lineRule="auto"/>
        <w:ind w:right="1" w:hanging="841"/>
        <w:jc w:val="both"/>
      </w:pPr>
      <w:r>
        <w:rPr>
          <w:rFonts w:ascii="Arial" w:eastAsia="Arial" w:hAnsi="Arial" w:cs="Arial"/>
          <w:i/>
        </w:rPr>
        <w:t>Comprobación de los indicadores de las medidas, acciones y actividades de la Planificación.</w:t>
      </w:r>
    </w:p>
    <w:p w:rsidR="00E23B86" w:rsidRDefault="00BA7C13">
      <w:pPr>
        <w:numPr>
          <w:ilvl w:val="0"/>
          <w:numId w:val="140"/>
        </w:numPr>
        <w:spacing w:after="111" w:line="251" w:lineRule="auto"/>
        <w:ind w:right="1" w:hanging="841"/>
        <w:jc w:val="both"/>
      </w:pPr>
      <w:r>
        <w:rPr>
          <w:rFonts w:ascii="Arial" w:eastAsia="Arial" w:hAnsi="Arial" w:cs="Arial"/>
          <w:i/>
        </w:rPr>
        <w:t xml:space="preserve">Evaluación externa de los </w:t>
      </w:r>
      <w:r>
        <w:rPr>
          <w:rFonts w:ascii="Arial" w:eastAsia="Arial" w:hAnsi="Arial" w:cs="Arial"/>
          <w:i/>
        </w:rPr>
        <w:t>resultados de la evaluación.</w:t>
      </w:r>
    </w:p>
    <w:p w:rsidR="00E23B86" w:rsidRDefault="00BA7C13">
      <w:pPr>
        <w:numPr>
          <w:ilvl w:val="0"/>
          <w:numId w:val="140"/>
        </w:numPr>
        <w:spacing w:after="111" w:line="251" w:lineRule="auto"/>
        <w:ind w:right="1" w:hanging="841"/>
        <w:jc w:val="both"/>
      </w:pPr>
      <w:r>
        <w:rPr>
          <w:rFonts w:ascii="Arial" w:eastAsia="Arial" w:hAnsi="Arial" w:cs="Arial"/>
          <w:i/>
        </w:rPr>
        <w:t>Presentación de informe anual ante la Comisión Municipal y Comisión Mixta órganos de control y seguimiento del IV Plan Municipal en Drogodependencias y otras Adicciones.</w:t>
      </w:r>
    </w:p>
    <w:p w:rsidR="00E23B86" w:rsidRDefault="00BA7C13">
      <w:pPr>
        <w:numPr>
          <w:ilvl w:val="0"/>
          <w:numId w:val="140"/>
        </w:numPr>
        <w:spacing w:after="111" w:line="251" w:lineRule="auto"/>
        <w:ind w:right="1" w:hanging="841"/>
        <w:jc w:val="both"/>
      </w:pPr>
      <w:r>
        <w:rPr>
          <w:rFonts w:ascii="Arial" w:eastAsia="Arial" w:hAnsi="Arial" w:cs="Arial"/>
          <w:i/>
        </w:rPr>
        <w:t xml:space="preserve">A continuación, se recogen los indicadores de evaluación </w:t>
      </w:r>
      <w:r>
        <w:rPr>
          <w:rFonts w:ascii="Arial" w:eastAsia="Arial" w:hAnsi="Arial" w:cs="Arial"/>
          <w:i/>
        </w:rPr>
        <w:t xml:space="preserve">a tener en cuenta para la evaluación del proceso y resultados del IV Plan Municipal y que concreta en: </w:t>
      </w:r>
    </w:p>
    <w:p w:rsidR="00E23B86" w:rsidRDefault="00BA7C13">
      <w:pPr>
        <w:numPr>
          <w:ilvl w:val="0"/>
          <w:numId w:val="140"/>
        </w:numPr>
        <w:spacing w:after="158" w:line="251" w:lineRule="auto"/>
        <w:ind w:right="1" w:hanging="841"/>
        <w:jc w:val="both"/>
      </w:pPr>
      <w:r>
        <w:rPr>
          <w:noProof/>
        </w:rPr>
        <mc:AlternateContent>
          <mc:Choice Requires="wpg">
            <w:drawing>
              <wp:anchor distT="0" distB="0" distL="114300" distR="114300" simplePos="0" relativeHeight="2519541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2102" name="Group 57210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6037" name="Rectangle 4603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6038" name="Rectangle 4603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287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2102" style="width:12.7031pt;height:280.35pt;position:absolute;mso-position-horizontal-relative:page;mso-position-horizontal:absolute;margin-left:681.958pt;mso-position-vertical-relative:page;margin-top:531.65pt;" coordsize="1613,35604">
                <v:rect id="Rectangle 4603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603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287 de 391 </w:t>
                        </w:r>
                      </w:p>
                    </w:txbxContent>
                  </v:textbox>
                </v:rect>
                <w10:wrap type="square"/>
              </v:group>
            </w:pict>
          </mc:Fallback>
        </mc:AlternateContent>
      </w:r>
      <w:r>
        <w:rPr>
          <w:rFonts w:ascii="Arial" w:eastAsia="Arial" w:hAnsi="Arial" w:cs="Arial"/>
          <w:i/>
        </w:rPr>
        <w:t xml:space="preserve">Grado de cobertura de población con las acciones preventivas. </w:t>
      </w:r>
    </w:p>
    <w:p w:rsidR="00E23B86" w:rsidRDefault="00BA7C13">
      <w:pPr>
        <w:numPr>
          <w:ilvl w:val="0"/>
          <w:numId w:val="140"/>
        </w:numPr>
        <w:spacing w:after="156" w:line="251" w:lineRule="auto"/>
        <w:ind w:right="1" w:hanging="841"/>
        <w:jc w:val="both"/>
      </w:pPr>
      <w:r>
        <w:rPr>
          <w:rFonts w:ascii="Arial" w:eastAsia="Arial" w:hAnsi="Arial" w:cs="Arial"/>
          <w:i/>
        </w:rPr>
        <w:t xml:space="preserve">Tipología de las acciones preventivas ejecutadas. </w:t>
      </w:r>
    </w:p>
    <w:p w:rsidR="00E23B86" w:rsidRDefault="00BA7C13">
      <w:pPr>
        <w:numPr>
          <w:ilvl w:val="0"/>
          <w:numId w:val="140"/>
        </w:numPr>
        <w:spacing w:after="158" w:line="251" w:lineRule="auto"/>
        <w:ind w:right="1" w:hanging="841"/>
        <w:jc w:val="both"/>
      </w:pPr>
      <w:r>
        <w:rPr>
          <w:rFonts w:ascii="Arial" w:eastAsia="Arial" w:hAnsi="Arial" w:cs="Arial"/>
          <w:i/>
        </w:rPr>
        <w:t>Beneficiarios/as de las acciones (perfil).</w:t>
      </w:r>
    </w:p>
    <w:p w:rsidR="00E23B86" w:rsidRDefault="00BA7C13">
      <w:pPr>
        <w:numPr>
          <w:ilvl w:val="0"/>
          <w:numId w:val="140"/>
        </w:numPr>
        <w:spacing w:after="156" w:line="251" w:lineRule="auto"/>
        <w:ind w:right="1" w:hanging="841"/>
        <w:jc w:val="both"/>
      </w:pPr>
      <w:r>
        <w:rPr>
          <w:rFonts w:ascii="Arial" w:eastAsia="Arial" w:hAnsi="Arial" w:cs="Arial"/>
          <w:i/>
        </w:rPr>
        <w:t>Part</w:t>
      </w:r>
      <w:r>
        <w:rPr>
          <w:rFonts w:ascii="Arial" w:eastAsia="Arial" w:hAnsi="Arial" w:cs="Arial"/>
          <w:i/>
        </w:rPr>
        <w:t>icipación, coordinación y diseño de actuaciones conjuntas.</w:t>
      </w:r>
    </w:p>
    <w:p w:rsidR="00E23B86" w:rsidRDefault="00BA7C13">
      <w:pPr>
        <w:numPr>
          <w:ilvl w:val="0"/>
          <w:numId w:val="140"/>
        </w:numPr>
        <w:spacing w:after="158" w:line="251" w:lineRule="auto"/>
        <w:ind w:right="1" w:hanging="841"/>
        <w:jc w:val="both"/>
      </w:pPr>
      <w:r>
        <w:rPr>
          <w:rFonts w:ascii="Arial" w:eastAsia="Arial" w:hAnsi="Arial" w:cs="Arial"/>
          <w:i/>
        </w:rPr>
        <w:t xml:space="preserve">Procesos básicos, de recursos y avanzados de gestión llevados a cabo. </w:t>
      </w:r>
    </w:p>
    <w:p w:rsidR="00E23B86" w:rsidRDefault="00BA7C13">
      <w:pPr>
        <w:numPr>
          <w:ilvl w:val="0"/>
          <w:numId w:val="140"/>
        </w:numPr>
        <w:spacing w:after="156" w:line="251" w:lineRule="auto"/>
        <w:ind w:right="1" w:hanging="841"/>
        <w:jc w:val="both"/>
      </w:pPr>
      <w:r>
        <w:rPr>
          <w:rFonts w:ascii="Arial" w:eastAsia="Arial" w:hAnsi="Arial" w:cs="Arial"/>
          <w:i/>
        </w:rPr>
        <w:t xml:space="preserve">Valoración de las acciones por parte de los/as participantes. </w:t>
      </w:r>
    </w:p>
    <w:p w:rsidR="00E23B86" w:rsidRDefault="00BA7C13">
      <w:pPr>
        <w:numPr>
          <w:ilvl w:val="0"/>
          <w:numId w:val="140"/>
        </w:numPr>
        <w:spacing w:after="158" w:line="251" w:lineRule="auto"/>
        <w:ind w:right="1" w:hanging="841"/>
        <w:jc w:val="both"/>
      </w:pPr>
      <w:r>
        <w:rPr>
          <w:rFonts w:ascii="Arial" w:eastAsia="Arial" w:hAnsi="Arial" w:cs="Arial"/>
          <w:i/>
        </w:rPr>
        <w:t>Nuevas propuestas y acciones y tipología.</w:t>
      </w:r>
    </w:p>
    <w:p w:rsidR="00E23B86" w:rsidRDefault="00BA7C13">
      <w:pPr>
        <w:numPr>
          <w:ilvl w:val="0"/>
          <w:numId w:val="140"/>
        </w:numPr>
        <w:spacing w:after="170" w:line="251" w:lineRule="auto"/>
        <w:ind w:right="1" w:hanging="841"/>
        <w:jc w:val="both"/>
      </w:pPr>
      <w:r>
        <w:rPr>
          <w:rFonts w:ascii="Arial" w:eastAsia="Arial" w:hAnsi="Arial" w:cs="Arial"/>
          <w:i/>
        </w:rPr>
        <w:t>Comprobación de cambios o mejorías de indicadores epidemiológicos en el ámbito municipal.</w:t>
      </w:r>
    </w:p>
    <w:p w:rsidR="00E23B86" w:rsidRDefault="00BA7C13">
      <w:pPr>
        <w:numPr>
          <w:ilvl w:val="0"/>
          <w:numId w:val="140"/>
        </w:numPr>
        <w:spacing w:after="176" w:line="251" w:lineRule="auto"/>
        <w:ind w:right="1" w:hanging="841"/>
        <w:jc w:val="both"/>
      </w:pPr>
      <w:r>
        <w:rPr>
          <w:rFonts w:ascii="Arial" w:eastAsia="Arial" w:hAnsi="Arial" w:cs="Arial"/>
          <w:i/>
        </w:rPr>
        <w:t>Número de acciones diseñadas que han sido ejecutadas.”</w:t>
      </w:r>
    </w:p>
    <w:p w:rsidR="00E23B86" w:rsidRDefault="00BA7C13">
      <w:pPr>
        <w:numPr>
          <w:ilvl w:val="0"/>
          <w:numId w:val="140"/>
        </w:numPr>
        <w:spacing w:after="173" w:line="248" w:lineRule="auto"/>
        <w:ind w:right="1" w:hanging="841"/>
        <w:jc w:val="both"/>
      </w:pPr>
      <w:r>
        <w:rPr>
          <w:rFonts w:ascii="Arial" w:eastAsia="Arial" w:hAnsi="Arial" w:cs="Arial"/>
        </w:rPr>
        <w:t>Segundo. - Remitir anuncio al Boletín Oficial de la Provincia de Santa Cruz de Tenerife al objeto de la informa</w:t>
      </w:r>
      <w:r>
        <w:rPr>
          <w:rFonts w:ascii="Arial" w:eastAsia="Arial" w:hAnsi="Arial" w:cs="Arial"/>
        </w:rPr>
        <w:t>ción pública y audiencia a los interesados por el plazo de treinta días hábiles desde el día siguiente a la publicación de dicho anuncio para la presentación de reclamaciones y sugerencias.</w:t>
      </w:r>
    </w:p>
    <w:p w:rsidR="00E23B86" w:rsidRDefault="00BA7C13">
      <w:pPr>
        <w:numPr>
          <w:ilvl w:val="0"/>
          <w:numId w:val="140"/>
        </w:numPr>
        <w:spacing w:after="173" w:line="248" w:lineRule="auto"/>
        <w:ind w:right="1" w:hanging="841"/>
        <w:jc w:val="both"/>
      </w:pPr>
      <w:r>
        <w:rPr>
          <w:rFonts w:ascii="Arial" w:eastAsia="Arial" w:hAnsi="Arial" w:cs="Arial"/>
        </w:rPr>
        <w:t>En el caso de que no se hubiera presentado ninguna reclamación o s</w:t>
      </w:r>
      <w:r>
        <w:rPr>
          <w:rFonts w:ascii="Arial" w:eastAsia="Arial" w:hAnsi="Arial" w:cs="Arial"/>
        </w:rPr>
        <w:t>ugerencia, se entenderá definitivamente adoptado el presente acuerdo hasta entonces provisional.”</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49" w:lineRule="auto"/>
        <w:ind w:right="1" w:hanging="841"/>
        <w:jc w:val="both"/>
      </w:pPr>
      <w:r>
        <w:rPr>
          <w:rFonts w:ascii="Arial" w:eastAsia="Arial" w:hAnsi="Arial" w:cs="Arial"/>
          <w:b/>
        </w:rPr>
        <w:t>DICTAMEN DE LA COMISIÓN INFORMATIVA DE SERVICIOS A LAS PERSONAS.</w:t>
      </w:r>
    </w:p>
    <w:p w:rsidR="00E23B86" w:rsidRDefault="00BA7C13">
      <w:pPr>
        <w:numPr>
          <w:ilvl w:val="0"/>
          <w:numId w:val="140"/>
        </w:numPr>
        <w:spacing w:after="110" w:line="248" w:lineRule="auto"/>
        <w:ind w:right="1" w:hanging="841"/>
        <w:jc w:val="both"/>
      </w:pPr>
      <w:r>
        <w:rPr>
          <w:rFonts w:ascii="Arial" w:eastAsia="Arial" w:hAnsi="Arial" w:cs="Arial"/>
        </w:rPr>
        <w:t>Votos a favor: 4.</w:t>
      </w:r>
    </w:p>
    <w:p w:rsidR="00E23B86" w:rsidRDefault="00BA7C13">
      <w:pPr>
        <w:numPr>
          <w:ilvl w:val="0"/>
          <w:numId w:val="140"/>
        </w:numPr>
        <w:spacing w:after="110" w:line="248" w:lineRule="auto"/>
        <w:ind w:right="1" w:hanging="841"/>
        <w:jc w:val="both"/>
      </w:pPr>
      <w:r>
        <w:rPr>
          <w:rFonts w:ascii="Arial" w:eastAsia="Arial" w:hAnsi="Arial" w:cs="Arial"/>
        </w:rPr>
        <w:t>Los 4 concejales del Grupo Socialista: Doña Olivia Concepción Pérez Díaz, Don José Francisco Pinto Ramos, Doña Margarita Eva Tendero Barroso y Don Olegario Francisco Alonso Bello.</w:t>
      </w:r>
    </w:p>
    <w:p w:rsidR="00E23B86" w:rsidRDefault="00BA7C13">
      <w:pPr>
        <w:numPr>
          <w:ilvl w:val="0"/>
          <w:numId w:val="140"/>
        </w:numPr>
        <w:spacing w:after="110" w:line="248" w:lineRule="auto"/>
        <w:ind w:right="1" w:hanging="841"/>
        <w:jc w:val="both"/>
      </w:pPr>
      <w:r>
        <w:rPr>
          <w:rFonts w:ascii="Arial" w:eastAsia="Arial" w:hAnsi="Arial" w:cs="Arial"/>
        </w:rPr>
        <w:t>Votos en contra: 0.</w:t>
      </w:r>
    </w:p>
    <w:p w:rsidR="00E23B86" w:rsidRDefault="00BA7C13">
      <w:pPr>
        <w:numPr>
          <w:ilvl w:val="0"/>
          <w:numId w:val="140"/>
        </w:numPr>
        <w:spacing w:after="110" w:line="248" w:lineRule="auto"/>
        <w:ind w:right="1" w:hanging="841"/>
        <w:jc w:val="both"/>
      </w:pPr>
      <w:r>
        <w:rPr>
          <w:rFonts w:ascii="Arial" w:eastAsia="Arial" w:hAnsi="Arial" w:cs="Arial"/>
        </w:rPr>
        <w:t>Abstenciones: 3.</w:t>
      </w:r>
    </w:p>
    <w:p w:rsidR="00E23B86" w:rsidRDefault="00BA7C13">
      <w:pPr>
        <w:numPr>
          <w:ilvl w:val="0"/>
          <w:numId w:val="140"/>
        </w:numPr>
        <w:spacing w:after="110" w:line="248" w:lineRule="auto"/>
        <w:ind w:right="1" w:hanging="841"/>
        <w:jc w:val="both"/>
      </w:pPr>
      <w:r>
        <w:rPr>
          <w:rFonts w:ascii="Arial" w:eastAsia="Arial" w:hAnsi="Arial" w:cs="Arial"/>
        </w:rPr>
        <w:t>1 del concejal del Grupo Popular, Don J</w:t>
      </w:r>
      <w:r>
        <w:rPr>
          <w:rFonts w:ascii="Arial" w:eastAsia="Arial" w:hAnsi="Arial" w:cs="Arial"/>
        </w:rPr>
        <w:t>uan Miguel Olivera González.</w:t>
      </w:r>
    </w:p>
    <w:p w:rsidR="00E23B86" w:rsidRDefault="00BA7C13">
      <w:pPr>
        <w:numPr>
          <w:ilvl w:val="0"/>
          <w:numId w:val="140"/>
        </w:numPr>
        <w:spacing w:after="110" w:line="248" w:lineRule="auto"/>
        <w:ind w:right="1" w:hanging="841"/>
        <w:jc w:val="both"/>
      </w:pPr>
      <w:r>
        <w:rPr>
          <w:rFonts w:ascii="Arial" w:eastAsia="Arial" w:hAnsi="Arial" w:cs="Arial"/>
        </w:rPr>
        <w:t>Las 2 concejalas del Grupo Mixto: Doña María del Carmen Coello González (SSP) y Doña Ángela Cruz Perera (CC-PNC).</w:t>
      </w:r>
    </w:p>
    <w:p w:rsidR="00E23B86" w:rsidRDefault="00BA7C13">
      <w:pPr>
        <w:numPr>
          <w:ilvl w:val="0"/>
          <w:numId w:val="140"/>
        </w:numPr>
        <w:spacing w:after="0" w:line="339" w:lineRule="auto"/>
        <w:ind w:right="1" w:hanging="841"/>
        <w:jc w:val="both"/>
      </w:pPr>
      <w:r>
        <w:rPr>
          <w:rFonts w:ascii="Arial" w:eastAsia="Arial" w:hAnsi="Arial" w:cs="Arial"/>
          <w:b/>
        </w:rPr>
        <w:t xml:space="preserve">JUNTA DE PORTAVOCES </w:t>
      </w:r>
      <w:r>
        <w:rPr>
          <w:rFonts w:ascii="Segoe UI Symbol" w:eastAsia="Segoe UI Symbol" w:hAnsi="Segoe UI Symbol" w:cs="Segoe UI Symbol"/>
          <w:sz w:val="20"/>
        </w:rPr>
        <w:t xml:space="preserve"> </w:t>
      </w:r>
      <w:r>
        <w:rPr>
          <w:rFonts w:ascii="Arial" w:eastAsia="Arial" w:hAnsi="Arial" w:cs="Arial"/>
        </w:rPr>
        <w:t>Quedó oída.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49" w:lineRule="auto"/>
        <w:ind w:right="1" w:hanging="841"/>
        <w:jc w:val="both"/>
      </w:pPr>
      <w:r>
        <w:rPr>
          <w:rFonts w:ascii="Arial" w:eastAsia="Arial" w:hAnsi="Arial" w:cs="Arial"/>
          <w:b/>
        </w:rPr>
        <w:t>VOTACIÓN EN EL PLENO</w:t>
      </w:r>
    </w:p>
    <w:p w:rsidR="00E23B86" w:rsidRDefault="00BA7C13">
      <w:pPr>
        <w:numPr>
          <w:ilvl w:val="0"/>
          <w:numId w:val="140"/>
        </w:numPr>
        <w:spacing w:after="110" w:line="248" w:lineRule="auto"/>
        <w:ind w:right="1" w:hanging="841"/>
        <w:jc w:val="both"/>
      </w:pPr>
      <w:r>
        <w:rPr>
          <w:rFonts w:ascii="Arial" w:eastAsia="Arial" w:hAnsi="Arial" w:cs="Arial"/>
        </w:rPr>
        <w:t>Votos a favor: 17: La unanimidad de los concejales prese</w:t>
      </w:r>
      <w:r>
        <w:rPr>
          <w:rFonts w:ascii="Arial" w:eastAsia="Arial" w:hAnsi="Arial" w:cs="Arial"/>
        </w:rPr>
        <w:t>ntes.</w:t>
      </w:r>
    </w:p>
    <w:p w:rsidR="00E23B86" w:rsidRDefault="00BA7C13">
      <w:pPr>
        <w:numPr>
          <w:ilvl w:val="0"/>
          <w:numId w:val="140"/>
        </w:numPr>
        <w:spacing w:after="0" w:line="248" w:lineRule="auto"/>
        <w:ind w:right="1" w:hanging="841"/>
        <w:jc w:val="both"/>
      </w:pPr>
      <w:r>
        <w:rPr>
          <w:noProof/>
        </w:rPr>
        <mc:AlternateContent>
          <mc:Choice Requires="wpg">
            <w:drawing>
              <wp:anchor distT="0" distB="0" distL="114300" distR="114300" simplePos="0" relativeHeight="2519552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4198" name="Group 56419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6108" name="Rectangle 4610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6109" name="Rectangle 4610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288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4198" style="width:12.7031pt;height:280.35pt;position:absolute;mso-position-horizontal-relative:page;mso-position-horizontal:absolute;margin-left:681.958pt;mso-position-vertical-relative:page;margin-top:531.65pt;" coordsize="1613,35604">
                <v:rect id="Rectangle 4610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610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288 de 391 </w:t>
                        </w:r>
                      </w:p>
                    </w:txbxContent>
                  </v:textbox>
                </v:rect>
                <w10:wrap type="square"/>
              </v:group>
            </w:pict>
          </mc:Fallback>
        </mc:AlternateContent>
      </w:r>
      <w:r>
        <w:rPr>
          <w:rFonts w:ascii="Arial" w:eastAsia="Arial" w:hAnsi="Arial" w:cs="Arial"/>
        </w:rPr>
        <w:t>11 concejales del Grupo Socialista: Doña María Concepción Brito Núñez, Don Jorge Baute Delgado, Doña Olivia Concepción Pérez Díaz, Don José Francisco</w:t>
      </w:r>
    </w:p>
    <w:p w:rsidR="00E23B86" w:rsidRDefault="00BA7C13">
      <w:pPr>
        <w:spacing w:after="0" w:line="265" w:lineRule="auto"/>
        <w:ind w:left="10" w:right="12" w:hanging="10"/>
        <w:jc w:val="right"/>
      </w:pPr>
      <w:r>
        <w:rPr>
          <w:rFonts w:ascii="Arial" w:eastAsia="Arial" w:hAnsi="Arial" w:cs="Arial"/>
        </w:rPr>
        <w:t>Pinto Ramos, Doña Hilaria Cecilia Otazo González, Don Airam Pérez Chinea,</w:t>
      </w:r>
    </w:p>
    <w:p w:rsidR="00E23B86" w:rsidRDefault="00BA7C13">
      <w:pPr>
        <w:spacing w:after="110" w:line="248" w:lineRule="auto"/>
        <w:ind w:left="373" w:right="2" w:hanging="10"/>
        <w:jc w:val="both"/>
      </w:pPr>
      <w:r>
        <w:rPr>
          <w:rFonts w:ascii="Arial" w:eastAsia="Arial" w:hAnsi="Arial" w:cs="Arial"/>
        </w:rPr>
        <w:t>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E23B86" w:rsidRDefault="00BA7C13">
      <w:pPr>
        <w:numPr>
          <w:ilvl w:val="0"/>
          <w:numId w:val="140"/>
        </w:numPr>
        <w:spacing w:after="110" w:line="248" w:lineRule="auto"/>
        <w:ind w:right="1" w:hanging="841"/>
        <w:jc w:val="both"/>
      </w:pPr>
      <w:r>
        <w:rPr>
          <w:rFonts w:ascii="Arial" w:eastAsia="Arial" w:hAnsi="Arial" w:cs="Arial"/>
        </w:rPr>
        <w:t>3 concejales del Grupo Popular: Don Juan Miguel Olivera González, Don Jacobo López Fariña y Doña Raquel M</w:t>
      </w:r>
      <w:r>
        <w:rPr>
          <w:rFonts w:ascii="Arial" w:eastAsia="Arial" w:hAnsi="Arial" w:cs="Arial"/>
        </w:rPr>
        <w:t xml:space="preserve">artín Castro. </w:t>
      </w:r>
    </w:p>
    <w:p w:rsidR="00E23B86" w:rsidRDefault="00BA7C13">
      <w:pPr>
        <w:numPr>
          <w:ilvl w:val="0"/>
          <w:numId w:val="140"/>
        </w:numPr>
        <w:spacing w:after="95" w:line="265" w:lineRule="auto"/>
        <w:ind w:right="1" w:hanging="841"/>
        <w:jc w:val="both"/>
      </w:pPr>
      <w:r>
        <w:rPr>
          <w:rFonts w:ascii="Arial" w:eastAsia="Arial" w:hAnsi="Arial" w:cs="Arial"/>
        </w:rPr>
        <w:t>3 concejales del Grupo Mixto: Doña María del Carmen Coello González y Doña María del Pilar Maceín Núñez (SSP) y Doña Ángela Cruz Perera (CC-PNC).</w:t>
      </w:r>
    </w:p>
    <w:p w:rsidR="00E23B86" w:rsidRDefault="00BA7C13">
      <w:pPr>
        <w:numPr>
          <w:ilvl w:val="0"/>
          <w:numId w:val="140"/>
        </w:numPr>
        <w:spacing w:after="110" w:line="248" w:lineRule="auto"/>
        <w:ind w:right="1" w:hanging="841"/>
        <w:jc w:val="both"/>
      </w:pPr>
      <w:r>
        <w:rPr>
          <w:rFonts w:ascii="Arial" w:eastAsia="Arial" w:hAnsi="Arial" w:cs="Arial"/>
        </w:rPr>
        <w:t>Votos en contra: 0.</w:t>
      </w:r>
    </w:p>
    <w:p w:rsidR="00E23B86" w:rsidRDefault="00BA7C13">
      <w:pPr>
        <w:numPr>
          <w:ilvl w:val="0"/>
          <w:numId w:val="140"/>
        </w:numPr>
        <w:spacing w:after="110" w:line="248" w:lineRule="auto"/>
        <w:ind w:right="1" w:hanging="841"/>
        <w:jc w:val="both"/>
      </w:pPr>
      <w:r>
        <w:rPr>
          <w:rFonts w:ascii="Arial" w:eastAsia="Arial" w:hAnsi="Arial" w:cs="Arial"/>
        </w:rPr>
        <w:t>Abstenciones: 0.</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49" w:lineRule="auto"/>
        <w:ind w:right="1" w:hanging="841"/>
        <w:jc w:val="both"/>
      </w:pPr>
      <w:r>
        <w:rPr>
          <w:rFonts w:ascii="Arial" w:eastAsia="Arial" w:hAnsi="Arial" w:cs="Arial"/>
          <w:b/>
        </w:rPr>
        <w:t xml:space="preserve">ACUERDO DEL PLENO </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3" w:line="265" w:lineRule="auto"/>
        <w:ind w:left="-5" w:right="13" w:hanging="10"/>
      </w:pPr>
      <w:r>
        <w:rPr>
          <w:rFonts w:ascii="Segoe UI Symbol" w:eastAsia="Segoe UI Symbol" w:hAnsi="Segoe UI Symbol" w:cs="Segoe UI Symbol"/>
          <w:sz w:val="20"/>
        </w:rPr>
        <w:t></w:t>
      </w:r>
      <w:r>
        <w:rPr>
          <w:rFonts w:ascii="Arial" w:eastAsia="Arial" w:hAnsi="Arial" w:cs="Arial"/>
        </w:rPr>
        <w:t xml:space="preserve"> </w:t>
      </w:r>
    </w:p>
    <w:p w:rsidR="00E23B86" w:rsidRDefault="00BA7C13">
      <w:pPr>
        <w:numPr>
          <w:ilvl w:val="0"/>
          <w:numId w:val="140"/>
        </w:numPr>
        <w:spacing w:after="111" w:line="249" w:lineRule="auto"/>
        <w:ind w:right="1" w:hanging="841"/>
        <w:jc w:val="both"/>
      </w:pPr>
      <w:r>
        <w:rPr>
          <w:rFonts w:ascii="Arial" w:eastAsia="Arial" w:hAnsi="Arial" w:cs="Arial"/>
          <w:b/>
        </w:rPr>
        <w:t>Primero.- La aprobación inicial del “IV Plan Municipal de Prevención de Adicciones 2019-2023” transcrito a continuación:</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“IV Plan Municipal de Prevención de Adicciones (2019-2023) del municipio de la Villa de Candelaria</w:t>
      </w:r>
    </w:p>
    <w:p w:rsidR="00E23B86" w:rsidRDefault="00BA7C13">
      <w:pPr>
        <w:numPr>
          <w:ilvl w:val="0"/>
          <w:numId w:val="140"/>
        </w:numPr>
        <w:spacing w:after="100" w:line="249" w:lineRule="auto"/>
        <w:ind w:right="1" w:hanging="841"/>
        <w:jc w:val="both"/>
      </w:pPr>
      <w:r>
        <w:rPr>
          <w:rFonts w:ascii="Arial" w:eastAsia="Arial" w:hAnsi="Arial" w:cs="Arial"/>
          <w:i/>
          <w:u w:val="single" w:color="000000"/>
        </w:rPr>
        <w:t xml:space="preserve">Equipo Técnico Municipal </w:t>
      </w:r>
    </w:p>
    <w:p w:rsidR="00E23B86" w:rsidRDefault="00BA7C13">
      <w:pPr>
        <w:numPr>
          <w:ilvl w:val="0"/>
          <w:numId w:val="140"/>
        </w:numPr>
        <w:spacing w:after="151" w:line="251" w:lineRule="auto"/>
        <w:ind w:right="1" w:hanging="841"/>
        <w:jc w:val="both"/>
      </w:pPr>
      <w:r>
        <w:rPr>
          <w:rFonts w:ascii="Arial" w:eastAsia="Arial" w:hAnsi="Arial" w:cs="Arial"/>
          <w:i/>
        </w:rPr>
        <w:t xml:space="preserve">Jessica </w:t>
      </w:r>
      <w:r>
        <w:rPr>
          <w:rFonts w:ascii="Arial" w:eastAsia="Arial" w:hAnsi="Arial" w:cs="Arial"/>
          <w:i/>
        </w:rPr>
        <w:t>Castillo Betancor. Trabajadora Social del Ayuntamiento de Candelaria. Especialista en Elaboración de Planes de Prevención de Drogodependencias y Adicciones.</w:t>
      </w:r>
    </w:p>
    <w:p w:rsidR="00E23B86" w:rsidRDefault="00BA7C13">
      <w:pPr>
        <w:numPr>
          <w:ilvl w:val="0"/>
          <w:numId w:val="140"/>
        </w:numPr>
        <w:spacing w:after="8" w:line="251" w:lineRule="auto"/>
        <w:ind w:right="1" w:hanging="841"/>
        <w:jc w:val="both"/>
      </w:pPr>
      <w:r>
        <w:rPr>
          <w:rFonts w:ascii="Arial" w:eastAsia="Arial" w:hAnsi="Arial" w:cs="Arial"/>
          <w:i/>
        </w:rPr>
        <w:t>Mª Begoña Rodríguez Pérez. Pedagoga del Ayuntamiento de Candelaria.</w:t>
      </w:r>
    </w:p>
    <w:p w:rsidR="00E23B86" w:rsidRDefault="00BA7C13">
      <w:pPr>
        <w:spacing w:after="153" w:line="251" w:lineRule="auto"/>
        <w:ind w:left="355" w:hanging="10"/>
        <w:jc w:val="both"/>
      </w:pPr>
      <w:r>
        <w:rPr>
          <w:rFonts w:ascii="Arial" w:eastAsia="Arial" w:hAnsi="Arial" w:cs="Arial"/>
          <w:i/>
        </w:rPr>
        <w:t>Agente de Desarrollo (Diseño de Proyectos y Elaboración de Planes de Intervención).</w:t>
      </w:r>
    </w:p>
    <w:p w:rsidR="00E23B86" w:rsidRDefault="00BA7C13">
      <w:pPr>
        <w:numPr>
          <w:ilvl w:val="0"/>
          <w:numId w:val="140"/>
        </w:numPr>
        <w:spacing w:after="153" w:line="251" w:lineRule="auto"/>
        <w:ind w:right="1" w:hanging="841"/>
        <w:jc w:val="both"/>
      </w:pPr>
      <w:r>
        <w:rPr>
          <w:rFonts w:ascii="Arial" w:eastAsia="Arial" w:hAnsi="Arial" w:cs="Arial"/>
          <w:i/>
        </w:rPr>
        <w:t>Mª del Carmen Padilla García. Trabajadora Social del Ayuntamiento de Candelaria. Máster Universitario en Intervención Familiar.</w:t>
      </w:r>
    </w:p>
    <w:p w:rsidR="00E23B86" w:rsidRDefault="00BA7C13">
      <w:pPr>
        <w:numPr>
          <w:ilvl w:val="0"/>
          <w:numId w:val="140"/>
        </w:numPr>
        <w:spacing w:after="98" w:line="249" w:lineRule="auto"/>
        <w:ind w:right="1" w:hanging="841"/>
        <w:jc w:val="both"/>
      </w:pPr>
      <w:r>
        <w:rPr>
          <w:rFonts w:ascii="Arial" w:eastAsia="Arial" w:hAnsi="Arial" w:cs="Arial"/>
          <w:i/>
          <w:u w:val="single" w:color="000000"/>
        </w:rPr>
        <w:t>Equipo Técnico Externo:</w:t>
      </w:r>
    </w:p>
    <w:p w:rsidR="00E23B86" w:rsidRDefault="00BA7C13">
      <w:pPr>
        <w:numPr>
          <w:ilvl w:val="0"/>
          <w:numId w:val="140"/>
        </w:numPr>
        <w:spacing w:after="224" w:line="251" w:lineRule="auto"/>
        <w:ind w:right="1" w:hanging="841"/>
        <w:jc w:val="both"/>
      </w:pPr>
      <w:r>
        <w:rPr>
          <w:rFonts w:ascii="Arial" w:eastAsia="Arial" w:hAnsi="Arial" w:cs="Arial"/>
          <w:i/>
        </w:rPr>
        <w:t>Josué Gutiérrez Barr</w:t>
      </w:r>
      <w:r>
        <w:rPr>
          <w:rFonts w:ascii="Arial" w:eastAsia="Arial" w:hAnsi="Arial" w:cs="Arial"/>
          <w:i/>
        </w:rPr>
        <w:t>oso. Profesor del Departamento de Sociología y Antropología de la Universidad de La Laguna. Especialista en análisis de datos.</w:t>
      </w:r>
    </w:p>
    <w:p w:rsidR="00E23B86" w:rsidRDefault="00BA7C13">
      <w:pPr>
        <w:numPr>
          <w:ilvl w:val="0"/>
          <w:numId w:val="140"/>
        </w:numPr>
        <w:spacing w:after="224" w:line="251" w:lineRule="auto"/>
        <w:ind w:right="1" w:hanging="841"/>
        <w:jc w:val="both"/>
      </w:pPr>
      <w:r>
        <w:rPr>
          <w:rFonts w:ascii="Arial" w:eastAsia="Arial" w:hAnsi="Arial" w:cs="Arial"/>
          <w:i/>
        </w:rPr>
        <w:t>Juan Manuel Herrera Hernández. Profesor de la Facultad de Ciencias Sociales de la Comunicación. Departamento de Ciencias de la Co</w:t>
      </w:r>
      <w:r>
        <w:rPr>
          <w:rFonts w:ascii="Arial" w:eastAsia="Arial" w:hAnsi="Arial" w:cs="Arial"/>
          <w:i/>
        </w:rPr>
        <w:t>municación y Trabajo Social. Experto/Máster en Drogodependencias e Intervención Familiar. Diplomado en Sanidad.</w:t>
      </w:r>
    </w:p>
    <w:p w:rsidR="00E23B86" w:rsidRDefault="00BA7C13">
      <w:pPr>
        <w:numPr>
          <w:ilvl w:val="0"/>
          <w:numId w:val="140"/>
        </w:numPr>
        <w:spacing w:after="224" w:line="251" w:lineRule="auto"/>
        <w:ind w:right="1" w:hanging="841"/>
        <w:jc w:val="both"/>
      </w:pPr>
      <w:r>
        <w:rPr>
          <w:noProof/>
        </w:rPr>
        <mc:AlternateContent>
          <mc:Choice Requires="wpg">
            <w:drawing>
              <wp:anchor distT="0" distB="0" distL="114300" distR="114300" simplePos="0" relativeHeight="2519562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4724" name="Group 56472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6194" name="Rectangle 4619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6195" name="Rectangle 4619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w:t>
                              </w:r>
                              <w:r>
                                <w:rPr>
                                  <w:rFonts w:ascii="Arial" w:eastAsia="Arial" w:hAnsi="Arial" w:cs="Arial"/>
                                  <w:sz w:val="12"/>
                                </w:rPr>
                                <w:t xml:space="preserve">la plataforma esPublico Gestiona | Página 289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4724" style="width:12.7031pt;height:280.35pt;position:absolute;mso-position-horizontal-relative:page;mso-position-horizontal:absolute;margin-left:681.958pt;mso-position-vertical-relative:page;margin-top:531.65pt;" coordsize="1613,35604">
                <v:rect id="Rectangle 4619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619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289 de 391 </w:t>
                        </w:r>
                      </w:p>
                    </w:txbxContent>
                  </v:textbox>
                </v:rect>
                <w10:wrap type="square"/>
              </v:group>
            </w:pict>
          </mc:Fallback>
        </mc:AlternateContent>
      </w:r>
      <w:r>
        <w:rPr>
          <w:rFonts w:ascii="Arial" w:eastAsia="Arial" w:hAnsi="Arial" w:cs="Arial"/>
          <w:i/>
        </w:rPr>
        <w:t>Esther Torrado Martín-Palomino. Profesora del Departamento de Sociología y Antropología de la Universidad de La Laguna. Miembra del Instituto Universitario de Estudios de Mujeres (IUEM)</w:t>
      </w:r>
    </w:p>
    <w:p w:rsidR="00E23B86" w:rsidRDefault="00BA7C13">
      <w:pPr>
        <w:numPr>
          <w:ilvl w:val="0"/>
          <w:numId w:val="140"/>
        </w:numPr>
        <w:spacing w:after="224" w:line="251" w:lineRule="auto"/>
        <w:ind w:right="1" w:hanging="841"/>
        <w:jc w:val="both"/>
      </w:pPr>
      <w:r>
        <w:rPr>
          <w:rFonts w:ascii="Arial" w:eastAsia="Arial" w:hAnsi="Arial" w:cs="Arial"/>
          <w:i/>
        </w:rPr>
        <w:t>Saray Suárez Per</w:t>
      </w:r>
      <w:r>
        <w:rPr>
          <w:rFonts w:ascii="Arial" w:eastAsia="Arial" w:hAnsi="Arial" w:cs="Arial"/>
          <w:i/>
        </w:rPr>
        <w:t>era. Trabajadora Social. Especialista en Elaboración de Planes de Prevención de Drogodependencias y Adicciones.</w:t>
      </w:r>
    </w:p>
    <w:p w:rsidR="00E23B86" w:rsidRDefault="00BA7C13">
      <w:pPr>
        <w:numPr>
          <w:ilvl w:val="0"/>
          <w:numId w:val="140"/>
        </w:numPr>
        <w:spacing w:after="100" w:line="249" w:lineRule="auto"/>
        <w:ind w:right="1" w:hanging="841"/>
        <w:jc w:val="both"/>
      </w:pPr>
      <w:r>
        <w:rPr>
          <w:rFonts w:ascii="Arial" w:eastAsia="Arial" w:hAnsi="Arial" w:cs="Arial"/>
          <w:i/>
          <w:u w:val="single" w:color="000000"/>
        </w:rPr>
        <w:t xml:space="preserve">Colaboradores/as  </w:t>
      </w:r>
    </w:p>
    <w:p w:rsidR="00E23B86" w:rsidRDefault="00BA7C13">
      <w:pPr>
        <w:numPr>
          <w:ilvl w:val="0"/>
          <w:numId w:val="140"/>
        </w:numPr>
        <w:spacing w:after="166" w:line="250" w:lineRule="auto"/>
        <w:ind w:right="1" w:hanging="841"/>
        <w:jc w:val="both"/>
      </w:pPr>
      <w:r>
        <w:rPr>
          <w:rFonts w:ascii="Arial" w:eastAsia="Arial" w:hAnsi="Arial" w:cs="Arial"/>
          <w:i/>
        </w:rPr>
        <w:t xml:space="preserve">Equipo Municipal Especializado en la Atención de Infancia y Familia del Iltre. Ayuntamiento de Candelaria. Concejalía de Servicios Sociales, Igualdad y Sanidad:  Mª de la Sierra Rivera Ruz, Fátima León Rodríguez, Alicia Pérez Gómez.  </w:t>
      </w:r>
    </w:p>
    <w:p w:rsidR="00E23B86" w:rsidRDefault="00BA7C13">
      <w:pPr>
        <w:numPr>
          <w:ilvl w:val="0"/>
          <w:numId w:val="140"/>
        </w:numPr>
        <w:spacing w:after="152" w:line="251" w:lineRule="auto"/>
        <w:ind w:right="1" w:hanging="841"/>
        <w:jc w:val="both"/>
      </w:pPr>
      <w:r>
        <w:rPr>
          <w:rFonts w:ascii="Arial" w:eastAsia="Arial" w:hAnsi="Arial" w:cs="Arial"/>
          <w:i/>
        </w:rPr>
        <w:t>C.E.I.P. Igueste; Ros</w:t>
      </w:r>
      <w:r>
        <w:rPr>
          <w:rFonts w:ascii="Arial" w:eastAsia="Arial" w:hAnsi="Arial" w:cs="Arial"/>
          <w:i/>
        </w:rPr>
        <w:t>a Mª Ortiz González (Directora).</w:t>
      </w:r>
    </w:p>
    <w:p w:rsidR="00E23B86" w:rsidRDefault="00BA7C13">
      <w:pPr>
        <w:numPr>
          <w:ilvl w:val="0"/>
          <w:numId w:val="140"/>
        </w:numPr>
        <w:spacing w:after="165" w:line="251" w:lineRule="auto"/>
        <w:ind w:right="1" w:hanging="841"/>
        <w:jc w:val="both"/>
      </w:pPr>
      <w:r>
        <w:rPr>
          <w:rFonts w:ascii="Arial" w:eastAsia="Arial" w:hAnsi="Arial" w:cs="Arial"/>
          <w:i/>
        </w:rPr>
        <w:t>C.E.I.P. Punta Larga; Cristina Álvarez Álvarez (Directora), Airam Reyes León (Vicedirector), Victoria José Sánchez García (Jefa de estudios).</w:t>
      </w:r>
    </w:p>
    <w:p w:rsidR="00E23B86" w:rsidRDefault="00BA7C13">
      <w:pPr>
        <w:numPr>
          <w:ilvl w:val="0"/>
          <w:numId w:val="140"/>
        </w:numPr>
        <w:spacing w:after="152" w:line="251" w:lineRule="auto"/>
        <w:ind w:right="1" w:hanging="841"/>
        <w:jc w:val="both"/>
      </w:pPr>
      <w:r>
        <w:rPr>
          <w:rFonts w:ascii="Arial" w:eastAsia="Arial" w:hAnsi="Arial" w:cs="Arial"/>
          <w:i/>
        </w:rPr>
        <w:t>C.E.I.P. Príncipe Felipe Mª Ángeles Valls Santamaría (Directora).</w:t>
      </w:r>
    </w:p>
    <w:p w:rsidR="00E23B86" w:rsidRDefault="00BA7C13">
      <w:pPr>
        <w:numPr>
          <w:ilvl w:val="0"/>
          <w:numId w:val="140"/>
        </w:numPr>
        <w:spacing w:after="152" w:line="251" w:lineRule="auto"/>
        <w:ind w:right="1" w:hanging="841"/>
        <w:jc w:val="both"/>
      </w:pPr>
      <w:r>
        <w:rPr>
          <w:rFonts w:ascii="Arial" w:eastAsia="Arial" w:hAnsi="Arial" w:cs="Arial"/>
          <w:i/>
        </w:rPr>
        <w:t>C.E.I.P. Álvare</w:t>
      </w:r>
      <w:r>
        <w:rPr>
          <w:rFonts w:ascii="Arial" w:eastAsia="Arial" w:hAnsi="Arial" w:cs="Arial"/>
          <w:i/>
        </w:rPr>
        <w:t>z de la Rosa Rocío Díaz Bacallado (Directora).</w:t>
      </w:r>
    </w:p>
    <w:p w:rsidR="00E23B86" w:rsidRDefault="00BA7C13">
      <w:pPr>
        <w:numPr>
          <w:ilvl w:val="0"/>
          <w:numId w:val="140"/>
        </w:numPr>
        <w:spacing w:after="152" w:line="251" w:lineRule="auto"/>
        <w:ind w:right="1" w:hanging="841"/>
        <w:jc w:val="both"/>
      </w:pPr>
      <w:r>
        <w:rPr>
          <w:rFonts w:ascii="Arial" w:eastAsia="Arial" w:hAnsi="Arial" w:cs="Arial"/>
          <w:i/>
        </w:rPr>
        <w:t xml:space="preserve">I.E.S. Punta Larga; Rafael González Pérez (Director).  </w:t>
      </w:r>
    </w:p>
    <w:p w:rsidR="00E23B86" w:rsidRDefault="00BA7C13">
      <w:pPr>
        <w:numPr>
          <w:ilvl w:val="0"/>
          <w:numId w:val="140"/>
        </w:numPr>
        <w:spacing w:after="111" w:line="251" w:lineRule="auto"/>
        <w:ind w:right="1" w:hanging="841"/>
        <w:jc w:val="both"/>
      </w:pPr>
      <w:r>
        <w:rPr>
          <w:rFonts w:ascii="Arial" w:eastAsia="Arial" w:hAnsi="Arial" w:cs="Arial"/>
          <w:i/>
        </w:rPr>
        <w:t xml:space="preserve">Grupo  Político: Si se puede; Mª del Carmen González. </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Saludo de la Alcaldesa </w:t>
      </w:r>
    </w:p>
    <w:p w:rsidR="00E23B86" w:rsidRDefault="00BA7C13">
      <w:pPr>
        <w:spacing w:after="144" w:line="251" w:lineRule="auto"/>
        <w:ind w:left="355" w:right="20" w:hanging="10"/>
        <w:jc w:val="both"/>
      </w:pPr>
      <w:r>
        <w:rPr>
          <w:rFonts w:ascii="Arial" w:eastAsia="Arial" w:hAnsi="Arial" w:cs="Arial"/>
          <w:i/>
        </w:rPr>
        <w:t>Como representante de la Corporación Local me complace presentar el IV P</w:t>
      </w:r>
      <w:r>
        <w:rPr>
          <w:rFonts w:ascii="Arial" w:eastAsia="Arial" w:hAnsi="Arial" w:cs="Arial"/>
          <w:i/>
        </w:rPr>
        <w:t>lan Municipal de Prevención de Adicciones (2019-2023) del municipio de Candelaria. Este documento define las acciones de política social que se llevarán a cabo en los próximos años en nuestro municipio.</w:t>
      </w:r>
    </w:p>
    <w:p w:rsidR="00E23B86" w:rsidRDefault="00BA7C13">
      <w:pPr>
        <w:numPr>
          <w:ilvl w:val="0"/>
          <w:numId w:val="140"/>
        </w:numPr>
        <w:spacing w:after="111" w:line="251" w:lineRule="auto"/>
        <w:ind w:right="1" w:hanging="841"/>
        <w:jc w:val="both"/>
      </w:pPr>
      <w:r>
        <w:rPr>
          <w:rFonts w:ascii="Arial" w:eastAsia="Arial" w:hAnsi="Arial" w:cs="Arial"/>
          <w:i/>
        </w:rPr>
        <w:t>En este IV Plan Municipal se cumple con las obligacio</w:t>
      </w:r>
      <w:r>
        <w:rPr>
          <w:rFonts w:ascii="Arial" w:eastAsia="Arial" w:hAnsi="Arial" w:cs="Arial"/>
          <w:i/>
        </w:rPr>
        <w:t>nes que establece la Ley 9/1998, de 22 de julio, sobre prevención, asistencia, e inserción social en materia de drogodependencias de la Comunidad Canaria, que define la competencia municipal a dos niveles: la prevención y sensibilización en la comunidad, y</w:t>
      </w:r>
      <w:r>
        <w:rPr>
          <w:rFonts w:ascii="Arial" w:eastAsia="Arial" w:hAnsi="Arial" w:cs="Arial"/>
          <w:i/>
        </w:rPr>
        <w:t xml:space="preserve"> apoyar en los procesos de incorporación social a personas con problemas de drogodependencias. </w:t>
      </w:r>
    </w:p>
    <w:p w:rsidR="00E23B86" w:rsidRDefault="00BA7C13">
      <w:pPr>
        <w:numPr>
          <w:ilvl w:val="0"/>
          <w:numId w:val="140"/>
        </w:numPr>
        <w:spacing w:after="144" w:line="251" w:lineRule="auto"/>
        <w:ind w:right="1" w:hanging="841"/>
        <w:jc w:val="both"/>
      </w:pPr>
      <w:r>
        <w:rPr>
          <w:rFonts w:ascii="Arial" w:eastAsia="Arial" w:hAnsi="Arial" w:cs="Arial"/>
          <w:i/>
        </w:rPr>
        <w:t>Es significativo que desde el año 2003, se elaborara y aprobara el primer Plan Municipal de Prevención de Drogodependencias y actualmente con este IV Plan, cont</w:t>
      </w:r>
      <w:r>
        <w:rPr>
          <w:rFonts w:ascii="Arial" w:eastAsia="Arial" w:hAnsi="Arial" w:cs="Arial"/>
          <w:i/>
        </w:rPr>
        <w:t>inuemos con el compromiso de garantizar a la ciudadanía medidas y acciones específicas dirigidas a la promoción de la salud y hábitos saludables en la población y la prevención de las adicciones.</w:t>
      </w:r>
    </w:p>
    <w:p w:rsidR="00E23B86" w:rsidRDefault="00BA7C13">
      <w:pPr>
        <w:numPr>
          <w:ilvl w:val="0"/>
          <w:numId w:val="140"/>
        </w:numPr>
        <w:spacing w:after="144" w:line="251" w:lineRule="auto"/>
        <w:ind w:right="1" w:hanging="841"/>
        <w:jc w:val="both"/>
      </w:pPr>
      <w:r>
        <w:rPr>
          <w:rFonts w:ascii="Arial" w:eastAsia="Arial" w:hAnsi="Arial" w:cs="Arial"/>
          <w:i/>
        </w:rPr>
        <w:t xml:space="preserve">Lograr mejoras en la calidad de la vida municipal a través de la prevención, conlleva un esfuerzo de todos/as los/as agentes sociales municipales y la implicación de los recursos de la comunidad.  Desde esta corporación que presido, asumimos el compromiso </w:t>
      </w:r>
      <w:r>
        <w:rPr>
          <w:rFonts w:ascii="Arial" w:eastAsia="Arial" w:hAnsi="Arial" w:cs="Arial"/>
          <w:i/>
        </w:rPr>
        <w:t>político de apoyar el proceso de implementación y ejecución del IV Plan para que se logren los objetivos marcados y los resultados esperados.</w:t>
      </w:r>
    </w:p>
    <w:p w:rsidR="00E23B86" w:rsidRDefault="00BA7C13">
      <w:pPr>
        <w:numPr>
          <w:ilvl w:val="0"/>
          <w:numId w:val="140"/>
        </w:numPr>
        <w:spacing w:after="144" w:line="251" w:lineRule="auto"/>
        <w:ind w:right="1" w:hanging="841"/>
        <w:jc w:val="both"/>
      </w:pPr>
      <w:r>
        <w:rPr>
          <w:noProof/>
        </w:rPr>
        <mc:AlternateContent>
          <mc:Choice Requires="wpg">
            <w:drawing>
              <wp:anchor distT="0" distB="0" distL="114300" distR="114300" simplePos="0" relativeHeight="2519572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6284" name="Group 56628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6270" name="Rectangle 4627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6271" name="Rectangle 4627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290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6284" style="width:12.7031pt;height:280.35pt;position:absolute;mso-position-horizontal-relative:page;mso-position-horizontal:absolute;margin-left:681.958pt;mso-position-vertical-relative:page;margin-top:531.65pt;" coordsize="1613,35604">
                <v:rect id="Rectangle 4627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627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290 de 391 </w:t>
                        </w:r>
                      </w:p>
                    </w:txbxContent>
                  </v:textbox>
                </v:rect>
                <w10:wrap type="square"/>
              </v:group>
            </w:pict>
          </mc:Fallback>
        </mc:AlternateContent>
      </w:r>
      <w:r>
        <w:rPr>
          <w:rFonts w:ascii="Arial" w:eastAsia="Arial" w:hAnsi="Arial" w:cs="Arial"/>
          <w:i/>
        </w:rPr>
        <w:t>Deseamos que las medidas y acciones previstas incrementen los factores de protección dentro del municipio, contribuyan a la mejora de la calidad de vida comunita</w:t>
      </w:r>
      <w:r>
        <w:rPr>
          <w:rFonts w:ascii="Arial" w:eastAsia="Arial" w:hAnsi="Arial" w:cs="Arial"/>
          <w:i/>
        </w:rPr>
        <w:t>ria y reduzcan los factores de riesgo existentes.</w:t>
      </w:r>
    </w:p>
    <w:p w:rsidR="00E23B86" w:rsidRDefault="00BA7C13">
      <w:pPr>
        <w:numPr>
          <w:ilvl w:val="0"/>
          <w:numId w:val="140"/>
        </w:numPr>
        <w:spacing w:after="144" w:line="251" w:lineRule="auto"/>
        <w:ind w:right="1" w:hanging="841"/>
        <w:jc w:val="both"/>
      </w:pPr>
      <w:r>
        <w:rPr>
          <w:rFonts w:ascii="Arial" w:eastAsia="Arial" w:hAnsi="Arial" w:cs="Arial"/>
          <w:i/>
        </w:rPr>
        <w:t>Las acciones y medidas que se contemplan en esta planificación no tienen sentido alguno, sin la implicación y participación de la ciudadanía como parte activa del municipio. Es la ciudadanía la verdadera pr</w:t>
      </w:r>
      <w:r>
        <w:rPr>
          <w:rFonts w:ascii="Arial" w:eastAsia="Arial" w:hAnsi="Arial" w:cs="Arial"/>
          <w:i/>
        </w:rPr>
        <w:t xml:space="preserve">otagonista de la vida comunitaria y por ello, debe ser responsable del cuidado de su salud, estilo de vida, etc., con todos los apoyos y recursos existentes en la comunidad y concretamente de ésta Corporación Local. </w:t>
      </w:r>
    </w:p>
    <w:p w:rsidR="00E23B86" w:rsidRDefault="00BA7C13">
      <w:pPr>
        <w:numPr>
          <w:ilvl w:val="0"/>
          <w:numId w:val="140"/>
        </w:numPr>
        <w:spacing w:after="134" w:line="251" w:lineRule="auto"/>
        <w:ind w:right="1" w:hanging="841"/>
        <w:jc w:val="both"/>
      </w:pPr>
      <w:r>
        <w:rPr>
          <w:rFonts w:ascii="Arial" w:eastAsia="Arial" w:hAnsi="Arial" w:cs="Arial"/>
          <w:i/>
        </w:rPr>
        <w:t>La Alcaldesa,</w:t>
      </w:r>
    </w:p>
    <w:p w:rsidR="00E23B86" w:rsidRDefault="00BA7C13">
      <w:pPr>
        <w:numPr>
          <w:ilvl w:val="0"/>
          <w:numId w:val="140"/>
        </w:numPr>
        <w:spacing w:after="134" w:line="251" w:lineRule="auto"/>
        <w:ind w:right="1" w:hanging="841"/>
        <w:jc w:val="both"/>
      </w:pPr>
      <w:r>
        <w:rPr>
          <w:rFonts w:ascii="Arial" w:eastAsia="Arial" w:hAnsi="Arial" w:cs="Arial"/>
          <w:i/>
        </w:rPr>
        <w:t xml:space="preserve">Dña. Mª Concepción Brito </w:t>
      </w:r>
      <w:r>
        <w:rPr>
          <w:rFonts w:ascii="Arial" w:eastAsia="Arial" w:hAnsi="Arial" w:cs="Arial"/>
          <w:i/>
        </w:rPr>
        <w:t>Núñez</w:t>
      </w:r>
    </w:p>
    <w:p w:rsidR="00E23B86" w:rsidRDefault="00BA7C13">
      <w:pPr>
        <w:numPr>
          <w:ilvl w:val="0"/>
          <w:numId w:val="140"/>
        </w:numPr>
        <w:spacing w:after="134" w:line="251" w:lineRule="auto"/>
        <w:ind w:right="1" w:hanging="841"/>
        <w:jc w:val="both"/>
      </w:pPr>
      <w:r>
        <w:rPr>
          <w:rFonts w:ascii="Arial" w:eastAsia="Arial" w:hAnsi="Arial" w:cs="Arial"/>
          <w:i/>
        </w:rPr>
        <w:t xml:space="preserve">Saludo de la Concejala  </w:t>
      </w:r>
    </w:p>
    <w:p w:rsidR="00E23B86" w:rsidRDefault="00BA7C13">
      <w:pPr>
        <w:numPr>
          <w:ilvl w:val="0"/>
          <w:numId w:val="140"/>
        </w:numPr>
        <w:spacing w:after="111" w:line="251" w:lineRule="auto"/>
        <w:ind w:right="1" w:hanging="841"/>
        <w:jc w:val="both"/>
      </w:pPr>
      <w:r>
        <w:rPr>
          <w:rFonts w:ascii="Arial" w:eastAsia="Arial" w:hAnsi="Arial" w:cs="Arial"/>
          <w:i/>
        </w:rPr>
        <w:t>El IV Plan Municipal de Prevención de Adicciones (2019-2023) del municipio de Candelaria, es el documento marco donde se concretan las medidas y acciones para los próximos años en materia de promoción de la salud y prevención</w:t>
      </w:r>
      <w:r>
        <w:rPr>
          <w:rFonts w:ascii="Arial" w:eastAsia="Arial" w:hAnsi="Arial" w:cs="Arial"/>
          <w:i/>
        </w:rPr>
        <w:t xml:space="preserve"> de las drogodependencias y otras adicciones.</w:t>
      </w:r>
    </w:p>
    <w:p w:rsidR="00E23B86" w:rsidRDefault="00BA7C13">
      <w:pPr>
        <w:numPr>
          <w:ilvl w:val="0"/>
          <w:numId w:val="140"/>
        </w:numPr>
        <w:spacing w:after="111" w:line="251" w:lineRule="auto"/>
        <w:ind w:right="1" w:hanging="841"/>
        <w:jc w:val="both"/>
      </w:pPr>
      <w:r>
        <w:rPr>
          <w:rFonts w:ascii="Arial" w:eastAsia="Arial" w:hAnsi="Arial" w:cs="Arial"/>
          <w:i/>
        </w:rPr>
        <w:t xml:space="preserve">Como responsable de la Concejalía de Servicios Sociales, Igualdad y Sanidad, se ha visto necesario disponer de este documento, pues en éste se recogen las acciones a implementar en el municipio, y donde se han </w:t>
      </w:r>
      <w:r>
        <w:rPr>
          <w:rFonts w:ascii="Arial" w:eastAsia="Arial" w:hAnsi="Arial" w:cs="Arial"/>
          <w:i/>
        </w:rPr>
        <w:t xml:space="preserve">tenido en cuenta las particularidades y necesidades municipales, así como las indicaciones de los organismos pertinentes en materia de prevención de adicciones y apoyo a la inserción social. </w:t>
      </w:r>
    </w:p>
    <w:p w:rsidR="00E23B86" w:rsidRDefault="00E23B86">
      <w:pPr>
        <w:sectPr w:rsidR="00E23B86">
          <w:headerReference w:type="even" r:id="rId41"/>
          <w:headerReference w:type="default" r:id="rId42"/>
          <w:footerReference w:type="even" r:id="rId43"/>
          <w:footerReference w:type="default" r:id="rId44"/>
          <w:headerReference w:type="first" r:id="rId45"/>
          <w:footerReference w:type="first" r:id="rId46"/>
          <w:pgSz w:w="14168" w:h="16840"/>
          <w:pgMar w:top="2005" w:right="2829" w:bottom="1615" w:left="3198" w:header="712" w:footer="712" w:gutter="0"/>
          <w:cols w:space="720"/>
        </w:sectPr>
      </w:pPr>
    </w:p>
    <w:p w:rsidR="00E23B86" w:rsidRDefault="00BA7C13">
      <w:pPr>
        <w:spacing w:after="111" w:line="251" w:lineRule="auto"/>
        <w:ind w:left="355" w:right="25" w:hanging="10"/>
        <w:jc w:val="both"/>
      </w:pPr>
      <w:r>
        <w:rPr>
          <w:rFonts w:ascii="Arial" w:eastAsia="Arial" w:hAnsi="Arial" w:cs="Arial"/>
          <w:i/>
        </w:rPr>
        <w:t>En este IV Plan, se centra en las drogas y adicciones sobre las que hay que intervenir, los principios que rigen las actuaciones, las áreas de intervención, los objetivos, las acciones, los procedimientos de coordinación, evaluación y los recursos necesari</w:t>
      </w:r>
      <w:r>
        <w:rPr>
          <w:rFonts w:ascii="Arial" w:eastAsia="Arial" w:hAnsi="Arial" w:cs="Arial"/>
          <w:i/>
        </w:rPr>
        <w:t>os para su implementación.</w:t>
      </w:r>
    </w:p>
    <w:p w:rsidR="00E23B86" w:rsidRDefault="00BA7C13">
      <w:pPr>
        <w:numPr>
          <w:ilvl w:val="0"/>
          <w:numId w:val="140"/>
        </w:numPr>
        <w:spacing w:after="111" w:line="251" w:lineRule="auto"/>
        <w:ind w:right="1" w:hanging="841"/>
        <w:jc w:val="both"/>
      </w:pPr>
      <w:r>
        <w:rPr>
          <w:rFonts w:ascii="Arial" w:eastAsia="Arial" w:hAnsi="Arial" w:cs="Arial"/>
          <w:i/>
        </w:rPr>
        <w:t>Esta planificación de la prevención e inserción, se encuadra dentro de los servicios sociales municipales, que según la Ley 16/2019 de 2 de mayo de Servicios Sociales de Canarias, en su artículo 4, apartado 5, indica que éstos “s</w:t>
      </w:r>
      <w:r>
        <w:rPr>
          <w:rFonts w:ascii="Arial" w:eastAsia="Arial" w:hAnsi="Arial" w:cs="Arial"/>
          <w:i/>
        </w:rPr>
        <w:t>e dirigen especialmente a prevenir y a compensar el déficit de apoyo social y económico en situaciones de riesgo y exclusión social, promoviendo actitudes y capacidades que faciliten la inclusión de las personas, desde una perspectiva integral y participad</w:t>
      </w:r>
      <w:r>
        <w:rPr>
          <w:rFonts w:ascii="Arial" w:eastAsia="Arial" w:hAnsi="Arial" w:cs="Arial"/>
          <w:i/>
        </w:rPr>
        <w:t>a”. Así mismo, en el apartado 7, define que “los servicios sociales se coordinarán con todos los sistemas que inciden en la calidad de vida, como los de salud, igualdad de género, prevención y protección de las mujeres contra la violencia de género, educat</w:t>
      </w:r>
      <w:r>
        <w:rPr>
          <w:rFonts w:ascii="Arial" w:eastAsia="Arial" w:hAnsi="Arial" w:cs="Arial"/>
          <w:i/>
        </w:rPr>
        <w:t>ivos, culturales, de empleo, de vivienda, urbanísticos, judiciales, entre otros”.</w:t>
      </w:r>
    </w:p>
    <w:p w:rsidR="00E23B86" w:rsidRDefault="00BA7C13">
      <w:pPr>
        <w:numPr>
          <w:ilvl w:val="0"/>
          <w:numId w:val="140"/>
        </w:numPr>
        <w:spacing w:after="111" w:line="251" w:lineRule="auto"/>
        <w:ind w:right="1" w:hanging="841"/>
        <w:jc w:val="both"/>
      </w:pPr>
      <w:r>
        <w:rPr>
          <w:rFonts w:ascii="Arial" w:eastAsia="Arial" w:hAnsi="Arial" w:cs="Arial"/>
          <w:i/>
        </w:rPr>
        <w:t>Como responsable de la concejalía, comparto el reto de todos y todas los/as que formamos parte de la comunidad, en contribuir en la mejora de las condiciones de calidad de vi</w:t>
      </w:r>
      <w:r>
        <w:rPr>
          <w:rFonts w:ascii="Arial" w:eastAsia="Arial" w:hAnsi="Arial" w:cs="Arial"/>
          <w:i/>
        </w:rPr>
        <w:t>da de la población, la promoción de la salud y la prevención de las adicciones en el municipio.</w:t>
      </w:r>
    </w:p>
    <w:p w:rsidR="00E23B86" w:rsidRDefault="00BA7C13">
      <w:pPr>
        <w:numPr>
          <w:ilvl w:val="0"/>
          <w:numId w:val="140"/>
        </w:numPr>
        <w:spacing w:after="111" w:line="251" w:lineRule="auto"/>
        <w:ind w:right="1" w:hanging="841"/>
        <w:jc w:val="both"/>
      </w:pPr>
      <w:r>
        <w:rPr>
          <w:rFonts w:ascii="Arial" w:eastAsia="Arial" w:hAnsi="Arial" w:cs="Arial"/>
          <w:i/>
        </w:rPr>
        <w:t xml:space="preserve">La Concejala, </w:t>
      </w:r>
    </w:p>
    <w:p w:rsidR="00E23B86" w:rsidRDefault="00BA7C13">
      <w:pPr>
        <w:numPr>
          <w:ilvl w:val="0"/>
          <w:numId w:val="140"/>
        </w:numPr>
        <w:spacing w:after="111" w:line="251" w:lineRule="auto"/>
        <w:ind w:right="1" w:hanging="841"/>
        <w:jc w:val="both"/>
      </w:pPr>
      <w:r>
        <w:rPr>
          <w:rFonts w:ascii="Arial" w:eastAsia="Arial" w:hAnsi="Arial" w:cs="Arial"/>
          <w:i/>
        </w:rPr>
        <w:t>Olivia C. Pérez Díaz.</w:t>
      </w:r>
    </w:p>
    <w:p w:rsidR="00E23B86" w:rsidRDefault="00BA7C13">
      <w:pPr>
        <w:numPr>
          <w:ilvl w:val="0"/>
          <w:numId w:val="140"/>
        </w:numPr>
        <w:spacing w:after="134" w:line="251" w:lineRule="auto"/>
        <w:ind w:right="1" w:hanging="841"/>
        <w:jc w:val="both"/>
      </w:pPr>
      <w:r>
        <w:rPr>
          <w:rFonts w:ascii="Arial" w:eastAsia="Arial" w:hAnsi="Arial" w:cs="Arial"/>
          <w:i/>
        </w:rPr>
        <w:t>ÍNDICE</w:t>
      </w:r>
    </w:p>
    <w:p w:rsidR="00E23B86" w:rsidRDefault="00BA7C13">
      <w:pPr>
        <w:numPr>
          <w:ilvl w:val="0"/>
          <w:numId w:val="140"/>
        </w:numPr>
        <w:spacing w:after="154" w:line="257" w:lineRule="auto"/>
        <w:ind w:right="1" w:hanging="841"/>
        <w:jc w:val="both"/>
      </w:pPr>
      <w:r>
        <w:rPr>
          <w:noProof/>
        </w:rPr>
        <mc:AlternateContent>
          <mc:Choice Requires="wpg">
            <w:drawing>
              <wp:anchor distT="0" distB="0" distL="114300" distR="114300" simplePos="0" relativeHeight="2519582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7641" name="Group 56764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6453" name="Rectangle 4645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6454" name="Rectangle 4645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291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7641" style="width:12.7031pt;height:280.35pt;position:absolute;mso-position-horizontal-relative:page;mso-position-horizontal:absolute;margin-left:681.958pt;mso-position-vertical-relative:page;margin-top:531.65pt;" coordsize="1613,35604">
                <v:rect id="Rectangle 4645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645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291 de 391 </w:t>
                        </w:r>
                      </w:p>
                    </w:txbxContent>
                  </v:textbox>
                </v:rect>
                <w10:wrap type="square"/>
              </v:group>
            </w:pict>
          </mc:Fallback>
        </mc:AlternateContent>
      </w:r>
      <w:r>
        <w:rPr>
          <w:color w:val="000080"/>
          <w:u w:val="single" w:color="000080"/>
        </w:rPr>
        <w:t xml:space="preserve">3.- RESULTADO PRESUPUESTARIO ....................................................................................                                                </w:t>
      </w:r>
      <w:r>
        <w:rPr>
          <w:color w:val="000080"/>
          <w:u w:val="single" w:color="000080"/>
        </w:rPr>
        <w:t xml:space="preserve">                                               6</w:t>
      </w:r>
    </w:p>
    <w:p w:rsidR="00E23B86" w:rsidRDefault="00BA7C13">
      <w:pPr>
        <w:numPr>
          <w:ilvl w:val="0"/>
          <w:numId w:val="140"/>
        </w:numPr>
        <w:spacing w:after="152" w:line="257" w:lineRule="auto"/>
        <w:ind w:right="1" w:hanging="841"/>
        <w:jc w:val="both"/>
      </w:pPr>
      <w:r>
        <w:rPr>
          <w:color w:val="000080"/>
          <w:u w:val="single" w:color="000080"/>
        </w:rPr>
        <w:t>REMANENTE DE TESORERIA                             PRESUPUESTO  2019 ( Euros )  ....................                     7</w:t>
      </w:r>
    </w:p>
    <w:p w:rsidR="00E23B86" w:rsidRDefault="00BA7C13">
      <w:pPr>
        <w:numPr>
          <w:ilvl w:val="0"/>
          <w:numId w:val="140"/>
        </w:numPr>
        <w:spacing w:after="145" w:line="249" w:lineRule="auto"/>
        <w:ind w:right="1" w:hanging="841"/>
        <w:jc w:val="both"/>
      </w:pPr>
      <w:r>
        <w:rPr>
          <w:b/>
          <w:color w:val="000080"/>
          <w:u w:val="single" w:color="000080"/>
        </w:rPr>
        <w:t>2.TOTAL ............................................................................</w:t>
      </w:r>
      <w:r>
        <w:rPr>
          <w:b/>
          <w:color w:val="000080"/>
          <w:u w:val="single" w:color="000080"/>
        </w:rPr>
        <w:t>.........................................                                                                                                                                         28</w:t>
      </w:r>
    </w:p>
    <w:p w:rsidR="00E23B86" w:rsidRDefault="00BA7C13">
      <w:pPr>
        <w:numPr>
          <w:ilvl w:val="0"/>
          <w:numId w:val="140"/>
        </w:numPr>
        <w:spacing w:after="152" w:line="257" w:lineRule="auto"/>
        <w:ind w:right="1" w:hanging="841"/>
        <w:jc w:val="both"/>
      </w:pPr>
      <w:r>
        <w:rPr>
          <w:color w:val="000080"/>
          <w:u w:val="single" w:color="000080"/>
        </w:rPr>
        <w:t xml:space="preserve">B) CLASIFICACIÓN POR PROGRAMAS  </w:t>
      </w:r>
      <w:r>
        <w:rPr>
          <w:color w:val="000080"/>
          <w:u w:val="single" w:color="000080"/>
        </w:rPr>
        <w:t>.............................................................................                                                                                      33</w:t>
      </w:r>
    </w:p>
    <w:p w:rsidR="00E23B86" w:rsidRDefault="00BA7C13">
      <w:pPr>
        <w:numPr>
          <w:ilvl w:val="0"/>
          <w:numId w:val="140"/>
        </w:numPr>
        <w:spacing w:after="9" w:line="249" w:lineRule="auto"/>
        <w:ind w:right="1" w:hanging="841"/>
        <w:jc w:val="both"/>
      </w:pPr>
      <w:r>
        <w:rPr>
          <w:b/>
          <w:color w:val="000080"/>
          <w:u w:val="single" w:color="000080"/>
        </w:rPr>
        <w:t xml:space="preserve">Área de Gasto 0: Comprende todos los gastos de intereses y amortización de la </w:t>
      </w:r>
    </w:p>
    <w:p w:rsidR="00E23B86" w:rsidRDefault="00BA7C13">
      <w:pPr>
        <w:spacing w:after="143" w:line="249" w:lineRule="auto"/>
        <w:ind w:left="353" w:hanging="8"/>
      </w:pPr>
      <w:r>
        <w:rPr>
          <w:b/>
          <w:color w:val="000080"/>
          <w:u w:val="single" w:color="000080"/>
        </w:rPr>
        <w:t xml:space="preserve"> deuda públ</w:t>
      </w:r>
      <w:r>
        <w:rPr>
          <w:b/>
          <w:color w:val="000080"/>
          <w:u w:val="single" w:color="000080"/>
        </w:rPr>
        <w:t>ica y demás operaciones financieras de naturaleza análoga.  ...................                      33</w:t>
      </w:r>
    </w:p>
    <w:p w:rsidR="00E23B86" w:rsidRDefault="00BA7C13">
      <w:pPr>
        <w:numPr>
          <w:ilvl w:val="0"/>
          <w:numId w:val="140"/>
        </w:numPr>
        <w:spacing w:after="0" w:line="249" w:lineRule="auto"/>
        <w:ind w:right="1" w:hanging="841"/>
        <w:jc w:val="both"/>
      </w:pPr>
      <w:r>
        <w:rPr>
          <w:b/>
          <w:color w:val="000080"/>
          <w:u w:val="single" w:color="000080"/>
        </w:rPr>
        <w:t>Importa un gasto total liquidado de 9.297.373,80 Euros, frente a los 7.752.849,94 Euros en el año 2018, generando un aumento del 19,9 %. Representa el 3</w:t>
      </w:r>
      <w:r>
        <w:rPr>
          <w:b/>
          <w:color w:val="000080"/>
          <w:u w:val="single" w:color="000080"/>
        </w:rPr>
        <w:t xml:space="preserve">8,5 % del total liquidado en el ejercicio 2019, frente al 31,7 % en el 2018. Así destacamos los </w:t>
      </w:r>
    </w:p>
    <w:p w:rsidR="00E23B86" w:rsidRDefault="00BA7C13">
      <w:pPr>
        <w:spacing w:after="143" w:line="249" w:lineRule="auto"/>
        <w:ind w:left="353" w:hanging="8"/>
      </w:pPr>
      <w:r>
        <w:rPr>
          <w:b/>
          <w:color w:val="000080"/>
          <w:u w:val="single" w:color="000080"/>
        </w:rPr>
        <w:t xml:space="preserve"> siguientes subprogramas previstos en el presupuesto: ..............................................                                                     34</w:t>
      </w:r>
    </w:p>
    <w:p w:rsidR="00E23B86" w:rsidRDefault="00BA7C13">
      <w:pPr>
        <w:numPr>
          <w:ilvl w:val="0"/>
          <w:numId w:val="140"/>
        </w:numPr>
        <w:spacing w:after="0" w:line="249" w:lineRule="auto"/>
        <w:ind w:right="1" w:hanging="841"/>
        <w:jc w:val="both"/>
      </w:pPr>
      <w:r>
        <w:rPr>
          <w:b/>
          <w:color w:val="000080"/>
          <w:u w:val="single" w:color="000080"/>
        </w:rPr>
        <w:t>Sub</w:t>
      </w:r>
      <w:r>
        <w:rPr>
          <w:b/>
          <w:color w:val="000080"/>
          <w:u w:val="single" w:color="000080"/>
        </w:rPr>
        <w:t>programa 132.00 de Seguridad y Orden Público, sube un 13,4 %, principalmente en el gasto de personal, que sube más de 207.000,00 Euros (de los que 147.000 Euros, son de gratificaciones y productividad), compensando la caída en un 29 % del gasto en bienes y</w:t>
      </w:r>
      <w:r>
        <w:rPr>
          <w:b/>
          <w:color w:val="000080"/>
          <w:u w:val="single" w:color="000080"/>
        </w:rPr>
        <w:t xml:space="preserve"> servicios corrientes. La inversión sube en 50.468,03 Euros, que fue </w:t>
      </w:r>
    </w:p>
    <w:p w:rsidR="00E23B86" w:rsidRDefault="00BA7C13">
      <w:pPr>
        <w:spacing w:after="9" w:line="249" w:lineRule="auto"/>
        <w:ind w:left="353" w:hanging="8"/>
      </w:pPr>
      <w:r>
        <w:rPr>
          <w:b/>
          <w:color w:val="000080"/>
          <w:u w:val="single" w:color="000080"/>
        </w:rPr>
        <w:t xml:space="preserve">nula en el 2018. Representa el capítulo de personal el 92,5 % frente al 92,3 % del año </w:t>
      </w:r>
    </w:p>
    <w:p w:rsidR="00E23B86" w:rsidRDefault="00BA7C13">
      <w:pPr>
        <w:spacing w:after="143" w:line="249" w:lineRule="auto"/>
        <w:ind w:left="353" w:hanging="8"/>
      </w:pPr>
      <w:r>
        <w:rPr>
          <w:b/>
          <w:color w:val="000080"/>
          <w:u w:val="single" w:color="000080"/>
        </w:rPr>
        <w:t xml:space="preserve"> anterior en este subprograma.  ..................................................................</w:t>
      </w:r>
      <w:r>
        <w:rPr>
          <w:b/>
          <w:color w:val="000080"/>
          <w:u w:val="single" w:color="000080"/>
        </w:rPr>
        <w:t>................                                                                                               34</w:t>
      </w:r>
    </w:p>
    <w:p w:rsidR="00E23B86" w:rsidRDefault="00BA7C13">
      <w:pPr>
        <w:numPr>
          <w:ilvl w:val="0"/>
          <w:numId w:val="140"/>
        </w:numPr>
        <w:spacing w:after="145" w:line="249" w:lineRule="auto"/>
        <w:ind w:right="1" w:hanging="841"/>
        <w:jc w:val="both"/>
      </w:pPr>
      <w:r>
        <w:rPr>
          <w:b/>
          <w:color w:val="000080"/>
          <w:u w:val="single" w:color="000080"/>
        </w:rPr>
        <w:t>Representan un 7,75 % respecto del gasto total, frente al 6,7 % del ejercicio 2018. . .   34</w:t>
      </w:r>
    </w:p>
    <w:p w:rsidR="00E23B86" w:rsidRDefault="00BA7C13">
      <w:pPr>
        <w:numPr>
          <w:ilvl w:val="0"/>
          <w:numId w:val="140"/>
        </w:numPr>
        <w:spacing w:after="0" w:line="249" w:lineRule="auto"/>
        <w:ind w:right="1" w:hanging="841"/>
        <w:jc w:val="both"/>
      </w:pPr>
      <w:r>
        <w:rPr>
          <w:b/>
          <w:color w:val="000080"/>
          <w:u w:val="single" w:color="000080"/>
        </w:rPr>
        <w:t>Subprograma 135.00 de Protección Civil, que cae u</w:t>
      </w:r>
      <w:r>
        <w:rPr>
          <w:b/>
          <w:color w:val="000080"/>
          <w:u w:val="single" w:color="000080"/>
        </w:rPr>
        <w:t xml:space="preserve">n 0,5 %, Sube las inversiones en siete mil euros, mientras que el capítulo de gastos bienes corrientes y de servicios, </w:t>
      </w:r>
    </w:p>
    <w:p w:rsidR="00E23B86" w:rsidRDefault="00BA7C13">
      <w:pPr>
        <w:spacing w:after="143" w:line="249" w:lineRule="auto"/>
        <w:ind w:left="353" w:hanging="8"/>
      </w:pPr>
      <w:r>
        <w:rPr>
          <w:b/>
          <w:color w:val="000080"/>
          <w:u w:val="single" w:color="000080"/>
        </w:rPr>
        <w:t xml:space="preserve"> cae un 4 %. Este capítulo representa el 80,30 % del gasto total.  ...............................                                   34</w:t>
      </w:r>
    </w:p>
    <w:p w:rsidR="00E23B86" w:rsidRDefault="00BA7C13">
      <w:pPr>
        <w:numPr>
          <w:ilvl w:val="0"/>
          <w:numId w:val="140"/>
        </w:numPr>
        <w:spacing w:after="9" w:line="249" w:lineRule="auto"/>
        <w:ind w:right="1" w:hanging="841"/>
        <w:jc w:val="both"/>
      </w:pPr>
      <w:r>
        <w:rPr>
          <w:b/>
          <w:color w:val="000080"/>
          <w:u w:val="single" w:color="000080"/>
        </w:rPr>
        <w:t>Representan un 1 %, respecto del gasto total, frente al 0,9 %, en el ejercicio anterior.</w:t>
      </w:r>
    </w:p>
    <w:p w:rsidR="00E23B86" w:rsidRDefault="00BA7C13">
      <w:pPr>
        <w:spacing w:after="0" w:line="249" w:lineRule="auto"/>
        <w:ind w:left="353" w:hanging="8"/>
      </w:pPr>
      <w:r>
        <w:rPr>
          <w:b/>
          <w:color w:val="000080"/>
          <w:u w:val="single" w:color="000080"/>
        </w:rPr>
        <w:t xml:space="preserve">..................................................................................................................................                                     </w:t>
      </w:r>
      <w:r>
        <w:rPr>
          <w:b/>
          <w:color w:val="000080"/>
          <w:u w:val="single" w:color="000080"/>
        </w:rPr>
        <w:t xml:space="preserve">                                                                                                                   34 Subprograma 136.00 de Servicios de Extinción de Incendios que recoge las   aportaciones al Consorcio de Incendios. Crece un 0,1 % el gasto</w:t>
      </w:r>
      <w:r>
        <w:rPr>
          <w:b/>
          <w:color w:val="000080"/>
          <w:u w:val="single" w:color="000080"/>
        </w:rPr>
        <w:t xml:space="preserve"> de esta subvención </w:t>
      </w:r>
    </w:p>
    <w:p w:rsidR="00E23B86" w:rsidRDefault="00BA7C13">
      <w:pPr>
        <w:spacing w:after="9" w:line="249" w:lineRule="auto"/>
        <w:ind w:left="353" w:hanging="8"/>
      </w:pPr>
      <w:r>
        <w:rPr>
          <w:b/>
          <w:color w:val="000080"/>
          <w:u w:val="single" w:color="000080"/>
        </w:rPr>
        <w:t xml:space="preserve">respecto el año anterior. Representan un 0,7 % respecto del gasto total, frente al 0,6 </w:t>
      </w:r>
    </w:p>
    <w:p w:rsidR="00E23B86" w:rsidRDefault="00BA7C13">
      <w:pPr>
        <w:spacing w:after="143" w:line="249" w:lineRule="auto"/>
        <w:ind w:left="353" w:hanging="8"/>
      </w:pPr>
      <w:r>
        <w:rPr>
          <w:b/>
          <w:color w:val="000080"/>
          <w:u w:val="single" w:color="000080"/>
        </w:rPr>
        <w:t xml:space="preserve"> % del ejercicio 2018.  ..................................................................................................                         </w:t>
      </w:r>
      <w:r>
        <w:rPr>
          <w:b/>
          <w:color w:val="000080"/>
          <w:u w:val="single" w:color="000080"/>
        </w:rPr>
        <w:t xml:space="preserve">                                                                                         34</w:t>
      </w:r>
    </w:p>
    <w:p w:rsidR="00E23B86" w:rsidRDefault="00BA7C13">
      <w:pPr>
        <w:numPr>
          <w:ilvl w:val="0"/>
          <w:numId w:val="140"/>
        </w:numPr>
        <w:spacing w:after="0" w:line="249" w:lineRule="auto"/>
        <w:ind w:right="1" w:hanging="841"/>
        <w:jc w:val="both"/>
      </w:pPr>
      <w:r>
        <w:rPr>
          <w:b/>
          <w:color w:val="000080"/>
          <w:u w:val="single" w:color="000080"/>
        </w:rPr>
        <w:t xml:space="preserve">Subprograma 151.00 de Urbanismo, que sube un 8,2 %, motivado por la subida del capítulo de inversiones (aumenta un 17 %). Compensa la caída en gastos de </w:t>
      </w:r>
    </w:p>
    <w:p w:rsidR="00E23B86" w:rsidRDefault="00BA7C13">
      <w:pPr>
        <w:spacing w:after="9" w:line="249" w:lineRule="auto"/>
        <w:ind w:left="353" w:hanging="8"/>
      </w:pPr>
      <w:r>
        <w:rPr>
          <w:b/>
          <w:color w:val="000080"/>
          <w:u w:val="single" w:color="000080"/>
        </w:rPr>
        <w:t>transferen</w:t>
      </w:r>
      <w:r>
        <w:rPr>
          <w:b/>
          <w:color w:val="000080"/>
          <w:u w:val="single" w:color="000080"/>
        </w:rPr>
        <w:t xml:space="preserve">cias de capital, que fue nula. Representa el 5 % este subprograma, en el </w:t>
      </w:r>
    </w:p>
    <w:p w:rsidR="00E23B86" w:rsidRDefault="00BA7C13">
      <w:pPr>
        <w:spacing w:after="143" w:line="249" w:lineRule="auto"/>
        <w:ind w:left="353" w:hanging="8"/>
      </w:pPr>
      <w:r>
        <w:rPr>
          <w:b/>
          <w:color w:val="000080"/>
          <w:u w:val="single" w:color="000080"/>
        </w:rPr>
        <w:t xml:space="preserve"> gasto total, frente al 4,5 % del gasto total.  .................................................................                                                                     </w:t>
      </w:r>
      <w:r>
        <w:rPr>
          <w:b/>
          <w:color w:val="000080"/>
          <w:u w:val="single" w:color="000080"/>
        </w:rPr>
        <w:t xml:space="preserve">      34</w:t>
      </w:r>
    </w:p>
    <w:p w:rsidR="00E23B86" w:rsidRDefault="00BA7C13">
      <w:pPr>
        <w:numPr>
          <w:ilvl w:val="0"/>
          <w:numId w:val="140"/>
        </w:numPr>
        <w:spacing w:after="9" w:line="249" w:lineRule="auto"/>
        <w:ind w:right="1" w:hanging="841"/>
        <w:jc w:val="both"/>
      </w:pPr>
      <w:r>
        <w:rPr>
          <w:b/>
          <w:color w:val="000080"/>
          <w:u w:val="single" w:color="000080"/>
        </w:rPr>
        <w:t xml:space="preserve">Subprograma 160.00 de Alcantarillado, que recoge las obras de saneamiento y no se </w:t>
      </w:r>
    </w:p>
    <w:p w:rsidR="00E23B86" w:rsidRDefault="00BA7C13">
      <w:pPr>
        <w:spacing w:after="143" w:line="249" w:lineRule="auto"/>
        <w:ind w:left="353" w:hanging="8"/>
      </w:pPr>
      <w:r>
        <w:rPr>
          <w:b/>
          <w:color w:val="000080"/>
          <w:u w:val="single" w:color="000080"/>
        </w:rPr>
        <w:t xml:space="preserve"> ha realizado gasto alguno, igual que en el año anterior.  ............................................                                                  34</w:t>
      </w:r>
    </w:p>
    <w:p w:rsidR="00E23B86" w:rsidRDefault="00BA7C13">
      <w:pPr>
        <w:numPr>
          <w:ilvl w:val="0"/>
          <w:numId w:val="140"/>
        </w:numPr>
        <w:spacing w:after="0" w:line="249" w:lineRule="auto"/>
        <w:ind w:right="1" w:hanging="841"/>
        <w:jc w:val="both"/>
      </w:pPr>
      <w:r>
        <w:rPr>
          <w:b/>
          <w:color w:val="000080"/>
          <w:u w:val="single" w:color="000080"/>
        </w:rPr>
        <w:t>Subprogr</w:t>
      </w:r>
      <w:r>
        <w:rPr>
          <w:b/>
          <w:color w:val="000080"/>
          <w:u w:val="single" w:color="000080"/>
        </w:rPr>
        <w:t xml:space="preserve">ama 161.00 de Abastecimiento de Agua, que refleja los gastos de inversiones en el depósito de agua de Igueste, que aumenta en casi doscientos </w:t>
      </w:r>
    </w:p>
    <w:p w:rsidR="00E23B86" w:rsidRDefault="00BA7C13">
      <w:pPr>
        <w:spacing w:after="9" w:line="249" w:lineRule="auto"/>
        <w:ind w:left="353" w:hanging="8"/>
      </w:pPr>
      <w:r>
        <w:rPr>
          <w:b/>
          <w:color w:val="000080"/>
          <w:u w:val="single" w:color="000080"/>
        </w:rPr>
        <w:t xml:space="preserve">cuarenta mil euros. Representan un 1,9 % respecto del gasto total, frente al 0,6 % del </w:t>
      </w:r>
    </w:p>
    <w:p w:rsidR="00E23B86" w:rsidRDefault="00BA7C13">
      <w:pPr>
        <w:spacing w:after="143" w:line="249" w:lineRule="auto"/>
        <w:ind w:left="353" w:hanging="8"/>
      </w:pPr>
      <w:r>
        <w:rPr>
          <w:b/>
          <w:color w:val="000080"/>
          <w:u w:val="single" w:color="000080"/>
        </w:rPr>
        <w:t xml:space="preserve"> año anterior. ..........</w:t>
      </w:r>
      <w:r>
        <w:rPr>
          <w:b/>
          <w:color w:val="000080"/>
          <w:u w:val="single" w:color="000080"/>
        </w:rPr>
        <w:t>....................................................................................................                                                                                                                                34</w:t>
      </w:r>
    </w:p>
    <w:p w:rsidR="00E23B86" w:rsidRDefault="00BA7C13">
      <w:pPr>
        <w:numPr>
          <w:ilvl w:val="0"/>
          <w:numId w:val="140"/>
        </w:numPr>
        <w:spacing w:after="0" w:line="249" w:lineRule="auto"/>
        <w:ind w:right="1" w:hanging="841"/>
        <w:jc w:val="both"/>
      </w:pPr>
      <w:r>
        <w:rPr>
          <w:b/>
          <w:color w:val="000080"/>
          <w:u w:val="single" w:color="000080"/>
        </w:rPr>
        <w:t>Subprograma 162.10 de Ges</w:t>
      </w:r>
      <w:r>
        <w:rPr>
          <w:b/>
          <w:color w:val="000080"/>
          <w:u w:val="single" w:color="000080"/>
        </w:rPr>
        <w:t xml:space="preserve">tión de Recogida de Residuos, que refleja los gastos de la concesión que gestiona Urbaser SA, relativo a la Limpieza Viaria. Representan un 3,6 </w:t>
      </w:r>
    </w:p>
    <w:p w:rsidR="00E23B86" w:rsidRDefault="00BA7C13">
      <w:pPr>
        <w:spacing w:after="145" w:line="249" w:lineRule="auto"/>
        <w:ind w:left="353" w:hanging="8"/>
      </w:pPr>
      <w:r>
        <w:rPr>
          <w:b/>
          <w:color w:val="000080"/>
          <w:u w:val="single" w:color="000080"/>
        </w:rPr>
        <w:t xml:space="preserve"> % respecto del gasto total, tres décimas más que en el 2018.  ....................................            </w:t>
      </w:r>
      <w:r>
        <w:rPr>
          <w:b/>
          <w:color w:val="000080"/>
          <w:u w:val="single" w:color="000080"/>
        </w:rPr>
        <w:t xml:space="preserve">                            34</w:t>
      </w:r>
    </w:p>
    <w:p w:rsidR="00E23B86" w:rsidRDefault="00BA7C13">
      <w:pPr>
        <w:numPr>
          <w:ilvl w:val="0"/>
          <w:numId w:val="140"/>
        </w:numPr>
        <w:spacing w:after="0" w:line="249" w:lineRule="auto"/>
        <w:ind w:right="1" w:hanging="841"/>
        <w:jc w:val="both"/>
      </w:pPr>
      <w:r>
        <w:rPr>
          <w:b/>
          <w:color w:val="000080"/>
          <w:u w:val="single" w:color="000080"/>
        </w:rPr>
        <w:t>Subprograma 163.00 de Gestión de Recogida de Residuos, que refleja los gastos de la concesión que gestiona Urbaser SA, relativo a la recogida de residuos sólidos urbanos y recogida selectiva y la aportación a Epelcan, por lim</w:t>
      </w:r>
      <w:r>
        <w:rPr>
          <w:b/>
          <w:color w:val="000080"/>
          <w:u w:val="single" w:color="000080"/>
        </w:rPr>
        <w:t xml:space="preserve">pieza de edificios. Representan </w:t>
      </w:r>
    </w:p>
    <w:p w:rsidR="00E23B86" w:rsidRDefault="00BA7C13">
      <w:pPr>
        <w:spacing w:after="145" w:line="249" w:lineRule="auto"/>
        <w:ind w:left="353" w:hanging="8"/>
      </w:pPr>
      <w:r>
        <w:rPr>
          <w:b/>
          <w:color w:val="000080"/>
          <w:u w:val="single" w:color="000080"/>
        </w:rPr>
        <w:t xml:space="preserve"> un 8,3 % respecto del gasto total, ocho décimas más que en 2018. ...........................                               34</w:t>
      </w:r>
    </w:p>
    <w:p w:rsidR="00E23B86" w:rsidRDefault="00BA7C13">
      <w:pPr>
        <w:numPr>
          <w:ilvl w:val="0"/>
          <w:numId w:val="140"/>
        </w:numPr>
        <w:spacing w:after="0" w:line="249" w:lineRule="auto"/>
        <w:ind w:right="1" w:hanging="841"/>
        <w:jc w:val="both"/>
      </w:pPr>
      <w:r>
        <w:rPr>
          <w:noProof/>
        </w:rPr>
        <mc:AlternateContent>
          <mc:Choice Requires="wpg">
            <w:drawing>
              <wp:anchor distT="0" distB="0" distL="114300" distR="114300" simplePos="0" relativeHeight="2519592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69070" name="Group 56907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6687" name="Rectangle 4668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6688" name="Rectangle 4668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292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69070" style="width:12.7031pt;height:280.35pt;position:absolute;mso-position-horizontal-relative:page;mso-position-horizontal:absolute;margin-left:681.958pt;mso-position-vertical-relative:page;margin-top:531.65pt;" coordsize="1613,35604">
                <v:rect id="Rectangle 4668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668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292 de 391 </w:t>
                        </w:r>
                      </w:p>
                    </w:txbxContent>
                  </v:textbox>
                </v:rect>
                <w10:wrap type="square"/>
              </v:group>
            </w:pict>
          </mc:Fallback>
        </mc:AlternateContent>
      </w:r>
      <w:r>
        <w:rPr>
          <w:b/>
          <w:color w:val="000080"/>
          <w:u w:val="single" w:color="000080"/>
        </w:rPr>
        <w:t>Subprograma 164.00 de Cementerios, que sube un 34,9 %, repres</w:t>
      </w:r>
      <w:r>
        <w:rPr>
          <w:b/>
          <w:color w:val="000080"/>
          <w:u w:val="single" w:color="000080"/>
        </w:rPr>
        <w:t>entando los gastos de personal, el 69,2 % del gasto de este subprograma, subiendo los gastos corrientes,</w:t>
      </w:r>
    </w:p>
    <w:p w:rsidR="00E23B86" w:rsidRDefault="00BA7C13">
      <w:pPr>
        <w:spacing w:after="9" w:line="249" w:lineRule="auto"/>
        <w:ind w:left="353" w:hanging="8"/>
      </w:pPr>
      <w:r>
        <w:rPr>
          <w:b/>
          <w:color w:val="000080"/>
          <w:u w:val="single" w:color="000080"/>
        </w:rPr>
        <w:t xml:space="preserve">casi el doble. Representan un 0,1 % respecto del gasto total, igual que en el año </w:t>
      </w:r>
    </w:p>
    <w:p w:rsidR="00E23B86" w:rsidRDefault="00BA7C13">
      <w:pPr>
        <w:spacing w:after="145" w:line="249" w:lineRule="auto"/>
        <w:ind w:left="353" w:hanging="8"/>
      </w:pPr>
      <w:r>
        <w:rPr>
          <w:b/>
          <w:color w:val="000080"/>
          <w:u w:val="single" w:color="000080"/>
        </w:rPr>
        <w:t xml:space="preserve"> anterior.  ........................................................</w:t>
      </w:r>
      <w:r>
        <w:rPr>
          <w:b/>
          <w:color w:val="000080"/>
          <w:u w:val="single" w:color="000080"/>
        </w:rPr>
        <w:t>............................................................                                                                                                                                       35</w:t>
      </w:r>
    </w:p>
    <w:p w:rsidR="00E23B86" w:rsidRDefault="00BA7C13">
      <w:pPr>
        <w:numPr>
          <w:ilvl w:val="0"/>
          <w:numId w:val="140"/>
        </w:numPr>
        <w:spacing w:after="146" w:line="249" w:lineRule="auto"/>
        <w:ind w:right="1" w:hanging="841"/>
        <w:jc w:val="both"/>
      </w:pPr>
      <w:r>
        <w:rPr>
          <w:b/>
          <w:color w:val="000080"/>
          <w:u w:val="single" w:color="000080"/>
        </w:rPr>
        <w:t>Subprograma 165.00 de Alumbrado Público, que cae un 10,5 %</w:t>
      </w:r>
      <w:r>
        <w:rPr>
          <w:b/>
          <w:color w:val="000080"/>
          <w:u w:val="single" w:color="000080"/>
        </w:rPr>
        <w:t xml:space="preserve">, por la menor inversión en alumbrado, al caer un 43 %, mientras que ha subido el consumo en un 4 </w:t>
      </w:r>
    </w:p>
    <w:p w:rsidR="00E23B86" w:rsidRDefault="00BA7C13">
      <w:pPr>
        <w:spacing w:after="146" w:line="249" w:lineRule="auto"/>
        <w:ind w:left="358" w:hanging="358"/>
      </w:pPr>
      <w:r>
        <w:rPr>
          <w:b/>
          <w:color w:val="000080"/>
          <w:u w:val="single" w:color="000080"/>
        </w:rPr>
        <w:t xml:space="preserve"> %. Representan un 1,6 % respecto del gasto total, frente al 1,7 % del año anterior.   . . 35</w:t>
      </w:r>
    </w:p>
    <w:p w:rsidR="00E23B86" w:rsidRDefault="00BA7C13">
      <w:pPr>
        <w:numPr>
          <w:ilvl w:val="0"/>
          <w:numId w:val="140"/>
        </w:numPr>
        <w:spacing w:after="0" w:line="249" w:lineRule="auto"/>
        <w:ind w:right="1" w:hanging="841"/>
        <w:jc w:val="both"/>
      </w:pPr>
      <w:r>
        <w:rPr>
          <w:b/>
          <w:color w:val="000080"/>
          <w:u w:val="single" w:color="000080"/>
        </w:rPr>
        <w:t>Subprograma 170.00 de Medio Ambiente, que se creó en el 2018, c</w:t>
      </w:r>
      <w:r>
        <w:rPr>
          <w:b/>
          <w:color w:val="000080"/>
          <w:u w:val="single" w:color="000080"/>
        </w:rPr>
        <w:t xml:space="preserve">on unos gastos de seis mil tres euros, refleja gastos corrientes en bienes y servicios por cuarenta y ocho </w:t>
      </w:r>
    </w:p>
    <w:p w:rsidR="00E23B86" w:rsidRDefault="00BA7C13">
      <w:pPr>
        <w:spacing w:after="145" w:line="249" w:lineRule="auto"/>
        <w:ind w:left="353" w:hanging="8"/>
      </w:pPr>
      <w:r>
        <w:rPr>
          <w:b/>
          <w:color w:val="000080"/>
          <w:u w:val="single" w:color="000080"/>
        </w:rPr>
        <w:t xml:space="preserve"> mil Euros.  ..................................................................................................................                     </w:t>
      </w:r>
      <w:r>
        <w:rPr>
          <w:b/>
          <w:color w:val="000080"/>
          <w:u w:val="single" w:color="000080"/>
        </w:rPr>
        <w:t xml:space="preserve">                                                                                                                35</w:t>
      </w:r>
    </w:p>
    <w:p w:rsidR="00E23B86" w:rsidRDefault="00BA7C13">
      <w:pPr>
        <w:numPr>
          <w:ilvl w:val="0"/>
          <w:numId w:val="140"/>
        </w:numPr>
        <w:spacing w:after="0" w:line="249" w:lineRule="auto"/>
        <w:ind w:right="1" w:hanging="841"/>
        <w:jc w:val="both"/>
      </w:pPr>
      <w:r>
        <w:rPr>
          <w:b/>
          <w:color w:val="000080"/>
          <w:u w:val="single" w:color="000080"/>
        </w:rPr>
        <w:t xml:space="preserve">Subprograma 171.00 de Parques y Jardines, que sube un 5,6 %, por el mayor gasto en inversiones, por importe de ciento setenta y dos mil Euros, que compensa la caída de gastos corrientes y de servicios, que cae un 51 %, representando el capítulo de </w:t>
      </w:r>
    </w:p>
    <w:p w:rsidR="00E23B86" w:rsidRDefault="00BA7C13">
      <w:pPr>
        <w:spacing w:after="9" w:line="249" w:lineRule="auto"/>
        <w:ind w:left="353" w:hanging="8"/>
      </w:pPr>
      <w:r>
        <w:rPr>
          <w:b/>
          <w:color w:val="000080"/>
          <w:u w:val="single" w:color="000080"/>
        </w:rPr>
        <w:t>persona</w:t>
      </w:r>
      <w:r>
        <w:rPr>
          <w:b/>
          <w:color w:val="000080"/>
          <w:u w:val="single" w:color="000080"/>
        </w:rPr>
        <w:t xml:space="preserve">l el 43,2 % del gasto en este subprograma y. Representan un 2,3 % respecto </w:t>
      </w:r>
    </w:p>
    <w:p w:rsidR="00E23B86" w:rsidRDefault="00BA7C13">
      <w:pPr>
        <w:spacing w:after="143" w:line="249" w:lineRule="auto"/>
        <w:ind w:left="353" w:hanging="8"/>
      </w:pPr>
      <w:r>
        <w:rPr>
          <w:b/>
          <w:color w:val="000080"/>
          <w:u w:val="single" w:color="000080"/>
        </w:rPr>
        <w:t xml:space="preserve"> del gasto total, frente al 2,1 % del año anterior.  ........................................................                                                                 35</w:t>
      </w:r>
    </w:p>
    <w:p w:rsidR="00E23B86" w:rsidRDefault="00BA7C13">
      <w:pPr>
        <w:numPr>
          <w:ilvl w:val="0"/>
          <w:numId w:val="140"/>
        </w:numPr>
        <w:spacing w:after="0" w:line="249" w:lineRule="auto"/>
        <w:ind w:right="1" w:hanging="841"/>
        <w:jc w:val="both"/>
      </w:pPr>
      <w:r>
        <w:rPr>
          <w:b/>
          <w:color w:val="000080"/>
          <w:u w:val="single" w:color="000080"/>
        </w:rPr>
        <w:t>Áre</w:t>
      </w:r>
      <w:r>
        <w:rPr>
          <w:b/>
          <w:color w:val="000080"/>
          <w:u w:val="single" w:color="000080"/>
        </w:rPr>
        <w:t>a de Gasto 2: Incluye las Actuaciones de Protección y Promoción Social. El total gasto liquidado en esta área de gasto asciende a 4.641.367,35 Euros frente a los 4.102.717,80 Euros de 2018, es decir, que ha habido un incremento del 13 %, representando el 1</w:t>
      </w:r>
      <w:r>
        <w:rPr>
          <w:b/>
          <w:color w:val="000080"/>
          <w:u w:val="single" w:color="000080"/>
        </w:rPr>
        <w:t xml:space="preserve">9,2 % del gasto total, frente al 16,8 % del ejercicio 2018. A </w:t>
      </w:r>
    </w:p>
    <w:p w:rsidR="00E23B86" w:rsidRDefault="00BA7C13">
      <w:pPr>
        <w:spacing w:after="145" w:line="249" w:lineRule="auto"/>
        <w:ind w:left="353" w:hanging="8"/>
      </w:pPr>
      <w:r>
        <w:rPr>
          <w:b/>
          <w:color w:val="000080"/>
          <w:u w:val="single" w:color="000080"/>
        </w:rPr>
        <w:t xml:space="preserve"> continuación, destacamos los siguientes subprogramas:  ...........................................                                                 35</w:t>
      </w:r>
    </w:p>
    <w:p w:rsidR="00E23B86" w:rsidRDefault="00BA7C13">
      <w:pPr>
        <w:numPr>
          <w:ilvl w:val="0"/>
          <w:numId w:val="140"/>
        </w:numPr>
        <w:spacing w:after="0" w:line="249" w:lineRule="auto"/>
        <w:ind w:right="1" w:hanging="841"/>
        <w:jc w:val="both"/>
      </w:pPr>
      <w:r>
        <w:rPr>
          <w:b/>
          <w:color w:val="000080"/>
          <w:u w:val="single" w:color="000080"/>
        </w:rPr>
        <w:t xml:space="preserve">Subprograma 211.00 de Pensiones, se incrementa el 6,5 % el gasto liquidado. Recoge los emolumentos dejados de recibir por parte de funcionarios que han solicitado la </w:t>
      </w:r>
    </w:p>
    <w:p w:rsidR="00E23B86" w:rsidRDefault="00BA7C13">
      <w:pPr>
        <w:spacing w:after="0" w:line="249" w:lineRule="auto"/>
        <w:ind w:left="353" w:hanging="8"/>
      </w:pPr>
      <w:r>
        <w:rPr>
          <w:b/>
          <w:color w:val="000080"/>
          <w:u w:val="single" w:color="000080"/>
        </w:rPr>
        <w:t xml:space="preserve"> jubilación anticipada. Representan un 0,09 % respecto del gasto total.  ................</w:t>
      </w:r>
      <w:r>
        <w:rPr>
          <w:b/>
          <w:color w:val="000080"/>
          <w:u w:val="single" w:color="000080"/>
        </w:rPr>
        <w:t>.....                       36</w:t>
      </w:r>
    </w:p>
    <w:p w:rsidR="00E23B86" w:rsidRDefault="00BA7C13">
      <w:pPr>
        <w:spacing w:after="0" w:line="249" w:lineRule="auto"/>
        <w:ind w:left="353" w:hanging="8"/>
      </w:pPr>
      <w:r>
        <w:rPr>
          <w:b/>
          <w:color w:val="000080"/>
          <w:u w:val="single" w:color="000080"/>
        </w:rPr>
        <w:t xml:space="preserve">Subprograma 221.00 de Otras Prestaciones a favor de los Empleados, que recoge los gastos de acción social y la aportación municipal al seguro privado, cae un 13 %, por </w:t>
      </w:r>
    </w:p>
    <w:p w:rsidR="00E23B86" w:rsidRDefault="00BA7C13">
      <w:pPr>
        <w:spacing w:after="9" w:line="249" w:lineRule="auto"/>
        <w:ind w:left="353" w:hanging="8"/>
      </w:pPr>
      <w:r>
        <w:rPr>
          <w:b/>
          <w:color w:val="000080"/>
          <w:u w:val="single" w:color="000080"/>
        </w:rPr>
        <w:t>el menor gasto en acción social. Representan un 0,2 % re</w:t>
      </w:r>
      <w:r>
        <w:rPr>
          <w:b/>
          <w:color w:val="000080"/>
          <w:u w:val="single" w:color="000080"/>
        </w:rPr>
        <w:t xml:space="preserve">specto del gasto total, igual </w:t>
      </w:r>
    </w:p>
    <w:p w:rsidR="00E23B86" w:rsidRDefault="00BA7C13">
      <w:pPr>
        <w:spacing w:after="143" w:line="249" w:lineRule="auto"/>
        <w:ind w:left="353" w:hanging="8"/>
      </w:pPr>
      <w:r>
        <w:rPr>
          <w:b/>
          <w:color w:val="000080"/>
          <w:u w:val="single" w:color="000080"/>
        </w:rPr>
        <w:t xml:space="preserve"> que en el 2018.  ..........................................................................................................                                                                                                     </w:t>
      </w:r>
      <w:r>
        <w:rPr>
          <w:b/>
          <w:color w:val="000080"/>
          <w:u w:val="single" w:color="000080"/>
        </w:rPr>
        <w:t xml:space="preserve">                      36</w:t>
      </w:r>
    </w:p>
    <w:p w:rsidR="00E23B86" w:rsidRDefault="00BA7C13">
      <w:pPr>
        <w:numPr>
          <w:ilvl w:val="0"/>
          <w:numId w:val="140"/>
        </w:numPr>
        <w:spacing w:after="0" w:line="249" w:lineRule="auto"/>
        <w:ind w:right="1" w:hanging="841"/>
        <w:jc w:val="both"/>
      </w:pPr>
      <w:r>
        <w:rPr>
          <w:b/>
          <w:color w:val="000080"/>
          <w:u w:val="single" w:color="000080"/>
        </w:rPr>
        <w:t xml:space="preserve">Subprograma 231.00 de Servicios Sociales, que sube un 0,8 %, respecto a los gastos del ejercicio anterior, destacando la subida de los gastos en bienes corrientes y de servicios (14 %); los costes de personal (2,8 %), que compensa </w:t>
      </w:r>
      <w:r>
        <w:rPr>
          <w:b/>
          <w:color w:val="000080"/>
          <w:u w:val="single" w:color="000080"/>
        </w:rPr>
        <w:t xml:space="preserve">la caída de los costes </w:t>
      </w:r>
    </w:p>
    <w:p w:rsidR="00E23B86" w:rsidRDefault="00BA7C13">
      <w:pPr>
        <w:spacing w:after="9" w:line="249" w:lineRule="auto"/>
        <w:ind w:left="353" w:hanging="8"/>
      </w:pPr>
      <w:r>
        <w:rPr>
          <w:b/>
          <w:color w:val="000080"/>
          <w:u w:val="single" w:color="000080"/>
        </w:rPr>
        <w:t xml:space="preserve">de transferencias, que cae un 7 %. Representan un 8,7 % frente al 8,2 % respecto del </w:t>
      </w:r>
    </w:p>
    <w:p w:rsidR="00E23B86" w:rsidRDefault="00BA7C13">
      <w:pPr>
        <w:spacing w:after="145" w:line="249" w:lineRule="auto"/>
        <w:ind w:left="353" w:hanging="8"/>
      </w:pPr>
      <w:r>
        <w:rPr>
          <w:b/>
          <w:color w:val="000080"/>
          <w:u w:val="single" w:color="000080"/>
        </w:rPr>
        <w:t xml:space="preserve"> gasto total del año anterior.  ......................................................................................                            </w:t>
      </w:r>
      <w:r>
        <w:rPr>
          <w:b/>
          <w:color w:val="000080"/>
          <w:u w:val="single" w:color="000080"/>
        </w:rPr>
        <w:t xml:space="preserve">                                                                        36</w:t>
      </w:r>
    </w:p>
    <w:p w:rsidR="00E23B86" w:rsidRDefault="00BA7C13">
      <w:pPr>
        <w:numPr>
          <w:ilvl w:val="0"/>
          <w:numId w:val="140"/>
        </w:numPr>
        <w:spacing w:after="0" w:line="249" w:lineRule="auto"/>
        <w:ind w:right="1" w:hanging="841"/>
        <w:jc w:val="both"/>
      </w:pPr>
      <w:r>
        <w:rPr>
          <w:b/>
          <w:color w:val="000080"/>
          <w:u w:val="single" w:color="000080"/>
        </w:rPr>
        <w:t xml:space="preserve">Subprograma 231.01 de Mujer, Menor y Familia. Ejecuta un gasto de 78.746 Euros, frente a los casi 62.500 Euros del año anterior, principalmente en gastos corriente en </w:t>
      </w:r>
    </w:p>
    <w:p w:rsidR="00E23B86" w:rsidRDefault="00BA7C13">
      <w:pPr>
        <w:spacing w:after="143" w:line="249" w:lineRule="auto"/>
        <w:ind w:left="353" w:hanging="8"/>
      </w:pPr>
      <w:r>
        <w:rPr>
          <w:b/>
          <w:color w:val="000080"/>
          <w:u w:val="single" w:color="000080"/>
        </w:rPr>
        <w:t xml:space="preserve"> bienes y ser</w:t>
      </w:r>
      <w:r>
        <w:rPr>
          <w:b/>
          <w:color w:val="000080"/>
          <w:u w:val="single" w:color="000080"/>
        </w:rPr>
        <w:t>vicios. Crece un  26 %. Representa un 0,3 % del gasto total.  ....................                      36</w:t>
      </w:r>
    </w:p>
    <w:p w:rsidR="00E23B86" w:rsidRDefault="00BA7C13">
      <w:pPr>
        <w:numPr>
          <w:ilvl w:val="0"/>
          <w:numId w:val="140"/>
        </w:numPr>
        <w:spacing w:after="9" w:line="249" w:lineRule="auto"/>
        <w:ind w:right="1" w:hanging="841"/>
        <w:jc w:val="both"/>
      </w:pPr>
      <w:r>
        <w:rPr>
          <w:b/>
          <w:color w:val="000080"/>
          <w:u w:val="single" w:color="000080"/>
        </w:rPr>
        <w:t xml:space="preserve">Subprograma 231.02 de Mayores, crece muy levemente. Representan un gasto de </w:t>
      </w:r>
    </w:p>
    <w:p w:rsidR="00E23B86" w:rsidRDefault="00BA7C13">
      <w:pPr>
        <w:spacing w:after="143" w:line="249" w:lineRule="auto"/>
        <w:ind w:left="353" w:hanging="8"/>
      </w:pPr>
      <w:r>
        <w:rPr>
          <w:b/>
          <w:color w:val="000080"/>
          <w:u w:val="single" w:color="000080"/>
        </w:rPr>
        <w:t xml:space="preserve"> 16.408 Euros.  ........................................................</w:t>
      </w:r>
      <w:r>
        <w:rPr>
          <w:b/>
          <w:color w:val="000080"/>
          <w:u w:val="single" w:color="000080"/>
        </w:rPr>
        <w:t>.....................................................                                                                                                                              36</w:t>
      </w:r>
    </w:p>
    <w:p w:rsidR="00E23B86" w:rsidRDefault="00BA7C13">
      <w:pPr>
        <w:numPr>
          <w:ilvl w:val="0"/>
          <w:numId w:val="140"/>
        </w:numPr>
        <w:spacing w:after="146" w:line="249" w:lineRule="auto"/>
        <w:ind w:right="1" w:hanging="841"/>
        <w:jc w:val="both"/>
      </w:pPr>
      <w:r>
        <w:rPr>
          <w:b/>
          <w:color w:val="000080"/>
          <w:u w:val="single" w:color="000080"/>
        </w:rPr>
        <w:t>Subprograma 241.00 de Fomento del Empleo, que recoge las transferencias co</w:t>
      </w:r>
      <w:r>
        <w:rPr>
          <w:b/>
          <w:color w:val="000080"/>
          <w:u w:val="single" w:color="000080"/>
        </w:rPr>
        <w:t>rrientes a la sociedad municipal de vivienda y servicios, pero sobre todo los gastos de personal y gastos corrientes vinculados a proyectos subvencionados, que aumenta un 27,5 %, representando los gastos de personal, el 64,7 %, del gasto total, incrementán</w:t>
      </w:r>
      <w:r>
        <w:rPr>
          <w:b/>
          <w:color w:val="000080"/>
          <w:u w:val="single" w:color="000080"/>
        </w:rPr>
        <w:t xml:space="preserve">dose este capítulo en un 5,8 %, en relación al ejercicio precedente. </w:t>
      </w:r>
    </w:p>
    <w:p w:rsidR="00E23B86" w:rsidRDefault="00BA7C13">
      <w:pPr>
        <w:spacing w:after="146" w:line="249" w:lineRule="auto"/>
        <w:ind w:left="358" w:hanging="358"/>
      </w:pPr>
      <w:r>
        <w:rPr>
          <w:b/>
          <w:color w:val="000080"/>
          <w:u w:val="single" w:color="000080"/>
        </w:rPr>
        <w:t xml:space="preserve"> Representan un 10,2 % respecto del gasto total, frente al 7,9 % del ejercicio 2018.   . . 36</w:t>
      </w:r>
    </w:p>
    <w:p w:rsidR="00E23B86" w:rsidRDefault="00BA7C13">
      <w:pPr>
        <w:numPr>
          <w:ilvl w:val="0"/>
          <w:numId w:val="140"/>
        </w:numPr>
        <w:spacing w:after="0" w:line="249" w:lineRule="auto"/>
        <w:ind w:right="1" w:hanging="841"/>
        <w:jc w:val="both"/>
      </w:pPr>
      <w:r>
        <w:rPr>
          <w:noProof/>
        </w:rPr>
        <mc:AlternateContent>
          <mc:Choice Requires="wpg">
            <w:drawing>
              <wp:anchor distT="0" distB="0" distL="114300" distR="114300" simplePos="0" relativeHeight="2519603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0264" name="Group 57026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6951" name="Rectangle 4695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6952" name="Rectangle 4695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293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0264" style="width:12.7031pt;height:280.35pt;position:absolute;mso-position-horizontal-relative:page;mso-position-horizontal:absolute;margin-left:681.958pt;mso-position-vertical-relative:page;margin-top:531.65pt;" coordsize="1613,35604">
                <v:rect id="Rectangle 4695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695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293 de 391 </w:t>
                        </w:r>
                      </w:p>
                    </w:txbxContent>
                  </v:textbox>
                </v:rect>
                <w10:wrap type="square"/>
              </v:group>
            </w:pict>
          </mc:Fallback>
        </mc:AlternateContent>
      </w:r>
      <w:r>
        <w:rPr>
          <w:b/>
          <w:color w:val="000080"/>
          <w:u w:val="single" w:color="000080"/>
        </w:rPr>
        <w:t>Área de Gasto 3: Producción de Bienes Públicos de carácter Pr</w:t>
      </w:r>
      <w:r>
        <w:rPr>
          <w:b/>
          <w:color w:val="000080"/>
          <w:u w:val="single" w:color="000080"/>
        </w:rPr>
        <w:t xml:space="preserve">eferente, que comprende los gastos relacionados con la sanidad, educación, cultura, ocio y tiempo libre, deporte y todos aquellos que mejoren la calidad de vida, El gasto en esta área importa 2.586.831,84 Euros frente al gasto de  2.827.981,30 Euros en el </w:t>
      </w:r>
      <w:r>
        <w:rPr>
          <w:b/>
          <w:color w:val="000080"/>
          <w:u w:val="single" w:color="000080"/>
        </w:rPr>
        <w:t xml:space="preserve">2018, esto es, hay una caída del 8,5 % y representa el 10,7 % del gasto total, frente al 11,5 % del gasto total en el ejercicio anterior, destacando el gasto en bienes corrientes en un </w:t>
      </w:r>
    </w:p>
    <w:p w:rsidR="00E23B86" w:rsidRDefault="00BA7C13">
      <w:pPr>
        <w:spacing w:after="0" w:line="249" w:lineRule="auto"/>
        <w:ind w:left="360" w:hanging="360"/>
      </w:pPr>
      <w:r>
        <w:rPr>
          <w:b/>
          <w:color w:val="000080"/>
          <w:u w:val="single" w:color="000080"/>
        </w:rPr>
        <w:t>45,5 % y los gastos de personal, un 25 % y las subvenciones, el 24,6 %</w:t>
      </w:r>
      <w:r>
        <w:rPr>
          <w:b/>
          <w:color w:val="000080"/>
          <w:u w:val="single" w:color="000080"/>
        </w:rPr>
        <w:t>. Destacamos:</w:t>
      </w:r>
    </w:p>
    <w:p w:rsidR="00E23B86" w:rsidRDefault="00BA7C13">
      <w:pPr>
        <w:spacing w:after="143" w:line="249" w:lineRule="auto"/>
        <w:ind w:left="353" w:hanging="8"/>
      </w:pPr>
      <w:r>
        <w:rPr>
          <w:b/>
          <w:color w:val="000080"/>
          <w:u w:val="single" w:color="000080"/>
        </w:rPr>
        <w:t xml:space="preserve"> ..................................................................................................................................                                                                                                               </w:t>
      </w:r>
      <w:r>
        <w:rPr>
          <w:b/>
          <w:color w:val="000080"/>
          <w:u w:val="single" w:color="000080"/>
        </w:rPr>
        <w:t xml:space="preserve">                                        37</w:t>
      </w:r>
    </w:p>
    <w:p w:rsidR="00E23B86" w:rsidRDefault="00BA7C13">
      <w:pPr>
        <w:numPr>
          <w:ilvl w:val="0"/>
          <w:numId w:val="140"/>
        </w:numPr>
        <w:spacing w:after="154" w:line="257" w:lineRule="auto"/>
        <w:ind w:right="1" w:hanging="841"/>
        <w:jc w:val="both"/>
      </w:pPr>
      <w:r>
        <w:rPr>
          <w:color w:val="000080"/>
          <w:u w:val="single" w:color="000080"/>
        </w:rPr>
        <w:t>1.- RESULTADO PRESUPUESTARIO  ..................................................................................                                                                                            66</w:t>
      </w:r>
    </w:p>
    <w:p w:rsidR="00E23B86" w:rsidRDefault="00BA7C13">
      <w:pPr>
        <w:numPr>
          <w:ilvl w:val="0"/>
          <w:numId w:val="140"/>
        </w:numPr>
        <w:spacing w:after="152" w:line="257" w:lineRule="auto"/>
        <w:ind w:right="1" w:hanging="841"/>
        <w:jc w:val="both"/>
      </w:pPr>
      <w:r>
        <w:rPr>
          <w:color w:val="000080"/>
          <w:u w:val="single" w:color="000080"/>
        </w:rPr>
        <w:t>REMANE</w:t>
      </w:r>
      <w:r>
        <w:rPr>
          <w:color w:val="000080"/>
          <w:u w:val="single" w:color="000080"/>
        </w:rPr>
        <w:t>NTE DE TESORERIA                             PRESUPUESTO  2019 ( Euros )  ..................                   67</w:t>
      </w:r>
    </w:p>
    <w:p w:rsidR="00E23B86" w:rsidRDefault="00BA7C13">
      <w:pPr>
        <w:numPr>
          <w:ilvl w:val="0"/>
          <w:numId w:val="140"/>
        </w:numPr>
        <w:spacing w:after="154" w:line="257" w:lineRule="auto"/>
        <w:ind w:right="1" w:hanging="841"/>
        <w:jc w:val="both"/>
      </w:pPr>
      <w:r>
        <w:rPr>
          <w:color w:val="000080"/>
          <w:u w:val="single" w:color="000080"/>
        </w:rPr>
        <w:t xml:space="preserve">I....................................................................................................................................         </w:t>
      </w:r>
      <w:r>
        <w:rPr>
          <w:color w:val="000080"/>
          <w:u w:val="single" w:color="000080"/>
        </w:rPr>
        <w:t xml:space="preserve">                                                                                                                                           102</w:t>
      </w:r>
    </w:p>
    <w:p w:rsidR="00E23B86" w:rsidRDefault="00BA7C13">
      <w:pPr>
        <w:numPr>
          <w:ilvl w:val="0"/>
          <w:numId w:val="140"/>
        </w:numPr>
        <w:spacing w:after="152" w:line="257" w:lineRule="auto"/>
        <w:ind w:right="1" w:hanging="841"/>
        <w:jc w:val="both"/>
      </w:pPr>
      <w:r>
        <w:rPr>
          <w:color w:val="000080"/>
          <w:u w:val="single" w:color="000080"/>
        </w:rPr>
        <w:t>ACTO DE CALIFICACIÓN  ...........................................................................................</w:t>
      </w:r>
      <w:r>
        <w:rPr>
          <w:color w:val="000080"/>
          <w:u w:val="single" w:color="000080"/>
        </w:rPr>
        <w:t>....                                                                                                           102</w:t>
      </w:r>
    </w:p>
    <w:p w:rsidR="00E23B86" w:rsidRDefault="00BA7C13">
      <w:pPr>
        <w:numPr>
          <w:ilvl w:val="0"/>
          <w:numId w:val="140"/>
        </w:numPr>
        <w:spacing w:after="154" w:line="257" w:lineRule="auto"/>
        <w:ind w:right="1" w:hanging="841"/>
        <w:jc w:val="both"/>
      </w:pPr>
      <w:r>
        <w:rPr>
          <w:color w:val="000080"/>
          <w:u w:val="single" w:color="000080"/>
        </w:rPr>
        <w:t xml:space="preserve">I ....................................................................................................................................       </w:t>
      </w:r>
      <w:r>
        <w:rPr>
          <w:color w:val="000080"/>
          <w:u w:val="single" w:color="000080"/>
        </w:rPr>
        <w:t xml:space="preserve">                                                                                                                                            115</w:t>
      </w:r>
    </w:p>
    <w:p w:rsidR="00E23B86" w:rsidRDefault="00BA7C13">
      <w:pPr>
        <w:numPr>
          <w:ilvl w:val="0"/>
          <w:numId w:val="140"/>
        </w:numPr>
        <w:spacing w:after="152" w:line="257" w:lineRule="auto"/>
        <w:ind w:right="1" w:hanging="841"/>
        <w:jc w:val="both"/>
      </w:pPr>
      <w:r>
        <w:rPr>
          <w:color w:val="000080"/>
          <w:u w:val="single" w:color="000080"/>
        </w:rPr>
        <w:t>ACTO DE CALIFICACIÓN ...........................................................................................</w:t>
      </w:r>
      <w:r>
        <w:rPr>
          <w:color w:val="000080"/>
          <w:u w:val="single" w:color="000080"/>
        </w:rPr>
        <w:t>....                                                                                                            115</w:t>
      </w:r>
    </w:p>
    <w:p w:rsidR="00E23B86" w:rsidRDefault="00BA7C13">
      <w:pPr>
        <w:numPr>
          <w:ilvl w:val="0"/>
          <w:numId w:val="140"/>
        </w:numPr>
        <w:spacing w:after="145" w:line="249" w:lineRule="auto"/>
        <w:ind w:right="1" w:hanging="841"/>
        <w:jc w:val="both"/>
      </w:pPr>
      <w:r>
        <w:rPr>
          <w:b/>
          <w:color w:val="000080"/>
          <w:u w:val="single" w:color="000080"/>
        </w:rPr>
        <w:t>INTRODUCCIÓN   ....................................................................................................</w:t>
      </w:r>
      <w:r>
        <w:rPr>
          <w:b/>
          <w:color w:val="000080"/>
          <w:u w:val="single" w:color="000080"/>
        </w:rPr>
        <w:t xml:space="preserve">                                                                                                                     158</w:t>
      </w:r>
    </w:p>
    <w:p w:rsidR="00E23B86" w:rsidRDefault="00BA7C13">
      <w:pPr>
        <w:numPr>
          <w:ilvl w:val="0"/>
          <w:numId w:val="140"/>
        </w:numPr>
        <w:spacing w:after="9" w:line="249" w:lineRule="auto"/>
        <w:ind w:right="1" w:hanging="841"/>
        <w:jc w:val="both"/>
      </w:pPr>
      <w:r>
        <w:rPr>
          <w:b/>
          <w:color w:val="000080"/>
          <w:u w:val="single" w:color="000080"/>
        </w:rPr>
        <w:t xml:space="preserve">1. COMPETENCIAS DEL AYUNTAMIENTO EN MATERIA DE PREVENCIÓN DE </w:t>
      </w:r>
    </w:p>
    <w:p w:rsidR="00E23B86" w:rsidRDefault="00BA7C13">
      <w:pPr>
        <w:spacing w:after="145" w:line="249" w:lineRule="auto"/>
        <w:ind w:left="353" w:hanging="8"/>
      </w:pPr>
      <w:r>
        <w:rPr>
          <w:b/>
          <w:color w:val="000080"/>
          <w:u w:val="single" w:color="000080"/>
        </w:rPr>
        <w:t xml:space="preserve"> DROGODEPENDENCIAS. .....................................................</w:t>
      </w:r>
      <w:r>
        <w:rPr>
          <w:b/>
          <w:color w:val="000080"/>
          <w:u w:val="single" w:color="000080"/>
        </w:rPr>
        <w:t>.....................................                                                                                                         158</w:t>
      </w:r>
    </w:p>
    <w:p w:rsidR="00E23B86" w:rsidRDefault="00BA7C13">
      <w:pPr>
        <w:numPr>
          <w:ilvl w:val="0"/>
          <w:numId w:val="140"/>
        </w:numPr>
        <w:spacing w:after="9" w:line="249" w:lineRule="auto"/>
        <w:ind w:right="1" w:hanging="841"/>
        <w:jc w:val="both"/>
      </w:pPr>
      <w:r>
        <w:rPr>
          <w:b/>
          <w:color w:val="000080"/>
          <w:u w:val="single" w:color="000080"/>
        </w:rPr>
        <w:t xml:space="preserve">2. ANÁLISIS DE LA PROBLEMÁTICA Y APROXIMACIÓN EPIDEMIOLÓGICA Y </w:t>
      </w:r>
    </w:p>
    <w:p w:rsidR="00E23B86" w:rsidRDefault="00BA7C13">
      <w:pPr>
        <w:spacing w:after="145" w:line="249" w:lineRule="auto"/>
        <w:ind w:left="353" w:hanging="8"/>
      </w:pPr>
      <w:r>
        <w:rPr>
          <w:b/>
          <w:color w:val="000080"/>
          <w:u w:val="single" w:color="000080"/>
        </w:rPr>
        <w:t xml:space="preserve"> CONTEXTUAL DE LAS ADICCIONES EN EL AMBITO MUN</w:t>
      </w:r>
      <w:r>
        <w:rPr>
          <w:b/>
          <w:color w:val="000080"/>
          <w:u w:val="single" w:color="000080"/>
        </w:rPr>
        <w:t>ICIPAL   ...............................                                   159</w:t>
      </w:r>
    </w:p>
    <w:p w:rsidR="00E23B86" w:rsidRDefault="00BA7C13">
      <w:pPr>
        <w:numPr>
          <w:ilvl w:val="0"/>
          <w:numId w:val="140"/>
        </w:numPr>
        <w:spacing w:after="2" w:line="257" w:lineRule="auto"/>
        <w:ind w:right="1" w:hanging="841"/>
        <w:jc w:val="both"/>
      </w:pPr>
      <w:r>
        <w:rPr>
          <w:color w:val="000080"/>
          <w:u w:val="single" w:color="000080"/>
        </w:rPr>
        <w:t>2.1. Resultados de la evaluación del III Plan Municipal sobre Drogodependencias (2013-</w:t>
      </w:r>
    </w:p>
    <w:p w:rsidR="00E23B86" w:rsidRDefault="00BA7C13">
      <w:pPr>
        <w:spacing w:after="116" w:line="257" w:lineRule="auto"/>
        <w:ind w:left="368" w:hanging="10"/>
      </w:pPr>
      <w:r>
        <w:rPr>
          <w:color w:val="000080"/>
          <w:u w:val="single" w:color="000080"/>
        </w:rPr>
        <w:t xml:space="preserve"> 2017)  ..................................................................................</w:t>
      </w:r>
      <w:r>
        <w:rPr>
          <w:color w:val="000080"/>
          <w:u w:val="single" w:color="000080"/>
        </w:rPr>
        <w:t>........................................                                                                                                                                         159</w:t>
      </w:r>
    </w:p>
    <w:p w:rsidR="00E23B86" w:rsidRDefault="00BA7C13">
      <w:pPr>
        <w:spacing w:after="2" w:line="257" w:lineRule="auto"/>
        <w:ind w:left="370" w:hanging="10"/>
      </w:pPr>
      <w:r>
        <w:rPr>
          <w:color w:val="000080"/>
          <w:u w:val="single" w:color="000080"/>
        </w:rPr>
        <w:t xml:space="preserve">2.2. La prevalencia del consumo en Canarias e indicaciones para la planificación de las </w:t>
      </w:r>
    </w:p>
    <w:p w:rsidR="00E23B86" w:rsidRDefault="00BA7C13">
      <w:pPr>
        <w:spacing w:after="2" w:line="393" w:lineRule="auto"/>
        <w:ind w:left="-15" w:firstLine="358"/>
      </w:pPr>
      <w:r>
        <w:rPr>
          <w:color w:val="000080"/>
          <w:u w:val="single" w:color="000080"/>
        </w:rPr>
        <w:t xml:space="preserve"> acciones de prevención e inserción.   ..........................................................................                                                      </w:t>
      </w:r>
      <w:r>
        <w:rPr>
          <w:color w:val="000080"/>
          <w:u w:val="single" w:color="000080"/>
        </w:rPr>
        <w:t xml:space="preserve">                             161</w:t>
      </w:r>
    </w:p>
    <w:p w:rsidR="00E23B86" w:rsidRDefault="00BA7C13">
      <w:pPr>
        <w:numPr>
          <w:ilvl w:val="0"/>
          <w:numId w:val="140"/>
        </w:numPr>
        <w:spacing w:after="2" w:line="393" w:lineRule="auto"/>
        <w:ind w:right="1" w:hanging="841"/>
        <w:jc w:val="both"/>
      </w:pPr>
      <w:r>
        <w:rPr>
          <w:color w:val="000080"/>
          <w:u w:val="single" w:color="000080"/>
        </w:rPr>
        <w:t>2.3. Descripción del contexto municipal    ...................................................................                                                                           162</w:t>
      </w:r>
    </w:p>
    <w:p w:rsidR="00E23B86" w:rsidRDefault="00BA7C13">
      <w:pPr>
        <w:numPr>
          <w:ilvl w:val="0"/>
          <w:numId w:val="140"/>
        </w:numPr>
        <w:spacing w:after="152" w:line="257" w:lineRule="auto"/>
        <w:ind w:right="1" w:hanging="841"/>
        <w:jc w:val="both"/>
      </w:pPr>
      <w:r>
        <w:rPr>
          <w:color w:val="000080"/>
          <w:u w:val="single" w:color="000080"/>
        </w:rPr>
        <w:t>2.3.1. Contexto demográfico y laboral  .........................................................................                                                                                  163</w:t>
      </w:r>
    </w:p>
    <w:p w:rsidR="00E23B86" w:rsidRDefault="00BA7C13">
      <w:pPr>
        <w:numPr>
          <w:ilvl w:val="0"/>
          <w:numId w:val="140"/>
        </w:numPr>
        <w:spacing w:after="154" w:line="257" w:lineRule="auto"/>
        <w:ind w:right="1" w:hanging="841"/>
        <w:jc w:val="both"/>
      </w:pPr>
      <w:r>
        <w:rPr>
          <w:color w:val="000080"/>
          <w:u w:val="single" w:color="000080"/>
        </w:rPr>
        <w:t>2.4. Recomendaciones para el diseño del IV Plan    .......</w:t>
      </w:r>
      <w:r>
        <w:rPr>
          <w:color w:val="000080"/>
          <w:u w:val="single" w:color="000080"/>
        </w:rPr>
        <w:t>..............................................                                                           167</w:t>
      </w:r>
    </w:p>
    <w:p w:rsidR="00E23B86" w:rsidRDefault="00BA7C13">
      <w:pPr>
        <w:numPr>
          <w:ilvl w:val="0"/>
          <w:numId w:val="140"/>
        </w:numPr>
        <w:spacing w:after="143" w:line="249" w:lineRule="auto"/>
        <w:ind w:right="1" w:hanging="841"/>
        <w:jc w:val="both"/>
      </w:pPr>
      <w:r>
        <w:rPr>
          <w:b/>
          <w:color w:val="000080"/>
          <w:u w:val="single" w:color="000080"/>
        </w:rPr>
        <w:t xml:space="preserve">3.LOS PRINCIPIOS DEL IV PLAN  ................................................................................                                     </w:t>
      </w:r>
      <w:r>
        <w:rPr>
          <w:b/>
          <w:color w:val="000080"/>
          <w:u w:val="single" w:color="000080"/>
        </w:rPr>
        <w:t xml:space="preserve">                                                        168</w:t>
      </w:r>
    </w:p>
    <w:p w:rsidR="00E23B86" w:rsidRDefault="00BA7C13">
      <w:pPr>
        <w:numPr>
          <w:ilvl w:val="0"/>
          <w:numId w:val="140"/>
        </w:numPr>
        <w:spacing w:after="145" w:line="249" w:lineRule="auto"/>
        <w:ind w:right="1" w:hanging="841"/>
        <w:jc w:val="both"/>
      </w:pPr>
      <w:r>
        <w:rPr>
          <w:b/>
          <w:color w:val="000080"/>
          <w:u w:val="single" w:color="000080"/>
        </w:rPr>
        <w:t xml:space="preserve">4.CAMPO DE ACTUACIÓN   ......................................................................................                                                                                       </w:t>
      </w:r>
      <w:r>
        <w:rPr>
          <w:b/>
          <w:color w:val="000080"/>
          <w:u w:val="single" w:color="000080"/>
        </w:rPr>
        <w:t xml:space="preserve">             169</w:t>
      </w:r>
    </w:p>
    <w:p w:rsidR="00E23B86" w:rsidRDefault="00BA7C13">
      <w:pPr>
        <w:numPr>
          <w:ilvl w:val="0"/>
          <w:numId w:val="140"/>
        </w:numPr>
        <w:spacing w:after="145" w:line="249" w:lineRule="auto"/>
        <w:ind w:right="1" w:hanging="841"/>
        <w:jc w:val="both"/>
      </w:pPr>
      <w:r>
        <w:rPr>
          <w:b/>
          <w:color w:val="000080"/>
          <w:u w:val="single" w:color="000080"/>
        </w:rPr>
        <w:t xml:space="preserve">5.META Y OBJETIVOS GENERALES DEL IV PLAN SOBRE ADICCIONES DE CANDELARIA  </w:t>
      </w:r>
    </w:p>
    <w:p w:rsidR="00E23B86" w:rsidRDefault="00BA7C13">
      <w:pPr>
        <w:spacing w:after="145" w:line="249" w:lineRule="auto"/>
        <w:ind w:left="353" w:hanging="8"/>
      </w:pPr>
      <w:r>
        <w:rPr>
          <w:b/>
          <w:color w:val="000080"/>
          <w:u w:val="single" w:color="000080"/>
        </w:rPr>
        <w:t xml:space="preserve"> ................................................................................................................................                                    </w:t>
      </w:r>
      <w:r>
        <w:rPr>
          <w:b/>
          <w:color w:val="000080"/>
          <w:u w:val="single" w:color="000080"/>
        </w:rPr>
        <w:t xml:space="preserve">                                                                                                                170</w:t>
      </w:r>
    </w:p>
    <w:p w:rsidR="00E23B86" w:rsidRDefault="00BA7C13">
      <w:pPr>
        <w:numPr>
          <w:ilvl w:val="0"/>
          <w:numId w:val="140"/>
        </w:numPr>
        <w:spacing w:after="143" w:line="249" w:lineRule="auto"/>
        <w:ind w:right="1" w:hanging="841"/>
        <w:jc w:val="both"/>
      </w:pPr>
      <w:r>
        <w:rPr>
          <w:b/>
          <w:color w:val="000080"/>
          <w:u w:val="single" w:color="000080"/>
        </w:rPr>
        <w:t xml:space="preserve">6.ÁREAS DE ACTUACIÓN  .........................................................................................                             </w:t>
      </w:r>
      <w:r>
        <w:rPr>
          <w:b/>
          <w:color w:val="000080"/>
          <w:u w:val="single" w:color="000080"/>
        </w:rPr>
        <w:t xml:space="preserve">                                                                          170</w:t>
      </w:r>
    </w:p>
    <w:p w:rsidR="00E23B86" w:rsidRDefault="00BA7C13">
      <w:pPr>
        <w:numPr>
          <w:ilvl w:val="0"/>
          <w:numId w:val="140"/>
        </w:numPr>
        <w:spacing w:after="154" w:line="257" w:lineRule="auto"/>
        <w:ind w:right="1" w:hanging="841"/>
        <w:jc w:val="both"/>
      </w:pPr>
      <w:r>
        <w:rPr>
          <w:color w:val="000080"/>
          <w:u w:val="single" w:color="000080"/>
        </w:rPr>
        <w:t>6.1. ÁREA DE PREVENCIÓN Y SENSIBILIZACIÓN  ..........................................................                                                                 170</w:t>
      </w:r>
    </w:p>
    <w:p w:rsidR="00E23B86" w:rsidRDefault="00BA7C13">
      <w:pPr>
        <w:numPr>
          <w:ilvl w:val="0"/>
          <w:numId w:val="140"/>
        </w:numPr>
        <w:spacing w:after="152" w:line="257" w:lineRule="auto"/>
        <w:ind w:right="1" w:hanging="841"/>
        <w:jc w:val="both"/>
      </w:pPr>
      <w:r>
        <w:rPr>
          <w:color w:val="000080"/>
          <w:u w:val="single" w:color="000080"/>
        </w:rPr>
        <w:t>6.1.1. Á</w:t>
      </w:r>
      <w:r>
        <w:rPr>
          <w:color w:val="000080"/>
          <w:u w:val="single" w:color="000080"/>
        </w:rPr>
        <w:t>mbito Educativo ..............................................................................................                                                                                                          171</w:t>
      </w:r>
    </w:p>
    <w:p w:rsidR="00E23B86" w:rsidRDefault="00BA7C13">
      <w:pPr>
        <w:numPr>
          <w:ilvl w:val="0"/>
          <w:numId w:val="140"/>
        </w:numPr>
        <w:spacing w:after="154" w:line="257" w:lineRule="auto"/>
        <w:ind w:right="1" w:hanging="841"/>
        <w:jc w:val="both"/>
      </w:pPr>
      <w:r>
        <w:rPr>
          <w:color w:val="000080"/>
          <w:u w:val="single" w:color="000080"/>
        </w:rPr>
        <w:t>6.1.2. Ámbito Familiar  ............</w:t>
      </w:r>
      <w:r>
        <w:rPr>
          <w:color w:val="000080"/>
          <w:u w:val="single" w:color="000080"/>
        </w:rPr>
        <w:t>.....................................................................................                                                                                                            172</w:t>
      </w:r>
    </w:p>
    <w:p w:rsidR="00E23B86" w:rsidRDefault="00BA7C13">
      <w:pPr>
        <w:numPr>
          <w:ilvl w:val="0"/>
          <w:numId w:val="140"/>
        </w:numPr>
        <w:spacing w:after="152" w:line="257" w:lineRule="auto"/>
        <w:ind w:right="1" w:hanging="841"/>
        <w:jc w:val="both"/>
      </w:pPr>
      <w:r>
        <w:rPr>
          <w:color w:val="000080"/>
          <w:u w:val="single" w:color="000080"/>
        </w:rPr>
        <w:t>6.1.3. Ámbito Comunitario  ................................</w:t>
      </w:r>
      <w:r>
        <w:rPr>
          <w:color w:val="000080"/>
          <w:u w:val="single" w:color="000080"/>
        </w:rPr>
        <w:t>.........................................................                                                                                                    173</w:t>
      </w:r>
    </w:p>
    <w:p w:rsidR="00E23B86" w:rsidRDefault="00BA7C13">
      <w:pPr>
        <w:numPr>
          <w:ilvl w:val="0"/>
          <w:numId w:val="140"/>
        </w:numPr>
        <w:spacing w:after="154" w:line="257" w:lineRule="auto"/>
        <w:ind w:right="1" w:hanging="841"/>
        <w:jc w:val="both"/>
      </w:pPr>
      <w:r>
        <w:rPr>
          <w:color w:val="000080"/>
          <w:u w:val="single" w:color="000080"/>
        </w:rPr>
        <w:t>6.2. ÁREA DE INSERCIÓN SOCIAL .................................................................</w:t>
      </w:r>
      <w:r>
        <w:rPr>
          <w:color w:val="000080"/>
          <w:u w:val="single" w:color="000080"/>
        </w:rPr>
        <w:t>................                                                                                            175</w:t>
      </w:r>
    </w:p>
    <w:p w:rsidR="00E23B86" w:rsidRDefault="00BA7C13">
      <w:pPr>
        <w:numPr>
          <w:ilvl w:val="0"/>
          <w:numId w:val="140"/>
        </w:numPr>
        <w:spacing w:after="152" w:line="257" w:lineRule="auto"/>
        <w:ind w:right="1" w:hanging="841"/>
        <w:jc w:val="both"/>
      </w:pPr>
      <w:r>
        <w:rPr>
          <w:color w:val="000080"/>
          <w:u w:val="single" w:color="000080"/>
        </w:rPr>
        <w:t xml:space="preserve">6.3.ÁREA DE SOPORTE Y APOYO  .................................................................................                                  </w:t>
      </w:r>
      <w:r>
        <w:rPr>
          <w:color w:val="000080"/>
          <w:u w:val="single" w:color="000080"/>
        </w:rPr>
        <w:t xml:space="preserve">                                                         176</w:t>
      </w:r>
    </w:p>
    <w:p w:rsidR="00E23B86" w:rsidRDefault="00BA7C13">
      <w:pPr>
        <w:numPr>
          <w:ilvl w:val="0"/>
          <w:numId w:val="140"/>
        </w:numPr>
        <w:spacing w:after="145" w:line="249" w:lineRule="auto"/>
        <w:ind w:right="1" w:hanging="841"/>
        <w:jc w:val="both"/>
      </w:pPr>
      <w:r>
        <w:rPr>
          <w:noProof/>
        </w:rPr>
        <mc:AlternateContent>
          <mc:Choice Requires="wpg">
            <w:drawing>
              <wp:anchor distT="0" distB="0" distL="114300" distR="114300" simplePos="0" relativeHeight="2519613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1570" name="Group 57157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7353" name="Rectangle 4735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7354" name="Rectangle 4735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294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1570" style="width:12.7031pt;height:280.35pt;position:absolute;mso-position-horizontal-relative:page;mso-position-horizontal:absolute;margin-left:681.958pt;mso-position-vertical-relative:page;margin-top:531.65pt;" coordsize="1613,35604">
                <v:rect id="Rectangle 4735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735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294 de 391 </w:t>
                        </w:r>
                      </w:p>
                    </w:txbxContent>
                  </v:textbox>
                </v:rect>
                <w10:wrap type="square"/>
              </v:group>
            </w:pict>
          </mc:Fallback>
        </mc:AlternateContent>
      </w:r>
      <w:r>
        <w:rPr>
          <w:b/>
          <w:color w:val="000080"/>
          <w:u w:val="single" w:color="000080"/>
        </w:rPr>
        <w:t>7.COORDINACIÓN DE LAS ACTUACIONES DEL IV PLAN  .............................................                                                   177</w:t>
      </w:r>
    </w:p>
    <w:p w:rsidR="00E23B86" w:rsidRDefault="00BA7C13">
      <w:pPr>
        <w:numPr>
          <w:ilvl w:val="0"/>
          <w:numId w:val="140"/>
        </w:numPr>
        <w:spacing w:after="152" w:line="257" w:lineRule="auto"/>
        <w:ind w:right="1" w:hanging="841"/>
        <w:jc w:val="both"/>
      </w:pPr>
      <w:r>
        <w:rPr>
          <w:color w:val="000080"/>
          <w:u w:val="single" w:color="000080"/>
        </w:rPr>
        <w:t xml:space="preserve">7.1. Comisión </w:t>
      </w:r>
      <w:r>
        <w:rPr>
          <w:color w:val="000080"/>
          <w:u w:val="single" w:color="000080"/>
        </w:rPr>
        <w:t>Municipal de Prevención de Adicciones de Candelaria  .........................                           177</w:t>
      </w:r>
    </w:p>
    <w:p w:rsidR="00E23B86" w:rsidRDefault="00BA7C13">
      <w:pPr>
        <w:numPr>
          <w:ilvl w:val="0"/>
          <w:numId w:val="140"/>
        </w:numPr>
        <w:spacing w:after="154" w:line="257" w:lineRule="auto"/>
        <w:ind w:right="1" w:hanging="841"/>
        <w:jc w:val="both"/>
      </w:pPr>
      <w:r>
        <w:rPr>
          <w:color w:val="000080"/>
          <w:u w:val="single" w:color="000080"/>
        </w:rPr>
        <w:t>7.2. Comisión Mixta de Prevención de Adicciones de Candelaria ................................                                    177</w:t>
      </w:r>
    </w:p>
    <w:p w:rsidR="00E23B86" w:rsidRDefault="00BA7C13">
      <w:pPr>
        <w:numPr>
          <w:ilvl w:val="0"/>
          <w:numId w:val="140"/>
        </w:numPr>
        <w:spacing w:after="143" w:line="249" w:lineRule="auto"/>
        <w:ind w:right="1" w:hanging="841"/>
        <w:jc w:val="both"/>
      </w:pPr>
      <w:r>
        <w:rPr>
          <w:b/>
          <w:color w:val="000080"/>
          <w:u w:val="single" w:color="000080"/>
        </w:rPr>
        <w:t>8.RECURSOS DE</w:t>
      </w:r>
      <w:r>
        <w:rPr>
          <w:b/>
          <w:color w:val="000080"/>
          <w:u w:val="single" w:color="000080"/>
        </w:rPr>
        <w:t>L IV PLAN  .......................................................................................                                                                                                     178</w:t>
      </w:r>
    </w:p>
    <w:p w:rsidR="00E23B86" w:rsidRDefault="00BA7C13">
      <w:pPr>
        <w:numPr>
          <w:ilvl w:val="0"/>
          <w:numId w:val="140"/>
        </w:numPr>
        <w:spacing w:after="145" w:line="249" w:lineRule="auto"/>
        <w:ind w:right="1" w:hanging="841"/>
        <w:jc w:val="both"/>
      </w:pPr>
      <w:r>
        <w:rPr>
          <w:b/>
          <w:color w:val="000080"/>
          <w:u w:val="single" w:color="000080"/>
        </w:rPr>
        <w:t>9.EVALUACIÓN Y SEGUIMIENTO DEL PLAN  ................</w:t>
      </w:r>
      <w:r>
        <w:rPr>
          <w:b/>
          <w:color w:val="000080"/>
          <w:u w:val="single" w:color="000080"/>
        </w:rPr>
        <w:t>..............................................                                                                       179</w:t>
      </w:r>
    </w:p>
    <w:p w:rsidR="00E23B86" w:rsidRDefault="00BA7C13">
      <w:pPr>
        <w:numPr>
          <w:ilvl w:val="0"/>
          <w:numId w:val="140"/>
        </w:numPr>
        <w:spacing w:after="152" w:line="257" w:lineRule="auto"/>
        <w:ind w:right="1" w:hanging="841"/>
        <w:jc w:val="both"/>
      </w:pPr>
      <w:r>
        <w:rPr>
          <w:color w:val="000080"/>
          <w:u w:val="single" w:color="000080"/>
        </w:rPr>
        <w:t xml:space="preserve">Ley 16/2019, de 2 de mayo, de Servicios Sociales de Canarias.  ...................................                                     </w:t>
      </w:r>
      <w:r>
        <w:rPr>
          <w:color w:val="000080"/>
          <w:u w:val="single" w:color="000080"/>
        </w:rPr>
        <w:t xml:space="preserve"> 184</w:t>
      </w:r>
    </w:p>
    <w:p w:rsidR="00E23B86" w:rsidRDefault="00BA7C13">
      <w:pPr>
        <w:numPr>
          <w:ilvl w:val="0"/>
          <w:numId w:val="140"/>
        </w:numPr>
        <w:spacing w:after="9" w:line="249" w:lineRule="auto"/>
        <w:ind w:right="1" w:hanging="841"/>
        <w:jc w:val="both"/>
      </w:pPr>
      <w:r>
        <w:rPr>
          <w:b/>
          <w:color w:val="000080"/>
          <w:u w:val="single" w:color="000080"/>
        </w:rPr>
        <w:t xml:space="preserve">1. COMPETENCIAS DEL AYUNTAMIENTO EN MATERIA DE PREVENCIÓN DE </w:t>
      </w:r>
    </w:p>
    <w:p w:rsidR="00E23B86" w:rsidRDefault="00BA7C13">
      <w:pPr>
        <w:spacing w:after="143" w:line="249" w:lineRule="auto"/>
        <w:ind w:left="353" w:hanging="8"/>
      </w:pPr>
      <w:r>
        <w:rPr>
          <w:b/>
          <w:color w:val="000080"/>
          <w:u w:val="single" w:color="000080"/>
        </w:rPr>
        <w:t xml:space="preserve"> DROGODEPENDENCIAS.  ..........................................................................................                                                                              </w:t>
      </w:r>
      <w:r>
        <w:rPr>
          <w:b/>
          <w:color w:val="000080"/>
          <w:u w:val="single" w:color="000080"/>
        </w:rPr>
        <w:t xml:space="preserve">                          199</w:t>
      </w:r>
    </w:p>
    <w:p w:rsidR="00E23B86" w:rsidRDefault="00BA7C13">
      <w:pPr>
        <w:numPr>
          <w:ilvl w:val="0"/>
          <w:numId w:val="140"/>
        </w:numPr>
        <w:spacing w:after="9" w:line="249" w:lineRule="auto"/>
        <w:ind w:right="1" w:hanging="841"/>
        <w:jc w:val="both"/>
      </w:pPr>
      <w:r>
        <w:rPr>
          <w:b/>
          <w:color w:val="000080"/>
          <w:u w:val="single" w:color="000080"/>
        </w:rPr>
        <w:t xml:space="preserve">2. ANÁLISIS DE LA PROBLEMÁTICA Y APROXIMACIÓN EPIDEMIOLÓGICA Y </w:t>
      </w:r>
    </w:p>
    <w:p w:rsidR="00E23B86" w:rsidRDefault="00BA7C13">
      <w:pPr>
        <w:spacing w:after="143" w:line="249" w:lineRule="auto"/>
        <w:ind w:left="353" w:hanging="8"/>
      </w:pPr>
      <w:r>
        <w:rPr>
          <w:b/>
          <w:color w:val="000080"/>
          <w:u w:val="single" w:color="000080"/>
        </w:rPr>
        <w:t xml:space="preserve"> CONTEXTUAL DE LAS ADICCIONES EN EL AMBITO MUNICIPAL  ...............................                                    200</w:t>
      </w:r>
    </w:p>
    <w:p w:rsidR="00E23B86" w:rsidRDefault="00BA7C13">
      <w:pPr>
        <w:numPr>
          <w:ilvl w:val="0"/>
          <w:numId w:val="140"/>
        </w:numPr>
        <w:spacing w:after="2" w:line="257" w:lineRule="auto"/>
        <w:ind w:right="1" w:hanging="841"/>
        <w:jc w:val="both"/>
      </w:pPr>
      <w:r>
        <w:rPr>
          <w:color w:val="000080"/>
          <w:u w:val="single" w:color="000080"/>
        </w:rPr>
        <w:t>2.1. Resultados de la evaluación del III Plan Municipal sobre Drogodependencias (2013-</w:t>
      </w:r>
    </w:p>
    <w:p w:rsidR="00E23B86" w:rsidRDefault="00BA7C13">
      <w:pPr>
        <w:spacing w:after="152" w:line="257" w:lineRule="auto"/>
        <w:ind w:left="368" w:hanging="10"/>
      </w:pPr>
      <w:r>
        <w:rPr>
          <w:color w:val="000080"/>
          <w:u w:val="single" w:color="000080"/>
        </w:rPr>
        <w:t xml:space="preserve"> 2017) ..........................................................................................................................                                        </w:t>
      </w:r>
      <w:r>
        <w:rPr>
          <w:color w:val="000080"/>
          <w:u w:val="single" w:color="000080"/>
        </w:rPr>
        <w:t xml:space="preserve">                                                                                                  200</w:t>
      </w:r>
    </w:p>
    <w:p w:rsidR="00E23B86" w:rsidRDefault="00BA7C13">
      <w:pPr>
        <w:numPr>
          <w:ilvl w:val="0"/>
          <w:numId w:val="140"/>
        </w:numPr>
        <w:spacing w:after="2" w:line="257" w:lineRule="auto"/>
        <w:ind w:right="1" w:hanging="841"/>
        <w:jc w:val="both"/>
      </w:pPr>
      <w:r>
        <w:rPr>
          <w:color w:val="000080"/>
          <w:u w:val="single" w:color="000080"/>
        </w:rPr>
        <w:t xml:space="preserve">2.2. La prevalencia del consumo en Canarias e indicaciones para la planificación de las </w:t>
      </w:r>
    </w:p>
    <w:p w:rsidR="00E23B86" w:rsidRDefault="00BA7C13">
      <w:pPr>
        <w:spacing w:after="2" w:line="393" w:lineRule="auto"/>
        <w:ind w:left="-15" w:firstLine="358"/>
      </w:pPr>
      <w:r>
        <w:rPr>
          <w:color w:val="000080"/>
          <w:u w:val="single" w:color="000080"/>
        </w:rPr>
        <w:t xml:space="preserve"> acciones de prevención e inserción.  ...........................</w:t>
      </w:r>
      <w:r>
        <w:rPr>
          <w:color w:val="000080"/>
          <w:u w:val="single" w:color="000080"/>
        </w:rPr>
        <w:t xml:space="preserve">...............................................                                                                                    201 </w:t>
      </w:r>
      <w:r>
        <w:rPr>
          <w:rFonts w:ascii="Segoe UI Symbol" w:eastAsia="Segoe UI Symbol" w:hAnsi="Segoe UI Symbol" w:cs="Segoe UI Symbol"/>
          <w:sz w:val="20"/>
        </w:rPr>
        <w:t></w:t>
      </w:r>
      <w:r>
        <w:rPr>
          <w:color w:val="000080"/>
          <w:u w:val="single" w:color="000080"/>
        </w:rPr>
        <w:t xml:space="preserve"> 2.3. Descripción del contexto municipal    ...................................................................         </w:t>
      </w:r>
      <w:r>
        <w:rPr>
          <w:color w:val="000080"/>
          <w:u w:val="single" w:color="000080"/>
        </w:rPr>
        <w:t xml:space="preserve">                                                                  202</w:t>
      </w:r>
    </w:p>
    <w:p w:rsidR="00E23B86" w:rsidRDefault="00BA7C13">
      <w:pPr>
        <w:numPr>
          <w:ilvl w:val="0"/>
          <w:numId w:val="140"/>
        </w:numPr>
        <w:spacing w:after="152" w:line="257" w:lineRule="auto"/>
        <w:ind w:right="1" w:hanging="841"/>
        <w:jc w:val="both"/>
      </w:pPr>
      <w:r>
        <w:rPr>
          <w:color w:val="000080"/>
          <w:u w:val="single" w:color="000080"/>
        </w:rPr>
        <w:t xml:space="preserve">2.3.1. Contexto demográfico y laboral  .........................................................................                                                                          </w:t>
      </w:r>
      <w:r>
        <w:rPr>
          <w:color w:val="000080"/>
          <w:u w:val="single" w:color="000080"/>
        </w:rPr>
        <w:t xml:space="preserve">        203</w:t>
      </w:r>
    </w:p>
    <w:p w:rsidR="00E23B86" w:rsidRDefault="00BA7C13">
      <w:pPr>
        <w:numPr>
          <w:ilvl w:val="0"/>
          <w:numId w:val="140"/>
        </w:numPr>
        <w:spacing w:after="154" w:line="257" w:lineRule="auto"/>
        <w:ind w:right="1" w:hanging="841"/>
        <w:jc w:val="both"/>
      </w:pPr>
      <w:r>
        <w:rPr>
          <w:color w:val="000080"/>
          <w:u w:val="single" w:color="000080"/>
        </w:rPr>
        <w:t>2.4. Recomendaciones para el diseño del IV Plan   .....................................................                                                            207</w:t>
      </w:r>
    </w:p>
    <w:p w:rsidR="00E23B86" w:rsidRDefault="00BA7C13">
      <w:pPr>
        <w:numPr>
          <w:ilvl w:val="0"/>
          <w:numId w:val="140"/>
        </w:numPr>
        <w:spacing w:after="143" w:line="249" w:lineRule="auto"/>
        <w:ind w:right="1" w:hanging="841"/>
        <w:jc w:val="both"/>
      </w:pPr>
      <w:r>
        <w:rPr>
          <w:b/>
          <w:color w:val="000080"/>
          <w:u w:val="single" w:color="000080"/>
        </w:rPr>
        <w:t xml:space="preserve">10.LOS PRINCIPIOS DEL IV PLAN  </w:t>
      </w:r>
      <w:r>
        <w:rPr>
          <w:b/>
          <w:color w:val="000080"/>
          <w:u w:val="single" w:color="000080"/>
        </w:rPr>
        <w:t>..............................................................................                                                                                           208</w:t>
      </w:r>
    </w:p>
    <w:p w:rsidR="00E23B86" w:rsidRDefault="00BA7C13">
      <w:pPr>
        <w:numPr>
          <w:ilvl w:val="0"/>
          <w:numId w:val="140"/>
        </w:numPr>
        <w:spacing w:after="109" w:line="249" w:lineRule="auto"/>
        <w:ind w:right="1" w:hanging="841"/>
        <w:jc w:val="both"/>
      </w:pPr>
      <w:r>
        <w:rPr>
          <w:b/>
          <w:color w:val="000080"/>
          <w:u w:val="single" w:color="000080"/>
        </w:rPr>
        <w:t>11.CAMPO DE ACTUACIÓN  ............................................................</w:t>
      </w:r>
      <w:r>
        <w:rPr>
          <w:b/>
          <w:color w:val="000080"/>
          <w:u w:val="single" w:color="000080"/>
        </w:rPr>
        <w:t>........................                                                                                                   210</w:t>
      </w:r>
    </w:p>
    <w:p w:rsidR="00E23B86" w:rsidRDefault="00BA7C13">
      <w:pPr>
        <w:spacing w:after="9" w:line="249" w:lineRule="auto"/>
        <w:ind w:left="353" w:hanging="8"/>
      </w:pPr>
      <w:r>
        <w:rPr>
          <w:b/>
          <w:color w:val="000080"/>
          <w:u w:val="single" w:color="000080"/>
        </w:rPr>
        <w:t xml:space="preserve">12.META Y OBJETIVOS GENERALES DEL IV PLAN SOBRE ADICCIONES DE CANDELARIA  </w:t>
      </w:r>
    </w:p>
    <w:p w:rsidR="00E23B86" w:rsidRDefault="00BA7C13">
      <w:pPr>
        <w:spacing w:after="143" w:line="249" w:lineRule="auto"/>
        <w:ind w:left="353" w:hanging="8"/>
      </w:pPr>
      <w:r>
        <w:rPr>
          <w:b/>
          <w:color w:val="000080"/>
          <w:u w:val="single" w:color="000080"/>
        </w:rPr>
        <w:t xml:space="preserve"> .....................................................</w:t>
      </w:r>
      <w:r>
        <w:rPr>
          <w:b/>
          <w:color w:val="000080"/>
          <w:u w:val="single" w:color="000080"/>
        </w:rPr>
        <w:t>...........................................................................                                                                                                                                                    210</w:t>
      </w:r>
    </w:p>
    <w:p w:rsidR="00E23B86" w:rsidRDefault="00BA7C13">
      <w:pPr>
        <w:numPr>
          <w:ilvl w:val="0"/>
          <w:numId w:val="140"/>
        </w:numPr>
        <w:spacing w:after="145" w:line="249" w:lineRule="auto"/>
        <w:ind w:right="1" w:hanging="841"/>
        <w:jc w:val="both"/>
      </w:pPr>
      <w:r>
        <w:rPr>
          <w:b/>
          <w:color w:val="000080"/>
          <w:u w:val="single" w:color="000080"/>
        </w:rPr>
        <w:t xml:space="preserve">13.ÁREAS DE ACTUACIÓN  </w:t>
      </w:r>
      <w:r>
        <w:rPr>
          <w:b/>
          <w:color w:val="000080"/>
          <w:u w:val="single" w:color="000080"/>
        </w:rPr>
        <w:t>.......................................................................................                                                                                                     211</w:t>
      </w:r>
    </w:p>
    <w:p w:rsidR="00E23B86" w:rsidRDefault="00BA7C13">
      <w:pPr>
        <w:numPr>
          <w:ilvl w:val="0"/>
          <w:numId w:val="140"/>
        </w:numPr>
        <w:spacing w:after="152" w:line="257" w:lineRule="auto"/>
        <w:ind w:right="1" w:hanging="841"/>
        <w:jc w:val="both"/>
      </w:pPr>
      <w:r>
        <w:rPr>
          <w:color w:val="000080"/>
          <w:u w:val="single" w:color="000080"/>
        </w:rPr>
        <w:t>6.1. ÁREA DE PREVENCIÓN Y SENSIBILIZACIÓN  .....................</w:t>
      </w:r>
      <w:r>
        <w:rPr>
          <w:color w:val="000080"/>
          <w:u w:val="single" w:color="000080"/>
        </w:rPr>
        <w:t>.....................................                                                                 211</w:t>
      </w:r>
    </w:p>
    <w:p w:rsidR="00E23B86" w:rsidRDefault="00BA7C13">
      <w:pPr>
        <w:numPr>
          <w:ilvl w:val="0"/>
          <w:numId w:val="140"/>
        </w:numPr>
        <w:spacing w:after="154" w:line="257" w:lineRule="auto"/>
        <w:ind w:right="1" w:hanging="841"/>
        <w:jc w:val="both"/>
      </w:pPr>
      <w:r>
        <w:rPr>
          <w:color w:val="000080"/>
          <w:u w:val="single" w:color="000080"/>
        </w:rPr>
        <w:t xml:space="preserve">6.1.1. Ámbito Educativo  ..............................................................................................                               </w:t>
      </w:r>
      <w:r>
        <w:rPr>
          <w:color w:val="000080"/>
          <w:u w:val="single" w:color="000080"/>
        </w:rPr>
        <w:t xml:space="preserve">                                                                          211</w:t>
      </w:r>
    </w:p>
    <w:p w:rsidR="00E23B86" w:rsidRDefault="00BA7C13">
      <w:pPr>
        <w:numPr>
          <w:ilvl w:val="0"/>
          <w:numId w:val="140"/>
        </w:numPr>
        <w:spacing w:after="152" w:line="257" w:lineRule="auto"/>
        <w:ind w:right="1" w:hanging="841"/>
        <w:jc w:val="both"/>
      </w:pPr>
      <w:r>
        <w:rPr>
          <w:color w:val="000080"/>
          <w:u w:val="single" w:color="000080"/>
        </w:rPr>
        <w:t xml:space="preserve">6.1.2. Ámbito Familiar  .................................................................................................                                                         </w:t>
      </w:r>
      <w:r>
        <w:rPr>
          <w:color w:val="000080"/>
          <w:u w:val="single" w:color="000080"/>
        </w:rPr>
        <w:t xml:space="preserve">                                                   212</w:t>
      </w:r>
    </w:p>
    <w:p w:rsidR="00E23B86" w:rsidRDefault="00BA7C13">
      <w:pPr>
        <w:numPr>
          <w:ilvl w:val="0"/>
          <w:numId w:val="140"/>
        </w:numPr>
        <w:spacing w:after="154" w:line="257" w:lineRule="auto"/>
        <w:ind w:right="1" w:hanging="841"/>
        <w:jc w:val="both"/>
      </w:pPr>
      <w:r>
        <w:rPr>
          <w:color w:val="000080"/>
          <w:u w:val="single" w:color="000080"/>
        </w:rPr>
        <w:t xml:space="preserve">6.1.3. Ámbito Comunitario  .........................................................................................                                                                                     </w:t>
      </w:r>
      <w:r>
        <w:rPr>
          <w:color w:val="000080"/>
          <w:u w:val="single" w:color="000080"/>
        </w:rPr>
        <w:t xml:space="preserve">               213</w:t>
      </w:r>
    </w:p>
    <w:p w:rsidR="00E23B86" w:rsidRDefault="00BA7C13">
      <w:pPr>
        <w:numPr>
          <w:ilvl w:val="0"/>
          <w:numId w:val="140"/>
        </w:numPr>
        <w:spacing w:after="152" w:line="257" w:lineRule="auto"/>
        <w:ind w:right="1" w:hanging="841"/>
        <w:jc w:val="both"/>
      </w:pPr>
      <w:r>
        <w:rPr>
          <w:color w:val="000080"/>
          <w:u w:val="single" w:color="000080"/>
        </w:rPr>
        <w:t>6.2. ÁREA DE INSERCIÓN SOCIAL  .................................................................................                                                                                           215</w:t>
      </w:r>
    </w:p>
    <w:p w:rsidR="00E23B86" w:rsidRDefault="00BA7C13">
      <w:pPr>
        <w:numPr>
          <w:ilvl w:val="0"/>
          <w:numId w:val="140"/>
        </w:numPr>
        <w:spacing w:after="154" w:line="257" w:lineRule="auto"/>
        <w:ind w:right="1" w:hanging="841"/>
        <w:jc w:val="both"/>
      </w:pPr>
      <w:r>
        <w:rPr>
          <w:color w:val="000080"/>
          <w:u w:val="single" w:color="000080"/>
        </w:rPr>
        <w:t>13.3.REA DE SOPORTE Y APOYO  .</w:t>
      </w:r>
      <w:r>
        <w:rPr>
          <w:color w:val="000080"/>
          <w:u w:val="single" w:color="000080"/>
        </w:rPr>
        <w:t>................................................................................                                                                                           216</w:t>
      </w:r>
    </w:p>
    <w:p w:rsidR="00E23B86" w:rsidRDefault="00BA7C13">
      <w:pPr>
        <w:numPr>
          <w:ilvl w:val="0"/>
          <w:numId w:val="140"/>
        </w:numPr>
        <w:spacing w:after="143" w:line="249" w:lineRule="auto"/>
        <w:ind w:right="1" w:hanging="841"/>
        <w:jc w:val="both"/>
      </w:pPr>
      <w:r>
        <w:rPr>
          <w:b/>
          <w:color w:val="000080"/>
          <w:u w:val="single" w:color="000080"/>
        </w:rPr>
        <w:t>14.COORDINACIÓN DE LAS ACTUACIONES DEL IV PLAN  .................................</w:t>
      </w:r>
      <w:r>
        <w:rPr>
          <w:b/>
          <w:color w:val="000080"/>
          <w:u w:val="single" w:color="000080"/>
        </w:rPr>
        <w:t>..........                                                217</w:t>
      </w:r>
    </w:p>
    <w:p w:rsidR="00E23B86" w:rsidRDefault="00BA7C13">
      <w:pPr>
        <w:numPr>
          <w:ilvl w:val="0"/>
          <w:numId w:val="140"/>
        </w:numPr>
        <w:spacing w:after="154" w:line="257" w:lineRule="auto"/>
        <w:ind w:right="1" w:hanging="841"/>
        <w:jc w:val="both"/>
      </w:pPr>
      <w:r>
        <w:rPr>
          <w:color w:val="000080"/>
          <w:u w:val="single" w:color="000080"/>
        </w:rPr>
        <w:t>7.1. Comisión Municipal de Prevención de Adicciones de Candelaria .........................                            217</w:t>
      </w:r>
    </w:p>
    <w:p w:rsidR="00E23B86" w:rsidRDefault="00BA7C13">
      <w:pPr>
        <w:numPr>
          <w:ilvl w:val="0"/>
          <w:numId w:val="140"/>
        </w:numPr>
        <w:spacing w:after="152" w:line="257" w:lineRule="auto"/>
        <w:ind w:right="1" w:hanging="841"/>
        <w:jc w:val="both"/>
      </w:pPr>
      <w:r>
        <w:rPr>
          <w:color w:val="000080"/>
          <w:u w:val="single" w:color="000080"/>
        </w:rPr>
        <w:t>7.2. Comisión Mixta de Prevención de Adicciones de Candelaria  ........</w:t>
      </w:r>
      <w:r>
        <w:rPr>
          <w:color w:val="000080"/>
          <w:u w:val="single" w:color="000080"/>
        </w:rPr>
        <w:t>........................                                   218</w:t>
      </w:r>
    </w:p>
    <w:p w:rsidR="00E23B86" w:rsidRDefault="00BA7C13">
      <w:pPr>
        <w:numPr>
          <w:ilvl w:val="0"/>
          <w:numId w:val="140"/>
        </w:numPr>
        <w:spacing w:after="145" w:line="249" w:lineRule="auto"/>
        <w:ind w:right="1" w:hanging="841"/>
        <w:jc w:val="both"/>
      </w:pPr>
      <w:r>
        <w:rPr>
          <w:b/>
          <w:color w:val="000080"/>
          <w:u w:val="single" w:color="000080"/>
        </w:rPr>
        <w:t xml:space="preserve">15.RECURSOS DEL IV PLAN   .....................................................................................                                                                                  </w:t>
      </w:r>
      <w:r>
        <w:rPr>
          <w:b/>
          <w:color w:val="000080"/>
          <w:u w:val="single" w:color="000080"/>
        </w:rPr>
        <w:t xml:space="preserve">                218</w:t>
      </w:r>
    </w:p>
    <w:p w:rsidR="00E23B86" w:rsidRDefault="00BA7C13">
      <w:pPr>
        <w:numPr>
          <w:ilvl w:val="0"/>
          <w:numId w:val="140"/>
        </w:numPr>
        <w:spacing w:after="143" w:line="249" w:lineRule="auto"/>
        <w:ind w:right="1" w:hanging="841"/>
        <w:jc w:val="both"/>
      </w:pPr>
      <w:r>
        <w:rPr>
          <w:b/>
          <w:color w:val="000080"/>
          <w:u w:val="single" w:color="000080"/>
        </w:rPr>
        <w:t>16.EVALUACIÓN Y SEGUIMIENTO DEL PLAN ............................................................                                                                      219</w:t>
      </w:r>
    </w:p>
    <w:p w:rsidR="00E23B86" w:rsidRDefault="00BA7C13">
      <w:pPr>
        <w:numPr>
          <w:ilvl w:val="0"/>
          <w:numId w:val="140"/>
        </w:numPr>
        <w:spacing w:after="145" w:line="249" w:lineRule="auto"/>
        <w:ind w:right="1" w:hanging="841"/>
        <w:jc w:val="both"/>
      </w:pPr>
      <w:r>
        <w:rPr>
          <w:b/>
          <w:color w:val="000080"/>
          <w:u w:val="single" w:color="000080"/>
        </w:rPr>
        <w:t>INTRODUCCIÓN    .................................................</w:t>
      </w:r>
      <w:r>
        <w:rPr>
          <w:b/>
          <w:color w:val="000080"/>
          <w:u w:val="single" w:color="000080"/>
        </w:rPr>
        <w:t>...................................................                                                                                                                    231</w:t>
      </w:r>
    </w:p>
    <w:p w:rsidR="00E23B86" w:rsidRDefault="00BA7C13">
      <w:pPr>
        <w:numPr>
          <w:ilvl w:val="0"/>
          <w:numId w:val="140"/>
        </w:numPr>
        <w:spacing w:after="9" w:line="249" w:lineRule="auto"/>
        <w:ind w:right="1" w:hanging="841"/>
        <w:jc w:val="both"/>
      </w:pPr>
      <w:r>
        <w:rPr>
          <w:b/>
          <w:color w:val="000080"/>
          <w:u w:val="single" w:color="000080"/>
        </w:rPr>
        <w:t xml:space="preserve">1. COMPETENCIAS DEL AYUNTAMIENTO EN MATERIA DE PREVENCIÓN DE </w:t>
      </w:r>
    </w:p>
    <w:p w:rsidR="00E23B86" w:rsidRDefault="00BA7C13">
      <w:pPr>
        <w:spacing w:after="145" w:line="249" w:lineRule="auto"/>
        <w:ind w:left="353" w:hanging="8"/>
      </w:pPr>
      <w:r>
        <w:rPr>
          <w:b/>
          <w:color w:val="000080"/>
          <w:u w:val="single" w:color="000080"/>
        </w:rPr>
        <w:t xml:space="preserve"> DROGODEPENDENCIAS.  ..</w:t>
      </w:r>
      <w:r>
        <w:rPr>
          <w:b/>
          <w:color w:val="000080"/>
          <w:u w:val="single" w:color="000080"/>
        </w:rPr>
        <w:t>........................................................................................                                                                                                        231</w:t>
      </w:r>
    </w:p>
    <w:p w:rsidR="00E23B86" w:rsidRDefault="00BA7C13">
      <w:pPr>
        <w:numPr>
          <w:ilvl w:val="0"/>
          <w:numId w:val="140"/>
        </w:numPr>
        <w:spacing w:after="9" w:line="249" w:lineRule="auto"/>
        <w:ind w:right="1" w:hanging="841"/>
        <w:jc w:val="both"/>
      </w:pPr>
      <w:r>
        <w:rPr>
          <w:noProof/>
        </w:rPr>
        <mc:AlternateContent>
          <mc:Choice Requires="wpg">
            <w:drawing>
              <wp:anchor distT="0" distB="0" distL="114300" distR="114300" simplePos="0" relativeHeight="2519623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1223" name="Group 57122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7823" name="Rectangle 4782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7824" name="Rectangle 4782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295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1223" style="width:12.7031pt;height:280.35pt;position:absolute;mso-position-horizontal-relative:page;mso-position-horizontal:absolute;margin-left:681.958pt;mso-position-vertical-relative:page;margin-top:531.65pt;" coordsize="1613,35604">
                <v:rect id="Rectangle 4782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782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295 de 391 </w:t>
                        </w:r>
                      </w:p>
                    </w:txbxContent>
                  </v:textbox>
                </v:rect>
                <w10:wrap type="square"/>
              </v:group>
            </w:pict>
          </mc:Fallback>
        </mc:AlternateContent>
      </w:r>
      <w:r>
        <w:rPr>
          <w:b/>
          <w:color w:val="000080"/>
          <w:u w:val="single" w:color="000080"/>
        </w:rPr>
        <w:t xml:space="preserve">2. ANÁLISIS DE LA PROBLEMÁTICA Y APROXIMACIÓN EPIDEMIOLÓGICA </w:t>
      </w:r>
      <w:r>
        <w:rPr>
          <w:b/>
          <w:color w:val="000080"/>
          <w:u w:val="single" w:color="000080"/>
        </w:rPr>
        <w:t xml:space="preserve">Y </w:t>
      </w:r>
    </w:p>
    <w:p w:rsidR="00E23B86" w:rsidRDefault="00BA7C13">
      <w:pPr>
        <w:spacing w:after="145" w:line="249" w:lineRule="auto"/>
        <w:ind w:left="353" w:hanging="8"/>
      </w:pPr>
      <w:r>
        <w:rPr>
          <w:b/>
          <w:color w:val="000080"/>
          <w:u w:val="single" w:color="000080"/>
        </w:rPr>
        <w:t xml:space="preserve"> CONTEXTUAL DE LAS ADICCIONES EN EL AMBITO MUNICIPAL   ...............................                                   232</w:t>
      </w:r>
    </w:p>
    <w:p w:rsidR="00E23B86" w:rsidRDefault="00BA7C13">
      <w:pPr>
        <w:numPr>
          <w:ilvl w:val="0"/>
          <w:numId w:val="140"/>
        </w:numPr>
        <w:spacing w:after="155" w:line="257" w:lineRule="auto"/>
        <w:ind w:right="1" w:hanging="841"/>
        <w:jc w:val="both"/>
      </w:pPr>
      <w:r>
        <w:rPr>
          <w:color w:val="000080"/>
          <w:u w:val="single" w:color="000080"/>
        </w:rPr>
        <w:t>2.1. Resultados de la evaluación del III Plan Municipal sobre Drogodependencias (2013 2017) ....................................</w:t>
      </w:r>
      <w:r>
        <w:rPr>
          <w:color w:val="000080"/>
          <w:u w:val="single" w:color="000080"/>
        </w:rPr>
        <w:t>......................................................................................                                                                                                                                          232</w:t>
      </w:r>
    </w:p>
    <w:p w:rsidR="00E23B86" w:rsidRDefault="00BA7C13">
      <w:pPr>
        <w:numPr>
          <w:ilvl w:val="0"/>
          <w:numId w:val="140"/>
        </w:numPr>
        <w:spacing w:after="2" w:line="257" w:lineRule="auto"/>
        <w:ind w:right="1" w:hanging="841"/>
        <w:jc w:val="both"/>
      </w:pPr>
      <w:r>
        <w:rPr>
          <w:color w:val="000080"/>
          <w:u w:val="single" w:color="000080"/>
        </w:rPr>
        <w:t>2.2. La prevalencia del cons</w:t>
      </w:r>
      <w:r>
        <w:rPr>
          <w:color w:val="000080"/>
          <w:u w:val="single" w:color="000080"/>
        </w:rPr>
        <w:t xml:space="preserve">umo en Canarias e indicaciones para la planificación de las </w:t>
      </w:r>
    </w:p>
    <w:p w:rsidR="00E23B86" w:rsidRDefault="00BA7C13">
      <w:pPr>
        <w:spacing w:after="0" w:line="395" w:lineRule="auto"/>
        <w:ind w:left="-15" w:firstLine="358"/>
      </w:pPr>
      <w:r>
        <w:rPr>
          <w:color w:val="000080"/>
          <w:u w:val="single" w:color="000080"/>
        </w:rPr>
        <w:t xml:space="preserve"> acciones de prevención e inserción.  ..........................................................................                                                                                   </w:t>
      </w:r>
      <w:r>
        <w:rPr>
          <w:color w:val="000080"/>
          <w:u w:val="single" w:color="000080"/>
        </w:rPr>
        <w:t xml:space="preserve"> 234 </w:t>
      </w:r>
      <w:r>
        <w:rPr>
          <w:rFonts w:ascii="Segoe UI Symbol" w:eastAsia="Segoe UI Symbol" w:hAnsi="Segoe UI Symbol" w:cs="Segoe UI Symbol"/>
          <w:sz w:val="20"/>
        </w:rPr>
        <w:t></w:t>
      </w:r>
      <w:r>
        <w:rPr>
          <w:color w:val="000080"/>
          <w:u w:val="single" w:color="000080"/>
        </w:rPr>
        <w:t xml:space="preserve"> 2.3. Descripción del contexto municipal    ...................................................................                                                                           235</w:t>
      </w:r>
    </w:p>
    <w:p w:rsidR="00E23B86" w:rsidRDefault="00BA7C13">
      <w:pPr>
        <w:numPr>
          <w:ilvl w:val="0"/>
          <w:numId w:val="140"/>
        </w:numPr>
        <w:spacing w:after="154" w:line="257" w:lineRule="auto"/>
        <w:ind w:right="1" w:hanging="841"/>
        <w:jc w:val="both"/>
      </w:pPr>
      <w:r>
        <w:rPr>
          <w:color w:val="000080"/>
          <w:u w:val="single" w:color="000080"/>
        </w:rPr>
        <w:t>2.3.1. Contexto demográfico y laboral  .....................</w:t>
      </w:r>
      <w:r>
        <w:rPr>
          <w:color w:val="000080"/>
          <w:u w:val="single" w:color="000080"/>
        </w:rPr>
        <w:t>....................................................                                                                                  236</w:t>
      </w:r>
    </w:p>
    <w:p w:rsidR="00E23B86" w:rsidRDefault="00BA7C13">
      <w:pPr>
        <w:numPr>
          <w:ilvl w:val="0"/>
          <w:numId w:val="140"/>
        </w:numPr>
        <w:spacing w:after="152" w:line="257" w:lineRule="auto"/>
        <w:ind w:right="1" w:hanging="841"/>
        <w:jc w:val="both"/>
      </w:pPr>
      <w:r>
        <w:rPr>
          <w:color w:val="000080"/>
          <w:u w:val="single" w:color="000080"/>
        </w:rPr>
        <w:t xml:space="preserve">2.4. Recomendaciones para el diseño del IV Plan    .....................................................              </w:t>
      </w:r>
      <w:r>
        <w:rPr>
          <w:color w:val="000080"/>
          <w:u w:val="single" w:color="000080"/>
        </w:rPr>
        <w:t xml:space="preserve">                                             240</w:t>
      </w:r>
    </w:p>
    <w:p w:rsidR="00E23B86" w:rsidRDefault="00BA7C13">
      <w:pPr>
        <w:numPr>
          <w:ilvl w:val="0"/>
          <w:numId w:val="140"/>
        </w:numPr>
        <w:spacing w:after="145" w:line="249" w:lineRule="auto"/>
        <w:ind w:right="1" w:hanging="841"/>
        <w:jc w:val="both"/>
      </w:pPr>
      <w:r>
        <w:rPr>
          <w:b/>
          <w:color w:val="000080"/>
          <w:u w:val="single" w:color="000080"/>
        </w:rPr>
        <w:t>3.LOS PRINCIPIOS DEL IV PLAN ................................................................................                                                                                              241</w:t>
      </w:r>
    </w:p>
    <w:p w:rsidR="00E23B86" w:rsidRDefault="00BA7C13">
      <w:pPr>
        <w:numPr>
          <w:ilvl w:val="0"/>
          <w:numId w:val="140"/>
        </w:numPr>
        <w:spacing w:after="143" w:line="249" w:lineRule="auto"/>
        <w:ind w:right="1" w:hanging="841"/>
        <w:jc w:val="both"/>
      </w:pPr>
      <w:r>
        <w:rPr>
          <w:b/>
          <w:color w:val="000080"/>
          <w:u w:val="single" w:color="000080"/>
        </w:rPr>
        <w:t>4.CAMPO DE ACTUACIÓN  ......................................................................................                                                                                                     242</w:t>
      </w:r>
    </w:p>
    <w:p w:rsidR="00E23B86" w:rsidRDefault="00BA7C13">
      <w:pPr>
        <w:numPr>
          <w:ilvl w:val="0"/>
          <w:numId w:val="140"/>
        </w:numPr>
        <w:spacing w:after="9" w:line="249" w:lineRule="auto"/>
        <w:ind w:right="1" w:hanging="841"/>
        <w:jc w:val="both"/>
      </w:pPr>
      <w:r>
        <w:rPr>
          <w:b/>
          <w:color w:val="000080"/>
          <w:u w:val="single" w:color="000080"/>
        </w:rPr>
        <w:t>5.META Y OBJETIVOS GENERALES DEL IV PLAN SO</w:t>
      </w:r>
      <w:r>
        <w:rPr>
          <w:b/>
          <w:color w:val="000080"/>
          <w:u w:val="single" w:color="000080"/>
        </w:rPr>
        <w:t xml:space="preserve">BRE ADICCIONES DE CANDELARIA  </w:t>
      </w:r>
    </w:p>
    <w:p w:rsidR="00E23B86" w:rsidRDefault="00BA7C13">
      <w:pPr>
        <w:spacing w:after="143" w:line="249" w:lineRule="auto"/>
        <w:ind w:left="353" w:hanging="8"/>
      </w:pPr>
      <w:r>
        <w:rPr>
          <w:b/>
          <w:color w:val="000080"/>
          <w:u w:val="single" w:color="000080"/>
        </w:rPr>
        <w:t xml:space="preserve">................................................................................................................................                                                                                                 </w:t>
      </w:r>
      <w:r>
        <w:rPr>
          <w:b/>
          <w:color w:val="000080"/>
          <w:u w:val="single" w:color="000080"/>
        </w:rPr>
        <w:t xml:space="preserve">                                                    242</w:t>
      </w:r>
    </w:p>
    <w:p w:rsidR="00E23B86" w:rsidRDefault="00BA7C13">
      <w:pPr>
        <w:numPr>
          <w:ilvl w:val="0"/>
          <w:numId w:val="140"/>
        </w:numPr>
        <w:spacing w:after="145" w:line="249" w:lineRule="auto"/>
        <w:ind w:right="1" w:hanging="841"/>
        <w:jc w:val="both"/>
      </w:pPr>
      <w:r>
        <w:rPr>
          <w:b/>
          <w:color w:val="000080"/>
          <w:u w:val="single" w:color="000080"/>
        </w:rPr>
        <w:t xml:space="preserve">6.ÁREAS DE ACTUACIÓN .........................................................................................                                                                                          </w:t>
      </w:r>
      <w:r>
        <w:rPr>
          <w:b/>
          <w:color w:val="000080"/>
          <w:u w:val="single" w:color="000080"/>
        </w:rPr>
        <w:t xml:space="preserve">              243</w:t>
      </w:r>
    </w:p>
    <w:p w:rsidR="00E23B86" w:rsidRDefault="00BA7C13">
      <w:pPr>
        <w:numPr>
          <w:ilvl w:val="0"/>
          <w:numId w:val="140"/>
        </w:numPr>
        <w:spacing w:after="152" w:line="257" w:lineRule="auto"/>
        <w:ind w:right="1" w:hanging="841"/>
        <w:jc w:val="both"/>
      </w:pPr>
      <w:r>
        <w:rPr>
          <w:color w:val="000080"/>
          <w:u w:val="single" w:color="000080"/>
        </w:rPr>
        <w:t>6.1. ÁREA DE PREVENCIÓN Y SENSIBILIZACIÓN  ..........................................................                                                                 243</w:t>
      </w:r>
    </w:p>
    <w:p w:rsidR="00E23B86" w:rsidRDefault="00BA7C13">
      <w:pPr>
        <w:numPr>
          <w:ilvl w:val="0"/>
          <w:numId w:val="140"/>
        </w:numPr>
        <w:spacing w:after="154" w:line="257" w:lineRule="auto"/>
        <w:ind w:right="1" w:hanging="841"/>
        <w:jc w:val="both"/>
      </w:pPr>
      <w:r>
        <w:rPr>
          <w:color w:val="000080"/>
          <w:u w:val="single" w:color="000080"/>
        </w:rPr>
        <w:t xml:space="preserve">6.1.1. Ámbito Educativo </w:t>
      </w:r>
      <w:r>
        <w:rPr>
          <w:color w:val="000080"/>
          <w:u w:val="single" w:color="000080"/>
        </w:rPr>
        <w:t>..............................................................................................                                                                                                          244</w:t>
      </w:r>
    </w:p>
    <w:p w:rsidR="00E23B86" w:rsidRDefault="00BA7C13">
      <w:pPr>
        <w:numPr>
          <w:ilvl w:val="0"/>
          <w:numId w:val="140"/>
        </w:numPr>
        <w:spacing w:after="152" w:line="257" w:lineRule="auto"/>
        <w:ind w:right="1" w:hanging="841"/>
        <w:jc w:val="both"/>
      </w:pPr>
      <w:r>
        <w:rPr>
          <w:color w:val="000080"/>
          <w:u w:val="single" w:color="000080"/>
        </w:rPr>
        <w:t>6.1.2. Ámbito Familiar  ............................</w:t>
      </w:r>
      <w:r>
        <w:rPr>
          <w:color w:val="000080"/>
          <w:u w:val="single" w:color="000080"/>
        </w:rPr>
        <w:t>.....................................................................                                                                                                            245</w:t>
      </w:r>
    </w:p>
    <w:p w:rsidR="00E23B86" w:rsidRDefault="00BA7C13">
      <w:pPr>
        <w:numPr>
          <w:ilvl w:val="0"/>
          <w:numId w:val="140"/>
        </w:numPr>
        <w:spacing w:after="116" w:line="257" w:lineRule="auto"/>
        <w:ind w:right="1" w:hanging="841"/>
        <w:jc w:val="both"/>
      </w:pPr>
      <w:r>
        <w:rPr>
          <w:color w:val="000080"/>
          <w:u w:val="single" w:color="000080"/>
        </w:rPr>
        <w:t>6.1.3. Ámbito Comunitario .................................................</w:t>
      </w:r>
      <w:r>
        <w:rPr>
          <w:color w:val="000080"/>
          <w:u w:val="single" w:color="000080"/>
        </w:rPr>
        <w:t>........................................                                                                                                     246</w:t>
      </w:r>
    </w:p>
    <w:p w:rsidR="00E23B86" w:rsidRDefault="00BA7C13">
      <w:pPr>
        <w:spacing w:after="154" w:line="257" w:lineRule="auto"/>
        <w:ind w:left="368" w:hanging="10"/>
      </w:pPr>
      <w:r>
        <w:rPr>
          <w:color w:val="000080"/>
          <w:u w:val="single" w:color="000080"/>
        </w:rPr>
        <w:t xml:space="preserve"> 6.2. ÁREA DE INSERCIÓN SOCIAL  ...............................................................................</w:t>
      </w:r>
      <w:r>
        <w:rPr>
          <w:color w:val="000080"/>
          <w:u w:val="single" w:color="000080"/>
        </w:rPr>
        <w:t>..                                                                                           248</w:t>
      </w:r>
    </w:p>
    <w:p w:rsidR="00E23B86" w:rsidRDefault="00BA7C13">
      <w:pPr>
        <w:numPr>
          <w:ilvl w:val="0"/>
          <w:numId w:val="140"/>
        </w:numPr>
        <w:spacing w:after="152" w:line="257" w:lineRule="auto"/>
        <w:ind w:right="1" w:hanging="841"/>
        <w:jc w:val="both"/>
      </w:pPr>
      <w:r>
        <w:rPr>
          <w:color w:val="000080"/>
          <w:u w:val="single" w:color="000080"/>
        </w:rPr>
        <w:t xml:space="preserve">6.3.ÁREA DE SOPORTE Y APOYO  .................................................................................                                                 </w:t>
      </w:r>
      <w:r>
        <w:rPr>
          <w:color w:val="000080"/>
          <w:u w:val="single" w:color="000080"/>
        </w:rPr>
        <w:t xml:space="preserve">                                          249</w:t>
      </w:r>
    </w:p>
    <w:p w:rsidR="00E23B86" w:rsidRDefault="00BA7C13">
      <w:pPr>
        <w:numPr>
          <w:ilvl w:val="0"/>
          <w:numId w:val="140"/>
        </w:numPr>
        <w:spacing w:after="145" w:line="249" w:lineRule="auto"/>
        <w:ind w:right="1" w:hanging="841"/>
        <w:jc w:val="both"/>
      </w:pPr>
      <w:r>
        <w:rPr>
          <w:b/>
          <w:color w:val="000080"/>
          <w:u w:val="single" w:color="000080"/>
        </w:rPr>
        <w:t>7.COORDINACIÓN DE LAS ACTUACIONES DEL IV PLAN  .............................................                                                   249</w:t>
      </w:r>
    </w:p>
    <w:p w:rsidR="00E23B86" w:rsidRDefault="00BA7C13">
      <w:pPr>
        <w:numPr>
          <w:ilvl w:val="0"/>
          <w:numId w:val="140"/>
        </w:numPr>
        <w:spacing w:after="152" w:line="257" w:lineRule="auto"/>
        <w:ind w:right="1" w:hanging="841"/>
        <w:jc w:val="both"/>
      </w:pPr>
      <w:r>
        <w:rPr>
          <w:color w:val="000080"/>
          <w:u w:val="single" w:color="000080"/>
        </w:rPr>
        <w:t>7.1. Comisión Municipal de Prevención de Adicciones de Candelaria  .........................                           250</w:t>
      </w:r>
    </w:p>
    <w:p w:rsidR="00E23B86" w:rsidRDefault="00BA7C13">
      <w:pPr>
        <w:numPr>
          <w:ilvl w:val="0"/>
          <w:numId w:val="140"/>
        </w:numPr>
        <w:spacing w:after="154" w:line="257" w:lineRule="auto"/>
        <w:ind w:right="1" w:hanging="841"/>
        <w:jc w:val="both"/>
      </w:pPr>
      <w:r>
        <w:rPr>
          <w:color w:val="000080"/>
          <w:u w:val="single" w:color="000080"/>
        </w:rPr>
        <w:t>7.2. Comisión Mixta de Prevención de Adicciones de Candelaria  ................................                                   250</w:t>
      </w:r>
    </w:p>
    <w:p w:rsidR="00E23B86" w:rsidRDefault="00BA7C13">
      <w:pPr>
        <w:numPr>
          <w:ilvl w:val="0"/>
          <w:numId w:val="140"/>
        </w:numPr>
        <w:spacing w:after="143" w:line="249" w:lineRule="auto"/>
        <w:ind w:right="1" w:hanging="841"/>
        <w:jc w:val="both"/>
      </w:pPr>
      <w:r>
        <w:rPr>
          <w:b/>
          <w:color w:val="000080"/>
          <w:u w:val="single" w:color="000080"/>
        </w:rPr>
        <w:t>8.RECURSOS DEL IV PLAN   .......................................................................................                                                                                                    251</w:t>
      </w:r>
    </w:p>
    <w:p w:rsidR="00E23B86" w:rsidRDefault="00BA7C13">
      <w:pPr>
        <w:numPr>
          <w:ilvl w:val="0"/>
          <w:numId w:val="140"/>
        </w:numPr>
        <w:spacing w:after="145" w:line="249" w:lineRule="auto"/>
        <w:ind w:right="1" w:hanging="841"/>
        <w:jc w:val="both"/>
      </w:pPr>
      <w:r>
        <w:rPr>
          <w:b/>
          <w:color w:val="000080"/>
          <w:u w:val="single" w:color="000080"/>
        </w:rPr>
        <w:t>9.EVALUACIÓN Y SEGUIMIENTO DEL PLAN  ..</w:t>
      </w:r>
      <w:r>
        <w:rPr>
          <w:b/>
          <w:color w:val="000080"/>
          <w:u w:val="single" w:color="000080"/>
        </w:rPr>
        <w:t>............................................................                                                                       252</w:t>
      </w:r>
    </w:p>
    <w:p w:rsidR="00E23B86" w:rsidRDefault="00BA7C13">
      <w:pPr>
        <w:numPr>
          <w:ilvl w:val="0"/>
          <w:numId w:val="140"/>
        </w:numPr>
        <w:spacing w:after="152" w:line="257" w:lineRule="auto"/>
        <w:ind w:right="1" w:hanging="841"/>
        <w:jc w:val="both"/>
      </w:pPr>
      <w:r>
        <w:rPr>
          <w:color w:val="000080"/>
          <w:u w:val="single" w:color="000080"/>
        </w:rPr>
        <w:t xml:space="preserve">Ley 16/2019, de 2 de mayo, de Servicios Sociales de Canarias.  ...................................                       </w:t>
      </w:r>
      <w:r>
        <w:rPr>
          <w:color w:val="000080"/>
          <w:u w:val="single" w:color="000080"/>
        </w:rPr>
        <w:t xml:space="preserve">               257</w:t>
      </w:r>
    </w:p>
    <w:p w:rsidR="00E23B86" w:rsidRDefault="00BA7C13">
      <w:pPr>
        <w:numPr>
          <w:ilvl w:val="0"/>
          <w:numId w:val="140"/>
        </w:numPr>
        <w:spacing w:after="9" w:line="249" w:lineRule="auto"/>
        <w:ind w:right="1" w:hanging="841"/>
        <w:jc w:val="both"/>
      </w:pPr>
      <w:r>
        <w:rPr>
          <w:b/>
          <w:color w:val="000080"/>
          <w:u w:val="single" w:color="000080"/>
        </w:rPr>
        <w:t xml:space="preserve">1. COMPETENCIAS DEL AYUNTAMIENTO EN MATERIA DE PREVENCIÓN DE </w:t>
      </w:r>
    </w:p>
    <w:p w:rsidR="00E23B86" w:rsidRDefault="00BA7C13">
      <w:pPr>
        <w:spacing w:after="143" w:line="249" w:lineRule="auto"/>
        <w:ind w:left="353" w:hanging="8"/>
      </w:pPr>
      <w:r>
        <w:rPr>
          <w:b/>
          <w:color w:val="000080"/>
          <w:u w:val="single" w:color="000080"/>
        </w:rPr>
        <w:t xml:space="preserve"> DROGODEPENDENCIAS.  ..........................................................................................                                                                </w:t>
      </w:r>
      <w:r>
        <w:rPr>
          <w:b/>
          <w:color w:val="000080"/>
          <w:u w:val="single" w:color="000080"/>
        </w:rPr>
        <w:t xml:space="preserve">                                        272</w:t>
      </w:r>
    </w:p>
    <w:p w:rsidR="00E23B86" w:rsidRDefault="00BA7C13">
      <w:pPr>
        <w:numPr>
          <w:ilvl w:val="0"/>
          <w:numId w:val="140"/>
        </w:numPr>
        <w:spacing w:after="9" w:line="249" w:lineRule="auto"/>
        <w:ind w:right="1" w:hanging="841"/>
        <w:jc w:val="both"/>
      </w:pPr>
      <w:r>
        <w:rPr>
          <w:b/>
          <w:color w:val="000080"/>
          <w:u w:val="single" w:color="000080"/>
        </w:rPr>
        <w:t xml:space="preserve">2. ANÁLISIS DE LA PROBLEMÁTICA Y APROXIMACIÓN EPIDEMIOLÓGICA Y </w:t>
      </w:r>
    </w:p>
    <w:p w:rsidR="00E23B86" w:rsidRDefault="00BA7C13">
      <w:pPr>
        <w:spacing w:after="143" w:line="249" w:lineRule="auto"/>
        <w:ind w:left="353" w:hanging="8"/>
      </w:pPr>
      <w:r>
        <w:rPr>
          <w:b/>
          <w:color w:val="000080"/>
          <w:u w:val="single" w:color="000080"/>
        </w:rPr>
        <w:t xml:space="preserve"> CONTEXTUAL DE LAS ADICCIONES EN EL AMBITO MUNICIPAL  ...............................                                    272</w:t>
      </w:r>
    </w:p>
    <w:p w:rsidR="00E23B86" w:rsidRDefault="00BA7C13">
      <w:pPr>
        <w:numPr>
          <w:ilvl w:val="0"/>
          <w:numId w:val="140"/>
        </w:numPr>
        <w:spacing w:after="2" w:line="257" w:lineRule="auto"/>
        <w:ind w:right="1" w:hanging="841"/>
        <w:jc w:val="both"/>
      </w:pPr>
      <w:r>
        <w:rPr>
          <w:color w:val="000080"/>
          <w:u w:val="single" w:color="000080"/>
        </w:rPr>
        <w:t>2.1. Resultados de la e</w:t>
      </w:r>
      <w:r>
        <w:rPr>
          <w:color w:val="000080"/>
          <w:u w:val="single" w:color="000080"/>
        </w:rPr>
        <w:t>valuación del III Plan Municipal sobre Drogodependencias (2013-</w:t>
      </w:r>
    </w:p>
    <w:p w:rsidR="00E23B86" w:rsidRDefault="00BA7C13">
      <w:pPr>
        <w:spacing w:after="152" w:line="257" w:lineRule="auto"/>
        <w:ind w:left="368" w:hanging="10"/>
      </w:pPr>
      <w:r>
        <w:rPr>
          <w:color w:val="000080"/>
          <w:u w:val="single" w:color="000080"/>
        </w:rPr>
        <w:t xml:space="preserve"> 2017)  ..........................................................................................................................</w:t>
      </w:r>
      <w:r>
        <w:rPr>
          <w:color w:val="000080"/>
          <w:u w:val="single" w:color="000080"/>
        </w:rPr>
        <w:t xml:space="preserve">                                                                                                                                         273</w:t>
      </w:r>
    </w:p>
    <w:p w:rsidR="00E23B86" w:rsidRDefault="00BA7C13">
      <w:pPr>
        <w:numPr>
          <w:ilvl w:val="0"/>
          <w:numId w:val="140"/>
        </w:numPr>
        <w:spacing w:after="2" w:line="257" w:lineRule="auto"/>
        <w:ind w:right="1" w:hanging="841"/>
        <w:jc w:val="both"/>
      </w:pPr>
      <w:r>
        <w:rPr>
          <w:color w:val="000080"/>
          <w:u w:val="single" w:color="000080"/>
        </w:rPr>
        <w:t xml:space="preserve">2.2. La prevalencia del consumo en Canarias e indicaciones para la planificación de las </w:t>
      </w:r>
    </w:p>
    <w:p w:rsidR="00E23B86" w:rsidRDefault="00BA7C13">
      <w:pPr>
        <w:spacing w:after="2" w:line="393" w:lineRule="auto"/>
        <w:ind w:left="-15" w:firstLine="358"/>
      </w:pPr>
      <w:r>
        <w:rPr>
          <w:color w:val="000080"/>
          <w:u w:val="single" w:color="000080"/>
        </w:rPr>
        <w:t xml:space="preserve"> acciones de prevención e </w:t>
      </w:r>
      <w:r>
        <w:rPr>
          <w:color w:val="000080"/>
          <w:u w:val="single" w:color="000080"/>
        </w:rPr>
        <w:t xml:space="preserve">inserción.   ..........................................................................                                                                                   274 </w:t>
      </w:r>
      <w:r>
        <w:rPr>
          <w:rFonts w:ascii="Segoe UI Symbol" w:eastAsia="Segoe UI Symbol" w:hAnsi="Segoe UI Symbol" w:cs="Segoe UI Symbol"/>
          <w:sz w:val="20"/>
        </w:rPr>
        <w:t></w:t>
      </w:r>
      <w:r>
        <w:rPr>
          <w:color w:val="000080"/>
          <w:u w:val="single" w:color="000080"/>
        </w:rPr>
        <w:t xml:space="preserve"> 2.3. Descripción del contexto municipal    .....................................</w:t>
      </w:r>
      <w:r>
        <w:rPr>
          <w:color w:val="000080"/>
          <w:u w:val="single" w:color="000080"/>
        </w:rPr>
        <w:t>..............................                                                                           275</w:t>
      </w:r>
    </w:p>
    <w:p w:rsidR="00E23B86" w:rsidRDefault="00BA7C13">
      <w:pPr>
        <w:numPr>
          <w:ilvl w:val="0"/>
          <w:numId w:val="140"/>
        </w:numPr>
        <w:spacing w:after="152" w:line="257" w:lineRule="auto"/>
        <w:ind w:right="1" w:hanging="841"/>
        <w:jc w:val="both"/>
      </w:pPr>
      <w:r>
        <w:rPr>
          <w:noProof/>
        </w:rPr>
        <mc:AlternateContent>
          <mc:Choice Requires="wpg">
            <w:drawing>
              <wp:anchor distT="0" distB="0" distL="114300" distR="114300" simplePos="0" relativeHeight="2519633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1384" name="Group 57138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8308" name="Rectangle 4830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8309" name="Rectangle 4830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w:t>
                              </w:r>
                              <w:r>
                                <w:rPr>
                                  <w:rFonts w:ascii="Arial" w:eastAsia="Arial" w:hAnsi="Arial" w:cs="Arial"/>
                                  <w:sz w:val="12"/>
                                </w:rPr>
                                <w:t xml:space="preserve">plataforma esPublico Gestiona | Página 296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1384" style="width:12.7031pt;height:280.35pt;position:absolute;mso-position-horizontal-relative:page;mso-position-horizontal:absolute;margin-left:681.958pt;mso-position-vertical-relative:page;margin-top:531.65pt;" coordsize="1613,35604">
                <v:rect id="Rectangle 4830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830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296 de 391 </w:t>
                        </w:r>
                      </w:p>
                    </w:txbxContent>
                  </v:textbox>
                </v:rect>
                <w10:wrap type="square"/>
              </v:group>
            </w:pict>
          </mc:Fallback>
        </mc:AlternateContent>
      </w:r>
      <w:r>
        <w:rPr>
          <w:color w:val="000080"/>
          <w:u w:val="single" w:color="000080"/>
        </w:rPr>
        <w:t>2.3.1. Contexto demográfico y laboral  .........................................................................                                                                                  276</w:t>
      </w:r>
    </w:p>
    <w:p w:rsidR="00E23B86" w:rsidRDefault="00BA7C13">
      <w:pPr>
        <w:numPr>
          <w:ilvl w:val="0"/>
          <w:numId w:val="140"/>
        </w:numPr>
        <w:spacing w:after="154" w:line="257" w:lineRule="auto"/>
        <w:ind w:right="1" w:hanging="841"/>
        <w:jc w:val="both"/>
      </w:pPr>
      <w:r>
        <w:rPr>
          <w:color w:val="000080"/>
          <w:u w:val="single" w:color="000080"/>
        </w:rPr>
        <w:t>2.4. Re</w:t>
      </w:r>
      <w:r>
        <w:rPr>
          <w:color w:val="000080"/>
          <w:u w:val="single" w:color="000080"/>
        </w:rPr>
        <w:t>comendaciones para el diseño del IV Plan    .....................................................                                                           280</w:t>
      </w:r>
    </w:p>
    <w:p w:rsidR="00E23B86" w:rsidRDefault="00BA7C13">
      <w:pPr>
        <w:numPr>
          <w:ilvl w:val="0"/>
          <w:numId w:val="140"/>
        </w:numPr>
        <w:spacing w:after="143" w:line="249" w:lineRule="auto"/>
        <w:ind w:right="1" w:hanging="841"/>
        <w:jc w:val="both"/>
      </w:pPr>
      <w:r>
        <w:rPr>
          <w:b/>
          <w:color w:val="000080"/>
          <w:u w:val="single" w:color="000080"/>
        </w:rPr>
        <w:t>10.LOS PRINCIPIOS DEL IV PLAN  .................................................................</w:t>
      </w:r>
      <w:r>
        <w:rPr>
          <w:b/>
          <w:color w:val="000080"/>
          <w:u w:val="single" w:color="000080"/>
        </w:rPr>
        <w:t>.............                                                                                           281</w:t>
      </w:r>
    </w:p>
    <w:p w:rsidR="00E23B86" w:rsidRDefault="00BA7C13">
      <w:pPr>
        <w:numPr>
          <w:ilvl w:val="0"/>
          <w:numId w:val="140"/>
        </w:numPr>
        <w:spacing w:after="145" w:line="249" w:lineRule="auto"/>
        <w:ind w:right="1" w:hanging="841"/>
        <w:jc w:val="both"/>
      </w:pPr>
      <w:r>
        <w:rPr>
          <w:b/>
          <w:color w:val="000080"/>
          <w:u w:val="single" w:color="000080"/>
        </w:rPr>
        <w:t xml:space="preserve">11.CAMPO DE ACTUACIÓN  ....................................................................................                                         </w:t>
      </w:r>
      <w:r>
        <w:rPr>
          <w:b/>
          <w:color w:val="000080"/>
          <w:u w:val="single" w:color="000080"/>
        </w:rPr>
        <w:t xml:space="preserve">                                                          282</w:t>
      </w:r>
    </w:p>
    <w:p w:rsidR="00E23B86" w:rsidRDefault="00BA7C13">
      <w:pPr>
        <w:numPr>
          <w:ilvl w:val="0"/>
          <w:numId w:val="140"/>
        </w:numPr>
        <w:spacing w:after="9" w:line="249" w:lineRule="auto"/>
        <w:ind w:right="1" w:hanging="841"/>
        <w:jc w:val="both"/>
      </w:pPr>
      <w:r>
        <w:rPr>
          <w:b/>
          <w:color w:val="000080"/>
          <w:u w:val="single" w:color="000080"/>
        </w:rPr>
        <w:t xml:space="preserve">12.META Y OBJETIVOS GENERALES DEL IV PLAN SOBRE ADICCIONES DE CANDELARIA  </w:t>
      </w:r>
    </w:p>
    <w:p w:rsidR="00E23B86" w:rsidRDefault="00BA7C13">
      <w:pPr>
        <w:spacing w:after="145" w:line="249" w:lineRule="auto"/>
        <w:ind w:left="353" w:hanging="8"/>
      </w:pPr>
      <w:r>
        <w:rPr>
          <w:b/>
          <w:color w:val="000080"/>
          <w:u w:val="single" w:color="000080"/>
        </w:rPr>
        <w:t xml:space="preserve">................................................................................................................................                                                                                                                                </w:t>
      </w:r>
      <w:r>
        <w:rPr>
          <w:b/>
          <w:color w:val="000080"/>
          <w:u w:val="single" w:color="000080"/>
        </w:rPr>
        <w:t xml:space="preserve">                     283</w:t>
      </w:r>
    </w:p>
    <w:p w:rsidR="00E23B86" w:rsidRDefault="00BA7C13">
      <w:pPr>
        <w:numPr>
          <w:ilvl w:val="0"/>
          <w:numId w:val="140"/>
        </w:numPr>
        <w:spacing w:after="143" w:line="249" w:lineRule="auto"/>
        <w:ind w:right="1" w:hanging="841"/>
        <w:jc w:val="both"/>
      </w:pPr>
      <w:r>
        <w:rPr>
          <w:b/>
          <w:color w:val="000080"/>
          <w:u w:val="single" w:color="000080"/>
        </w:rPr>
        <w:t>13.ÁREAS DE ACTUACIÓN  .......................................................................................                                                                                                     283</w:t>
      </w:r>
    </w:p>
    <w:p w:rsidR="00E23B86" w:rsidRDefault="00BA7C13">
      <w:pPr>
        <w:numPr>
          <w:ilvl w:val="0"/>
          <w:numId w:val="140"/>
        </w:numPr>
        <w:spacing w:after="154" w:line="257" w:lineRule="auto"/>
        <w:ind w:right="1" w:hanging="841"/>
        <w:jc w:val="both"/>
      </w:pPr>
      <w:r>
        <w:rPr>
          <w:color w:val="000080"/>
          <w:u w:val="single" w:color="000080"/>
        </w:rPr>
        <w:t>6.1. ÁREA DE PRE</w:t>
      </w:r>
      <w:r>
        <w:rPr>
          <w:color w:val="000080"/>
          <w:u w:val="single" w:color="000080"/>
        </w:rPr>
        <w:t>VENCIÓN Y SENSIBILIZACIÓN  ..........................................................                                                                 284</w:t>
      </w:r>
    </w:p>
    <w:p w:rsidR="00E23B86" w:rsidRDefault="00BA7C13">
      <w:pPr>
        <w:numPr>
          <w:ilvl w:val="0"/>
          <w:numId w:val="140"/>
        </w:numPr>
        <w:spacing w:after="152" w:line="257" w:lineRule="auto"/>
        <w:ind w:right="1" w:hanging="841"/>
        <w:jc w:val="both"/>
      </w:pPr>
      <w:r>
        <w:rPr>
          <w:color w:val="000080"/>
          <w:u w:val="single" w:color="000080"/>
        </w:rPr>
        <w:t>6.1.1. Ámbito Educativo  .............................................................................</w:t>
      </w:r>
      <w:r>
        <w:rPr>
          <w:color w:val="000080"/>
          <w:u w:val="single" w:color="000080"/>
        </w:rPr>
        <w:t>.................                                                                                                         284</w:t>
      </w:r>
    </w:p>
    <w:p w:rsidR="00E23B86" w:rsidRDefault="00BA7C13">
      <w:pPr>
        <w:numPr>
          <w:ilvl w:val="0"/>
          <w:numId w:val="140"/>
        </w:numPr>
        <w:spacing w:after="154" w:line="257" w:lineRule="auto"/>
        <w:ind w:right="1" w:hanging="841"/>
        <w:jc w:val="both"/>
      </w:pPr>
      <w:r>
        <w:rPr>
          <w:color w:val="000080"/>
          <w:u w:val="single" w:color="000080"/>
        </w:rPr>
        <w:t xml:space="preserve">6.1.2. Ámbito Familiar .................................................................................................          </w:t>
      </w:r>
      <w:r>
        <w:rPr>
          <w:color w:val="000080"/>
          <w:u w:val="single" w:color="000080"/>
        </w:rPr>
        <w:t xml:space="preserve">                                                                                                   285</w:t>
      </w:r>
    </w:p>
    <w:p w:rsidR="00E23B86" w:rsidRDefault="00BA7C13">
      <w:pPr>
        <w:numPr>
          <w:ilvl w:val="0"/>
          <w:numId w:val="140"/>
        </w:numPr>
        <w:spacing w:after="152" w:line="257" w:lineRule="auto"/>
        <w:ind w:right="1" w:hanging="841"/>
        <w:jc w:val="both"/>
      </w:pPr>
      <w:r>
        <w:rPr>
          <w:color w:val="000080"/>
          <w:u w:val="single" w:color="000080"/>
        </w:rPr>
        <w:t xml:space="preserve">6.1.3. Ámbito Comunitario  .........................................................................................                                     </w:t>
      </w:r>
      <w:r>
        <w:rPr>
          <w:color w:val="000080"/>
          <w:u w:val="single" w:color="000080"/>
        </w:rPr>
        <w:t xml:space="preserve">                                                               286</w:t>
      </w:r>
    </w:p>
    <w:p w:rsidR="00E23B86" w:rsidRDefault="00BA7C13">
      <w:pPr>
        <w:numPr>
          <w:ilvl w:val="0"/>
          <w:numId w:val="140"/>
        </w:numPr>
        <w:spacing w:after="154" w:line="257" w:lineRule="auto"/>
        <w:ind w:right="1" w:hanging="841"/>
        <w:jc w:val="both"/>
      </w:pPr>
      <w:r>
        <w:rPr>
          <w:color w:val="000080"/>
          <w:u w:val="single" w:color="000080"/>
        </w:rPr>
        <w:t>6.2. ÁREA DE INSERCIÓN SOCIAL .................................................................................</w:t>
      </w:r>
      <w:r>
        <w:rPr>
          <w:color w:val="000080"/>
          <w:u w:val="single" w:color="000080"/>
        </w:rPr>
        <w:t xml:space="preserve">                                                                                            289</w:t>
      </w:r>
    </w:p>
    <w:p w:rsidR="00E23B86" w:rsidRDefault="00BA7C13">
      <w:pPr>
        <w:numPr>
          <w:ilvl w:val="0"/>
          <w:numId w:val="140"/>
        </w:numPr>
        <w:spacing w:after="152" w:line="257" w:lineRule="auto"/>
        <w:ind w:right="1" w:hanging="841"/>
        <w:jc w:val="both"/>
      </w:pPr>
      <w:r>
        <w:rPr>
          <w:color w:val="000080"/>
          <w:u w:val="single" w:color="000080"/>
        </w:rPr>
        <w:t xml:space="preserve">13.3.ÁREA DE SOPORTE Y APOYO ...............................................................................                                                    </w:t>
      </w:r>
      <w:r>
        <w:rPr>
          <w:color w:val="000080"/>
          <w:u w:val="single" w:color="000080"/>
        </w:rPr>
        <w:t xml:space="preserve">                                      290</w:t>
      </w:r>
    </w:p>
    <w:p w:rsidR="00E23B86" w:rsidRDefault="00BA7C13">
      <w:pPr>
        <w:numPr>
          <w:ilvl w:val="0"/>
          <w:numId w:val="140"/>
        </w:numPr>
        <w:spacing w:after="145" w:line="249" w:lineRule="auto"/>
        <w:ind w:right="1" w:hanging="841"/>
        <w:jc w:val="both"/>
      </w:pPr>
      <w:r>
        <w:rPr>
          <w:b/>
          <w:color w:val="000080"/>
          <w:u w:val="single" w:color="000080"/>
        </w:rPr>
        <w:t>14.COORDINACIÓN DE LAS ACTUACIONES DEL IV PLAN  ...........................................                                                290</w:t>
      </w:r>
    </w:p>
    <w:p w:rsidR="00E23B86" w:rsidRDefault="00BA7C13">
      <w:pPr>
        <w:numPr>
          <w:ilvl w:val="0"/>
          <w:numId w:val="140"/>
        </w:numPr>
        <w:spacing w:after="152" w:line="257" w:lineRule="auto"/>
        <w:ind w:right="1" w:hanging="841"/>
        <w:jc w:val="both"/>
      </w:pPr>
      <w:r>
        <w:rPr>
          <w:color w:val="000080"/>
          <w:u w:val="single" w:color="000080"/>
        </w:rPr>
        <w:t>7.1. Comisión Municipal de Prevención de Adicciones de Candelaria  ....</w:t>
      </w:r>
      <w:r>
        <w:rPr>
          <w:color w:val="000080"/>
          <w:u w:val="single" w:color="000080"/>
        </w:rPr>
        <w:t>.....................                           291</w:t>
      </w:r>
    </w:p>
    <w:p w:rsidR="00E23B86" w:rsidRDefault="00BA7C13">
      <w:pPr>
        <w:numPr>
          <w:ilvl w:val="0"/>
          <w:numId w:val="140"/>
        </w:numPr>
        <w:spacing w:after="154" w:line="257" w:lineRule="auto"/>
        <w:ind w:right="1" w:hanging="841"/>
        <w:jc w:val="both"/>
      </w:pPr>
      <w:r>
        <w:rPr>
          <w:color w:val="000080"/>
          <w:u w:val="single" w:color="000080"/>
        </w:rPr>
        <w:t>7.2. Comisión Mixta de Prevención de Adicciones de Candelaria ................................                                    291</w:t>
      </w:r>
    </w:p>
    <w:p w:rsidR="00E23B86" w:rsidRDefault="00BA7C13">
      <w:pPr>
        <w:numPr>
          <w:ilvl w:val="0"/>
          <w:numId w:val="140"/>
        </w:numPr>
        <w:spacing w:after="143" w:line="249" w:lineRule="auto"/>
        <w:ind w:right="1" w:hanging="841"/>
        <w:jc w:val="both"/>
      </w:pPr>
      <w:r>
        <w:rPr>
          <w:b/>
          <w:color w:val="000080"/>
          <w:u w:val="single" w:color="000080"/>
        </w:rPr>
        <w:t>15.RECURSOS DEL IV PLAN   ............................................</w:t>
      </w:r>
      <w:r>
        <w:rPr>
          <w:b/>
          <w:color w:val="000080"/>
          <w:u w:val="single" w:color="000080"/>
        </w:rPr>
        <w:t>.........................................                                                                                                  292</w:t>
      </w:r>
    </w:p>
    <w:p w:rsidR="00E23B86" w:rsidRDefault="00BA7C13">
      <w:pPr>
        <w:numPr>
          <w:ilvl w:val="0"/>
          <w:numId w:val="140"/>
        </w:numPr>
        <w:spacing w:after="109" w:line="249" w:lineRule="auto"/>
        <w:ind w:right="1" w:hanging="841"/>
        <w:jc w:val="both"/>
      </w:pPr>
      <w:r>
        <w:rPr>
          <w:b/>
          <w:color w:val="000080"/>
          <w:u w:val="single" w:color="000080"/>
        </w:rPr>
        <w:t>16.EVALUACIÓN Y SEGUIMIENTO DEL PLAN  ............................................................</w:t>
      </w:r>
      <w:r>
        <w:rPr>
          <w:b/>
          <w:color w:val="000080"/>
          <w:u w:val="single" w:color="000080"/>
        </w:rPr>
        <w:t xml:space="preserve">                                                                     293</w:t>
      </w:r>
    </w:p>
    <w:p w:rsidR="00E23B86" w:rsidRDefault="00BA7C13">
      <w:pPr>
        <w:spacing w:after="9" w:line="249" w:lineRule="auto"/>
        <w:ind w:left="353" w:hanging="8"/>
      </w:pPr>
      <w:r>
        <w:rPr>
          <w:b/>
          <w:color w:val="000080"/>
          <w:u w:val="single" w:color="000080"/>
        </w:rPr>
        <w:t xml:space="preserve">1. COMPETENCIAS DEL AYUNTAMIENTO EN MATERIA DE PREVENCIÓN DE </w:t>
      </w:r>
    </w:p>
    <w:p w:rsidR="00E23B86" w:rsidRDefault="00BA7C13">
      <w:pPr>
        <w:spacing w:after="143" w:line="249" w:lineRule="auto"/>
        <w:ind w:left="353" w:hanging="8"/>
      </w:pPr>
      <w:r>
        <w:rPr>
          <w:b/>
          <w:color w:val="000080"/>
          <w:u w:val="single" w:color="000080"/>
        </w:rPr>
        <w:t xml:space="preserve"> DROGODEPENDENCIAS.  ..........................................................................................          </w:t>
      </w:r>
      <w:r>
        <w:rPr>
          <w:b/>
          <w:color w:val="000080"/>
          <w:u w:val="single" w:color="000080"/>
        </w:rPr>
        <w:t xml:space="preserve">                                                                                              305</w:t>
      </w:r>
    </w:p>
    <w:p w:rsidR="00E23B86" w:rsidRDefault="00BA7C13">
      <w:pPr>
        <w:numPr>
          <w:ilvl w:val="0"/>
          <w:numId w:val="140"/>
        </w:numPr>
        <w:spacing w:after="9" w:line="249" w:lineRule="auto"/>
        <w:ind w:right="1" w:hanging="841"/>
        <w:jc w:val="both"/>
      </w:pPr>
      <w:r>
        <w:rPr>
          <w:b/>
          <w:color w:val="000080"/>
          <w:u w:val="single" w:color="000080"/>
        </w:rPr>
        <w:t xml:space="preserve">2. ANÁLISIS DE LA PROBLEMÁTICA Y APROXIMACIÓN EPIDEMIOLÓGICA Y </w:t>
      </w:r>
    </w:p>
    <w:p w:rsidR="00E23B86" w:rsidRDefault="00BA7C13">
      <w:pPr>
        <w:spacing w:after="143" w:line="249" w:lineRule="auto"/>
        <w:ind w:left="353" w:hanging="8"/>
      </w:pPr>
      <w:r>
        <w:rPr>
          <w:b/>
          <w:color w:val="000080"/>
          <w:u w:val="single" w:color="000080"/>
        </w:rPr>
        <w:t xml:space="preserve"> CONTEXTUAL DE LAS ADICCIONES EN EL AMBITO MUNICIPAL   ...............................        </w:t>
      </w:r>
      <w:r>
        <w:rPr>
          <w:b/>
          <w:color w:val="000080"/>
          <w:u w:val="single" w:color="000080"/>
        </w:rPr>
        <w:t xml:space="preserve">                           305</w:t>
      </w:r>
    </w:p>
    <w:p w:rsidR="00E23B86" w:rsidRDefault="00BA7C13">
      <w:pPr>
        <w:numPr>
          <w:ilvl w:val="0"/>
          <w:numId w:val="140"/>
        </w:numPr>
        <w:spacing w:after="2" w:line="257" w:lineRule="auto"/>
        <w:ind w:right="1" w:hanging="841"/>
        <w:jc w:val="both"/>
      </w:pPr>
      <w:r>
        <w:rPr>
          <w:color w:val="000080"/>
          <w:u w:val="single" w:color="000080"/>
        </w:rPr>
        <w:t>2.1. Resultados de la evaluación del III Plan Municipal sobre Drogodependencias (2013-</w:t>
      </w:r>
    </w:p>
    <w:p w:rsidR="00E23B86" w:rsidRDefault="00BA7C13">
      <w:pPr>
        <w:spacing w:after="152" w:line="257" w:lineRule="auto"/>
        <w:ind w:left="368" w:hanging="10"/>
      </w:pPr>
      <w:r>
        <w:rPr>
          <w:color w:val="000080"/>
          <w:u w:val="single" w:color="000080"/>
        </w:rPr>
        <w:t xml:space="preserve"> 2017)  ..........................................................................................................................        </w:t>
      </w:r>
      <w:r>
        <w:rPr>
          <w:color w:val="000080"/>
          <w:u w:val="single" w:color="000080"/>
        </w:rPr>
        <w:t xml:space="preserve">                                                                                                                                 306</w:t>
      </w:r>
    </w:p>
    <w:p w:rsidR="00E23B86" w:rsidRDefault="00BA7C13">
      <w:pPr>
        <w:numPr>
          <w:ilvl w:val="0"/>
          <w:numId w:val="140"/>
        </w:numPr>
        <w:spacing w:after="2" w:line="257" w:lineRule="auto"/>
        <w:ind w:right="1" w:hanging="841"/>
        <w:jc w:val="both"/>
      </w:pPr>
      <w:r>
        <w:rPr>
          <w:color w:val="000080"/>
          <w:u w:val="single" w:color="000080"/>
        </w:rPr>
        <w:t xml:space="preserve">2.2. La prevalencia del consumo en Canarias e indicaciones para la planificación de las </w:t>
      </w:r>
    </w:p>
    <w:p w:rsidR="00E23B86" w:rsidRDefault="00BA7C13">
      <w:pPr>
        <w:spacing w:after="2" w:line="393" w:lineRule="auto"/>
        <w:ind w:left="-15" w:firstLine="358"/>
      </w:pPr>
      <w:r>
        <w:rPr>
          <w:color w:val="000080"/>
          <w:u w:val="single" w:color="000080"/>
        </w:rPr>
        <w:t xml:space="preserve"> acciones de prevención e inserció</w:t>
      </w:r>
      <w:r>
        <w:rPr>
          <w:color w:val="000080"/>
          <w:u w:val="single" w:color="000080"/>
        </w:rPr>
        <w:t xml:space="preserve">n.   ..........................................................................                                                                                   307 </w:t>
      </w:r>
      <w:r>
        <w:rPr>
          <w:rFonts w:ascii="Segoe UI Symbol" w:eastAsia="Segoe UI Symbol" w:hAnsi="Segoe UI Symbol" w:cs="Segoe UI Symbol"/>
          <w:sz w:val="20"/>
        </w:rPr>
        <w:t></w:t>
      </w:r>
      <w:r>
        <w:rPr>
          <w:color w:val="000080"/>
          <w:u w:val="single" w:color="000080"/>
        </w:rPr>
        <w:t xml:space="preserve"> 2.3. Descripción del contexto municipal    .............................................</w:t>
      </w:r>
      <w:r>
        <w:rPr>
          <w:color w:val="000080"/>
          <w:u w:val="single" w:color="000080"/>
        </w:rPr>
        <w:t>......................                                                                           308</w:t>
      </w:r>
    </w:p>
    <w:p w:rsidR="00E23B86" w:rsidRDefault="00BA7C13">
      <w:pPr>
        <w:numPr>
          <w:ilvl w:val="0"/>
          <w:numId w:val="140"/>
        </w:numPr>
        <w:spacing w:after="152" w:line="257" w:lineRule="auto"/>
        <w:ind w:right="1" w:hanging="841"/>
        <w:jc w:val="both"/>
      </w:pPr>
      <w:r>
        <w:rPr>
          <w:color w:val="000080"/>
          <w:u w:val="single" w:color="000080"/>
        </w:rPr>
        <w:t xml:space="preserve">2.3.1. Contexto demográfico y laboral  .........................................................................                                           </w:t>
      </w:r>
      <w:r>
        <w:rPr>
          <w:color w:val="000080"/>
          <w:u w:val="single" w:color="000080"/>
        </w:rPr>
        <w:t xml:space="preserve">                                       309</w:t>
      </w:r>
    </w:p>
    <w:p w:rsidR="00E23B86" w:rsidRDefault="00BA7C13">
      <w:pPr>
        <w:numPr>
          <w:ilvl w:val="0"/>
          <w:numId w:val="140"/>
        </w:numPr>
        <w:spacing w:after="154" w:line="257" w:lineRule="auto"/>
        <w:ind w:right="1" w:hanging="841"/>
        <w:jc w:val="both"/>
      </w:pPr>
      <w:r>
        <w:rPr>
          <w:color w:val="000080"/>
          <w:u w:val="single" w:color="000080"/>
        </w:rPr>
        <w:t>2.4. Recomendaciones para el diseño del IV Plan    .....................................................                                                           313</w:t>
      </w:r>
    </w:p>
    <w:p w:rsidR="00E23B86" w:rsidRDefault="00BA7C13">
      <w:pPr>
        <w:numPr>
          <w:ilvl w:val="0"/>
          <w:numId w:val="140"/>
        </w:numPr>
        <w:spacing w:after="143" w:line="249" w:lineRule="auto"/>
        <w:ind w:right="1" w:hanging="841"/>
        <w:jc w:val="both"/>
      </w:pPr>
      <w:r>
        <w:rPr>
          <w:b/>
          <w:color w:val="000080"/>
          <w:u w:val="single" w:color="000080"/>
        </w:rPr>
        <w:t xml:space="preserve">17.LOS PRINCIPIOS DEL IV PLAN  </w:t>
      </w:r>
      <w:r>
        <w:rPr>
          <w:b/>
          <w:color w:val="000080"/>
          <w:u w:val="single" w:color="000080"/>
        </w:rPr>
        <w:t>..............................................................................                                                                                           314</w:t>
      </w:r>
    </w:p>
    <w:p w:rsidR="00E23B86" w:rsidRDefault="00BA7C13">
      <w:pPr>
        <w:numPr>
          <w:ilvl w:val="0"/>
          <w:numId w:val="140"/>
        </w:numPr>
        <w:spacing w:after="145" w:line="249" w:lineRule="auto"/>
        <w:ind w:right="1" w:hanging="841"/>
        <w:jc w:val="both"/>
      </w:pPr>
      <w:r>
        <w:rPr>
          <w:b/>
          <w:color w:val="000080"/>
          <w:u w:val="single" w:color="000080"/>
        </w:rPr>
        <w:t>18.CAMPO DE ACTUACIÓN  ............................................................</w:t>
      </w:r>
      <w:r>
        <w:rPr>
          <w:b/>
          <w:color w:val="000080"/>
          <w:u w:val="single" w:color="000080"/>
        </w:rPr>
        <w:t>........................                                                                                                   315</w:t>
      </w:r>
    </w:p>
    <w:p w:rsidR="00E23B86" w:rsidRDefault="00BA7C13">
      <w:pPr>
        <w:numPr>
          <w:ilvl w:val="0"/>
          <w:numId w:val="140"/>
        </w:numPr>
        <w:spacing w:after="9" w:line="249" w:lineRule="auto"/>
        <w:ind w:right="1" w:hanging="841"/>
        <w:jc w:val="both"/>
      </w:pPr>
      <w:r>
        <w:rPr>
          <w:b/>
          <w:color w:val="000080"/>
          <w:u w:val="single" w:color="000080"/>
        </w:rPr>
        <w:t xml:space="preserve">19.META Y OBJETIVOS GENERALES DEL IV PLAN SOBRE ADICCIONES DE CANDELARIA  </w:t>
      </w:r>
    </w:p>
    <w:p w:rsidR="00E23B86" w:rsidRDefault="00BA7C13">
      <w:pPr>
        <w:spacing w:after="145" w:line="249" w:lineRule="auto"/>
        <w:ind w:left="353" w:hanging="8"/>
      </w:pPr>
      <w:r>
        <w:rPr>
          <w:b/>
          <w:color w:val="000080"/>
          <w:u w:val="single" w:color="000080"/>
        </w:rPr>
        <w:t xml:space="preserve"> .....................................................</w:t>
      </w:r>
      <w:r>
        <w:rPr>
          <w:b/>
          <w:color w:val="000080"/>
          <w:u w:val="single" w:color="000080"/>
        </w:rPr>
        <w:t>...........................................................................                                                                                                                                                    316</w:t>
      </w:r>
    </w:p>
    <w:p w:rsidR="00E23B86" w:rsidRDefault="00BA7C13">
      <w:pPr>
        <w:numPr>
          <w:ilvl w:val="0"/>
          <w:numId w:val="140"/>
        </w:numPr>
        <w:spacing w:after="143" w:line="249" w:lineRule="auto"/>
        <w:ind w:right="1" w:hanging="841"/>
        <w:jc w:val="both"/>
      </w:pPr>
      <w:r>
        <w:rPr>
          <w:b/>
          <w:color w:val="000080"/>
          <w:u w:val="single" w:color="000080"/>
        </w:rPr>
        <w:t>20.ÁREAS DE ACTUACIÓN  ......</w:t>
      </w:r>
      <w:r>
        <w:rPr>
          <w:b/>
          <w:color w:val="000080"/>
          <w:u w:val="single" w:color="000080"/>
        </w:rPr>
        <w:t>.................................................................................                                                                                                     316</w:t>
      </w:r>
    </w:p>
    <w:p w:rsidR="00E23B86" w:rsidRDefault="00BA7C13">
      <w:pPr>
        <w:numPr>
          <w:ilvl w:val="0"/>
          <w:numId w:val="140"/>
        </w:numPr>
        <w:spacing w:after="154" w:line="257" w:lineRule="auto"/>
        <w:ind w:right="1" w:hanging="841"/>
        <w:jc w:val="both"/>
      </w:pPr>
      <w:r>
        <w:rPr>
          <w:color w:val="000080"/>
          <w:u w:val="single" w:color="000080"/>
        </w:rPr>
        <w:t>6.1. ÁREA DE PREVENCIÓN Y SENSIBILIZACIÓN ............................</w:t>
      </w:r>
      <w:r>
        <w:rPr>
          <w:color w:val="000080"/>
          <w:u w:val="single" w:color="000080"/>
        </w:rPr>
        <w:t>..............................                                                                  316</w:t>
      </w:r>
    </w:p>
    <w:p w:rsidR="00E23B86" w:rsidRDefault="00BA7C13">
      <w:pPr>
        <w:numPr>
          <w:ilvl w:val="0"/>
          <w:numId w:val="140"/>
        </w:numPr>
        <w:spacing w:after="152" w:line="257" w:lineRule="auto"/>
        <w:ind w:right="1" w:hanging="841"/>
        <w:jc w:val="both"/>
      </w:pPr>
      <w:r>
        <w:rPr>
          <w:color w:val="000080"/>
          <w:u w:val="single" w:color="000080"/>
        </w:rPr>
        <w:t xml:space="preserve">6.1.1. Ámbito Educativo  ..............................................................................................                                     </w:t>
      </w:r>
      <w:r>
        <w:rPr>
          <w:color w:val="000080"/>
          <w:u w:val="single" w:color="000080"/>
        </w:rPr>
        <w:t xml:space="preserve">                                                                    317</w:t>
      </w:r>
    </w:p>
    <w:p w:rsidR="00E23B86" w:rsidRDefault="00BA7C13">
      <w:pPr>
        <w:numPr>
          <w:ilvl w:val="0"/>
          <w:numId w:val="140"/>
        </w:numPr>
        <w:spacing w:after="154" w:line="257" w:lineRule="auto"/>
        <w:ind w:right="1" w:hanging="841"/>
        <w:jc w:val="both"/>
      </w:pPr>
      <w:r>
        <w:rPr>
          <w:noProof/>
        </w:rPr>
        <mc:AlternateContent>
          <mc:Choice Requires="wpg">
            <w:drawing>
              <wp:anchor distT="0" distB="0" distL="114300" distR="114300" simplePos="0" relativeHeight="2519644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3698" name="Group 57369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8785" name="Rectangle 4878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8786" name="Rectangle 4878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Págin</w:t>
                              </w:r>
                              <w:r>
                                <w:rPr>
                                  <w:rFonts w:ascii="Arial" w:eastAsia="Arial" w:hAnsi="Arial" w:cs="Arial"/>
                                  <w:sz w:val="12"/>
                                </w:rPr>
                                <w:t xml:space="preserve">a 297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3698" style="width:12.7031pt;height:280.35pt;position:absolute;mso-position-horizontal-relative:page;mso-position-horizontal:absolute;margin-left:681.958pt;mso-position-vertical-relative:page;margin-top:531.65pt;" coordsize="1613,35604">
                <v:rect id="Rectangle 4878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878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297 de 391 </w:t>
                        </w:r>
                      </w:p>
                    </w:txbxContent>
                  </v:textbox>
                </v:rect>
                <w10:wrap type="square"/>
              </v:group>
            </w:pict>
          </mc:Fallback>
        </mc:AlternateContent>
      </w:r>
      <w:r>
        <w:rPr>
          <w:color w:val="000080"/>
          <w:u w:val="single" w:color="000080"/>
        </w:rPr>
        <w:t>6.1.2. Ámbito Familiar  .................................................................................................                                                                                                            318</w:t>
      </w:r>
    </w:p>
    <w:p w:rsidR="00E23B86" w:rsidRDefault="00BA7C13">
      <w:pPr>
        <w:numPr>
          <w:ilvl w:val="0"/>
          <w:numId w:val="140"/>
        </w:numPr>
        <w:spacing w:after="152" w:line="257" w:lineRule="auto"/>
        <w:ind w:right="1" w:hanging="841"/>
        <w:jc w:val="both"/>
      </w:pPr>
      <w:r>
        <w:rPr>
          <w:color w:val="000080"/>
          <w:u w:val="single" w:color="000080"/>
        </w:rPr>
        <w:t>6.1.3. Ámbito Comunitario  .........................................................................................                                                                                                    319</w:t>
      </w:r>
    </w:p>
    <w:p w:rsidR="00E23B86" w:rsidRDefault="00BA7C13">
      <w:pPr>
        <w:numPr>
          <w:ilvl w:val="0"/>
          <w:numId w:val="140"/>
        </w:numPr>
        <w:spacing w:after="154" w:line="257" w:lineRule="auto"/>
        <w:ind w:right="1" w:hanging="841"/>
        <w:jc w:val="both"/>
      </w:pPr>
      <w:r>
        <w:rPr>
          <w:color w:val="000080"/>
          <w:u w:val="single" w:color="000080"/>
        </w:rPr>
        <w:t>6.2. ÁREA DE INSERCIÓN SOCIAL ......</w:t>
      </w:r>
      <w:r>
        <w:rPr>
          <w:color w:val="000080"/>
          <w:u w:val="single" w:color="000080"/>
        </w:rPr>
        <w:t>...........................................................................                                                                                            321</w:t>
      </w:r>
    </w:p>
    <w:p w:rsidR="00E23B86" w:rsidRDefault="00BA7C13">
      <w:pPr>
        <w:numPr>
          <w:ilvl w:val="0"/>
          <w:numId w:val="140"/>
        </w:numPr>
        <w:spacing w:after="152" w:line="257" w:lineRule="auto"/>
        <w:ind w:right="1" w:hanging="841"/>
        <w:jc w:val="both"/>
      </w:pPr>
      <w:r>
        <w:rPr>
          <w:color w:val="000080"/>
          <w:u w:val="single" w:color="000080"/>
        </w:rPr>
        <w:t>20.3.REA DE SOPORTE Y APOYO .........................................................</w:t>
      </w:r>
      <w:r>
        <w:rPr>
          <w:color w:val="000080"/>
          <w:u w:val="single" w:color="000080"/>
        </w:rPr>
        <w:t>........................                                                                                            322</w:t>
      </w:r>
    </w:p>
    <w:p w:rsidR="00E23B86" w:rsidRDefault="00BA7C13">
      <w:pPr>
        <w:numPr>
          <w:ilvl w:val="0"/>
          <w:numId w:val="140"/>
        </w:numPr>
        <w:spacing w:after="145" w:line="249" w:lineRule="auto"/>
        <w:ind w:right="1" w:hanging="841"/>
        <w:jc w:val="both"/>
      </w:pPr>
      <w:r>
        <w:rPr>
          <w:b/>
          <w:color w:val="000080"/>
          <w:u w:val="single" w:color="000080"/>
        </w:rPr>
        <w:t xml:space="preserve">21.COORDINACIÓN DE LAS ACTUACIONES DEL IV PLAN  ...........................................                                             </w:t>
      </w:r>
      <w:r>
        <w:rPr>
          <w:b/>
          <w:color w:val="000080"/>
          <w:u w:val="single" w:color="000080"/>
        </w:rPr>
        <w:t xml:space="preserve">   323</w:t>
      </w:r>
    </w:p>
    <w:p w:rsidR="00E23B86" w:rsidRDefault="00BA7C13">
      <w:pPr>
        <w:numPr>
          <w:ilvl w:val="0"/>
          <w:numId w:val="140"/>
        </w:numPr>
        <w:spacing w:after="152" w:line="257" w:lineRule="auto"/>
        <w:ind w:right="1" w:hanging="841"/>
        <w:jc w:val="both"/>
      </w:pPr>
      <w:r>
        <w:rPr>
          <w:color w:val="000080"/>
          <w:u w:val="single" w:color="000080"/>
        </w:rPr>
        <w:t>7.1. Comisión Municipal de Prevención de Adicciones de Candelaria  .........................                           323</w:t>
      </w:r>
    </w:p>
    <w:p w:rsidR="00E23B86" w:rsidRDefault="00BA7C13">
      <w:pPr>
        <w:numPr>
          <w:ilvl w:val="0"/>
          <w:numId w:val="140"/>
        </w:numPr>
        <w:spacing w:after="154" w:line="257" w:lineRule="auto"/>
        <w:ind w:right="1" w:hanging="841"/>
        <w:jc w:val="both"/>
      </w:pPr>
      <w:r>
        <w:rPr>
          <w:color w:val="000080"/>
          <w:u w:val="single" w:color="000080"/>
        </w:rPr>
        <w:t xml:space="preserve">7.2. Comisión Mixta de Prevención de Adicciones de Candelaria  ................................                               </w:t>
      </w:r>
      <w:r>
        <w:rPr>
          <w:color w:val="000080"/>
          <w:u w:val="single" w:color="000080"/>
        </w:rPr>
        <w:t xml:space="preserve">    323</w:t>
      </w:r>
    </w:p>
    <w:p w:rsidR="00E23B86" w:rsidRDefault="00BA7C13">
      <w:pPr>
        <w:numPr>
          <w:ilvl w:val="0"/>
          <w:numId w:val="140"/>
        </w:numPr>
        <w:spacing w:after="143" w:line="249" w:lineRule="auto"/>
        <w:ind w:right="1" w:hanging="841"/>
        <w:jc w:val="both"/>
      </w:pPr>
      <w:r>
        <w:rPr>
          <w:b/>
          <w:color w:val="000080"/>
          <w:u w:val="single" w:color="000080"/>
        </w:rPr>
        <w:t>22.RECURSOS DEL IV PLAN   .....................................................................................                                                                                                  324</w:t>
      </w:r>
    </w:p>
    <w:p w:rsidR="00E23B86" w:rsidRDefault="00BA7C13">
      <w:pPr>
        <w:numPr>
          <w:ilvl w:val="0"/>
          <w:numId w:val="140"/>
        </w:numPr>
        <w:spacing w:after="145" w:line="249" w:lineRule="auto"/>
        <w:ind w:right="1" w:hanging="841"/>
        <w:jc w:val="both"/>
      </w:pPr>
      <w:r>
        <w:rPr>
          <w:b/>
          <w:color w:val="000080"/>
          <w:u w:val="single" w:color="000080"/>
        </w:rPr>
        <w:t>23.EVALUACIÓN Y SEGUIMIENTO DEL PLAN ............................................................                                                                      325</w:t>
      </w:r>
    </w:p>
    <w:p w:rsidR="00E23B86" w:rsidRDefault="00BA7C13">
      <w:pPr>
        <w:numPr>
          <w:ilvl w:val="0"/>
          <w:numId w:val="140"/>
        </w:numPr>
        <w:spacing w:after="2" w:line="257" w:lineRule="auto"/>
        <w:ind w:right="1" w:hanging="841"/>
        <w:jc w:val="both"/>
      </w:pPr>
      <w:r>
        <w:rPr>
          <w:color w:val="000080"/>
          <w:u w:val="single" w:color="000080"/>
        </w:rPr>
        <w:t xml:space="preserve">III. Ley Orgánica 1/1996, de 15 de enero, de protección jurídica del menor, de </w:t>
      </w:r>
    </w:p>
    <w:p w:rsidR="00E23B86" w:rsidRDefault="00BA7C13">
      <w:pPr>
        <w:spacing w:after="154" w:line="257" w:lineRule="auto"/>
        <w:ind w:left="368" w:hanging="10"/>
      </w:pPr>
      <w:r>
        <w:rPr>
          <w:color w:val="000080"/>
          <w:u w:val="single" w:color="000080"/>
        </w:rPr>
        <w:t xml:space="preserve"> modi</w:t>
      </w:r>
      <w:r>
        <w:rPr>
          <w:color w:val="000080"/>
          <w:u w:val="single" w:color="000080"/>
        </w:rPr>
        <w:t>ficación del Código Civil y de la Ley de Enjuiciamiento Civil  ................................                                   336</w:t>
      </w:r>
    </w:p>
    <w:p w:rsidR="00E23B86" w:rsidRDefault="00BA7C13">
      <w:pPr>
        <w:numPr>
          <w:ilvl w:val="0"/>
          <w:numId w:val="140"/>
        </w:numPr>
        <w:spacing w:after="152" w:line="257" w:lineRule="auto"/>
        <w:ind w:right="1" w:hanging="841"/>
        <w:jc w:val="both"/>
      </w:pPr>
      <w:r>
        <w:rPr>
          <w:color w:val="000080"/>
          <w:u w:val="single" w:color="000080"/>
        </w:rPr>
        <w:t xml:space="preserve">Derechos del menor ....................................................................................................   </w:t>
      </w:r>
      <w:r>
        <w:rPr>
          <w:color w:val="000080"/>
          <w:u w:val="single" w:color="000080"/>
        </w:rPr>
        <w:t xml:space="preserve">                                                                                                              336</w:t>
      </w:r>
    </w:p>
    <w:p w:rsidR="00E23B86" w:rsidRDefault="00BA7C13">
      <w:pPr>
        <w:numPr>
          <w:ilvl w:val="0"/>
          <w:numId w:val="140"/>
        </w:numPr>
        <w:spacing w:after="154" w:line="257" w:lineRule="auto"/>
        <w:ind w:right="1" w:hanging="841"/>
        <w:jc w:val="both"/>
      </w:pPr>
      <w:r>
        <w:rPr>
          <w:color w:val="000080"/>
          <w:u w:val="single" w:color="000080"/>
        </w:rPr>
        <w:t>IV.- Ley 1/1997, de 7 de febrero, de atención integral a los menores  ..........................                            341</w:t>
      </w:r>
    </w:p>
    <w:p w:rsidR="00E23B86" w:rsidRDefault="00BA7C13">
      <w:pPr>
        <w:numPr>
          <w:ilvl w:val="0"/>
          <w:numId w:val="140"/>
        </w:numPr>
        <w:spacing w:after="2" w:line="257" w:lineRule="auto"/>
        <w:ind w:right="1" w:hanging="841"/>
        <w:jc w:val="both"/>
      </w:pPr>
      <w:r>
        <w:rPr>
          <w:color w:val="000080"/>
          <w:u w:val="single" w:color="000080"/>
        </w:rPr>
        <w:t>V.- Ley Orgáni</w:t>
      </w:r>
      <w:r>
        <w:rPr>
          <w:color w:val="000080"/>
          <w:u w:val="single" w:color="000080"/>
        </w:rPr>
        <w:t xml:space="preserve">ca 3/2018, de 5 de diciembre, de Protección de Datos Personales y </w:t>
      </w:r>
    </w:p>
    <w:p w:rsidR="00E23B86" w:rsidRDefault="00BA7C13">
      <w:pPr>
        <w:spacing w:after="154" w:line="257" w:lineRule="auto"/>
        <w:ind w:left="368" w:hanging="10"/>
      </w:pPr>
      <w:r>
        <w:rPr>
          <w:color w:val="000080"/>
          <w:u w:val="single" w:color="000080"/>
        </w:rPr>
        <w:t xml:space="preserve"> garantía de los derechos digitales  ................................................................................                                                                        </w:t>
      </w:r>
      <w:r>
        <w:rPr>
          <w:color w:val="000080"/>
          <w:u w:val="single" w:color="000080"/>
        </w:rPr>
        <w:t xml:space="preserve">                 343</w:t>
      </w:r>
    </w:p>
    <w:p w:rsidR="00E23B86" w:rsidRDefault="00BA7C13">
      <w:pPr>
        <w:numPr>
          <w:ilvl w:val="0"/>
          <w:numId w:val="140"/>
        </w:numPr>
        <w:spacing w:after="152" w:line="257" w:lineRule="auto"/>
        <w:ind w:right="1" w:hanging="841"/>
        <w:jc w:val="both"/>
      </w:pPr>
      <w:r>
        <w:rPr>
          <w:color w:val="000080"/>
          <w:u w:val="single" w:color="000080"/>
        </w:rPr>
        <w:t>Ley 7/1985, de 2 de abril, reguladora de las Bases del Régimen Local ........................                           344</w:t>
      </w:r>
    </w:p>
    <w:p w:rsidR="00E23B86" w:rsidRDefault="00BA7C13">
      <w:pPr>
        <w:numPr>
          <w:ilvl w:val="0"/>
          <w:numId w:val="140"/>
        </w:numPr>
        <w:spacing w:after="154" w:line="257" w:lineRule="auto"/>
        <w:ind w:right="1" w:hanging="841"/>
        <w:jc w:val="both"/>
      </w:pPr>
      <w:r>
        <w:rPr>
          <w:color w:val="000080"/>
          <w:u w:val="single" w:color="000080"/>
        </w:rPr>
        <w:t>Ley 7/2015, de 1 de abril, de los municipios de Canarias  ............................................</w:t>
      </w:r>
      <w:r>
        <w:rPr>
          <w:color w:val="000080"/>
          <w:u w:val="single" w:color="000080"/>
        </w:rPr>
        <w:t xml:space="preserve">                                                 344</w:t>
      </w:r>
    </w:p>
    <w:p w:rsidR="00E23B86" w:rsidRDefault="00BA7C13">
      <w:pPr>
        <w:numPr>
          <w:ilvl w:val="0"/>
          <w:numId w:val="140"/>
        </w:numPr>
        <w:spacing w:after="154" w:line="257" w:lineRule="auto"/>
        <w:ind w:right="1" w:hanging="841"/>
        <w:jc w:val="both"/>
      </w:pPr>
      <w:r>
        <w:rPr>
          <w:color w:val="000080"/>
          <w:u w:val="single" w:color="000080"/>
        </w:rPr>
        <w:t>Ley 1/1997, de 7 de febrero, de atención integral a los menores ...............................                                   345  Ley 7/1985, de 2 de abril, reguladora de las Bases del Régimen Local</w:t>
      </w:r>
      <w:r>
        <w:rPr>
          <w:color w:val="000080"/>
          <w:u w:val="single" w:color="000080"/>
        </w:rPr>
        <w:t xml:space="preserve">  ........................                          345</w:t>
      </w:r>
    </w:p>
    <w:p w:rsidR="00E23B86" w:rsidRDefault="00BA7C13">
      <w:pPr>
        <w:numPr>
          <w:ilvl w:val="0"/>
          <w:numId w:val="140"/>
        </w:numPr>
        <w:spacing w:after="152" w:line="257" w:lineRule="auto"/>
        <w:ind w:right="1" w:hanging="841"/>
        <w:jc w:val="both"/>
      </w:pPr>
      <w:r>
        <w:rPr>
          <w:color w:val="000080"/>
          <w:u w:val="single" w:color="000080"/>
        </w:rPr>
        <w:t>Ley 7/2015, de 1 de abril, de los municipios de Canarias  ............................................                                                 345</w:t>
      </w:r>
    </w:p>
    <w:p w:rsidR="00E23B86" w:rsidRDefault="00BA7C13">
      <w:pPr>
        <w:numPr>
          <w:ilvl w:val="0"/>
          <w:numId w:val="140"/>
        </w:numPr>
        <w:spacing w:after="2" w:line="257" w:lineRule="auto"/>
        <w:ind w:right="1" w:hanging="841"/>
        <w:jc w:val="both"/>
      </w:pPr>
      <w:r>
        <w:rPr>
          <w:color w:val="000080"/>
          <w:u w:val="single" w:color="000080"/>
        </w:rPr>
        <w:t xml:space="preserve">III. Ley Orgánica 1/1996, de 15 de enero, de </w:t>
      </w:r>
      <w:r>
        <w:rPr>
          <w:color w:val="000080"/>
          <w:u w:val="single" w:color="000080"/>
        </w:rPr>
        <w:t xml:space="preserve">protección jurídica del menor, de </w:t>
      </w:r>
    </w:p>
    <w:p w:rsidR="00E23B86" w:rsidRDefault="00BA7C13">
      <w:pPr>
        <w:spacing w:after="150"/>
        <w:ind w:left="10" w:right="2" w:hanging="10"/>
        <w:jc w:val="right"/>
      </w:pPr>
      <w:r>
        <w:rPr>
          <w:color w:val="000080"/>
          <w:u w:val="single" w:color="000080"/>
        </w:rPr>
        <w:t xml:space="preserve"> modificación del Código Civil y de la Ley de Enjuiciamiento Civil  ................................                                   357</w:t>
      </w:r>
    </w:p>
    <w:p w:rsidR="00E23B86" w:rsidRDefault="00BA7C13">
      <w:pPr>
        <w:numPr>
          <w:ilvl w:val="0"/>
          <w:numId w:val="140"/>
        </w:numPr>
        <w:spacing w:after="154" w:line="257" w:lineRule="auto"/>
        <w:ind w:right="1" w:hanging="841"/>
        <w:jc w:val="both"/>
      </w:pPr>
      <w:r>
        <w:rPr>
          <w:color w:val="000080"/>
          <w:u w:val="single" w:color="000080"/>
        </w:rPr>
        <w:t>Derechos del menor  ..............................................................</w:t>
      </w:r>
      <w:r>
        <w:rPr>
          <w:color w:val="000080"/>
          <w:u w:val="single" w:color="000080"/>
        </w:rPr>
        <w:t>......................................                                                                                                                357</w:t>
      </w:r>
    </w:p>
    <w:p w:rsidR="00E23B86" w:rsidRDefault="00BA7C13">
      <w:pPr>
        <w:numPr>
          <w:ilvl w:val="0"/>
          <w:numId w:val="140"/>
        </w:numPr>
        <w:spacing w:after="152" w:line="257" w:lineRule="auto"/>
        <w:ind w:right="1" w:hanging="841"/>
        <w:jc w:val="both"/>
      </w:pPr>
      <w:r>
        <w:rPr>
          <w:color w:val="000080"/>
          <w:u w:val="single" w:color="000080"/>
        </w:rPr>
        <w:t xml:space="preserve">IV.- Ley 1/1997, de 7 de febrero, de atención integral a los menores  ..........................      </w:t>
      </w:r>
      <w:r>
        <w:rPr>
          <w:color w:val="000080"/>
          <w:u w:val="single" w:color="000080"/>
        </w:rPr>
        <w:t xml:space="preserve">                      362</w:t>
      </w:r>
    </w:p>
    <w:p w:rsidR="00E23B86" w:rsidRDefault="00BA7C13">
      <w:pPr>
        <w:numPr>
          <w:ilvl w:val="0"/>
          <w:numId w:val="140"/>
        </w:numPr>
        <w:spacing w:after="2" w:line="257" w:lineRule="auto"/>
        <w:ind w:right="1" w:hanging="841"/>
        <w:jc w:val="both"/>
      </w:pPr>
      <w:r>
        <w:rPr>
          <w:color w:val="000080"/>
          <w:u w:val="single" w:color="000080"/>
        </w:rPr>
        <w:t xml:space="preserve">V.- Ley Orgánica 3/2018, de 5 de diciembre, de Protección de Datos Personales y </w:t>
      </w:r>
    </w:p>
    <w:p w:rsidR="00E23B86" w:rsidRDefault="00BA7C13">
      <w:pPr>
        <w:spacing w:after="150"/>
        <w:ind w:left="10" w:right="2" w:hanging="10"/>
        <w:jc w:val="right"/>
      </w:pPr>
      <w:r>
        <w:rPr>
          <w:color w:val="000080"/>
          <w:u w:val="single" w:color="000080"/>
        </w:rPr>
        <w:t xml:space="preserve"> garantía de los derechos digitales  ................................................................................                                </w:t>
      </w:r>
      <w:r>
        <w:rPr>
          <w:color w:val="000080"/>
          <w:u w:val="single" w:color="000080"/>
        </w:rPr>
        <w:t xml:space="preserve">                                                         364</w:t>
      </w:r>
    </w:p>
    <w:p w:rsidR="00E23B86" w:rsidRDefault="00BA7C13">
      <w:pPr>
        <w:numPr>
          <w:ilvl w:val="0"/>
          <w:numId w:val="140"/>
        </w:numPr>
        <w:spacing w:after="154" w:line="257" w:lineRule="auto"/>
        <w:ind w:right="1" w:hanging="841"/>
        <w:jc w:val="both"/>
      </w:pPr>
      <w:r>
        <w:rPr>
          <w:color w:val="000080"/>
          <w:u w:val="single" w:color="000080"/>
        </w:rPr>
        <w:t>Ley 7/1985, de 2 de abril, reguladora de las Bases del Régimen Local  ........................                          365</w:t>
      </w:r>
    </w:p>
    <w:p w:rsidR="00E23B86" w:rsidRDefault="00BA7C13">
      <w:pPr>
        <w:numPr>
          <w:ilvl w:val="0"/>
          <w:numId w:val="140"/>
        </w:numPr>
        <w:spacing w:after="152" w:line="257" w:lineRule="auto"/>
        <w:ind w:right="1" w:hanging="841"/>
        <w:jc w:val="both"/>
      </w:pPr>
      <w:r>
        <w:rPr>
          <w:color w:val="000080"/>
          <w:u w:val="single" w:color="000080"/>
        </w:rPr>
        <w:t>Ley 7/2015, de 1 de abril, de los municipios de Canarias  .............</w:t>
      </w:r>
      <w:r>
        <w:rPr>
          <w:color w:val="000080"/>
          <w:u w:val="single" w:color="000080"/>
        </w:rPr>
        <w:t>...............................                                                 365</w:t>
      </w:r>
    </w:p>
    <w:p w:rsidR="00E23B86" w:rsidRDefault="00BA7C13">
      <w:pPr>
        <w:numPr>
          <w:ilvl w:val="0"/>
          <w:numId w:val="140"/>
        </w:numPr>
        <w:spacing w:after="154" w:line="257" w:lineRule="auto"/>
        <w:ind w:right="1" w:hanging="841"/>
        <w:jc w:val="both"/>
      </w:pPr>
      <w:r>
        <w:rPr>
          <w:color w:val="000080"/>
          <w:u w:val="single" w:color="000080"/>
        </w:rPr>
        <w:t>Ley 1/1997, de 7 de febrero, de atención integral a los menores  ...............................                                  366</w:t>
      </w:r>
    </w:p>
    <w:p w:rsidR="00E23B86" w:rsidRDefault="00BA7C13">
      <w:pPr>
        <w:numPr>
          <w:ilvl w:val="0"/>
          <w:numId w:val="140"/>
        </w:numPr>
        <w:spacing w:after="152" w:line="257" w:lineRule="auto"/>
        <w:ind w:right="1" w:hanging="841"/>
        <w:jc w:val="both"/>
      </w:pPr>
      <w:r>
        <w:rPr>
          <w:color w:val="000080"/>
          <w:u w:val="single" w:color="000080"/>
        </w:rPr>
        <w:t xml:space="preserve">Ley 7/1985, de 2 de abril, reguladora </w:t>
      </w:r>
      <w:r>
        <w:rPr>
          <w:color w:val="000080"/>
          <w:u w:val="single" w:color="000080"/>
        </w:rPr>
        <w:t>de las Bases del Régimen Local ........................                           366</w:t>
      </w:r>
    </w:p>
    <w:p w:rsidR="00E23B86" w:rsidRDefault="00BA7C13">
      <w:pPr>
        <w:numPr>
          <w:ilvl w:val="0"/>
          <w:numId w:val="140"/>
        </w:numPr>
        <w:spacing w:after="154" w:line="257" w:lineRule="auto"/>
        <w:ind w:right="1" w:hanging="841"/>
        <w:jc w:val="both"/>
      </w:pPr>
      <w:r>
        <w:rPr>
          <w:color w:val="000080"/>
          <w:u w:val="single" w:color="000080"/>
        </w:rPr>
        <w:t>Ley 7/2015, de 1 de abril, de los municipios de Canarias ............................................                                                  367</w:t>
      </w:r>
    </w:p>
    <w:p w:rsidR="00E23B86" w:rsidRDefault="00BA7C13">
      <w:pPr>
        <w:numPr>
          <w:ilvl w:val="0"/>
          <w:numId w:val="140"/>
        </w:numPr>
        <w:spacing w:after="143" w:line="249" w:lineRule="auto"/>
        <w:ind w:right="1" w:hanging="841"/>
        <w:jc w:val="both"/>
      </w:pPr>
      <w:r>
        <w:rPr>
          <w:b/>
          <w:color w:val="000080"/>
          <w:u w:val="single" w:color="000080"/>
        </w:rPr>
        <w:t>5.MOCIÓN CON CA</w:t>
      </w:r>
      <w:r>
        <w:rPr>
          <w:b/>
          <w:color w:val="000080"/>
          <w:u w:val="single" w:color="000080"/>
        </w:rPr>
        <w:t>RÁCTER DE URGENTE DE CC-PNC ...............................................                                                       380</w:t>
      </w:r>
    </w:p>
    <w:p w:rsidR="00E23B86" w:rsidRDefault="00BA7C13">
      <w:pPr>
        <w:numPr>
          <w:ilvl w:val="0"/>
          <w:numId w:val="140"/>
        </w:numPr>
        <w:spacing w:after="109" w:line="249" w:lineRule="auto"/>
        <w:ind w:right="1" w:hanging="841"/>
        <w:jc w:val="both"/>
      </w:pPr>
      <w:r>
        <w:rPr>
          <w:b/>
          <w:color w:val="000080"/>
          <w:u w:val="single" w:color="000080"/>
        </w:rPr>
        <w:t>6.EN EL GRUPO MUNICIPAL MIXTO  .........................................................................</w:t>
      </w:r>
      <w:r>
        <w:rPr>
          <w:b/>
          <w:color w:val="000080"/>
          <w:u w:val="single" w:color="000080"/>
        </w:rPr>
        <w:t xml:space="preserve">                                                                                     380</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654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2196" name="Group 57219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079" name="Rectangle 4907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080" name="Rectangle 4908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w:t>
                              </w:r>
                              <w:r>
                                <w:rPr>
                                  <w:rFonts w:ascii="Arial" w:eastAsia="Arial" w:hAnsi="Arial" w:cs="Arial"/>
                                  <w:sz w:val="12"/>
                                </w:rPr>
                                <w:t xml:space="preserve"> Gestiona | Página 298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2196" style="width:12.7031pt;height:280.35pt;position:absolute;mso-position-horizontal-relative:page;mso-position-horizontal:absolute;margin-left:681.958pt;mso-position-vertical-relative:page;margin-top:531.65pt;" coordsize="1613,35604">
                <v:rect id="Rectangle 4907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08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298 de 391 </w:t>
                        </w:r>
                      </w:p>
                    </w:txbxContent>
                  </v:textbox>
                </v:rect>
                <w10:wrap type="square"/>
              </v:group>
            </w:pict>
          </mc:Fallback>
        </mc:AlternateContent>
      </w:r>
      <w:r>
        <w:rPr>
          <w:rFonts w:ascii="Arial" w:eastAsia="Arial" w:hAnsi="Arial" w:cs="Arial"/>
          <w:i/>
        </w:rPr>
        <w:t>Este documento denominado IV Plan Municipal de Prevención de Adicciones de Candelaria (2019-2023), es un instrumento de trabajo técnico que define las políticas sociales públicas de prevención de adicciones, a llevar a cabo e</w:t>
      </w:r>
      <w:r>
        <w:rPr>
          <w:rFonts w:ascii="Arial" w:eastAsia="Arial" w:hAnsi="Arial" w:cs="Arial"/>
          <w:i/>
        </w:rPr>
        <w:t>n el espacio local.</w:t>
      </w:r>
    </w:p>
    <w:p w:rsidR="00E23B86" w:rsidRDefault="00BA7C13">
      <w:pPr>
        <w:numPr>
          <w:ilvl w:val="0"/>
          <w:numId w:val="140"/>
        </w:numPr>
        <w:spacing w:after="111" w:line="251" w:lineRule="auto"/>
        <w:ind w:right="1" w:hanging="841"/>
        <w:jc w:val="both"/>
      </w:pPr>
      <w:r>
        <w:rPr>
          <w:rFonts w:ascii="Arial" w:eastAsia="Arial" w:hAnsi="Arial" w:cs="Arial"/>
          <w:i/>
        </w:rPr>
        <w:t>El IV Plan Municipal, será el referente de planificación-acción para los próximos cinco años en el municipio, siendo un documento que deberá ser evaluado en su proceso, para ir ajustando las acciones y medidas a las necesidades de la po</w:t>
      </w:r>
      <w:r>
        <w:rPr>
          <w:rFonts w:ascii="Arial" w:eastAsia="Arial" w:hAnsi="Arial" w:cs="Arial"/>
          <w:i/>
        </w:rPr>
        <w:t>blación, así como, la implementación o puesta en marcha de nuevas acciones que se detecten mediante la evaluación e investigación continua.</w:t>
      </w:r>
    </w:p>
    <w:p w:rsidR="00E23B86" w:rsidRDefault="00BA7C13">
      <w:pPr>
        <w:numPr>
          <w:ilvl w:val="0"/>
          <w:numId w:val="140"/>
        </w:numPr>
        <w:spacing w:after="111" w:line="251" w:lineRule="auto"/>
        <w:ind w:right="1" w:hanging="841"/>
        <w:jc w:val="both"/>
      </w:pPr>
      <w:r>
        <w:rPr>
          <w:rFonts w:ascii="Arial" w:eastAsia="Arial" w:hAnsi="Arial" w:cs="Arial"/>
          <w:i/>
        </w:rPr>
        <w:t>El documento se ha estructurado en nueve apartados. El apartado primero recoge y explica las competencias de la Corp</w:t>
      </w:r>
      <w:r>
        <w:rPr>
          <w:rFonts w:ascii="Arial" w:eastAsia="Arial" w:hAnsi="Arial" w:cs="Arial"/>
          <w:i/>
        </w:rPr>
        <w:t>oración Local en materia de prevención e inserción social. En el apartado segundo se desarrolla el análisis de la problemática y aproximación epidemiológica y contextual del riesgo de adicciones en el ámbito municipal. En el tercer apartado recoge los prin</w:t>
      </w:r>
      <w:r>
        <w:rPr>
          <w:rFonts w:ascii="Arial" w:eastAsia="Arial" w:hAnsi="Arial" w:cs="Arial"/>
          <w:i/>
        </w:rPr>
        <w:t>cipios sobre los que se sustenta el IV Plan Municipal y son los definidos desde la Estrategia Nacional sobre Adicciones 2017-2024 y el Plan de Acción sobre Adicciones 2018-2020. En el cuarto apartado se describen el campo de actuación del IV Plan, mientras</w:t>
      </w:r>
      <w:r>
        <w:rPr>
          <w:rFonts w:ascii="Arial" w:eastAsia="Arial" w:hAnsi="Arial" w:cs="Arial"/>
          <w:i/>
        </w:rPr>
        <w:t xml:space="preserve"> que en el quinto y sexto se recoge la meta del IV Plan y los objetivos generales por áreas, respectivamente. </w:t>
      </w:r>
    </w:p>
    <w:p w:rsidR="00E23B86" w:rsidRDefault="00BA7C13">
      <w:pPr>
        <w:numPr>
          <w:ilvl w:val="0"/>
          <w:numId w:val="140"/>
        </w:numPr>
        <w:spacing w:after="111" w:line="251" w:lineRule="auto"/>
        <w:ind w:right="1" w:hanging="841"/>
        <w:jc w:val="both"/>
      </w:pPr>
      <w:r>
        <w:rPr>
          <w:rFonts w:ascii="Arial" w:eastAsia="Arial" w:hAnsi="Arial" w:cs="Arial"/>
          <w:i/>
        </w:rPr>
        <w:t xml:space="preserve">En el apartado sexto, se describen las acciones para cada una de las tres áreas de actuación y sus ámbitos o sectores prioritarios, donde se han </w:t>
      </w:r>
      <w:r>
        <w:rPr>
          <w:rFonts w:ascii="Arial" w:eastAsia="Arial" w:hAnsi="Arial" w:cs="Arial"/>
          <w:i/>
        </w:rPr>
        <w:t xml:space="preserve">diseñado un total de 35 acciones. </w:t>
      </w:r>
    </w:p>
    <w:p w:rsidR="00E23B86" w:rsidRDefault="00BA7C13">
      <w:pPr>
        <w:numPr>
          <w:ilvl w:val="0"/>
          <w:numId w:val="140"/>
        </w:numPr>
        <w:spacing w:after="111" w:line="251" w:lineRule="auto"/>
        <w:ind w:right="1" w:hanging="841"/>
        <w:jc w:val="both"/>
      </w:pPr>
      <w:r>
        <w:rPr>
          <w:rFonts w:ascii="Arial" w:eastAsia="Arial" w:hAnsi="Arial" w:cs="Arial"/>
          <w:i/>
        </w:rPr>
        <w:t>En los tres últimos apartados se recoge el sistema de coordinación y organización del IV Plan (séptimo apartado), así como la descripción de los recursos a emplear (octavo aportado) y los mecanismos de evaluación del IV P</w:t>
      </w:r>
      <w:r>
        <w:rPr>
          <w:rFonts w:ascii="Arial" w:eastAsia="Arial" w:hAnsi="Arial" w:cs="Arial"/>
          <w:i/>
        </w:rPr>
        <w:t xml:space="preserve">lan (noveno apartado). </w:t>
      </w:r>
    </w:p>
    <w:p w:rsidR="00E23B86" w:rsidRDefault="00E23B86">
      <w:pPr>
        <w:sectPr w:rsidR="00E23B86">
          <w:headerReference w:type="even" r:id="rId47"/>
          <w:headerReference w:type="default" r:id="rId48"/>
          <w:footerReference w:type="even" r:id="rId49"/>
          <w:footerReference w:type="default" r:id="rId50"/>
          <w:headerReference w:type="first" r:id="rId51"/>
          <w:footerReference w:type="first" r:id="rId52"/>
          <w:pgSz w:w="14168" w:h="16840"/>
          <w:pgMar w:top="2005" w:right="2827" w:bottom="1433" w:left="3198" w:header="712" w:footer="712" w:gutter="0"/>
          <w:cols w:space="720"/>
        </w:sectPr>
      </w:pPr>
    </w:p>
    <w:tbl>
      <w:tblPr>
        <w:tblStyle w:val="TableGrid"/>
        <w:tblW w:w="8123" w:type="dxa"/>
        <w:tblInd w:w="9" w:type="dxa"/>
        <w:tblCellMar>
          <w:top w:w="37" w:type="dxa"/>
          <w:left w:w="0" w:type="dxa"/>
          <w:bottom w:w="0" w:type="dxa"/>
          <w:right w:w="121" w:type="dxa"/>
        </w:tblCellMar>
        <w:tblLook w:val="04A0" w:firstRow="1" w:lastRow="0" w:firstColumn="1" w:lastColumn="0" w:noHBand="0" w:noVBand="1"/>
      </w:tblPr>
      <w:tblGrid>
        <w:gridCol w:w="351"/>
        <w:gridCol w:w="7772"/>
      </w:tblGrid>
      <w:tr w:rsidR="00E23B86">
        <w:trPr>
          <w:trHeight w:val="585"/>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ind w:left="102" w:hanging="102"/>
              <w:jc w:val="both"/>
            </w:pPr>
            <w:r>
              <w:rPr>
                <w:rFonts w:ascii="Arial" w:eastAsia="Arial" w:hAnsi="Arial" w:cs="Arial"/>
                <w:i/>
              </w:rPr>
              <w:t xml:space="preserve">1. COMPETENCIAS DEL AYUNTAMIENTO EN MATERIA DE PREVENCIÓN DE DROGODEPENDENCIAS. </w:t>
            </w:r>
          </w:p>
        </w:tc>
      </w:tr>
    </w:tbl>
    <w:p w:rsidR="00E23B86" w:rsidRDefault="00BA7C13">
      <w:pPr>
        <w:numPr>
          <w:ilvl w:val="0"/>
          <w:numId w:val="140"/>
        </w:numPr>
        <w:spacing w:after="111" w:line="251" w:lineRule="auto"/>
        <w:ind w:right="1" w:hanging="841"/>
        <w:jc w:val="both"/>
      </w:pPr>
      <w:r>
        <w:rPr>
          <w:rFonts w:ascii="Arial" w:eastAsia="Arial" w:hAnsi="Arial" w:cs="Arial"/>
          <w:i/>
        </w:rPr>
        <w:t>La Ley 9/1998, de 22 de julio, sobre Prevención, Asistencia, e Inserción social en materia de drogodependencias de la Comunidad Autónoma de Canarias, determina las competencias atribuidas en materia de drogodependencias a los municipios, dependiendo del nú</w:t>
      </w:r>
      <w:r>
        <w:rPr>
          <w:rFonts w:ascii="Arial" w:eastAsia="Arial" w:hAnsi="Arial" w:cs="Arial"/>
          <w:i/>
        </w:rPr>
        <w:t>mero de habitantes de los mismos, e indica en su artículo 34 aquellas que le son atribuidas a las Corporaciones Locales que tengan población superior a los 20.000 habitantes.</w:t>
      </w:r>
    </w:p>
    <w:p w:rsidR="00E23B86" w:rsidRDefault="00BA7C13">
      <w:pPr>
        <w:numPr>
          <w:ilvl w:val="0"/>
          <w:numId w:val="140"/>
        </w:numPr>
        <w:spacing w:after="111" w:line="251" w:lineRule="auto"/>
        <w:ind w:right="1" w:hanging="841"/>
        <w:jc w:val="both"/>
      </w:pPr>
      <w:r>
        <w:rPr>
          <w:rFonts w:ascii="Arial" w:eastAsia="Arial" w:hAnsi="Arial" w:cs="Arial"/>
          <w:i/>
        </w:rPr>
        <w:t>El establecimiento de los criterios que regulan la localización, distancia y cara</w:t>
      </w:r>
      <w:r>
        <w:rPr>
          <w:rFonts w:ascii="Arial" w:eastAsia="Arial" w:hAnsi="Arial" w:cs="Arial"/>
          <w:i/>
        </w:rPr>
        <w:t>cterísticas que deberán reunir los establecimientos de suministro y venta de bebidas alcohólicas.</w:t>
      </w:r>
    </w:p>
    <w:p w:rsidR="00E23B86" w:rsidRDefault="00BA7C13">
      <w:pPr>
        <w:numPr>
          <w:ilvl w:val="0"/>
          <w:numId w:val="140"/>
        </w:numPr>
        <w:spacing w:after="111" w:line="251" w:lineRule="auto"/>
        <w:ind w:right="1" w:hanging="841"/>
        <w:jc w:val="both"/>
      </w:pPr>
      <w:r>
        <w:rPr>
          <w:rFonts w:ascii="Arial" w:eastAsia="Arial" w:hAnsi="Arial" w:cs="Arial"/>
          <w:i/>
        </w:rPr>
        <w:t>El otorgamiento de la autorización de apertura a locales o lugares de suministro y venta de bebidas alcohólicas.</w:t>
      </w:r>
    </w:p>
    <w:p w:rsidR="00E23B86" w:rsidRDefault="00BA7C13">
      <w:pPr>
        <w:numPr>
          <w:ilvl w:val="0"/>
          <w:numId w:val="140"/>
        </w:numPr>
        <w:spacing w:after="111" w:line="251" w:lineRule="auto"/>
        <w:ind w:right="1" w:hanging="841"/>
        <w:jc w:val="both"/>
      </w:pPr>
      <w:r>
        <w:rPr>
          <w:rFonts w:ascii="Arial" w:eastAsia="Arial" w:hAnsi="Arial" w:cs="Arial"/>
          <w:i/>
        </w:rPr>
        <w:t>Velar, en el marco de sus competencias, por el cumplimiento de las diferentes medidas de control que se establecen en el título III de esta Ley.</w:t>
      </w:r>
    </w:p>
    <w:p w:rsidR="00E23B86" w:rsidRDefault="00BA7C13">
      <w:pPr>
        <w:numPr>
          <w:ilvl w:val="0"/>
          <w:numId w:val="140"/>
        </w:numPr>
        <w:spacing w:after="111" w:line="251" w:lineRule="auto"/>
        <w:ind w:right="1" w:hanging="841"/>
        <w:jc w:val="both"/>
      </w:pPr>
      <w:r>
        <w:rPr>
          <w:rFonts w:ascii="Arial" w:eastAsia="Arial" w:hAnsi="Arial" w:cs="Arial"/>
          <w:i/>
        </w:rPr>
        <w:t>La colaboración con los sistemas educativo y sanitario en materia de educación para la salud.</w:t>
      </w:r>
    </w:p>
    <w:p w:rsidR="00E23B86" w:rsidRDefault="00BA7C13">
      <w:pPr>
        <w:numPr>
          <w:ilvl w:val="0"/>
          <w:numId w:val="140"/>
        </w:numPr>
        <w:spacing w:after="111" w:line="251" w:lineRule="auto"/>
        <w:ind w:right="1" w:hanging="841"/>
        <w:jc w:val="both"/>
      </w:pPr>
      <w:r>
        <w:rPr>
          <w:rFonts w:ascii="Arial" w:eastAsia="Arial" w:hAnsi="Arial" w:cs="Arial"/>
          <w:i/>
        </w:rPr>
        <w:t>Además de las señ</w:t>
      </w:r>
      <w:r>
        <w:rPr>
          <w:rFonts w:ascii="Arial" w:eastAsia="Arial" w:hAnsi="Arial" w:cs="Arial"/>
          <w:i/>
        </w:rPr>
        <w:t>aladas en el punto anterior, los municipios de más de 20.000 habitantes tienen las siguientes competencias y responsabilidades mínimas:</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664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3028" name="Group 60302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180" name="Rectangle 4918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181" name="Rectangle 4918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w:t>
                              </w:r>
                              <w:r>
                                <w:rPr>
                                  <w:rFonts w:ascii="Arial" w:eastAsia="Arial" w:hAnsi="Arial" w:cs="Arial"/>
                                  <w:sz w:val="12"/>
                                </w:rPr>
                                <w:t xml:space="preserve"> electrónicamente desde la plataforma esPublico Gestiona | Página 299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3028" style="width:12.7031pt;height:280.35pt;position:absolute;mso-position-horizontal-relative:page;mso-position-horizontal:absolute;margin-left:681.958pt;mso-position-vertical-relative:page;margin-top:531.65pt;" coordsize="1613,35604">
                <v:rect id="Rectangle 4918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18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299 de 391 </w:t>
                        </w:r>
                      </w:p>
                    </w:txbxContent>
                  </v:textbox>
                </v:rect>
                <w10:wrap type="square"/>
              </v:group>
            </w:pict>
          </mc:Fallback>
        </mc:AlternateContent>
      </w:r>
      <w:r>
        <w:rPr>
          <w:rFonts w:ascii="Arial" w:eastAsia="Arial" w:hAnsi="Arial" w:cs="Arial"/>
          <w:i/>
        </w:rPr>
        <w:t>La aprobación de Planes Municipales sobre Drogas, elaborados en coordinación y de acuerdo con los criterios y directrices del Plan Canario sobre Drogas, que incluyan programas de</w:t>
      </w:r>
      <w:r>
        <w:rPr>
          <w:rFonts w:ascii="Arial" w:eastAsia="Arial" w:hAnsi="Arial" w:cs="Arial"/>
          <w:i/>
        </w:rPr>
        <w:t xml:space="preserve"> prevención e integración social, así como de información, orientación y motivación de drogodependientes a través de los centros de Servicios Sociales.</w:t>
      </w:r>
    </w:p>
    <w:p w:rsidR="00E23B86" w:rsidRDefault="00BA7C13">
      <w:pPr>
        <w:numPr>
          <w:ilvl w:val="0"/>
          <w:numId w:val="140"/>
        </w:numPr>
        <w:spacing w:after="111" w:line="251" w:lineRule="auto"/>
        <w:ind w:right="1" w:hanging="841"/>
        <w:jc w:val="both"/>
      </w:pPr>
      <w:r>
        <w:rPr>
          <w:rFonts w:ascii="Arial" w:eastAsia="Arial" w:hAnsi="Arial" w:cs="Arial"/>
          <w:i/>
        </w:rPr>
        <w:t>b) La coordinación de los programas de prevención e integración social que se desarrollen exclusivamente</w:t>
      </w:r>
      <w:r>
        <w:rPr>
          <w:rFonts w:ascii="Arial" w:eastAsia="Arial" w:hAnsi="Arial" w:cs="Arial"/>
          <w:i/>
        </w:rPr>
        <w:t xml:space="preserve"> en el ámbito de su municipio.</w:t>
      </w:r>
    </w:p>
    <w:p w:rsidR="00E23B86" w:rsidRDefault="00BA7C13">
      <w:pPr>
        <w:numPr>
          <w:ilvl w:val="0"/>
          <w:numId w:val="140"/>
        </w:numPr>
        <w:spacing w:after="111" w:line="251" w:lineRule="auto"/>
        <w:ind w:right="1" w:hanging="841"/>
        <w:jc w:val="both"/>
      </w:pPr>
      <w:r>
        <w:rPr>
          <w:rFonts w:ascii="Arial" w:eastAsia="Arial" w:hAnsi="Arial" w:cs="Arial"/>
          <w:i/>
        </w:rPr>
        <w:t>c) El apoyo a las asociaciones y entidades que en el municipio desarrollen actividades previstas en el Plan Canario sobre Drogas.</w:t>
      </w:r>
    </w:p>
    <w:p w:rsidR="00E23B86" w:rsidRDefault="00BA7C13">
      <w:pPr>
        <w:numPr>
          <w:ilvl w:val="0"/>
          <w:numId w:val="140"/>
        </w:numPr>
        <w:spacing w:after="111" w:line="251" w:lineRule="auto"/>
        <w:ind w:right="1" w:hanging="841"/>
        <w:jc w:val="both"/>
      </w:pPr>
      <w:r>
        <w:rPr>
          <w:rFonts w:ascii="Arial" w:eastAsia="Arial" w:hAnsi="Arial" w:cs="Arial"/>
          <w:i/>
        </w:rPr>
        <w:t>La formación en materia de drogas del personal propio.</w:t>
      </w:r>
    </w:p>
    <w:p w:rsidR="00E23B86" w:rsidRDefault="00BA7C13">
      <w:pPr>
        <w:spacing w:after="96"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La promoción de la participación socia</w:t>
      </w:r>
      <w:r>
        <w:rPr>
          <w:rFonts w:ascii="Arial" w:eastAsia="Arial" w:hAnsi="Arial" w:cs="Arial"/>
          <w:i/>
        </w:rPr>
        <w:t>l en esta materia en su ámbito territorial.</w:t>
      </w:r>
    </w:p>
    <w:tbl>
      <w:tblPr>
        <w:tblStyle w:val="TableGrid"/>
        <w:tblW w:w="8123" w:type="dxa"/>
        <w:tblInd w:w="9" w:type="dxa"/>
        <w:tblCellMar>
          <w:top w:w="37" w:type="dxa"/>
          <w:left w:w="0" w:type="dxa"/>
          <w:bottom w:w="0" w:type="dxa"/>
          <w:right w:w="110" w:type="dxa"/>
        </w:tblCellMar>
        <w:tblLook w:val="04A0" w:firstRow="1" w:lastRow="0" w:firstColumn="1" w:lastColumn="0" w:noHBand="0" w:noVBand="1"/>
      </w:tblPr>
      <w:tblGrid>
        <w:gridCol w:w="351"/>
        <w:gridCol w:w="7772"/>
      </w:tblGrid>
      <w:tr w:rsidR="00E23B86">
        <w:trPr>
          <w:trHeight w:val="585"/>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ind w:left="102" w:hanging="102"/>
            </w:pPr>
            <w:r>
              <w:rPr>
                <w:rFonts w:ascii="Arial" w:eastAsia="Arial" w:hAnsi="Arial" w:cs="Arial"/>
                <w:i/>
              </w:rPr>
              <w:t xml:space="preserve">2. ANÁLISIS DE LA PROBLEMÁTICA Y APROXIMACIÓN EPIDEMIOLÓGICA Y CONTEXTUAL DE LAS ADICCIONES EN EL AMBITO MUNICIPAL  </w:t>
            </w:r>
          </w:p>
        </w:tc>
      </w:tr>
    </w:tbl>
    <w:p w:rsidR="00E23B86" w:rsidRDefault="00BA7C13">
      <w:pPr>
        <w:numPr>
          <w:ilvl w:val="0"/>
          <w:numId w:val="140"/>
        </w:numPr>
        <w:spacing w:after="273" w:line="251" w:lineRule="auto"/>
        <w:ind w:right="1" w:hanging="841"/>
        <w:jc w:val="both"/>
      </w:pPr>
      <w:r>
        <w:rPr>
          <w:rFonts w:ascii="Arial" w:eastAsia="Arial" w:hAnsi="Arial" w:cs="Arial"/>
          <w:i/>
        </w:rPr>
        <w:t xml:space="preserve">En este apartado se presentan datos necesarios para poder disponer de una aproximación más ajustada a la realidad social municipal.  Primeramente, se resumen los resultados de la evaluación del III Plan Municipal (2013-2017), para, a continuación, incluir </w:t>
      </w:r>
      <w:r>
        <w:rPr>
          <w:rFonts w:ascii="Arial" w:eastAsia="Arial" w:hAnsi="Arial" w:cs="Arial"/>
          <w:i/>
        </w:rPr>
        <w:t xml:space="preserve">los datos de la prevalencia del consumo en Canarias y añadir recomendaciones técnicas para la planificación de la prevención en adicciones. Por último, se muestra una descripción del contexto municipal en el ámbito demográfico, laboral y social, prestando </w:t>
      </w:r>
      <w:r>
        <w:rPr>
          <w:rFonts w:ascii="Arial" w:eastAsia="Arial" w:hAnsi="Arial" w:cs="Arial"/>
          <w:i/>
        </w:rPr>
        <w:t>atención a cuestiones relacionadas con los hábitos saludables de la población del municipio. Además, se presentan las principales conclusiones de un estudio sobre hábitos saludables del alumnado de primaria y secundaria, realizado en el año 2019.</w:t>
      </w:r>
    </w:p>
    <w:p w:rsidR="00E23B86" w:rsidRDefault="00BA7C13">
      <w:pPr>
        <w:numPr>
          <w:ilvl w:val="0"/>
          <w:numId w:val="140"/>
        </w:numPr>
        <w:spacing w:after="8" w:line="251" w:lineRule="auto"/>
        <w:ind w:right="1" w:hanging="841"/>
        <w:jc w:val="both"/>
      </w:pPr>
      <w:r>
        <w:rPr>
          <w:rFonts w:ascii="Arial" w:eastAsia="Arial" w:hAnsi="Arial" w:cs="Arial"/>
          <w:i/>
        </w:rPr>
        <w:t>2.1. Resu</w:t>
      </w:r>
      <w:r>
        <w:rPr>
          <w:rFonts w:ascii="Arial" w:eastAsia="Arial" w:hAnsi="Arial" w:cs="Arial"/>
          <w:i/>
        </w:rPr>
        <w:t>ltados de la evaluación del III Plan Municipal sobre</w:t>
      </w:r>
    </w:p>
    <w:p w:rsidR="00E23B86" w:rsidRDefault="00BA7C13">
      <w:pPr>
        <w:spacing w:after="244" w:line="251" w:lineRule="auto"/>
        <w:ind w:left="355" w:right="573" w:hanging="10"/>
        <w:jc w:val="both"/>
      </w:pPr>
      <w:r>
        <w:rPr>
          <w:rFonts w:ascii="Arial" w:eastAsia="Arial" w:hAnsi="Arial" w:cs="Arial"/>
          <w:i/>
        </w:rPr>
        <w:t xml:space="preserve">Drogodependencias (2013-2017) </w:t>
      </w:r>
    </w:p>
    <w:p w:rsidR="00E23B86" w:rsidRDefault="00BA7C13">
      <w:pPr>
        <w:numPr>
          <w:ilvl w:val="0"/>
          <w:numId w:val="140"/>
        </w:numPr>
        <w:spacing w:after="111" w:line="251" w:lineRule="auto"/>
        <w:ind w:right="1" w:hanging="841"/>
        <w:jc w:val="both"/>
      </w:pPr>
      <w:r>
        <w:rPr>
          <w:rFonts w:ascii="Arial" w:eastAsia="Arial" w:hAnsi="Arial" w:cs="Arial"/>
          <w:i/>
        </w:rPr>
        <w:t xml:space="preserve">Los resultados más relevantes de la evaluación del III Plan Municipal son:  </w:t>
      </w:r>
    </w:p>
    <w:p w:rsidR="00E23B86" w:rsidRDefault="00BA7C13">
      <w:pPr>
        <w:numPr>
          <w:ilvl w:val="0"/>
          <w:numId w:val="140"/>
        </w:numPr>
        <w:spacing w:after="151" w:line="251" w:lineRule="auto"/>
        <w:ind w:right="1" w:hanging="841"/>
        <w:jc w:val="both"/>
      </w:pPr>
      <w:r>
        <w:rPr>
          <w:rFonts w:ascii="Arial" w:eastAsia="Arial" w:hAnsi="Arial" w:cs="Arial"/>
          <w:i/>
        </w:rPr>
        <w:t>Las acciones de prevención escolar llevadas a cabo son periódicas, lo cual hace que estén plena</w:t>
      </w:r>
      <w:r>
        <w:rPr>
          <w:rFonts w:ascii="Arial" w:eastAsia="Arial" w:hAnsi="Arial" w:cs="Arial"/>
          <w:i/>
        </w:rPr>
        <w:t>mente consolidadas, sobre todo las acciones recogidas en los proyectos Renueva-T e Interróga-T. Sin duda, es una estrategia que ha de continuar consolidándose.</w:t>
      </w:r>
    </w:p>
    <w:p w:rsidR="00E23B86" w:rsidRDefault="00BA7C13">
      <w:pPr>
        <w:numPr>
          <w:ilvl w:val="0"/>
          <w:numId w:val="140"/>
        </w:numPr>
        <w:spacing w:after="153" w:line="251" w:lineRule="auto"/>
        <w:ind w:right="1" w:hanging="841"/>
        <w:jc w:val="both"/>
      </w:pPr>
      <w:r>
        <w:rPr>
          <w:rFonts w:ascii="Arial" w:eastAsia="Arial" w:hAnsi="Arial" w:cs="Arial"/>
          <w:i/>
        </w:rPr>
        <w:t>Respecto a las acciones de Prevención de la Concejalía de Servicios Sociales, las acciones con más beneficiarios/as son las dirigidas a prevenir el absentismo escolar. Esta acción es fundamental continuarla, pues gran cantidad de menores se exponen al ries</w:t>
      </w:r>
      <w:r>
        <w:rPr>
          <w:rFonts w:ascii="Arial" w:eastAsia="Arial" w:hAnsi="Arial" w:cs="Arial"/>
          <w:i/>
        </w:rPr>
        <w:t>go de poder consumir algún tipo de sustancia cuando se ausentan de los centros escolares.</w:t>
      </w:r>
    </w:p>
    <w:p w:rsidR="00E23B86" w:rsidRDefault="00BA7C13">
      <w:pPr>
        <w:numPr>
          <w:ilvl w:val="0"/>
          <w:numId w:val="140"/>
        </w:numPr>
        <w:spacing w:after="153" w:line="251" w:lineRule="auto"/>
        <w:ind w:right="1" w:hanging="841"/>
        <w:jc w:val="both"/>
      </w:pPr>
      <w:r>
        <w:rPr>
          <w:rFonts w:ascii="Arial" w:eastAsia="Arial" w:hAnsi="Arial" w:cs="Arial"/>
          <w:i/>
        </w:rPr>
        <w:t xml:space="preserve">Las acciones del resto de Concejalías del Ayuntamiento (Juventud, Deportes) son numerosas, pero en éstas no se aclara si efectivamente, además de entretener a los/as </w:t>
      </w:r>
      <w:r>
        <w:rPr>
          <w:rFonts w:ascii="Arial" w:eastAsia="Arial" w:hAnsi="Arial" w:cs="Arial"/>
          <w:i/>
        </w:rPr>
        <w:t>jóvenes o menores, se implementan medidas dedicadas a la promoción de la salud y prevención del consumo de drogas. Aun así, se destaca la conexión entre dichas Concejalías y la de Servicios Sociales, pues anualmente intercambian información a la hora de el</w:t>
      </w:r>
      <w:r>
        <w:rPr>
          <w:rFonts w:ascii="Arial" w:eastAsia="Arial" w:hAnsi="Arial" w:cs="Arial"/>
          <w:i/>
        </w:rPr>
        <w:t>aborar las memorias.</w:t>
      </w:r>
    </w:p>
    <w:p w:rsidR="00E23B86" w:rsidRDefault="00BA7C13">
      <w:pPr>
        <w:numPr>
          <w:ilvl w:val="0"/>
          <w:numId w:val="140"/>
        </w:numPr>
        <w:spacing w:after="153" w:line="251" w:lineRule="auto"/>
        <w:ind w:right="1" w:hanging="841"/>
        <w:jc w:val="both"/>
      </w:pPr>
      <w:r>
        <w:rPr>
          <w:noProof/>
        </w:rPr>
        <mc:AlternateContent>
          <mc:Choice Requires="wpg">
            <w:drawing>
              <wp:anchor distT="0" distB="0" distL="114300" distR="114300" simplePos="0" relativeHeight="2519674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1871" name="Group 57187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251" name="Rectangle 4925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252" name="Rectangle 4925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300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1871" style="width:12.7031pt;height:280.35pt;position:absolute;mso-position-horizontal-relative:page;mso-position-horizontal:absolute;margin-left:681.958pt;mso-position-vertical-relative:page;margin-top:531.65pt;" coordsize="1613,35604">
                <v:rect id="Rectangle 4925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25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300 de 391 </w:t>
                        </w:r>
                      </w:p>
                    </w:txbxContent>
                  </v:textbox>
                </v:rect>
                <w10:wrap type="square"/>
              </v:group>
            </w:pict>
          </mc:Fallback>
        </mc:AlternateContent>
      </w:r>
      <w:r>
        <w:rPr>
          <w:rFonts w:ascii="Arial" w:eastAsia="Arial" w:hAnsi="Arial" w:cs="Arial"/>
          <w:i/>
        </w:rPr>
        <w:t>En lo referido a las atenciones de personas residentes en la Unidad Municipal de Drogodependencias, casi todas las atenciones son dirigidas a hombres que presentan poli-consumo. Además, las personas que han sido atendidas en alguno de los recursos específi</w:t>
      </w:r>
      <w:r>
        <w:rPr>
          <w:rFonts w:ascii="Arial" w:eastAsia="Arial" w:hAnsi="Arial" w:cs="Arial"/>
          <w:i/>
        </w:rPr>
        <w:t>cos de atención a las drogodependencias durante el año 2016 y 2017 (San Miguel, Proyecto Hombre y Proyecto Drago), fueron en su mayoría por heroína, seguida de alcohol, cannabis y cocaína. En cuanto al perfil mayoritario, la mayor parte fueron hombres en t</w:t>
      </w:r>
      <w:r>
        <w:rPr>
          <w:rFonts w:ascii="Arial" w:eastAsia="Arial" w:hAnsi="Arial" w:cs="Arial"/>
          <w:i/>
        </w:rPr>
        <w:t>odas las drogas y mayores de 40 años.</w:t>
      </w:r>
    </w:p>
    <w:p w:rsidR="00E23B86" w:rsidRDefault="00BA7C13">
      <w:pPr>
        <w:numPr>
          <w:ilvl w:val="0"/>
          <w:numId w:val="140"/>
        </w:numPr>
        <w:spacing w:after="151" w:line="251" w:lineRule="auto"/>
        <w:ind w:right="1" w:hanging="841"/>
        <w:jc w:val="both"/>
      </w:pPr>
      <w:r>
        <w:rPr>
          <w:rFonts w:ascii="Arial" w:eastAsia="Arial" w:hAnsi="Arial" w:cs="Arial"/>
          <w:i/>
        </w:rPr>
        <w:t>En términos presupuestarios, la inversión realizada por la Unidad Municipal es inestable en cuanto a importes, pues varía considerablemente de un año a otro.</w:t>
      </w:r>
    </w:p>
    <w:p w:rsidR="00E23B86" w:rsidRDefault="00BA7C13">
      <w:pPr>
        <w:numPr>
          <w:ilvl w:val="0"/>
          <w:numId w:val="140"/>
        </w:numPr>
        <w:spacing w:after="151" w:line="251" w:lineRule="auto"/>
        <w:ind w:right="1" w:hanging="841"/>
        <w:jc w:val="both"/>
      </w:pPr>
      <w:r>
        <w:rPr>
          <w:rFonts w:ascii="Arial" w:eastAsia="Arial" w:hAnsi="Arial" w:cs="Arial"/>
          <w:i/>
        </w:rPr>
        <w:t>Los Recursos Humanos están compartidos con otras áreas, lo c</w:t>
      </w:r>
      <w:r>
        <w:rPr>
          <w:rFonts w:ascii="Arial" w:eastAsia="Arial" w:hAnsi="Arial" w:cs="Arial"/>
          <w:i/>
        </w:rPr>
        <w:t>ual hace que no dispongan de la dedicación que el área de drogodependencias exige, asumiendo el personal trabajos extra de otras áreas.</w:t>
      </w:r>
    </w:p>
    <w:p w:rsidR="00E23B86" w:rsidRDefault="00BA7C13">
      <w:pPr>
        <w:spacing w:after="12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51" w:line="251" w:lineRule="auto"/>
        <w:ind w:right="1" w:hanging="841"/>
        <w:jc w:val="both"/>
      </w:pPr>
      <w:r>
        <w:rPr>
          <w:rFonts w:ascii="Arial" w:eastAsia="Arial" w:hAnsi="Arial" w:cs="Arial"/>
          <w:i/>
        </w:rPr>
        <w:t>Además de realizar la Evaluación del III Plan, ésta, junto con la estructura del IV Plan, fue presentada a los recurso</w:t>
      </w:r>
      <w:r>
        <w:rPr>
          <w:rFonts w:ascii="Arial" w:eastAsia="Arial" w:hAnsi="Arial" w:cs="Arial"/>
          <w:i/>
        </w:rPr>
        <w:t>s municipales para que realizaran las aportaciones que consideraran que debían ser tenidas en cuenta a la hora de elaborar el presente IV Plan. Dichas aportaciones de los diferentes recursos se caracterizaron por lo siguiente:</w:t>
      </w:r>
    </w:p>
    <w:p w:rsidR="00E23B86" w:rsidRDefault="00BA7C13">
      <w:pPr>
        <w:spacing w:after="12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67" w:line="251" w:lineRule="auto"/>
        <w:ind w:right="1" w:hanging="841"/>
        <w:jc w:val="both"/>
      </w:pPr>
      <w:r>
        <w:rPr>
          <w:rFonts w:ascii="Arial" w:eastAsia="Arial" w:hAnsi="Arial" w:cs="Arial"/>
          <w:i/>
        </w:rPr>
        <w:t>La valoración que hacen las</w:t>
      </w:r>
      <w:r>
        <w:rPr>
          <w:rFonts w:ascii="Arial" w:eastAsia="Arial" w:hAnsi="Arial" w:cs="Arial"/>
          <w:i/>
        </w:rPr>
        <w:t xml:space="preserve"> personas participantes sobre la estructura del documento de propuesta de planificación para el IV Plan Municipal de Prevención de Adicciones (2019-2023) del municipio de Candelaria, les parece adecuada. </w:t>
      </w:r>
    </w:p>
    <w:p w:rsidR="00E23B86" w:rsidRDefault="00BA7C13">
      <w:pPr>
        <w:numPr>
          <w:ilvl w:val="0"/>
          <w:numId w:val="140"/>
        </w:numPr>
        <w:spacing w:after="165" w:line="251" w:lineRule="auto"/>
        <w:ind w:right="1" w:hanging="841"/>
        <w:jc w:val="both"/>
      </w:pPr>
      <w:r>
        <w:rPr>
          <w:rFonts w:ascii="Arial" w:eastAsia="Arial" w:hAnsi="Arial" w:cs="Arial"/>
          <w:i/>
        </w:rPr>
        <w:t>La participación de los recursos municipales propio</w:t>
      </w:r>
      <w:r>
        <w:rPr>
          <w:rFonts w:ascii="Arial" w:eastAsia="Arial" w:hAnsi="Arial" w:cs="Arial"/>
          <w:i/>
        </w:rPr>
        <w:t xml:space="preserve">s y de la comunidad ha sido baja, (pues la tasa de respuesta al documento no ha sido muy elevada), habiéndose enviado en tiempo y forma a los mismos.  </w:t>
      </w:r>
    </w:p>
    <w:p w:rsidR="00E23B86" w:rsidRDefault="00BA7C13">
      <w:pPr>
        <w:numPr>
          <w:ilvl w:val="0"/>
          <w:numId w:val="140"/>
        </w:numPr>
        <w:spacing w:after="165" w:line="251" w:lineRule="auto"/>
        <w:ind w:right="1" w:hanging="841"/>
        <w:jc w:val="both"/>
      </w:pPr>
      <w:r>
        <w:rPr>
          <w:rFonts w:ascii="Arial" w:eastAsia="Arial" w:hAnsi="Arial" w:cs="Arial"/>
          <w:i/>
        </w:rPr>
        <w:t>La valoración percibida sobre otros problemas y/o dificultades, destacan, son los ya expuestos en el dia</w:t>
      </w:r>
      <w:r>
        <w:rPr>
          <w:rFonts w:ascii="Arial" w:eastAsia="Arial" w:hAnsi="Arial" w:cs="Arial"/>
          <w:i/>
        </w:rPr>
        <w:t>gnóstico.</w:t>
      </w:r>
    </w:p>
    <w:p w:rsidR="00E23B86" w:rsidRDefault="00BA7C13">
      <w:pPr>
        <w:numPr>
          <w:ilvl w:val="0"/>
          <w:numId w:val="140"/>
        </w:numPr>
        <w:spacing w:after="165" w:line="251" w:lineRule="auto"/>
        <w:ind w:right="1" w:hanging="841"/>
        <w:jc w:val="both"/>
      </w:pPr>
      <w:r>
        <w:rPr>
          <w:rFonts w:ascii="Arial" w:eastAsia="Arial" w:hAnsi="Arial" w:cs="Arial"/>
          <w:i/>
        </w:rPr>
        <w:t xml:space="preserve">Respecto a las valoraciones/opiniones sobre la información aportada y disponible en el ámbito municipal del documento aportado, es necesario destacar que no se realizan aportaciones relevantes. Las mismas se reiteran en las problemáticas mencionadas en la </w:t>
      </w:r>
      <w:r>
        <w:rPr>
          <w:rFonts w:ascii="Arial" w:eastAsia="Arial" w:hAnsi="Arial" w:cs="Arial"/>
          <w:i/>
        </w:rPr>
        <w:t>evaluación y proponen que mejore la coordinación interna entre áreas municipales a la hora de ofertar recursos, servicios o actividades a la comunidad (escuela, familias, etc.).</w:t>
      </w:r>
    </w:p>
    <w:p w:rsidR="00E23B86" w:rsidRDefault="00BA7C13">
      <w:pPr>
        <w:numPr>
          <w:ilvl w:val="0"/>
          <w:numId w:val="140"/>
        </w:numPr>
        <w:spacing w:after="149" w:line="251" w:lineRule="auto"/>
        <w:ind w:right="1" w:hanging="841"/>
        <w:jc w:val="both"/>
      </w:pPr>
      <w:r>
        <w:rPr>
          <w:rFonts w:ascii="Arial" w:eastAsia="Arial" w:hAnsi="Arial" w:cs="Arial"/>
          <w:i/>
        </w:rPr>
        <w:t>En las propuestas, medidas y sugerencias hechas por los/as participantes, cabe</w:t>
      </w:r>
      <w:r>
        <w:rPr>
          <w:rFonts w:ascii="Arial" w:eastAsia="Arial" w:hAnsi="Arial" w:cs="Arial"/>
          <w:i/>
        </w:rPr>
        <w:t xml:space="preserve"> destacar que las podemos agrupar en varias categorías: </w:t>
      </w:r>
    </w:p>
    <w:p w:rsidR="00E23B86" w:rsidRDefault="00BA7C13">
      <w:pPr>
        <w:numPr>
          <w:ilvl w:val="4"/>
          <w:numId w:val="149"/>
        </w:numPr>
        <w:spacing w:after="148" w:line="251" w:lineRule="auto"/>
        <w:ind w:right="2" w:hanging="360"/>
        <w:jc w:val="both"/>
      </w:pPr>
      <w:r>
        <w:rPr>
          <w:rFonts w:ascii="Arial" w:eastAsia="Arial" w:hAnsi="Arial" w:cs="Arial"/>
          <w:i/>
        </w:rPr>
        <w:t>De tipo preventivo, informativo y educativo:  dirigida a menores, familias y profesionales.</w:t>
      </w:r>
    </w:p>
    <w:p w:rsidR="00E23B86" w:rsidRDefault="00BA7C13">
      <w:pPr>
        <w:numPr>
          <w:ilvl w:val="4"/>
          <w:numId w:val="149"/>
        </w:numPr>
        <w:spacing w:after="215" w:line="328" w:lineRule="auto"/>
        <w:ind w:right="2" w:hanging="360"/>
        <w:jc w:val="both"/>
      </w:pPr>
      <w:r>
        <w:rPr>
          <w:noProof/>
        </w:rPr>
        <mc:AlternateContent>
          <mc:Choice Requires="wpg">
            <w:drawing>
              <wp:anchor distT="0" distB="0" distL="114300" distR="114300" simplePos="0" relativeHeight="2519685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1985" name="Group 57198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316" name="Rectangle 4931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317" name="Rectangle 4931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w:t>
                              </w:r>
                              <w:r>
                                <w:rPr>
                                  <w:rFonts w:ascii="Arial" w:eastAsia="Arial" w:hAnsi="Arial" w:cs="Arial"/>
                                  <w:sz w:val="12"/>
                                </w:rPr>
                                <w:t xml:space="preserve">mento firmado electrónicamente desde la plataforma esPublico Gestiona | Página 301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1985" style="width:12.7031pt;height:280.35pt;position:absolute;mso-position-horizontal-relative:page;mso-position-horizontal:absolute;margin-left:681.958pt;mso-position-vertical-relative:page;margin-top:531.65pt;" coordsize="1613,35604">
                <v:rect id="Rectangle 4931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31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301 de 391 </w:t>
                        </w:r>
                      </w:p>
                    </w:txbxContent>
                  </v:textbox>
                </v:rect>
                <w10:wrap type="square"/>
              </v:group>
            </w:pict>
          </mc:Fallback>
        </mc:AlternateContent>
      </w:r>
      <w:r>
        <w:rPr>
          <w:rFonts w:ascii="Arial" w:eastAsia="Arial" w:hAnsi="Arial" w:cs="Arial"/>
          <w:i/>
        </w:rPr>
        <w:t xml:space="preserve">De tipo organizativo: centrada en la coordinación, evaluación, oferta de servicios y actividades y protocolos de actuación. </w:t>
      </w:r>
      <w:r>
        <w:rPr>
          <w:rFonts w:ascii="Courier New" w:eastAsia="Courier New" w:hAnsi="Courier New" w:cs="Courier New"/>
          <w:sz w:val="20"/>
        </w:rPr>
        <w:t xml:space="preserve">o </w:t>
      </w:r>
      <w:r>
        <w:rPr>
          <w:rFonts w:ascii="Arial" w:eastAsia="Arial" w:hAnsi="Arial" w:cs="Arial"/>
          <w:i/>
        </w:rPr>
        <w:t>De mejora de recursos (incremento de me</w:t>
      </w:r>
      <w:r>
        <w:rPr>
          <w:rFonts w:ascii="Arial" w:eastAsia="Arial" w:hAnsi="Arial" w:cs="Arial"/>
          <w:i/>
        </w:rPr>
        <w:t>dios humanos y materiales).</w:t>
      </w:r>
    </w:p>
    <w:p w:rsidR="00E23B86" w:rsidRDefault="00BA7C13">
      <w:pPr>
        <w:numPr>
          <w:ilvl w:val="0"/>
          <w:numId w:val="140"/>
        </w:numPr>
        <w:spacing w:after="245" w:line="251" w:lineRule="auto"/>
        <w:ind w:right="1" w:hanging="841"/>
        <w:jc w:val="both"/>
      </w:pPr>
      <w:r>
        <w:rPr>
          <w:rFonts w:ascii="Arial" w:eastAsia="Arial" w:hAnsi="Arial" w:cs="Arial"/>
          <w:i/>
        </w:rPr>
        <w:t xml:space="preserve">2.2. La prevalencia del consumo en Canarias e indicaciones para la planificación de las acciones de prevención e inserción.  </w:t>
      </w:r>
    </w:p>
    <w:p w:rsidR="00E23B86" w:rsidRDefault="00BA7C13">
      <w:pPr>
        <w:numPr>
          <w:ilvl w:val="0"/>
          <w:numId w:val="140"/>
        </w:numPr>
        <w:spacing w:after="165" w:line="251" w:lineRule="auto"/>
        <w:ind w:right="1" w:hanging="841"/>
        <w:jc w:val="both"/>
      </w:pPr>
      <w:r>
        <w:rPr>
          <w:rFonts w:ascii="Arial" w:eastAsia="Arial" w:hAnsi="Arial" w:cs="Arial"/>
          <w:i/>
        </w:rPr>
        <w:t>Es preciso conocer cómo está la prevalencia del consumo en Canarias, y así poder establecer comparacio</w:t>
      </w:r>
      <w:r>
        <w:rPr>
          <w:rFonts w:ascii="Arial" w:eastAsia="Arial" w:hAnsi="Arial" w:cs="Arial"/>
          <w:i/>
        </w:rPr>
        <w:t>nes con el escenario municipal y concretar las acciones a llevar a cabo. Los datos de referencia para conocer esa prevalencia proceden de las siguientes fuentes: Encuesta domiciliaria sobre alcohol y drogas en España 2016-2017 (EDADES 2017, población de 15</w:t>
      </w:r>
      <w:r>
        <w:rPr>
          <w:rFonts w:ascii="Arial" w:eastAsia="Arial" w:hAnsi="Arial" w:cs="Arial"/>
          <w:i/>
        </w:rPr>
        <w:t xml:space="preserve"> a 64 años) y la Encuesta sobre el uso de drogas en estudiantes de enseñanzas secundarias en España 2016-2017 (ESTUDES, estudiantes de 14 a 18 años).</w:t>
      </w:r>
    </w:p>
    <w:p w:rsidR="00E23B86" w:rsidRDefault="00BA7C13">
      <w:pPr>
        <w:numPr>
          <w:ilvl w:val="0"/>
          <w:numId w:val="140"/>
        </w:numPr>
        <w:spacing w:after="152" w:line="251" w:lineRule="auto"/>
        <w:ind w:right="1" w:hanging="841"/>
        <w:jc w:val="both"/>
      </w:pPr>
      <w:r>
        <w:rPr>
          <w:rFonts w:ascii="Arial" w:eastAsia="Arial" w:hAnsi="Arial" w:cs="Arial"/>
          <w:i/>
        </w:rPr>
        <w:t>Los datos relevantes para Canarias a destacar son los siguientes:</w:t>
      </w:r>
    </w:p>
    <w:p w:rsidR="00E23B86" w:rsidRDefault="00BA7C13">
      <w:pPr>
        <w:numPr>
          <w:ilvl w:val="0"/>
          <w:numId w:val="140"/>
        </w:numPr>
        <w:spacing w:after="165" w:line="251" w:lineRule="auto"/>
        <w:ind w:right="1" w:hanging="841"/>
        <w:jc w:val="both"/>
      </w:pPr>
      <w:r>
        <w:rPr>
          <w:rFonts w:ascii="Arial" w:eastAsia="Arial" w:hAnsi="Arial" w:cs="Arial"/>
          <w:i/>
        </w:rPr>
        <w:t xml:space="preserve">Sólo un 5,8% de la población declara no </w:t>
      </w:r>
      <w:r>
        <w:rPr>
          <w:rFonts w:ascii="Arial" w:eastAsia="Arial" w:hAnsi="Arial" w:cs="Arial"/>
          <w:i/>
        </w:rPr>
        <w:t>haber consumido alcohol y los hombres declaran un mayor consumo que las mujeres.</w:t>
      </w:r>
    </w:p>
    <w:p w:rsidR="00E23B86" w:rsidRDefault="00BA7C13">
      <w:pPr>
        <w:numPr>
          <w:ilvl w:val="0"/>
          <w:numId w:val="140"/>
        </w:numPr>
        <w:spacing w:after="165" w:line="251" w:lineRule="auto"/>
        <w:ind w:right="1" w:hanging="841"/>
        <w:jc w:val="both"/>
      </w:pPr>
      <w:r>
        <w:rPr>
          <w:rFonts w:ascii="Arial" w:eastAsia="Arial" w:hAnsi="Arial" w:cs="Arial"/>
          <w:i/>
        </w:rPr>
        <w:t>Existe un consumo de alcohol habitual en la población, pues un 57% ha consumido al menos un día en los últimos 7 días y un 11% declaran un consumo diario a lo largo de la semana. La frecuencia de consumo es superior en las mujeres respecto a los hombres.</w:t>
      </w:r>
    </w:p>
    <w:p w:rsidR="00E23B86" w:rsidRDefault="00BA7C13">
      <w:pPr>
        <w:numPr>
          <w:ilvl w:val="0"/>
          <w:numId w:val="140"/>
        </w:numPr>
        <w:spacing w:after="111" w:line="251" w:lineRule="auto"/>
        <w:ind w:right="1" w:hanging="841"/>
        <w:jc w:val="both"/>
      </w:pPr>
      <w:r>
        <w:rPr>
          <w:rFonts w:ascii="Arial" w:eastAsia="Arial" w:hAnsi="Arial" w:cs="Arial"/>
          <w:i/>
        </w:rPr>
        <w:t>U</w:t>
      </w:r>
      <w:r>
        <w:rPr>
          <w:rFonts w:ascii="Arial" w:eastAsia="Arial" w:hAnsi="Arial" w:cs="Arial"/>
          <w:i/>
        </w:rPr>
        <w:t>n 72% declara haber consumido tabaco alguna vez en su vida y sólo un 36% declara consumir tabaco en los últimos doce meses. Son los hombres los que consumen más tabaco y con más frecuencia que las mujeres.</w:t>
      </w:r>
    </w:p>
    <w:p w:rsidR="00E23B86" w:rsidRDefault="00E23B86">
      <w:pPr>
        <w:sectPr w:rsidR="00E23B86">
          <w:headerReference w:type="even" r:id="rId53"/>
          <w:headerReference w:type="default" r:id="rId54"/>
          <w:footerReference w:type="even" r:id="rId55"/>
          <w:footerReference w:type="default" r:id="rId56"/>
          <w:headerReference w:type="first" r:id="rId57"/>
          <w:footerReference w:type="first" r:id="rId58"/>
          <w:pgSz w:w="14168" w:h="16840"/>
          <w:pgMar w:top="2005" w:right="2849" w:bottom="1573" w:left="3198" w:header="712" w:footer="712" w:gutter="0"/>
          <w:cols w:space="720"/>
        </w:sectPr>
      </w:pPr>
    </w:p>
    <w:p w:rsidR="00E23B86" w:rsidRDefault="00BA7C13">
      <w:pPr>
        <w:numPr>
          <w:ilvl w:val="0"/>
          <w:numId w:val="140"/>
        </w:numPr>
        <w:spacing w:after="165" w:line="251" w:lineRule="auto"/>
        <w:ind w:right="1" w:hanging="841"/>
        <w:jc w:val="both"/>
      </w:pPr>
      <w:r>
        <w:rPr>
          <w:rFonts w:ascii="Arial" w:eastAsia="Arial" w:hAnsi="Arial" w:cs="Arial"/>
          <w:i/>
        </w:rPr>
        <w:t>Un 21% declara haber consumido tranquilizantes alguna vez en su vida, pero sólo un 14% dice haberlos consumido los últimos doce meses, y un 9% a diario. El consumo es mayor en las mujeres que en los hombres.</w:t>
      </w:r>
    </w:p>
    <w:p w:rsidR="00E23B86" w:rsidRDefault="00BA7C13">
      <w:pPr>
        <w:numPr>
          <w:ilvl w:val="0"/>
          <w:numId w:val="140"/>
        </w:numPr>
        <w:spacing w:after="165" w:line="251" w:lineRule="auto"/>
        <w:ind w:right="1" w:hanging="841"/>
        <w:jc w:val="both"/>
      </w:pPr>
      <w:r>
        <w:rPr>
          <w:rFonts w:ascii="Arial" w:eastAsia="Arial" w:hAnsi="Arial" w:cs="Arial"/>
          <w:i/>
        </w:rPr>
        <w:t>Una de cada tres personas declara haber consumid</w:t>
      </w:r>
      <w:r>
        <w:rPr>
          <w:rFonts w:ascii="Arial" w:eastAsia="Arial" w:hAnsi="Arial" w:cs="Arial"/>
          <w:i/>
        </w:rPr>
        <w:t>o derivados del cannabis, siendo los hombres los que más consumen respecto a las mujeres.</w:t>
      </w:r>
    </w:p>
    <w:p w:rsidR="00E23B86" w:rsidRDefault="00BA7C13">
      <w:pPr>
        <w:numPr>
          <w:ilvl w:val="0"/>
          <w:numId w:val="140"/>
        </w:numPr>
        <w:spacing w:after="165" w:line="251" w:lineRule="auto"/>
        <w:ind w:right="1" w:hanging="841"/>
        <w:jc w:val="both"/>
      </w:pPr>
      <w:r>
        <w:rPr>
          <w:rFonts w:ascii="Arial" w:eastAsia="Arial" w:hAnsi="Arial" w:cs="Arial"/>
          <w:i/>
        </w:rPr>
        <w:t>Un 3% declara haber consumido cocaína en lo últimos doce meses, y sólo un 1,8% dice haberlo hecho en los últimos 30 días. El consumo es ocasional y son los hombres lo</w:t>
      </w:r>
      <w:r>
        <w:rPr>
          <w:rFonts w:ascii="Arial" w:eastAsia="Arial" w:hAnsi="Arial" w:cs="Arial"/>
          <w:i/>
        </w:rPr>
        <w:t xml:space="preserve"> que más la consumen.</w:t>
      </w:r>
    </w:p>
    <w:p w:rsidR="00E23B86" w:rsidRDefault="00BA7C13">
      <w:pPr>
        <w:numPr>
          <w:ilvl w:val="0"/>
          <w:numId w:val="140"/>
        </w:numPr>
        <w:spacing w:after="165" w:line="251" w:lineRule="auto"/>
        <w:ind w:right="1" w:hanging="841"/>
        <w:jc w:val="both"/>
      </w:pPr>
      <w:r>
        <w:rPr>
          <w:rFonts w:ascii="Arial" w:eastAsia="Arial" w:hAnsi="Arial" w:cs="Arial"/>
          <w:i/>
        </w:rPr>
        <w:t xml:space="preserve">Un 6% declara haber consumido anfetaminas alguna vez en su vida, un 5% dice haber consumido alucinógenos y un 0,4% heroína. Son los hombres los que declaran consumir estas sustancias más, respecto a las mujeres. </w:t>
      </w:r>
    </w:p>
    <w:p w:rsidR="00E23B86" w:rsidRDefault="00BA7C13">
      <w:pPr>
        <w:numPr>
          <w:ilvl w:val="0"/>
          <w:numId w:val="140"/>
        </w:numPr>
        <w:spacing w:after="165" w:line="251" w:lineRule="auto"/>
        <w:ind w:right="1" w:hanging="841"/>
        <w:jc w:val="both"/>
      </w:pPr>
      <w:r>
        <w:rPr>
          <w:rFonts w:ascii="Arial" w:eastAsia="Arial" w:hAnsi="Arial" w:cs="Arial"/>
          <w:i/>
        </w:rPr>
        <w:t xml:space="preserve">Un 42% declara haber </w:t>
      </w:r>
      <w:r>
        <w:rPr>
          <w:rFonts w:ascii="Arial" w:eastAsia="Arial" w:hAnsi="Arial" w:cs="Arial"/>
          <w:i/>
        </w:rPr>
        <w:t xml:space="preserve">jugado dinero dentro de la red, un 26% dice jugar dinero un día al mes, mientras un 18% declara que juega fuera de internet entre 2-4 días al mes. Un 97% ha jugado sin dinero de forma online. En general son los hombres los que más juegan.  </w:t>
      </w:r>
    </w:p>
    <w:p w:rsidR="00E23B86" w:rsidRDefault="00BA7C13">
      <w:pPr>
        <w:numPr>
          <w:ilvl w:val="0"/>
          <w:numId w:val="140"/>
        </w:numPr>
        <w:spacing w:after="165" w:line="251" w:lineRule="auto"/>
        <w:ind w:right="1" w:hanging="841"/>
        <w:jc w:val="both"/>
      </w:pPr>
      <w:r>
        <w:rPr>
          <w:rFonts w:ascii="Arial" w:eastAsia="Arial" w:hAnsi="Arial" w:cs="Arial"/>
          <w:i/>
        </w:rPr>
        <w:t>La frecuencia d</w:t>
      </w:r>
      <w:r>
        <w:rPr>
          <w:rFonts w:ascii="Arial" w:eastAsia="Arial" w:hAnsi="Arial" w:cs="Arial"/>
          <w:i/>
        </w:rPr>
        <w:t>e consumo de alcohol y tabaco en población menor en los últimos treinta días, se sitúa en torno al 22%, y un 33% ha consumido tabaco o alcohol alguna vez en su vida.</w:t>
      </w:r>
    </w:p>
    <w:p w:rsidR="00E23B86" w:rsidRDefault="00BA7C13">
      <w:pPr>
        <w:numPr>
          <w:ilvl w:val="0"/>
          <w:numId w:val="140"/>
        </w:numPr>
        <w:spacing w:after="285" w:line="251" w:lineRule="auto"/>
        <w:ind w:right="1" w:hanging="841"/>
        <w:jc w:val="both"/>
      </w:pPr>
      <w:r>
        <w:rPr>
          <w:noProof/>
        </w:rPr>
        <mc:AlternateContent>
          <mc:Choice Requires="wpg">
            <w:drawing>
              <wp:anchor distT="0" distB="0" distL="114300" distR="114300" simplePos="0" relativeHeight="2519695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3438" name="Group 57343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384" name="Rectangle 4938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385" name="Rectangle 4938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302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3438" style="width:12.7031pt;height:280.35pt;position:absolute;mso-position-horizontal-relative:page;mso-position-horizontal:absolute;margin-left:681.958pt;mso-position-vertical-relative:page;margin-top:531.65pt;" coordsize="1613,35604">
                <v:rect id="Rectangle 4938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38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302 de 391 </w:t>
                        </w:r>
                      </w:p>
                    </w:txbxContent>
                  </v:textbox>
                </v:rect>
                <w10:wrap type="square"/>
              </v:group>
            </w:pict>
          </mc:Fallback>
        </mc:AlternateContent>
      </w:r>
      <w:r>
        <w:rPr>
          <w:rFonts w:ascii="Arial" w:eastAsia="Arial" w:hAnsi="Arial" w:cs="Arial"/>
          <w:i/>
        </w:rPr>
        <w:t>Respecto al consumo de derivados del cannabis en población me</w:t>
      </w:r>
      <w:r>
        <w:rPr>
          <w:rFonts w:ascii="Arial" w:eastAsia="Arial" w:hAnsi="Arial" w:cs="Arial"/>
          <w:i/>
        </w:rPr>
        <w:t xml:space="preserve">nor, un 27% dice haberlos probado alguna vez en su vida, y un 16% dice haberlas consumido en los últimos treinta días.     </w:t>
      </w:r>
    </w:p>
    <w:p w:rsidR="00E23B86" w:rsidRDefault="00BA7C13">
      <w:pPr>
        <w:numPr>
          <w:ilvl w:val="0"/>
          <w:numId w:val="140"/>
        </w:numPr>
        <w:spacing w:after="232" w:line="251" w:lineRule="auto"/>
        <w:ind w:right="1" w:hanging="841"/>
        <w:jc w:val="both"/>
      </w:pPr>
      <w:r>
        <w:rPr>
          <w:rFonts w:ascii="Arial" w:eastAsia="Arial" w:hAnsi="Arial" w:cs="Arial"/>
          <w:i/>
        </w:rPr>
        <w:t xml:space="preserve">2.3. Descripción del contexto municipal   </w:t>
      </w:r>
    </w:p>
    <w:p w:rsidR="00E23B86" w:rsidRDefault="00BA7C13">
      <w:pPr>
        <w:numPr>
          <w:ilvl w:val="0"/>
          <w:numId w:val="140"/>
        </w:numPr>
        <w:spacing w:after="111" w:line="251" w:lineRule="auto"/>
        <w:ind w:right="1" w:hanging="841"/>
        <w:jc w:val="both"/>
      </w:pPr>
      <w:r>
        <w:rPr>
          <w:rFonts w:ascii="Arial" w:eastAsia="Arial" w:hAnsi="Arial" w:cs="Arial"/>
          <w:i/>
        </w:rPr>
        <w:t>Candelaria es uno de los municipios de Tenerife que está enclavado en su vertiente meridi</w:t>
      </w:r>
      <w:r>
        <w:rPr>
          <w:rFonts w:ascii="Arial" w:eastAsia="Arial" w:hAnsi="Arial" w:cs="Arial"/>
          <w:i/>
        </w:rPr>
        <w:t>onal en el ámbito del Sureste de la isla. Tiene una extensión superficial de 49,8 Km2 y se halla a unos 19 kilómetros de la capital (Santa Cruz de Tenerife). El desnivel orográfico que presenta todo su territorio hace que existan altitudes desde cero hasta</w:t>
      </w:r>
      <w:r>
        <w:rPr>
          <w:rFonts w:ascii="Arial" w:eastAsia="Arial" w:hAnsi="Arial" w:cs="Arial"/>
          <w:i/>
        </w:rPr>
        <w:t xml:space="preserve"> 1.746 metros. </w:t>
      </w:r>
    </w:p>
    <w:p w:rsidR="00E23B86" w:rsidRDefault="00BA7C13">
      <w:pPr>
        <w:numPr>
          <w:ilvl w:val="0"/>
          <w:numId w:val="140"/>
        </w:numPr>
        <w:spacing w:after="111" w:line="251" w:lineRule="auto"/>
        <w:ind w:right="1" w:hanging="841"/>
        <w:jc w:val="both"/>
      </w:pPr>
      <w:r>
        <w:rPr>
          <w:rFonts w:ascii="Arial" w:eastAsia="Arial" w:hAnsi="Arial" w:cs="Arial"/>
          <w:i/>
        </w:rPr>
        <w:t>El municipio limita al Norte con El Rosario por Barranco Hondo, al Sur, con Arafo por el Barranco de Tapia, al Este con el Océano Atlántico y al Oeste con los montes que corresponden a La Matanza, La Victoria, El Sauzal y Santa Úrsula. El t</w:t>
      </w:r>
      <w:r>
        <w:rPr>
          <w:rFonts w:ascii="Arial" w:eastAsia="Arial" w:hAnsi="Arial" w:cs="Arial"/>
          <w:i/>
        </w:rPr>
        <w:t xml:space="preserve">erreno está surcado con varios barrancos que conforman los barrios o caseríos. </w:t>
      </w:r>
    </w:p>
    <w:p w:rsidR="00E23B86" w:rsidRDefault="00BA7C13">
      <w:pPr>
        <w:numPr>
          <w:ilvl w:val="0"/>
          <w:numId w:val="140"/>
        </w:numPr>
        <w:spacing w:after="111" w:line="251" w:lineRule="auto"/>
        <w:ind w:right="1" w:hanging="841"/>
        <w:jc w:val="both"/>
      </w:pPr>
      <w:r>
        <w:rPr>
          <w:rFonts w:ascii="Arial" w:eastAsia="Arial" w:hAnsi="Arial" w:cs="Arial"/>
          <w:i/>
        </w:rPr>
        <w:t>En cuanto a la actividad económica del municipio, siempre se ha basado en la ganadería y la agricultura. Contra la opinión común que se piensa que Candelaria es un pueblo de pe</w:t>
      </w:r>
      <w:r>
        <w:rPr>
          <w:rFonts w:ascii="Arial" w:eastAsia="Arial" w:hAnsi="Arial" w:cs="Arial"/>
          <w:i/>
        </w:rPr>
        <w:t>scadores/as, la pesca en la economía local ya no tiene la importancia que tuvo en las décadas anteriores y hoy apenas tiene significado en la economía municipal. El desarrollo agrícola y ganadero, limitado a los barrios altos, Igueste, Barranco Hondo, Aray</w:t>
      </w:r>
      <w:r>
        <w:rPr>
          <w:rFonts w:ascii="Arial" w:eastAsia="Arial" w:hAnsi="Arial" w:cs="Arial"/>
          <w:i/>
        </w:rPr>
        <w:t xml:space="preserve">a, Cuevecitas y Malpaís, siempre se ha visto favorecido por la abundancia de aguas subterráneas, alumbradas por medio de pozos o galerías. </w:t>
      </w:r>
    </w:p>
    <w:p w:rsidR="00E23B86" w:rsidRDefault="00BA7C13">
      <w:pPr>
        <w:spacing w:after="111" w:line="251" w:lineRule="auto"/>
        <w:ind w:left="355" w:right="2" w:hanging="10"/>
        <w:jc w:val="both"/>
      </w:pPr>
      <w:r>
        <w:rPr>
          <w:rFonts w:ascii="Arial" w:eastAsia="Arial" w:hAnsi="Arial" w:cs="Arial"/>
          <w:i/>
        </w:rPr>
        <w:t>Los otros municipios del valle agrupan su núcleo poblacional entorno a un casco. Candelaria cuenta con varias entida</w:t>
      </w:r>
      <w:r>
        <w:rPr>
          <w:rFonts w:ascii="Arial" w:eastAsia="Arial" w:hAnsi="Arial" w:cs="Arial"/>
          <w:i/>
        </w:rPr>
        <w:t>des tan significativas como el centro por su población y recursos. Entre ellos se encuentra Candelaria casco urbano, Las Caletillas, Punta Larga, La Viuda, El Ramonal, Barranco Hondo, Igueste de Candelaria, Araya, Cuevecitas, Malpaís y La Viuda.</w:t>
      </w:r>
    </w:p>
    <w:p w:rsidR="00E23B86" w:rsidRDefault="00BA7C13">
      <w:pPr>
        <w:numPr>
          <w:ilvl w:val="0"/>
          <w:numId w:val="140"/>
        </w:numPr>
        <w:spacing w:after="111" w:line="251" w:lineRule="auto"/>
        <w:ind w:right="1" w:hanging="841"/>
        <w:jc w:val="both"/>
      </w:pPr>
      <w:r>
        <w:rPr>
          <w:rFonts w:ascii="Arial" w:eastAsia="Arial" w:hAnsi="Arial" w:cs="Arial"/>
          <w:i/>
        </w:rPr>
        <w:t>Los recurs</w:t>
      </w:r>
      <w:r>
        <w:rPr>
          <w:rFonts w:ascii="Arial" w:eastAsia="Arial" w:hAnsi="Arial" w:cs="Arial"/>
          <w:i/>
        </w:rPr>
        <w:t>os disponibles en el municipio dependen del tipo de Administración de la que estemos tratando. Así, desde la propia Administración municipal, se puede contar con las propias Concejalías del Iltre. Ayuntamiento de Candelaria, y en concreto o con carácter pr</w:t>
      </w:r>
      <w:r>
        <w:rPr>
          <w:rFonts w:ascii="Arial" w:eastAsia="Arial" w:hAnsi="Arial" w:cs="Arial"/>
          <w:i/>
        </w:rPr>
        <w:t xml:space="preserve">ioritario las de Servicios Sociales, Igualdad, Sanidad, Juventud, Deportes, Participación Ciudadana y Protección Civil, además de las Fuerzas de Seguridad Local. </w:t>
      </w:r>
    </w:p>
    <w:p w:rsidR="00E23B86" w:rsidRDefault="00BA7C13">
      <w:pPr>
        <w:numPr>
          <w:ilvl w:val="0"/>
          <w:numId w:val="140"/>
        </w:numPr>
        <w:spacing w:after="111" w:line="251" w:lineRule="auto"/>
        <w:ind w:right="1" w:hanging="841"/>
        <w:jc w:val="both"/>
      </w:pPr>
      <w:r>
        <w:rPr>
          <w:rFonts w:ascii="Arial" w:eastAsia="Arial" w:hAnsi="Arial" w:cs="Arial"/>
          <w:i/>
        </w:rPr>
        <w:t>En cuanto a los recursos educativos, existen cinco Centros de Enseñanza Infantil y Primaria d</w:t>
      </w:r>
      <w:r>
        <w:rPr>
          <w:rFonts w:ascii="Arial" w:eastAsia="Arial" w:hAnsi="Arial" w:cs="Arial"/>
          <w:i/>
        </w:rPr>
        <w:t xml:space="preserve">el municipio de Candelaria: C.E.I.P. Igueste, C.E.I.P. Araya, C.E.I.P. Carmen Álvarez de la Rosa, C.E.I.P. Punta Larga y C.E.I.P. Príncipe Felipe”. Además, existen dos centros de enseñanza de secundaria; I.E.S. Punta Larga e I.E.S. Santa Ana, además de la </w:t>
      </w:r>
      <w:r>
        <w:rPr>
          <w:rFonts w:ascii="Arial" w:eastAsia="Arial" w:hAnsi="Arial" w:cs="Arial"/>
          <w:i/>
        </w:rPr>
        <w:t xml:space="preserve">Escuela de Adultos del municipio. </w:t>
      </w:r>
    </w:p>
    <w:p w:rsidR="00E23B86" w:rsidRDefault="00BA7C13">
      <w:pPr>
        <w:numPr>
          <w:ilvl w:val="0"/>
          <w:numId w:val="140"/>
        </w:numPr>
        <w:spacing w:after="153" w:line="251" w:lineRule="auto"/>
        <w:ind w:right="1" w:hanging="841"/>
        <w:jc w:val="both"/>
      </w:pPr>
      <w:r>
        <w:rPr>
          <w:noProof/>
        </w:rPr>
        <mc:AlternateContent>
          <mc:Choice Requires="wpg">
            <w:drawing>
              <wp:anchor distT="0" distB="0" distL="114300" distR="114300" simplePos="0" relativeHeight="2519705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3566" name="Group 57356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455" name="Rectangle 4945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456" name="Rectangle 4945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303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3566" style="width:12.7031pt;height:280.35pt;position:absolute;mso-position-horizontal-relative:page;mso-position-horizontal:absolute;margin-left:681.958pt;mso-position-vertical-relative:page;margin-top:531.65pt;" coordsize="1613,35604">
                <v:rect id="Rectangle 4945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45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303 de 391 </w:t>
                        </w:r>
                      </w:p>
                    </w:txbxContent>
                  </v:textbox>
                </v:rect>
                <w10:wrap type="square"/>
              </v:group>
            </w:pict>
          </mc:Fallback>
        </mc:AlternateContent>
      </w:r>
      <w:r>
        <w:rPr>
          <w:rFonts w:ascii="Arial" w:eastAsia="Arial" w:hAnsi="Arial" w:cs="Arial"/>
          <w:i/>
        </w:rPr>
        <w:t xml:space="preserve">En lo relativo a recursos sanitarios se encuentran en Candelaria varias farmacias, un Centro de Salud en el casco del municipio de Candelaria y los Consultorios Médicos Periféricos de Barranco Hondo e Igueste. Aunque físicamente no estén en Candelaria, es </w:t>
      </w:r>
      <w:r>
        <w:rPr>
          <w:rFonts w:ascii="Arial" w:eastAsia="Arial" w:hAnsi="Arial" w:cs="Arial"/>
          <w:i/>
        </w:rPr>
        <w:t>necesario tener en cuenta que existen recursos externos que atienden a personas del municipio como las Unidades de Atención a las Drogodependencias y recursos en materia de desintoxicación/deshabituación y/o reinserción social en general. Por último, es ne</w:t>
      </w:r>
      <w:r>
        <w:rPr>
          <w:rFonts w:ascii="Arial" w:eastAsia="Arial" w:hAnsi="Arial" w:cs="Arial"/>
          <w:i/>
        </w:rPr>
        <w:t>cesario tener en cuenta otros agentes sociales como el Servicio Insular de Atención Integral a la Mujer y la Radio municipal, además de las diferentes asociaciones culturales/vecinales/deportivas y las Fuerzas y Cuerpos de Seguridad.</w:t>
      </w:r>
    </w:p>
    <w:p w:rsidR="00E23B86" w:rsidRDefault="00BA7C13">
      <w:pPr>
        <w:numPr>
          <w:ilvl w:val="0"/>
          <w:numId w:val="140"/>
        </w:numPr>
        <w:spacing w:after="111" w:line="251" w:lineRule="auto"/>
        <w:ind w:right="1" w:hanging="841"/>
        <w:jc w:val="both"/>
      </w:pPr>
      <w:r>
        <w:rPr>
          <w:rFonts w:ascii="Arial" w:eastAsia="Arial" w:hAnsi="Arial" w:cs="Arial"/>
          <w:i/>
        </w:rPr>
        <w:t>2.3.1. Contexto demogr</w:t>
      </w:r>
      <w:r>
        <w:rPr>
          <w:rFonts w:ascii="Arial" w:eastAsia="Arial" w:hAnsi="Arial" w:cs="Arial"/>
          <w:i/>
        </w:rPr>
        <w:t>áfico y laboral</w:t>
      </w:r>
    </w:p>
    <w:p w:rsidR="00E23B86" w:rsidRDefault="00BA7C13">
      <w:pPr>
        <w:numPr>
          <w:ilvl w:val="0"/>
          <w:numId w:val="140"/>
        </w:numPr>
        <w:spacing w:after="111" w:line="251" w:lineRule="auto"/>
        <w:ind w:right="1" w:hanging="841"/>
        <w:jc w:val="both"/>
      </w:pPr>
      <w:r>
        <w:rPr>
          <w:rFonts w:ascii="Arial" w:eastAsia="Arial" w:hAnsi="Arial" w:cs="Arial"/>
          <w:i/>
        </w:rPr>
        <w:t>En lo referente a la evolución de la población, en el periodo analizado (20112017), en general, la población ha crecido en torno a dos mil personas. Sin embargo, han existido periodos (2013 y 2015), donde la población decreció, si bien en e</w:t>
      </w:r>
      <w:r>
        <w:rPr>
          <w:rFonts w:ascii="Arial" w:eastAsia="Arial" w:hAnsi="Arial" w:cs="Arial"/>
          <w:i/>
        </w:rPr>
        <w:t>l resto de las anualidades creció de forma general.  El peso de la población de Candelaria con respecto a la población total de Tenerife, de los años 2010 al 2017, ha ganado peso respecto al total insular. Así, se pasó de un 2,8% en 2010 a un 3% de la pobl</w:t>
      </w:r>
      <w:r>
        <w:rPr>
          <w:rFonts w:ascii="Arial" w:eastAsia="Arial" w:hAnsi="Arial" w:cs="Arial"/>
          <w:i/>
        </w:rPr>
        <w:t xml:space="preserve">ación insular en 2017. </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Según el sexo de las personas residentes en Candelaria, en general en todo el periodo apenas hay variaciones entre hombres y mujeres, siendo el número de mujeres superior al de hombres, si bien las diferencias son mínimas (51% a 4</w:t>
      </w:r>
      <w:r>
        <w:rPr>
          <w:rFonts w:ascii="Arial" w:eastAsia="Arial" w:hAnsi="Arial" w:cs="Arial"/>
          <w:i/>
        </w:rPr>
        <w:t>9%).</w:t>
      </w:r>
    </w:p>
    <w:p w:rsidR="00E23B86" w:rsidRDefault="00BA7C13">
      <w:pPr>
        <w:numPr>
          <w:ilvl w:val="0"/>
          <w:numId w:val="140"/>
        </w:numPr>
        <w:spacing w:after="111" w:line="251" w:lineRule="auto"/>
        <w:ind w:right="1" w:hanging="841"/>
        <w:jc w:val="both"/>
      </w:pPr>
      <w:r>
        <w:rPr>
          <w:rFonts w:ascii="Arial" w:eastAsia="Arial" w:hAnsi="Arial" w:cs="Arial"/>
          <w:i/>
        </w:rPr>
        <w:t>Para determinar la evolución de la población de Candelaria según la edad, se han obtenido los índices de juventud y envejecimiento del municipio. Se destaca que en el periodo estudiado (2011-2017), el índice de juventud descendió de un 15,67% a un 15,</w:t>
      </w:r>
      <w:r>
        <w:rPr>
          <w:rFonts w:ascii="Arial" w:eastAsia="Arial" w:hAnsi="Arial" w:cs="Arial"/>
          <w:i/>
        </w:rPr>
        <w:t>16%, mientras que el de envejecimiento subió de 12,18% a 14,72%. Todo ello indica que se está produciendo un progresivo envejecimiento de la población.</w:t>
      </w:r>
    </w:p>
    <w:p w:rsidR="00E23B86" w:rsidRDefault="00BA7C13">
      <w:pPr>
        <w:spacing w:after="111" w:line="251" w:lineRule="auto"/>
        <w:ind w:left="355" w:right="3" w:hanging="10"/>
        <w:jc w:val="both"/>
      </w:pPr>
      <w:r>
        <w:rPr>
          <w:rFonts w:ascii="Arial" w:eastAsia="Arial" w:hAnsi="Arial" w:cs="Arial"/>
          <w:i/>
        </w:rPr>
        <w:t>Respecto al número de desempleados/as, de 2011 a 2018, en general ha mejorado la situación progresivamen</w:t>
      </w:r>
      <w:r>
        <w:rPr>
          <w:rFonts w:ascii="Arial" w:eastAsia="Arial" w:hAnsi="Arial" w:cs="Arial"/>
          <w:i/>
        </w:rPr>
        <w:t xml:space="preserve">te. Así, se inició el periodo con más de 2.500 desempleados/as, para aumentar en el periodo más duro de la crisis económica (2012 y 2013), mientras que a partir de esa fecha ha ido progresivamente descendiendo. Analizando el desempleo por sexo, se observa </w:t>
      </w:r>
      <w:r>
        <w:rPr>
          <w:rFonts w:ascii="Arial" w:eastAsia="Arial" w:hAnsi="Arial" w:cs="Arial"/>
          <w:i/>
        </w:rPr>
        <w:t>que, si bien partieron de un número de desempleados/as similares en 2011, poco a poco con el transcurrir de los años la brecha de género se ha ampliado. Así, en el momento actual es donde más diferencia hay entre el desempleo de hombres y mujeres, perjudic</w:t>
      </w:r>
      <w:r>
        <w:rPr>
          <w:rFonts w:ascii="Arial" w:eastAsia="Arial" w:hAnsi="Arial" w:cs="Arial"/>
          <w:i/>
        </w:rPr>
        <w:t>ando más a las mujeres.</w:t>
      </w:r>
    </w:p>
    <w:p w:rsidR="00E23B86" w:rsidRDefault="00BA7C13">
      <w:pPr>
        <w:numPr>
          <w:ilvl w:val="0"/>
          <w:numId w:val="140"/>
        </w:numPr>
        <w:spacing w:after="111" w:line="251" w:lineRule="auto"/>
        <w:ind w:right="1" w:hanging="841"/>
        <w:jc w:val="both"/>
      </w:pPr>
      <w:r>
        <w:rPr>
          <w:rFonts w:ascii="Arial" w:eastAsia="Arial" w:hAnsi="Arial" w:cs="Arial"/>
          <w:i/>
        </w:rPr>
        <w:t>Por último, respecto al desempleo según grandes grupos de edad, en general el número de desempleados/as mayores de 25 años ha ido disminuyendo, mientras que el/la de menores de 25 años se han mantenido estable. Aun así, se aprecia q</w:t>
      </w:r>
      <w:r>
        <w:rPr>
          <w:rFonts w:ascii="Arial" w:eastAsia="Arial" w:hAnsi="Arial" w:cs="Arial"/>
          <w:i/>
        </w:rPr>
        <w:t>ue afecta más a los/as mayores de 25 que a los/as menores de dicha edad.</w:t>
      </w:r>
    </w:p>
    <w:p w:rsidR="00E23B86" w:rsidRDefault="00BA7C13">
      <w:pPr>
        <w:spacing w:after="152" w:line="251" w:lineRule="auto"/>
        <w:ind w:left="1450" w:right="573" w:hanging="10"/>
        <w:jc w:val="both"/>
      </w:pP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Análisis de los datos de atención a las drogodependencias</w:t>
      </w:r>
    </w:p>
    <w:p w:rsidR="00E23B86" w:rsidRDefault="00BA7C13">
      <w:pPr>
        <w:numPr>
          <w:ilvl w:val="0"/>
          <w:numId w:val="140"/>
        </w:numPr>
        <w:spacing w:after="111" w:line="251" w:lineRule="auto"/>
        <w:ind w:right="1" w:hanging="841"/>
        <w:jc w:val="both"/>
      </w:pPr>
      <w:r>
        <w:rPr>
          <w:rFonts w:ascii="Arial" w:eastAsia="Arial" w:hAnsi="Arial" w:cs="Arial"/>
          <w:i/>
        </w:rPr>
        <w:t>Datos de la Unidad de Prevención Municipal</w:t>
      </w:r>
    </w:p>
    <w:p w:rsidR="00E23B86" w:rsidRDefault="00BA7C13">
      <w:pPr>
        <w:numPr>
          <w:ilvl w:val="0"/>
          <w:numId w:val="140"/>
        </w:numPr>
        <w:spacing w:after="111" w:line="251" w:lineRule="auto"/>
        <w:ind w:right="1" w:hanging="841"/>
        <w:jc w:val="both"/>
      </w:pPr>
      <w:r>
        <w:rPr>
          <w:rFonts w:ascii="Arial" w:eastAsia="Arial" w:hAnsi="Arial" w:cs="Arial"/>
          <w:i/>
        </w:rPr>
        <w:t>El año de mayores atenciones fue en 2013, a partir del cual se fue reduciendo ha</w:t>
      </w:r>
      <w:r>
        <w:rPr>
          <w:rFonts w:ascii="Arial" w:eastAsia="Arial" w:hAnsi="Arial" w:cs="Arial"/>
          <w:i/>
        </w:rPr>
        <w:t xml:space="preserve">sta el 2017, donde aumentó mínimamente. </w:t>
      </w:r>
    </w:p>
    <w:p w:rsidR="00E23B86" w:rsidRDefault="00BA7C13">
      <w:pPr>
        <w:numPr>
          <w:ilvl w:val="0"/>
          <w:numId w:val="140"/>
        </w:numPr>
        <w:spacing w:after="111" w:line="251" w:lineRule="auto"/>
        <w:ind w:right="1" w:hanging="841"/>
        <w:jc w:val="both"/>
      </w:pPr>
      <w:r>
        <w:rPr>
          <w:rFonts w:ascii="Arial" w:eastAsia="Arial" w:hAnsi="Arial" w:cs="Arial"/>
          <w:i/>
        </w:rPr>
        <w:t>Según el tipo de droga, en general en 2013 la mayor atención fue por el cannabis, mientras que poco a poco el perfil que se impone de 2015 en adelante es el de policonsumo. También cabe destacar que en 2017 se detec</w:t>
      </w:r>
      <w:r>
        <w:rPr>
          <w:rFonts w:ascii="Arial" w:eastAsia="Arial" w:hAnsi="Arial" w:cs="Arial"/>
          <w:i/>
        </w:rPr>
        <w:t>taron casos de atención a ludopatías.</w:t>
      </w:r>
    </w:p>
    <w:p w:rsidR="00E23B86" w:rsidRDefault="00BA7C13">
      <w:pPr>
        <w:numPr>
          <w:ilvl w:val="0"/>
          <w:numId w:val="140"/>
        </w:numPr>
        <w:spacing w:after="111" w:line="251" w:lineRule="auto"/>
        <w:ind w:right="1" w:hanging="841"/>
        <w:jc w:val="both"/>
      </w:pPr>
      <w:r>
        <w:rPr>
          <w:rFonts w:ascii="Arial" w:eastAsia="Arial" w:hAnsi="Arial" w:cs="Arial"/>
          <w:i/>
        </w:rPr>
        <w:t>Según el sexo, la gran mayoría de las personas atendidas son hombres en todo el periodo analizado.</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715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4065" name="Group 57406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533" name="Rectangle 4953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534" name="Rectangle 4953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304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4065" style="width:12.7031pt;height:280.35pt;position:absolute;mso-position-horizontal-relative:page;mso-position-horizontal:absolute;margin-left:681.958pt;mso-position-vertical-relative:page;margin-top:531.65pt;" coordsize="1613,35604">
                <v:rect id="Rectangle 4953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53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304 de 391 </w:t>
                        </w:r>
                      </w:p>
                    </w:txbxContent>
                  </v:textbox>
                </v:rect>
                <w10:wrap type="square"/>
              </v:group>
            </w:pict>
          </mc:Fallback>
        </mc:AlternateContent>
      </w:r>
      <w:r>
        <w:rPr>
          <w:rFonts w:ascii="Arial" w:eastAsia="Arial" w:hAnsi="Arial" w:cs="Arial"/>
          <w:i/>
        </w:rPr>
        <w:t>Respecto a la edad, en 2013 la mayor parte son personas de 18 a 30 años, mientras que, en 2014, 2015 y 2017 la mayor parte son de entre 31 y 40 años, sobresalien</w:t>
      </w:r>
      <w:r>
        <w:rPr>
          <w:rFonts w:ascii="Arial" w:eastAsia="Arial" w:hAnsi="Arial" w:cs="Arial"/>
          <w:i/>
        </w:rPr>
        <w:t>do la gran diferencia por edad en ese último año, donde la gran mayoría son personas de 31 a 40 años, muy por encima del resto de intervalos de edad.</w:t>
      </w:r>
    </w:p>
    <w:p w:rsidR="00E23B86" w:rsidRDefault="00BA7C13">
      <w:pPr>
        <w:numPr>
          <w:ilvl w:val="0"/>
          <w:numId w:val="140"/>
        </w:numPr>
        <w:spacing w:after="111" w:line="251" w:lineRule="auto"/>
        <w:ind w:right="1" w:hanging="841"/>
        <w:jc w:val="both"/>
      </w:pPr>
      <w:r>
        <w:rPr>
          <w:rFonts w:ascii="Arial" w:eastAsia="Arial" w:hAnsi="Arial" w:cs="Arial"/>
          <w:i/>
        </w:rPr>
        <w:t>Datos de los Recursos de Atención a las Drogodependencias</w:t>
      </w:r>
    </w:p>
    <w:p w:rsidR="00E23B86" w:rsidRDefault="00BA7C13">
      <w:pPr>
        <w:numPr>
          <w:ilvl w:val="0"/>
          <w:numId w:val="140"/>
        </w:numPr>
        <w:spacing w:after="111" w:line="251" w:lineRule="auto"/>
        <w:ind w:right="1" w:hanging="841"/>
        <w:jc w:val="both"/>
      </w:pPr>
      <w:r>
        <w:rPr>
          <w:rFonts w:ascii="Arial" w:eastAsia="Arial" w:hAnsi="Arial" w:cs="Arial"/>
          <w:i/>
        </w:rPr>
        <w:t>En este apartado se muestran los datos ofrecidos por las diferentes entidades autorizadas al tratamiento de población con algún tipo de adicción a sustancias como la Asociación San Miguel, Proyecto Hombre y Proyecto Drago. Es necesario tener en cuenta, que</w:t>
      </w:r>
      <w:r>
        <w:rPr>
          <w:rFonts w:ascii="Arial" w:eastAsia="Arial" w:hAnsi="Arial" w:cs="Arial"/>
          <w:i/>
        </w:rPr>
        <w:t xml:space="preserve"> se ha tratado de homogeneizar las medidas, pero no ha sido posible en muchos casos, por lo que se presentan datos comparables entre sí (por ello, a veces se suprimen años, ya que no se sabe el número total al estar el porcentaje y no el número absoluto).</w:t>
      </w:r>
    </w:p>
    <w:p w:rsidR="00E23B86" w:rsidRDefault="00BA7C13">
      <w:pPr>
        <w:numPr>
          <w:ilvl w:val="0"/>
          <w:numId w:val="140"/>
        </w:numPr>
        <w:spacing w:after="111" w:line="251" w:lineRule="auto"/>
        <w:ind w:right="1" w:hanging="841"/>
        <w:jc w:val="both"/>
      </w:pPr>
      <w:r>
        <w:rPr>
          <w:rFonts w:ascii="Arial" w:eastAsia="Arial" w:hAnsi="Arial" w:cs="Arial"/>
          <w:i/>
        </w:rPr>
        <w:t>Respecto al periodo analizado, el año en el que más se atendió a personas con problemáticas de adicciones a drogas de Candelaria fue en 2014, si bien disminuyó en 2015 y aumentó en 2016 y 2017. La entidad que más personas atendió fue San Miguel en la mayor</w:t>
      </w:r>
      <w:r>
        <w:rPr>
          <w:rFonts w:ascii="Arial" w:eastAsia="Arial" w:hAnsi="Arial" w:cs="Arial"/>
          <w:i/>
        </w:rPr>
        <w:t xml:space="preserve"> parte de las anualidades, seguida por Proyecto Hombre y Proyecto Drago. </w:t>
      </w:r>
    </w:p>
    <w:p w:rsidR="00E23B86" w:rsidRDefault="00BA7C13">
      <w:pPr>
        <w:numPr>
          <w:ilvl w:val="0"/>
          <w:numId w:val="140"/>
        </w:numPr>
        <w:spacing w:after="111" w:line="251" w:lineRule="auto"/>
        <w:ind w:right="1" w:hanging="841"/>
        <w:jc w:val="both"/>
      </w:pPr>
      <w:r>
        <w:rPr>
          <w:rFonts w:ascii="Arial" w:eastAsia="Arial" w:hAnsi="Arial" w:cs="Arial"/>
          <w:i/>
        </w:rPr>
        <w:t>Respecto al perfil general de la persona usuaria de la UAD San Miguel, la sustancia consumida por la mayor parte de los/as atendidos/as en 2016 y 2017 fue por heroína, seguida del al</w:t>
      </w:r>
      <w:r>
        <w:rPr>
          <w:rFonts w:ascii="Arial" w:eastAsia="Arial" w:hAnsi="Arial" w:cs="Arial"/>
          <w:i/>
        </w:rPr>
        <w:t>cohol, cannabis y cocaína. Además, la mayor parte son hombres y, por edades, el grupo mayoritario en 2016 y 2017 es de 31 a 40 años, seguido de los de 41 a 50 y 51 a 60.</w:t>
      </w:r>
    </w:p>
    <w:p w:rsidR="00E23B86" w:rsidRDefault="00BA7C13">
      <w:pPr>
        <w:spacing w:after="111" w:line="251" w:lineRule="auto"/>
        <w:ind w:left="355" w:right="7" w:hanging="10"/>
        <w:jc w:val="both"/>
      </w:pPr>
      <w:r>
        <w:rPr>
          <w:rFonts w:ascii="Arial" w:eastAsia="Arial" w:hAnsi="Arial" w:cs="Arial"/>
          <w:i/>
        </w:rPr>
        <w:t xml:space="preserve">En lo referido a Proyecto Hombre, la mayor parte de las personas que atienden son por </w:t>
      </w:r>
      <w:r>
        <w:rPr>
          <w:rFonts w:ascii="Arial" w:eastAsia="Arial" w:hAnsi="Arial" w:cs="Arial"/>
          <w:i/>
        </w:rPr>
        <w:t>cocaína y cannabis y, según sexo, la mayor parte son hombres. Por otro lado, según edad, la mayor parte son personas de 51 a 60 años.</w:t>
      </w:r>
    </w:p>
    <w:p w:rsidR="00E23B86" w:rsidRDefault="00E23B86">
      <w:pPr>
        <w:sectPr w:rsidR="00E23B86">
          <w:headerReference w:type="even" r:id="rId59"/>
          <w:headerReference w:type="default" r:id="rId60"/>
          <w:footerReference w:type="even" r:id="rId61"/>
          <w:footerReference w:type="default" r:id="rId62"/>
          <w:headerReference w:type="first" r:id="rId63"/>
          <w:footerReference w:type="first" r:id="rId64"/>
          <w:pgSz w:w="14168" w:h="16840"/>
          <w:pgMar w:top="2005" w:right="2848" w:bottom="1563" w:left="3198" w:header="712" w:footer="712" w:gutter="0"/>
          <w:cols w:space="720"/>
        </w:sectPr>
      </w:pPr>
    </w:p>
    <w:p w:rsidR="00E23B86" w:rsidRDefault="00BA7C13">
      <w:pPr>
        <w:numPr>
          <w:ilvl w:val="0"/>
          <w:numId w:val="140"/>
        </w:numPr>
        <w:spacing w:after="111" w:line="251" w:lineRule="auto"/>
        <w:ind w:right="1" w:hanging="841"/>
        <w:jc w:val="both"/>
      </w:pPr>
      <w:r>
        <w:rPr>
          <w:rFonts w:ascii="Arial" w:eastAsia="Arial" w:hAnsi="Arial" w:cs="Arial"/>
          <w:i/>
        </w:rPr>
        <w:t>Respecto a la atención del Proyecto Drago, la totalidad de personas atendidas so</w:t>
      </w:r>
      <w:r>
        <w:rPr>
          <w:rFonts w:ascii="Arial" w:eastAsia="Arial" w:hAnsi="Arial" w:cs="Arial"/>
          <w:i/>
        </w:rPr>
        <w:t>n por adicción al alcohol, siendo fundamentalmente hombres en 2016 y 2017 y con más de 51 años.</w:t>
      </w:r>
    </w:p>
    <w:p w:rsidR="00E23B86" w:rsidRDefault="00BA7C13">
      <w:pPr>
        <w:spacing w:after="82"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8" w:line="251" w:lineRule="auto"/>
        <w:ind w:right="1" w:hanging="841"/>
        <w:jc w:val="both"/>
      </w:pPr>
      <w:r>
        <w:rPr>
          <w:rFonts w:ascii="Arial" w:eastAsia="Arial" w:hAnsi="Arial" w:cs="Arial"/>
          <w:i/>
        </w:rPr>
        <w:t>Datos sobre Atención Farmacéutica</w:t>
      </w:r>
    </w:p>
    <w:p w:rsidR="00E23B86" w:rsidRDefault="00BA7C13">
      <w:pPr>
        <w:numPr>
          <w:ilvl w:val="0"/>
          <w:numId w:val="140"/>
        </w:numPr>
        <w:spacing w:after="0" w:line="251" w:lineRule="auto"/>
        <w:ind w:right="1" w:hanging="841"/>
        <w:jc w:val="both"/>
      </w:pPr>
      <w:r>
        <w:rPr>
          <w:rFonts w:ascii="Arial" w:eastAsia="Arial" w:hAnsi="Arial" w:cs="Arial"/>
          <w:i/>
        </w:rPr>
        <w:t>Respecto a los datos de atención farmacéutica en Candelaria, exceptuando el 2012, en general las atenciones por drogodependencias fueron entre 11 y 15 personas por año.</w:t>
      </w:r>
    </w:p>
    <w:p w:rsidR="00E23B86" w:rsidRDefault="00BA7C13">
      <w:pPr>
        <w:spacing w:after="3"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8" w:line="251" w:lineRule="auto"/>
        <w:ind w:right="1" w:hanging="841"/>
        <w:jc w:val="both"/>
      </w:pPr>
      <w:r>
        <w:rPr>
          <w:rFonts w:ascii="Arial" w:eastAsia="Arial" w:hAnsi="Arial" w:cs="Arial"/>
          <w:i/>
        </w:rPr>
        <w:t xml:space="preserve">Datos sobre seguridad ciudadana  </w:t>
      </w:r>
    </w:p>
    <w:p w:rsidR="00E23B86" w:rsidRDefault="00BA7C13">
      <w:pPr>
        <w:numPr>
          <w:ilvl w:val="0"/>
          <w:numId w:val="140"/>
        </w:numPr>
        <w:spacing w:after="111" w:line="251" w:lineRule="auto"/>
        <w:ind w:right="1" w:hanging="841"/>
        <w:jc w:val="both"/>
      </w:pPr>
      <w:r>
        <w:rPr>
          <w:rFonts w:ascii="Arial" w:eastAsia="Arial" w:hAnsi="Arial" w:cs="Arial"/>
          <w:i/>
        </w:rPr>
        <w:t>La mayor parte de las sanciones interpuestas por la</w:t>
      </w:r>
      <w:r>
        <w:rPr>
          <w:rFonts w:ascii="Arial" w:eastAsia="Arial" w:hAnsi="Arial" w:cs="Arial"/>
          <w:i/>
        </w:rPr>
        <w:t xml:space="preserve"> Guardia Civil son a hombres en todas las anualidades, excepto en 2014. Según la edad, la mayor parte de las sanciones fueron a personas de entre 31 y 40 años. Llama la atención la progresiva disminución de las sanciones a las personas de 18 a 30 años, que</w:t>
      </w:r>
      <w:r>
        <w:rPr>
          <w:rFonts w:ascii="Arial" w:eastAsia="Arial" w:hAnsi="Arial" w:cs="Arial"/>
          <w:i/>
        </w:rPr>
        <w:t xml:space="preserve"> no hace más que disminuir de 2013 en adelante. Respecto a la sustancia por la cual la Guardia Civil sanciona, la mayor parte es cocaína, seguida del cannabis, siendo las mayores incautaciones, las de hachís. </w:t>
      </w:r>
    </w:p>
    <w:p w:rsidR="00E23B86" w:rsidRDefault="00BA7C13">
      <w:pPr>
        <w:numPr>
          <w:ilvl w:val="0"/>
          <w:numId w:val="140"/>
        </w:numPr>
        <w:spacing w:after="111" w:line="251" w:lineRule="auto"/>
        <w:ind w:right="1" w:hanging="841"/>
        <w:jc w:val="both"/>
      </w:pPr>
      <w:r>
        <w:rPr>
          <w:rFonts w:ascii="Arial" w:eastAsia="Arial" w:hAnsi="Arial" w:cs="Arial"/>
          <w:i/>
        </w:rPr>
        <w:t>En cuanto al número de actas realizadas por la</w:t>
      </w:r>
      <w:r>
        <w:rPr>
          <w:rFonts w:ascii="Arial" w:eastAsia="Arial" w:hAnsi="Arial" w:cs="Arial"/>
          <w:i/>
        </w:rPr>
        <w:t xml:space="preserve"> Policía Local, se observa que en el año 2016 y 2017 han disminuido las sanciones. Al igual que ocurría con la Guardia Civil, la mayor parte son hombres y las mayores incautaciones son por cannabis. Respecto a la edad, las sanciones a menores de edad han a</w:t>
      </w:r>
      <w:r>
        <w:rPr>
          <w:rFonts w:ascii="Arial" w:eastAsia="Arial" w:hAnsi="Arial" w:cs="Arial"/>
          <w:i/>
        </w:rPr>
        <w:t>umentado y las realizadas a mayores de edad han disminuido.</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726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4247" name="Group 57424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605" name="Rectangle 4960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606" name="Rectangle 4960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Página 305 de 391</w:t>
                              </w:r>
                              <w:r>
                                <w:rPr>
                                  <w:rFonts w:ascii="Arial" w:eastAsia="Arial" w:hAnsi="Arial" w:cs="Arial"/>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74247" style="width:12.7031pt;height:280.35pt;position:absolute;mso-position-horizontal-relative:page;mso-position-horizontal:absolute;margin-left:681.958pt;mso-position-vertical-relative:page;margin-top:531.65pt;" coordsize="1613,35604">
                <v:rect id="Rectangle 4960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60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305 de 391 </w:t>
                        </w:r>
                      </w:p>
                    </w:txbxContent>
                  </v:textbox>
                </v:rect>
                <w10:wrap type="square"/>
              </v:group>
            </w:pict>
          </mc:Fallback>
        </mc:AlternateContent>
      </w:r>
      <w:r>
        <w:rPr>
          <w:rFonts w:ascii="Arial" w:eastAsia="Arial" w:hAnsi="Arial" w:cs="Arial"/>
          <w:i/>
        </w:rPr>
        <w:t>Por último, los datos de la Policía Canaria, correspondientes al año 2016, indican que la mayoría de las sanciones son interpuestas a hombres mayores de edad, principalmente por cannabis.</w:t>
      </w:r>
    </w:p>
    <w:p w:rsidR="00E23B86" w:rsidRDefault="00BA7C13">
      <w:pPr>
        <w:numPr>
          <w:ilvl w:val="0"/>
          <w:numId w:val="140"/>
        </w:numPr>
        <w:spacing w:after="136" w:line="251" w:lineRule="auto"/>
        <w:ind w:right="1" w:hanging="841"/>
        <w:jc w:val="both"/>
      </w:pPr>
      <w:r>
        <w:rPr>
          <w:rFonts w:ascii="Arial" w:eastAsia="Arial" w:hAnsi="Arial" w:cs="Arial"/>
          <w:i/>
        </w:rPr>
        <w:t xml:space="preserve">Datos sobre hábitos saludables de la población escolarizada en el </w:t>
      </w:r>
      <w:r>
        <w:rPr>
          <w:rFonts w:ascii="Arial" w:eastAsia="Arial" w:hAnsi="Arial" w:cs="Arial"/>
          <w:i/>
        </w:rPr>
        <w:t xml:space="preserve">municipio </w:t>
      </w:r>
    </w:p>
    <w:p w:rsidR="00E23B86" w:rsidRDefault="00BA7C13">
      <w:pPr>
        <w:numPr>
          <w:ilvl w:val="0"/>
          <w:numId w:val="140"/>
        </w:numPr>
        <w:spacing w:after="111" w:line="251" w:lineRule="auto"/>
        <w:ind w:right="1" w:hanging="841"/>
        <w:jc w:val="both"/>
      </w:pPr>
      <w:r>
        <w:rPr>
          <w:rFonts w:ascii="Arial" w:eastAsia="Arial" w:hAnsi="Arial" w:cs="Arial"/>
          <w:i/>
        </w:rPr>
        <w:t>En relación al alumnado de primaria, se observa que los hábitos de vida de los y las menores entrevistados/as se encuentran dentro de los parámetros establecidos para un correcto desarrollo y adquisición de un estilo de vida saludable. Asimismo,</w:t>
      </w:r>
      <w:r>
        <w:rPr>
          <w:rFonts w:ascii="Arial" w:eastAsia="Arial" w:hAnsi="Arial" w:cs="Arial"/>
          <w:i/>
        </w:rPr>
        <w:t xml:space="preserve"> respecto a las horas de sueño y descanso, la mitad de las niñas y niños entrevistados/as sí cumplen con las horas de sueño recomendadas como saludables, mientras que existe un porcentaje significativo de menores que están por debajo, lo que supone consecu</w:t>
      </w:r>
      <w:r>
        <w:rPr>
          <w:rFonts w:ascii="Arial" w:eastAsia="Arial" w:hAnsi="Arial" w:cs="Arial"/>
          <w:i/>
        </w:rPr>
        <w:t xml:space="preserve">encias negativas para su etapa actual de desarrollo, que pueden manifestarse en situaciones de riesgo psicológicas, biológicas y conductuales, así como en un bajo rendimiento académico. </w:t>
      </w:r>
    </w:p>
    <w:p w:rsidR="00E23B86" w:rsidRDefault="00BA7C13">
      <w:pPr>
        <w:numPr>
          <w:ilvl w:val="0"/>
          <w:numId w:val="140"/>
        </w:numPr>
        <w:spacing w:after="111" w:line="251" w:lineRule="auto"/>
        <w:ind w:right="1" w:hanging="841"/>
        <w:jc w:val="both"/>
      </w:pPr>
      <w:r>
        <w:rPr>
          <w:rFonts w:ascii="Arial" w:eastAsia="Arial" w:hAnsi="Arial" w:cs="Arial"/>
          <w:i/>
        </w:rPr>
        <w:t>En cuanto a las actividades y estilos de vida, de los datos recogidos</w:t>
      </w:r>
      <w:r>
        <w:rPr>
          <w:rFonts w:ascii="Arial" w:eastAsia="Arial" w:hAnsi="Arial" w:cs="Arial"/>
          <w:i/>
        </w:rPr>
        <w:t xml:space="preserve"> sobre ocio activo son positivos, debido a los beneficios que tiene en el desarrollo y creación de redes sociales y sistemas de apoyo entre el grupo de iguales en su comunidad y el desarrollo de habilidades sociales. Cabe destacar que el uso de las redes s</w:t>
      </w:r>
      <w:r>
        <w:rPr>
          <w:rFonts w:ascii="Arial" w:eastAsia="Arial" w:hAnsi="Arial" w:cs="Arial"/>
          <w:i/>
        </w:rPr>
        <w:t>ociales y las TIC, pueden provocar tanto consecuencias negativas (una posible adicción a las mismas), como positivas, siendo esta última una forma de inclusión y relación entre iguales. Por esto, es importante la existencia de acciones preventivas y de sen</w:t>
      </w:r>
      <w:r>
        <w:rPr>
          <w:rFonts w:ascii="Arial" w:eastAsia="Arial" w:hAnsi="Arial" w:cs="Arial"/>
          <w:i/>
        </w:rPr>
        <w:t>sibilización tanto con los y las menores como con los/as progenitores/as de los y las mismos/as, para así dotarles de herramientas que eviten posibles adicciones. Por consiguiente, los datos recogidos muestran que estos/as niños y niñas dedican tiempo diar</w:t>
      </w:r>
      <w:r>
        <w:rPr>
          <w:rFonts w:ascii="Arial" w:eastAsia="Arial" w:hAnsi="Arial" w:cs="Arial"/>
          <w:i/>
        </w:rPr>
        <w:t>iamente a sus tareas escolares, tres o más días a la semana, lo que resulta muy positivo, ya que dichas actividades son beneficiosas para el desarrollo personal y social de los y las mismos/as.</w:t>
      </w:r>
    </w:p>
    <w:p w:rsidR="00E23B86" w:rsidRDefault="00BA7C13">
      <w:pPr>
        <w:numPr>
          <w:ilvl w:val="0"/>
          <w:numId w:val="140"/>
        </w:numPr>
        <w:spacing w:after="111" w:line="251" w:lineRule="auto"/>
        <w:ind w:right="1" w:hanging="841"/>
        <w:jc w:val="both"/>
      </w:pPr>
      <w:r>
        <w:rPr>
          <w:rFonts w:ascii="Arial" w:eastAsia="Arial" w:hAnsi="Arial" w:cs="Arial"/>
          <w:i/>
        </w:rPr>
        <w:t xml:space="preserve">Respecto a las situaciones vividas los últimos seis meses, se </w:t>
      </w:r>
      <w:r>
        <w:rPr>
          <w:rFonts w:ascii="Arial" w:eastAsia="Arial" w:hAnsi="Arial" w:cs="Arial"/>
          <w:i/>
        </w:rPr>
        <w:t>muestra un alto porcentaje de menores que en los últimos seis meses han tenido sentimientos de pena, tristeza y angustia por algún acontecimiento vivido. Este dato llama la atención puesto que, en estas edades, lo esperado es que predominen los sentimiento</w:t>
      </w:r>
      <w:r>
        <w:rPr>
          <w:rFonts w:ascii="Arial" w:eastAsia="Arial" w:hAnsi="Arial" w:cs="Arial"/>
          <w:i/>
        </w:rPr>
        <w:t xml:space="preserve">s de bienestar, por encima de circunstancias negativas, además, de ser un factor protector ante posibles situaciones de riesgo. </w:t>
      </w:r>
    </w:p>
    <w:p w:rsidR="00E23B86" w:rsidRDefault="00BA7C13">
      <w:pPr>
        <w:numPr>
          <w:ilvl w:val="0"/>
          <w:numId w:val="140"/>
        </w:numPr>
        <w:spacing w:after="111" w:line="251" w:lineRule="auto"/>
        <w:ind w:right="1" w:hanging="841"/>
        <w:jc w:val="both"/>
      </w:pPr>
      <w:r>
        <w:rPr>
          <w:rFonts w:ascii="Arial" w:eastAsia="Arial" w:hAnsi="Arial" w:cs="Arial"/>
          <w:i/>
        </w:rPr>
        <w:t>En lo referente a la información y el conocimiento del alumnado sobre drogas, se destaca que existe concienciación respecto a las adicciones y sus consecuencias, lo que supone un resultado muy positivo en cuanto a la sensibilización hacia el consumo que ti</w:t>
      </w:r>
      <w:r>
        <w:rPr>
          <w:rFonts w:ascii="Arial" w:eastAsia="Arial" w:hAnsi="Arial" w:cs="Arial"/>
          <w:i/>
        </w:rPr>
        <w:t xml:space="preserve">enen. </w:t>
      </w:r>
    </w:p>
    <w:p w:rsidR="00E23B86" w:rsidRDefault="00BA7C13">
      <w:pPr>
        <w:numPr>
          <w:ilvl w:val="0"/>
          <w:numId w:val="140"/>
        </w:numPr>
        <w:spacing w:after="111" w:line="251" w:lineRule="auto"/>
        <w:ind w:right="1" w:hanging="841"/>
        <w:jc w:val="both"/>
      </w:pPr>
      <w:r>
        <w:rPr>
          <w:rFonts w:ascii="Arial" w:eastAsia="Arial" w:hAnsi="Arial" w:cs="Arial"/>
          <w:i/>
        </w:rPr>
        <w:t>Tras analizar los resultados obtenidos del estudiantado de secundaria, se observa, que, en relación a los hábitos de vida, estas y estos menores entrevistados/as se encuentran dentro de los parámetros establecidos para un correcto desarrollo y adqui</w:t>
      </w:r>
      <w:r>
        <w:rPr>
          <w:rFonts w:ascii="Arial" w:eastAsia="Arial" w:hAnsi="Arial" w:cs="Arial"/>
          <w:i/>
        </w:rPr>
        <w:t xml:space="preserve">sición de un estilo de vida saludable. </w:t>
      </w:r>
    </w:p>
    <w:p w:rsidR="00E23B86" w:rsidRDefault="00BA7C13">
      <w:pPr>
        <w:numPr>
          <w:ilvl w:val="0"/>
          <w:numId w:val="140"/>
        </w:numPr>
        <w:spacing w:after="111" w:line="251" w:lineRule="auto"/>
        <w:ind w:right="1" w:hanging="841"/>
        <w:jc w:val="both"/>
      </w:pPr>
      <w:r>
        <w:rPr>
          <w:rFonts w:ascii="Arial" w:eastAsia="Arial" w:hAnsi="Arial" w:cs="Arial"/>
          <w:i/>
        </w:rPr>
        <w:t xml:space="preserve">Asimismo, respecto a las horas de sueño, la mayor parte no cumplen con las horas de sueño recomendadas como saludables. Esto supone consecuencias negativas para su etapa actual de desarrollo, que pueden manifestarse </w:t>
      </w:r>
      <w:r>
        <w:rPr>
          <w:rFonts w:ascii="Arial" w:eastAsia="Arial" w:hAnsi="Arial" w:cs="Arial"/>
          <w:i/>
        </w:rPr>
        <w:t xml:space="preserve">en situaciones de riesgo psicológicas, biológicas y conductuales, produciéndose a su vez un bajo rendimiento académico. </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736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4536" name="Group 57453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676" name="Rectangle 4967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677" name="Rectangle 4967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w:t>
                              </w:r>
                              <w:r>
                                <w:rPr>
                                  <w:rFonts w:ascii="Arial" w:eastAsia="Arial" w:hAnsi="Arial" w:cs="Arial"/>
                                  <w:sz w:val="12"/>
                                </w:rPr>
                                <w:t xml:space="preserve">te desde la plataforma esPublico Gestiona | Página 306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4536" style="width:12.7031pt;height:280.35pt;position:absolute;mso-position-horizontal-relative:page;mso-position-horizontal:absolute;margin-left:681.958pt;mso-position-vertical-relative:page;margin-top:531.65pt;" coordsize="1613,35604">
                <v:rect id="Rectangle 4967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67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306 de 391 </w:t>
                        </w:r>
                      </w:p>
                    </w:txbxContent>
                  </v:textbox>
                </v:rect>
                <w10:wrap type="square"/>
              </v:group>
            </w:pict>
          </mc:Fallback>
        </mc:AlternateContent>
      </w:r>
      <w:r>
        <w:rPr>
          <w:rFonts w:ascii="Arial" w:eastAsia="Arial" w:hAnsi="Arial" w:cs="Arial"/>
          <w:i/>
        </w:rPr>
        <w:t>En cuanto a las actividades y sus estilos de vida, los datos recogidos sobre ocio activo son positivos, debido a los beneficios que tienen para el desarrollo, la creación de redes sociales y los sistemas de apoyo dentro de la comunidad a través del contact</w:t>
      </w:r>
      <w:r>
        <w:rPr>
          <w:rFonts w:ascii="Arial" w:eastAsia="Arial" w:hAnsi="Arial" w:cs="Arial"/>
          <w:i/>
        </w:rPr>
        <w:t xml:space="preserve">o con otros/as iguales, que además supone el desarrollo de habilidades sociales. </w:t>
      </w:r>
    </w:p>
    <w:p w:rsidR="00E23B86" w:rsidRDefault="00BA7C13">
      <w:pPr>
        <w:numPr>
          <w:ilvl w:val="0"/>
          <w:numId w:val="140"/>
        </w:numPr>
        <w:spacing w:after="111" w:line="251" w:lineRule="auto"/>
        <w:ind w:right="1" w:hanging="841"/>
        <w:jc w:val="both"/>
      </w:pPr>
      <w:r>
        <w:rPr>
          <w:rFonts w:ascii="Arial" w:eastAsia="Arial" w:hAnsi="Arial" w:cs="Arial"/>
          <w:i/>
        </w:rPr>
        <w:t>Esto es algo que resulta prácticamente imprescindible en la edad en la que encuentran las personas objeto de este estudio, las opiniones de sus iguales son muy valoradas en e</w:t>
      </w:r>
      <w:r>
        <w:rPr>
          <w:rFonts w:ascii="Arial" w:eastAsia="Arial" w:hAnsi="Arial" w:cs="Arial"/>
          <w:i/>
        </w:rPr>
        <w:t>sta edad, supone un paso más en la búsqueda de su identidad y según la elección de las amistades que realizan, la presión que pueden sentir por sus iguales pueden ser beneficiosas o perjudiciales, por ello es importante que éstos se sientan apoyados/as, or</w:t>
      </w:r>
      <w:r>
        <w:rPr>
          <w:rFonts w:ascii="Arial" w:eastAsia="Arial" w:hAnsi="Arial" w:cs="Arial"/>
          <w:i/>
        </w:rPr>
        <w:t>ientados/as y se les ayude a encaminar ese proceso de transición hacia la vida adulta de la mejor manera posible.</w:t>
      </w:r>
    </w:p>
    <w:p w:rsidR="00E23B86" w:rsidRDefault="00BA7C13">
      <w:pPr>
        <w:numPr>
          <w:ilvl w:val="0"/>
          <w:numId w:val="140"/>
        </w:numPr>
        <w:spacing w:after="111" w:line="251" w:lineRule="auto"/>
        <w:ind w:right="1" w:hanging="841"/>
        <w:jc w:val="both"/>
      </w:pPr>
      <w:r>
        <w:rPr>
          <w:rFonts w:ascii="Arial" w:eastAsia="Arial" w:hAnsi="Arial" w:cs="Arial"/>
          <w:i/>
        </w:rPr>
        <w:t>Cabe destacar que el uso de las redes sociales y las TIC, pueden provocar tanto consecuencias negativas, una posible adicción a las mismas, co</w:t>
      </w:r>
      <w:r>
        <w:rPr>
          <w:rFonts w:ascii="Arial" w:eastAsia="Arial" w:hAnsi="Arial" w:cs="Arial"/>
          <w:i/>
        </w:rPr>
        <w:t>mo positivas, siendo esta última una forma de inclusión y relación entre iguales. Por ello, es importante la existencia de acciones preventivas y de sensibilización tanto con los y las menores, como con sus progenitores/as, para así dotarles de herramienta</w:t>
      </w:r>
      <w:r>
        <w:rPr>
          <w:rFonts w:ascii="Arial" w:eastAsia="Arial" w:hAnsi="Arial" w:cs="Arial"/>
          <w:i/>
        </w:rPr>
        <w:t xml:space="preserve">s que eviten posibles adicciones. Por consiguiente, los datos recogidos muestran que éstos adolescentes dedican tiempo diariamente a sus tareas escolares, tres o más días a la semana, lo que resulta muy positivo, ya que dichas actividades son beneficiosas </w:t>
      </w:r>
      <w:r>
        <w:rPr>
          <w:rFonts w:ascii="Arial" w:eastAsia="Arial" w:hAnsi="Arial" w:cs="Arial"/>
          <w:i/>
        </w:rPr>
        <w:t>para su desarrollo personal y social.</w:t>
      </w:r>
    </w:p>
    <w:p w:rsidR="00E23B86" w:rsidRDefault="00BA7C13">
      <w:pPr>
        <w:numPr>
          <w:ilvl w:val="0"/>
          <w:numId w:val="140"/>
        </w:numPr>
        <w:spacing w:after="111" w:line="251" w:lineRule="auto"/>
        <w:ind w:right="1" w:hanging="841"/>
        <w:jc w:val="both"/>
      </w:pPr>
      <w:r>
        <w:rPr>
          <w:rFonts w:ascii="Arial" w:eastAsia="Arial" w:hAnsi="Arial" w:cs="Arial"/>
          <w:i/>
        </w:rPr>
        <w:t>Respecto a las situaciones vividas los últimos seis meses, se muestra un alto porcentaje de menores que en los últimos seis meses han tenido sentimientos de pena, tristeza y angustia por algún acontecimiento vivido. La</w:t>
      </w:r>
      <w:r>
        <w:rPr>
          <w:rFonts w:ascii="Arial" w:eastAsia="Arial" w:hAnsi="Arial" w:cs="Arial"/>
          <w:i/>
        </w:rPr>
        <w:t xml:space="preserve"> adolescencia supone un momento de gran incertidumbre para los chicos y las chicas, ya que con estas edades comienza la transición de la infancia a la adultez, aumentando sus responsabilidades, algo que suele generar angustia ante los cambios y la toma de </w:t>
      </w:r>
      <w:r>
        <w:rPr>
          <w:rFonts w:ascii="Arial" w:eastAsia="Arial" w:hAnsi="Arial" w:cs="Arial"/>
          <w:i/>
        </w:rPr>
        <w:t>decisiones que suele ser decisivo para su futuro. Los chicos y las chicas suelen agobiarse al no saber responder a las dudas que les surgen en esta etapa, lo que conlleva que se sientan incomprendidos/as, algo que habitualmente se relaciona con conductas r</w:t>
      </w:r>
      <w:r>
        <w:rPr>
          <w:rFonts w:ascii="Arial" w:eastAsia="Arial" w:hAnsi="Arial" w:cs="Arial"/>
          <w:i/>
        </w:rPr>
        <w:t>ebeldes y sentimientos encontrados, por ello es importante llevar a cabo acciones que ayuden a los y las adolescentes a regular estos sentimientos, para crecer adecuadamente durante esta complicada etapa de su vida.</w:t>
      </w:r>
    </w:p>
    <w:p w:rsidR="00E23B86" w:rsidRDefault="00BA7C13">
      <w:pPr>
        <w:numPr>
          <w:ilvl w:val="0"/>
          <w:numId w:val="140"/>
        </w:numPr>
        <w:spacing w:after="111" w:line="251" w:lineRule="auto"/>
        <w:ind w:right="1" w:hanging="841"/>
        <w:jc w:val="both"/>
      </w:pPr>
      <w:r>
        <w:rPr>
          <w:rFonts w:ascii="Arial" w:eastAsia="Arial" w:hAnsi="Arial" w:cs="Arial"/>
          <w:i/>
        </w:rPr>
        <w:t>Analizando el consumo de drogas, se dest</w:t>
      </w:r>
      <w:r>
        <w:rPr>
          <w:rFonts w:ascii="Arial" w:eastAsia="Arial" w:hAnsi="Arial" w:cs="Arial"/>
          <w:i/>
        </w:rPr>
        <w:t>aca el significativo porcentaje de aquellos/as jóvenes que han consumido alcohol alguna vez en su vida, lo que supone un gran riesgo, sobre todo, a su corta edad. Este tipo de actividad puede desencadenar posibles adicciones futuras puesto que, al ser el a</w:t>
      </w:r>
      <w:r>
        <w:rPr>
          <w:rFonts w:ascii="Arial" w:eastAsia="Arial" w:hAnsi="Arial" w:cs="Arial"/>
          <w:i/>
        </w:rPr>
        <w:t xml:space="preserve">lcohol una droga legal en España, se normaliza su consumo obviando las graves consecuencias que puede acarrear. Como se menciona a lo largo del estudio, en esta etapa experimentan una serie de cambios que hacen de ésta un periodo de inseguridad, donde los </w:t>
      </w:r>
      <w:r>
        <w:rPr>
          <w:rFonts w:ascii="Arial" w:eastAsia="Arial" w:hAnsi="Arial" w:cs="Arial"/>
          <w:i/>
        </w:rPr>
        <w:t>y las adolescentes tratan de encontrar su sitio dentro de la sociedad, el alcohol se relaciona normalmente con el ocio y la socialización. Por lo tanto, los altos porcentajes de consumo que se observan se pueden relacionar con la normalización que tiene nu</w:t>
      </w:r>
      <w:r>
        <w:rPr>
          <w:rFonts w:ascii="Arial" w:eastAsia="Arial" w:hAnsi="Arial" w:cs="Arial"/>
          <w:i/>
        </w:rPr>
        <w:t>estra sociedad de esta sustancia y lo arraigada que está en el día a día.</w:t>
      </w:r>
    </w:p>
    <w:p w:rsidR="00E23B86" w:rsidRDefault="00BA7C13">
      <w:pPr>
        <w:numPr>
          <w:ilvl w:val="0"/>
          <w:numId w:val="140"/>
        </w:numPr>
        <w:spacing w:after="111" w:line="251" w:lineRule="auto"/>
        <w:ind w:right="1" w:hanging="841"/>
        <w:jc w:val="both"/>
      </w:pPr>
      <w:r>
        <w:rPr>
          <w:rFonts w:ascii="Arial" w:eastAsia="Arial" w:hAnsi="Arial" w:cs="Arial"/>
          <w:i/>
        </w:rPr>
        <w:t>Existe un bajo consumo de cannabis y de drogas de diseño, destacando un bajo porcentaje en ambas, pero aun así altamente significativo debido a la edad del estudiantado entrevistado.</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746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4874" name="Group 57487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743" name="Rectangle 4974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744" name="Rectangle 4974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307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4874" style="width:12.7031pt;height:280.35pt;position:absolute;mso-position-horizontal-relative:page;mso-position-horizontal:absolute;margin-left:681.958pt;mso-position-vertical-relative:page;margin-top:531.65pt;" coordsize="1613,35604">
                <v:rect id="Rectangle 4974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74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307 de 391 </w:t>
                        </w:r>
                      </w:p>
                    </w:txbxContent>
                  </v:textbox>
                </v:rect>
                <w10:wrap type="square"/>
              </v:group>
            </w:pict>
          </mc:Fallback>
        </mc:AlternateContent>
      </w:r>
      <w:r>
        <w:rPr>
          <w:rFonts w:ascii="Arial" w:eastAsia="Arial" w:hAnsi="Arial" w:cs="Arial"/>
          <w:i/>
        </w:rPr>
        <w:t xml:space="preserve">El consumo de cannabis, tabaco y alcohol en las personas </w:t>
      </w:r>
      <w:r>
        <w:rPr>
          <w:rFonts w:ascii="Arial" w:eastAsia="Arial" w:hAnsi="Arial" w:cs="Arial"/>
          <w:i/>
        </w:rPr>
        <w:t>jóvenes entrevistadas, es sin duda un gran riesgo para su salud, ya que supone un problema grave para su desarrollo debido a la etapa vital en la que se encuentran. Este tipo de drogas están cada vez más presentes en sus vidas lo que supone un incentivo pa</w:t>
      </w:r>
      <w:r>
        <w:rPr>
          <w:rFonts w:ascii="Arial" w:eastAsia="Arial" w:hAnsi="Arial" w:cs="Arial"/>
          <w:i/>
        </w:rPr>
        <w:t xml:space="preserve">ra una posible adicción futura. Para combatir esto, es preciso que se establezcan políticas de prevención de las drogas y adicciones dentro del municipio, focalizadas fundamentalmente en estos jóvenes. </w:t>
      </w:r>
    </w:p>
    <w:p w:rsidR="00E23B86" w:rsidRDefault="00BA7C13">
      <w:pPr>
        <w:numPr>
          <w:ilvl w:val="0"/>
          <w:numId w:val="140"/>
        </w:numPr>
        <w:spacing w:after="273" w:line="251" w:lineRule="auto"/>
        <w:ind w:right="1" w:hanging="841"/>
        <w:jc w:val="both"/>
      </w:pPr>
      <w:r>
        <w:rPr>
          <w:rFonts w:ascii="Arial" w:eastAsia="Arial" w:hAnsi="Arial" w:cs="Arial"/>
          <w:i/>
        </w:rPr>
        <w:t>Cabe destacar que estos/as jóvenes entrevistados/as s</w:t>
      </w:r>
      <w:r>
        <w:rPr>
          <w:rFonts w:ascii="Arial" w:eastAsia="Arial" w:hAnsi="Arial" w:cs="Arial"/>
          <w:i/>
        </w:rPr>
        <w:t>eñalan que consumen drogas con el fin de divertirse. Por ello, es importante que se desarrollen de tal manera que su personalidad les haga ser capaces de no tener que optar a las drogas para desinhibirse, relacionarse entre sí y divertirse en su día a día.</w:t>
      </w:r>
      <w:r>
        <w:rPr>
          <w:rFonts w:ascii="Arial" w:eastAsia="Arial" w:hAnsi="Arial" w:cs="Arial"/>
          <w:i/>
        </w:rPr>
        <w:t xml:space="preserve"> </w:t>
      </w:r>
    </w:p>
    <w:p w:rsidR="00E23B86" w:rsidRDefault="00BA7C13">
      <w:pPr>
        <w:numPr>
          <w:ilvl w:val="0"/>
          <w:numId w:val="140"/>
        </w:numPr>
        <w:spacing w:after="232" w:line="251" w:lineRule="auto"/>
        <w:ind w:right="1" w:hanging="841"/>
        <w:jc w:val="both"/>
      </w:pPr>
      <w:r>
        <w:rPr>
          <w:rFonts w:ascii="Arial" w:eastAsia="Arial" w:hAnsi="Arial" w:cs="Arial"/>
          <w:i/>
        </w:rPr>
        <w:t xml:space="preserve">2.4. Recomendaciones para el diseño del IV Plan   </w:t>
      </w:r>
    </w:p>
    <w:p w:rsidR="00E23B86" w:rsidRDefault="00BA7C13">
      <w:pPr>
        <w:numPr>
          <w:ilvl w:val="0"/>
          <w:numId w:val="140"/>
        </w:numPr>
        <w:spacing w:after="111" w:line="251" w:lineRule="auto"/>
        <w:ind w:right="1" w:hanging="841"/>
        <w:jc w:val="both"/>
      </w:pPr>
      <w:r>
        <w:rPr>
          <w:rFonts w:ascii="Arial" w:eastAsia="Arial" w:hAnsi="Arial" w:cs="Arial"/>
          <w:i/>
        </w:rPr>
        <w:t>Tras los datos anteriormente expuestos, se plantean las siguientes recomendaciones a tener en cuenta para el diseño del IV Plan:</w:t>
      </w:r>
    </w:p>
    <w:p w:rsidR="00E23B86" w:rsidRDefault="00BA7C13">
      <w:pPr>
        <w:numPr>
          <w:ilvl w:val="0"/>
          <w:numId w:val="140"/>
        </w:numPr>
        <w:spacing w:after="111" w:line="251" w:lineRule="auto"/>
        <w:ind w:right="1" w:hanging="841"/>
        <w:jc w:val="both"/>
      </w:pPr>
      <w:r>
        <w:rPr>
          <w:rFonts w:ascii="Arial" w:eastAsia="Arial" w:hAnsi="Arial" w:cs="Arial"/>
          <w:i/>
        </w:rPr>
        <w:t>En las estrategias de prevención se debe priorizar el abordaje prioritario de las sustancias psicoactivas legales o ilegales, y las adicciones comportamentales relacionadas con la ludopatía (juego presencial y online) y videojuegos, y las adicciones compor</w:t>
      </w:r>
      <w:r>
        <w:rPr>
          <w:rFonts w:ascii="Arial" w:eastAsia="Arial" w:hAnsi="Arial" w:cs="Arial"/>
          <w:i/>
        </w:rPr>
        <w:t xml:space="preserve">tamentales relacionadas con las Nuevas Tecnologías (Redes Sociales, Internet), así como otras como el sexo y las compras compulsivas. </w:t>
      </w:r>
    </w:p>
    <w:p w:rsidR="00E23B86" w:rsidRDefault="00BA7C13">
      <w:pPr>
        <w:numPr>
          <w:ilvl w:val="0"/>
          <w:numId w:val="140"/>
        </w:numPr>
        <w:spacing w:after="111" w:line="251" w:lineRule="auto"/>
        <w:ind w:right="1" w:hanging="841"/>
        <w:jc w:val="both"/>
      </w:pPr>
      <w:r>
        <w:rPr>
          <w:rFonts w:ascii="Arial" w:eastAsia="Arial" w:hAnsi="Arial" w:cs="Arial"/>
          <w:i/>
        </w:rPr>
        <w:t xml:space="preserve">La prevención debe trabajarse a tres niveles: universal, selectiva e indicada. </w:t>
      </w:r>
    </w:p>
    <w:p w:rsidR="00E23B86" w:rsidRDefault="00BA7C13">
      <w:pPr>
        <w:numPr>
          <w:ilvl w:val="0"/>
          <w:numId w:val="140"/>
        </w:numPr>
        <w:spacing w:after="111" w:line="251" w:lineRule="auto"/>
        <w:ind w:right="1" w:hanging="841"/>
        <w:jc w:val="both"/>
      </w:pPr>
      <w:r>
        <w:rPr>
          <w:rFonts w:ascii="Arial" w:eastAsia="Arial" w:hAnsi="Arial" w:cs="Arial"/>
          <w:i/>
        </w:rPr>
        <w:t>Los ámbitos prioritarios de la prevención</w:t>
      </w:r>
      <w:r>
        <w:rPr>
          <w:rFonts w:ascii="Arial" w:eastAsia="Arial" w:hAnsi="Arial" w:cs="Arial"/>
          <w:i/>
        </w:rPr>
        <w:t xml:space="preserve"> deben ser el educativo, familiar, laboral, medios de comunicación, Fuerzas y Cuerpos de Seguridad, Hostelería</w:t>
      </w:r>
    </w:p>
    <w:p w:rsidR="00E23B86" w:rsidRDefault="00BA7C13">
      <w:pPr>
        <w:spacing w:after="111" w:line="251" w:lineRule="auto"/>
        <w:ind w:left="462" w:hanging="10"/>
        <w:jc w:val="both"/>
      </w:pPr>
      <w:r>
        <w:rPr>
          <w:rFonts w:ascii="Arial" w:eastAsia="Arial" w:hAnsi="Arial" w:cs="Arial"/>
          <w:i/>
        </w:rPr>
        <w:t>y Restauración, Sistema Sanitario, y Prevención Ambiental, y dentro de éste, los Contextos y Espacios de Ocio y la Urbanización Saludable.</w:t>
      </w:r>
    </w:p>
    <w:p w:rsidR="00E23B86" w:rsidRDefault="00BA7C13">
      <w:pPr>
        <w:numPr>
          <w:ilvl w:val="0"/>
          <w:numId w:val="140"/>
        </w:numPr>
        <w:spacing w:after="111" w:line="251" w:lineRule="auto"/>
        <w:ind w:right="1" w:hanging="841"/>
        <w:jc w:val="both"/>
      </w:pPr>
      <w:r>
        <w:rPr>
          <w:rFonts w:ascii="Arial" w:eastAsia="Arial" w:hAnsi="Arial" w:cs="Arial"/>
          <w:i/>
        </w:rPr>
        <w:t>En las</w:t>
      </w:r>
      <w:r>
        <w:rPr>
          <w:rFonts w:ascii="Arial" w:eastAsia="Arial" w:hAnsi="Arial" w:cs="Arial"/>
          <w:i/>
        </w:rPr>
        <w:t xml:space="preserve"> estrategias de prevención debe incorporarse el enfoque del trabajo comunitario, pues incluye además del ocio y tiempo libre, la prevención ambiental, principalmente, en espacios de ocio comunitario (fiestas locales) y de música y baile (festivales musical</w:t>
      </w:r>
      <w:r>
        <w:rPr>
          <w:rFonts w:ascii="Arial" w:eastAsia="Arial" w:hAnsi="Arial" w:cs="Arial"/>
          <w:i/>
        </w:rPr>
        <w:t xml:space="preserve">es, fiestas multitudinarias públicas o privadas), y debe ser complementada con acciones comunitarias de prevención en el ámbito local, para reducir los problemas asociados al consumo de alcohol, especialmente en menores. </w:t>
      </w:r>
    </w:p>
    <w:p w:rsidR="00E23B86" w:rsidRDefault="00BA7C13">
      <w:pPr>
        <w:numPr>
          <w:ilvl w:val="0"/>
          <w:numId w:val="140"/>
        </w:numPr>
        <w:spacing w:after="112" w:line="250" w:lineRule="auto"/>
        <w:ind w:right="1" w:hanging="841"/>
        <w:jc w:val="both"/>
      </w:pPr>
      <w:r>
        <w:rPr>
          <w:rFonts w:ascii="Arial" w:eastAsia="Arial" w:hAnsi="Arial" w:cs="Arial"/>
          <w:i/>
        </w:rPr>
        <w:t>Es fundamental apostar y apoyar lo</w:t>
      </w:r>
      <w:r>
        <w:rPr>
          <w:rFonts w:ascii="Arial" w:eastAsia="Arial" w:hAnsi="Arial" w:cs="Arial"/>
          <w:i/>
        </w:rPr>
        <w:t xml:space="preserve">s programas y acciones para la integración social de las personas con problemáticas de adicción a sustancias que puedan incorporarse al empleo y a los que no lo pueden debido a su estado de salud y cronificación de su adicción. </w:t>
      </w:r>
    </w:p>
    <w:p w:rsidR="00E23B86" w:rsidRDefault="00BA7C13">
      <w:pPr>
        <w:numPr>
          <w:ilvl w:val="0"/>
          <w:numId w:val="140"/>
        </w:numPr>
        <w:spacing w:after="111" w:line="251" w:lineRule="auto"/>
        <w:ind w:right="1" w:hanging="841"/>
        <w:jc w:val="both"/>
      </w:pPr>
      <w:r>
        <w:rPr>
          <w:rFonts w:ascii="Arial" w:eastAsia="Arial" w:hAnsi="Arial" w:cs="Arial"/>
          <w:i/>
        </w:rPr>
        <w:t>Reforzar el Plan con la for</w:t>
      </w:r>
      <w:r>
        <w:rPr>
          <w:rFonts w:ascii="Arial" w:eastAsia="Arial" w:hAnsi="Arial" w:cs="Arial"/>
          <w:i/>
        </w:rPr>
        <w:t xml:space="preserve">mación y sensibilización social a profesionales del municipio, fomentar una concienciación para que las personas o entidades (deportivas, comunitarias…) sepan que no pueden vender alcohol en eventos deportivos, etc. </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756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5292" name="Group 57529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809" name="Rectangle 4980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w:t>
                              </w:r>
                              <w:r>
                                <w:rPr>
                                  <w:rFonts w:ascii="Arial" w:eastAsia="Arial" w:hAnsi="Arial" w:cs="Arial"/>
                                  <w:sz w:val="12"/>
                                </w:rPr>
                                <w:t xml:space="preserve">N3FZWC | Verificación: https://candelaria.sedelectronica.es/ </w:t>
                              </w:r>
                            </w:p>
                          </w:txbxContent>
                        </wps:txbx>
                        <wps:bodyPr horzOverflow="overflow" vert="horz" lIns="0" tIns="0" rIns="0" bIns="0" rtlCol="0">
                          <a:noAutofit/>
                        </wps:bodyPr>
                      </wps:wsp>
                      <wps:wsp>
                        <wps:cNvPr id="49810" name="Rectangle 4981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308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5292" style="width:12.7031pt;height:280.35pt;position:absolute;mso-position-horizontal-relative:page;mso-position-horizontal:absolute;margin-left:681.958pt;mso-position-vertical-relative:page;margin-top:531.65pt;" coordsize="1613,35604">
                <v:rect id="Rectangle 4980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81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308 de 391 </w:t>
                        </w:r>
                      </w:p>
                    </w:txbxContent>
                  </v:textbox>
                </v:rect>
                <w10:wrap type="square"/>
              </v:group>
            </w:pict>
          </mc:Fallback>
        </mc:AlternateContent>
      </w:r>
      <w:r>
        <w:rPr>
          <w:rFonts w:ascii="Arial" w:eastAsia="Arial" w:hAnsi="Arial" w:cs="Arial"/>
          <w:i/>
        </w:rPr>
        <w:t>Insistir en la prevención con población menor y adolescente sobre el consumo del riesgo del alcoh</w:t>
      </w:r>
      <w:r>
        <w:rPr>
          <w:rFonts w:ascii="Arial" w:eastAsia="Arial" w:hAnsi="Arial" w:cs="Arial"/>
          <w:i/>
        </w:rPr>
        <w:t xml:space="preserve">ol y otras sustancias, junto a una baja percepción del riesgo y “normalización” social del consumo lúdico de sustancias (alcohol, cannabis, cocaína, nuevas sustancias psicoactivas, etc.). El consumo en la calle, contribuye a ese aspecto de normalización y </w:t>
      </w:r>
      <w:r>
        <w:rPr>
          <w:rFonts w:ascii="Arial" w:eastAsia="Arial" w:hAnsi="Arial" w:cs="Arial"/>
          <w:i/>
        </w:rPr>
        <w:t>banalización, a pesar de que el acceso de menores a los juegos de azar (bares, salones sin control de acceso, online, etc.) esté regulado.</w:t>
      </w:r>
    </w:p>
    <w:p w:rsidR="00E23B86" w:rsidRDefault="00BA7C13">
      <w:pPr>
        <w:numPr>
          <w:ilvl w:val="0"/>
          <w:numId w:val="140"/>
        </w:numPr>
        <w:spacing w:after="111" w:line="251" w:lineRule="auto"/>
        <w:ind w:right="1" w:hanging="841"/>
        <w:jc w:val="both"/>
      </w:pPr>
      <w:r>
        <w:rPr>
          <w:rFonts w:ascii="Arial" w:eastAsia="Arial" w:hAnsi="Arial" w:cs="Arial"/>
          <w:i/>
        </w:rPr>
        <w:t>Incorporar en las acciones preventivas a las personas de edad avanzada (como colectivo de riesgo) sobre las que no ex</w:t>
      </w:r>
      <w:r>
        <w:rPr>
          <w:rFonts w:ascii="Arial" w:eastAsia="Arial" w:hAnsi="Arial" w:cs="Arial"/>
          <w:i/>
        </w:rPr>
        <w:t>isten datos suficientes, pero sobre las que sabemos que consumen fármacos (psicofármacos, entre ellos) de forma más frecuente que el resto de la población.</w:t>
      </w:r>
    </w:p>
    <w:p w:rsidR="00E23B86" w:rsidRDefault="00BA7C13">
      <w:pPr>
        <w:numPr>
          <w:ilvl w:val="0"/>
          <w:numId w:val="140"/>
        </w:numPr>
        <w:spacing w:after="111" w:line="251" w:lineRule="auto"/>
        <w:ind w:right="1" w:hanging="841"/>
        <w:jc w:val="both"/>
      </w:pPr>
      <w:r>
        <w:rPr>
          <w:rFonts w:ascii="Arial" w:eastAsia="Arial" w:hAnsi="Arial" w:cs="Arial"/>
          <w:i/>
        </w:rPr>
        <w:t xml:space="preserve">Incorporar la perspectiva de género (Ley Orgánica 3/2007, de 22 de marzo, para la igualdad efectiva </w:t>
      </w:r>
      <w:r>
        <w:rPr>
          <w:rFonts w:ascii="Arial" w:eastAsia="Arial" w:hAnsi="Arial" w:cs="Arial"/>
          <w:i/>
        </w:rPr>
        <w:t>de mujeres y hombres, art. 20), como marco analítico, desarrollando las herramientas necesarias que permitan visibilizar, analizar y hacer frente a la diferente presentación y afectación de las adicciones en las mujeres y poder hacer un mejor diagnóstico d</w:t>
      </w:r>
      <w:r>
        <w:rPr>
          <w:rFonts w:ascii="Arial" w:eastAsia="Arial" w:hAnsi="Arial" w:cs="Arial"/>
          <w:i/>
        </w:rPr>
        <w:t>e la realidad, e incorporar las necesidades y realidad de las mujeres en todas las acciones e intervenciones estratégicas.</w:t>
      </w:r>
    </w:p>
    <w:p w:rsidR="00E23B86" w:rsidRDefault="00BA7C13">
      <w:pPr>
        <w:numPr>
          <w:ilvl w:val="0"/>
          <w:numId w:val="140"/>
        </w:numPr>
        <w:spacing w:after="111" w:line="251" w:lineRule="auto"/>
        <w:ind w:right="1" w:hanging="841"/>
        <w:jc w:val="both"/>
      </w:pPr>
      <w:r>
        <w:rPr>
          <w:rFonts w:ascii="Arial" w:eastAsia="Arial" w:hAnsi="Arial" w:cs="Arial"/>
          <w:i/>
        </w:rPr>
        <w:t>Trabajar las respuestas preventivas adaptándolas a los nuevos contextos y formas de relación en las que se producen los consumos, esp</w:t>
      </w:r>
      <w:r>
        <w:rPr>
          <w:rFonts w:ascii="Arial" w:eastAsia="Arial" w:hAnsi="Arial" w:cs="Arial"/>
          <w:i/>
        </w:rPr>
        <w:t>ecialmente las redes sociales, y aprovechar las oportunidades que dichos contextos ofrecen para la prevención.</w:t>
      </w:r>
    </w:p>
    <w:p w:rsidR="00E23B86" w:rsidRDefault="00BA7C13">
      <w:pPr>
        <w:numPr>
          <w:ilvl w:val="0"/>
          <w:numId w:val="140"/>
        </w:numPr>
        <w:spacing w:after="111" w:line="251" w:lineRule="auto"/>
        <w:ind w:right="1" w:hanging="841"/>
        <w:jc w:val="both"/>
      </w:pPr>
      <w:r>
        <w:rPr>
          <w:rFonts w:ascii="Arial" w:eastAsia="Arial" w:hAnsi="Arial" w:cs="Arial"/>
          <w:i/>
        </w:rPr>
        <w:t xml:space="preserve">Trabajar la prevención dado el aumento del uso “patológico” de Internet, los medios digitales y las redes sociales, así como por el papel de las </w:t>
      </w:r>
      <w:r>
        <w:rPr>
          <w:rFonts w:ascii="Arial" w:eastAsia="Arial" w:hAnsi="Arial" w:cs="Arial"/>
          <w:i/>
        </w:rPr>
        <w:t>nuevas tecnologías como facilitadoras del acceso y potenciadoras de otras conductas adictivas.</w:t>
      </w:r>
    </w:p>
    <w:tbl>
      <w:tblPr>
        <w:tblStyle w:val="TableGrid"/>
        <w:tblW w:w="8123" w:type="dxa"/>
        <w:tblInd w:w="101"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LOS PRINCIPIOS DEL IV PLAN</w:t>
            </w:r>
          </w:p>
        </w:tc>
      </w:tr>
    </w:tbl>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76704"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9722" name="Group 60972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49960" name="Rectangle 4996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49961" name="Rectangle 4996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309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9722" style="width:12.7031pt;height:280.35pt;position:absolute;mso-position-horizontal-relative:page;mso-position-horizontal:absolute;margin-left:681.958pt;mso-position-vertical-relative:page;margin-top:531.65pt;" coordsize="1613,35604">
                <v:rect id="Rectangle 4996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4996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309 de 391 </w:t>
                        </w:r>
                      </w:p>
                    </w:txbxContent>
                  </v:textbox>
                </v:rect>
                <w10:wrap type="topAndBottom"/>
              </v:group>
            </w:pict>
          </mc:Fallback>
        </mc:AlternateContent>
      </w:r>
      <w:r>
        <w:rPr>
          <w:rFonts w:ascii="Arial" w:eastAsia="Arial" w:hAnsi="Arial" w:cs="Arial"/>
          <w:i/>
        </w:rPr>
        <w:t>Para este IV Plan, se proponen una serie de principios establecidos desde la Estrategia Nacional sobre Adicciones 2017-2024 y desde el Plan de Acción sobre Adicc</w:t>
      </w:r>
      <w:r>
        <w:rPr>
          <w:rFonts w:ascii="Arial" w:eastAsia="Arial" w:hAnsi="Arial" w:cs="Arial"/>
          <w:i/>
        </w:rPr>
        <w:t>iones 2018-2020.</w:t>
      </w:r>
    </w:p>
    <w:p w:rsidR="00E23B86" w:rsidRDefault="00BA7C13">
      <w:pPr>
        <w:spacing w:after="3" w:line="265" w:lineRule="auto"/>
        <w:ind w:left="102" w:right="13" w:hanging="10"/>
      </w:pPr>
      <w:r>
        <w:rPr>
          <w:rFonts w:ascii="Segoe UI Symbol" w:eastAsia="Segoe UI Symbol" w:hAnsi="Segoe UI Symbol" w:cs="Segoe UI Symbol"/>
          <w:sz w:val="20"/>
        </w:rPr>
        <w:t></w:t>
      </w:r>
    </w:p>
    <w:tbl>
      <w:tblPr>
        <w:tblStyle w:val="TableGrid"/>
        <w:tblW w:w="9868" w:type="dxa"/>
        <w:tblInd w:w="-951" w:type="dxa"/>
        <w:tblCellMar>
          <w:top w:w="13" w:type="dxa"/>
          <w:left w:w="0" w:type="dxa"/>
          <w:bottom w:w="0" w:type="dxa"/>
          <w:right w:w="129" w:type="dxa"/>
        </w:tblCellMar>
        <w:tblLook w:val="04A0" w:firstRow="1" w:lastRow="0" w:firstColumn="1" w:lastColumn="0" w:noHBand="0" w:noVBand="1"/>
      </w:tblPr>
      <w:tblGrid>
        <w:gridCol w:w="968"/>
        <w:gridCol w:w="1599"/>
        <w:gridCol w:w="829"/>
        <w:gridCol w:w="6473"/>
      </w:tblGrid>
      <w:tr w:rsidR="00E23B86">
        <w:trPr>
          <w:trHeight w:val="264"/>
        </w:trPr>
        <w:tc>
          <w:tcPr>
            <w:tcW w:w="2567" w:type="dxa"/>
            <w:gridSpan w:val="2"/>
            <w:tcBorders>
              <w:top w:val="single" w:sz="4" w:space="0" w:color="00000A"/>
              <w:left w:val="single" w:sz="4" w:space="0" w:color="00000A"/>
              <w:bottom w:val="single" w:sz="4" w:space="0" w:color="00000A"/>
              <w:right w:val="single" w:sz="5" w:space="0" w:color="00000A"/>
            </w:tcBorders>
            <w:shd w:val="clear" w:color="auto" w:fill="BFBFBF"/>
          </w:tcPr>
          <w:p w:rsidR="00E23B86" w:rsidRDefault="00BA7C13">
            <w:pPr>
              <w:spacing w:after="0"/>
              <w:ind w:left="798"/>
            </w:pPr>
            <w:r>
              <w:rPr>
                <w:rFonts w:ascii="Segoe UI Symbol" w:eastAsia="Segoe UI Symbol" w:hAnsi="Segoe UI Symbol" w:cs="Segoe UI Symbol"/>
                <w:sz w:val="20"/>
              </w:rPr>
              <w:t xml:space="preserve"> </w:t>
            </w:r>
            <w:r>
              <w:rPr>
                <w:rFonts w:ascii="Arial" w:eastAsia="Arial" w:hAnsi="Arial" w:cs="Arial"/>
                <w:i/>
              </w:rPr>
              <w:t>Principios</w:t>
            </w:r>
          </w:p>
        </w:tc>
        <w:tc>
          <w:tcPr>
            <w:tcW w:w="829" w:type="dxa"/>
            <w:tcBorders>
              <w:top w:val="single" w:sz="4" w:space="0" w:color="00000A"/>
              <w:left w:val="single" w:sz="5" w:space="0" w:color="00000A"/>
              <w:bottom w:val="single" w:sz="4" w:space="0" w:color="00000A"/>
              <w:right w:val="nil"/>
            </w:tcBorders>
            <w:shd w:val="clear" w:color="auto" w:fill="BFBFBF"/>
          </w:tcPr>
          <w:p w:rsidR="00E23B86" w:rsidRDefault="00E23B86"/>
        </w:tc>
        <w:tc>
          <w:tcPr>
            <w:tcW w:w="6473" w:type="dxa"/>
            <w:tcBorders>
              <w:top w:val="single" w:sz="4" w:space="0" w:color="00000A"/>
              <w:left w:val="nil"/>
              <w:bottom w:val="single" w:sz="4" w:space="0" w:color="00000A"/>
              <w:right w:val="single" w:sz="4" w:space="0" w:color="00000A"/>
            </w:tcBorders>
            <w:shd w:val="clear" w:color="auto" w:fill="BFBFBF"/>
          </w:tcPr>
          <w:p w:rsidR="00E23B86" w:rsidRDefault="00BA7C13">
            <w:pPr>
              <w:spacing w:after="0"/>
              <w:ind w:right="423"/>
              <w:jc w:val="center"/>
            </w:pPr>
            <w:r>
              <w:rPr>
                <w:rFonts w:ascii="Segoe UI Symbol" w:eastAsia="Segoe UI Symbol" w:hAnsi="Segoe UI Symbol" w:cs="Segoe UI Symbol"/>
                <w:sz w:val="20"/>
              </w:rPr>
              <w:t xml:space="preserve"> </w:t>
            </w:r>
            <w:r>
              <w:rPr>
                <w:rFonts w:ascii="Arial" w:eastAsia="Arial" w:hAnsi="Arial" w:cs="Arial"/>
                <w:i/>
              </w:rPr>
              <w:t xml:space="preserve">Énfasis </w:t>
            </w:r>
          </w:p>
        </w:tc>
      </w:tr>
      <w:tr w:rsidR="00E23B86">
        <w:trPr>
          <w:trHeight w:val="1008"/>
        </w:trPr>
        <w:tc>
          <w:tcPr>
            <w:tcW w:w="2567"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474"/>
            </w:pPr>
            <w:r>
              <w:rPr>
                <w:rFonts w:ascii="Segoe UI Symbol" w:eastAsia="Segoe UI Symbol" w:hAnsi="Segoe UI Symbol" w:cs="Segoe UI Symbol"/>
                <w:sz w:val="20"/>
              </w:rPr>
              <w:t xml:space="preserve"> </w:t>
            </w:r>
            <w:r>
              <w:rPr>
                <w:rFonts w:ascii="Arial" w:eastAsia="Arial" w:hAnsi="Arial" w:cs="Arial"/>
                <w:i/>
              </w:rPr>
              <w:t>Enfoque integral</w:t>
            </w:r>
          </w:p>
        </w:tc>
        <w:tc>
          <w:tcPr>
            <w:tcW w:w="829" w:type="dxa"/>
            <w:tcBorders>
              <w:top w:val="single" w:sz="4" w:space="0" w:color="00000A"/>
              <w:left w:val="single" w:sz="5" w:space="0" w:color="00000A"/>
              <w:bottom w:val="single" w:sz="4" w:space="0" w:color="00000A"/>
              <w:right w:val="nil"/>
            </w:tcBorders>
          </w:tcPr>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0"/>
              <w:ind w:right="4"/>
              <w:jc w:val="both"/>
            </w:pPr>
            <w:r>
              <w:rPr>
                <w:rFonts w:ascii="Arial" w:eastAsia="Arial" w:hAnsi="Arial" w:cs="Arial"/>
                <w:i/>
              </w:rPr>
              <w:t xml:space="preserve">Por ser las adicciones un fenómeno multicausal, la respuesta debe ser integral, desde equipos profesionales que trabajan desde un enfoque biopsicosocial. </w:t>
            </w:r>
          </w:p>
        </w:tc>
      </w:tr>
      <w:tr w:rsidR="00E23B86">
        <w:trPr>
          <w:trHeight w:val="1382"/>
        </w:trPr>
        <w:tc>
          <w:tcPr>
            <w:tcW w:w="2567"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468"/>
              <w:jc w:val="center"/>
            </w:pPr>
            <w:r>
              <w:rPr>
                <w:rFonts w:ascii="Segoe UI Symbol" w:eastAsia="Segoe UI Symbol" w:hAnsi="Segoe UI Symbol" w:cs="Segoe UI Symbol"/>
                <w:sz w:val="20"/>
              </w:rPr>
              <w:t xml:space="preserve"> </w:t>
            </w:r>
            <w:r>
              <w:rPr>
                <w:rFonts w:ascii="Arial" w:eastAsia="Arial" w:hAnsi="Arial" w:cs="Arial"/>
                <w:i/>
              </w:rPr>
              <w:t>Equidad</w:t>
            </w:r>
          </w:p>
        </w:tc>
        <w:tc>
          <w:tcPr>
            <w:tcW w:w="829" w:type="dxa"/>
            <w:tcBorders>
              <w:top w:val="single" w:sz="4" w:space="0" w:color="00000A"/>
              <w:left w:val="single" w:sz="5" w:space="0" w:color="00000A"/>
              <w:bottom w:val="single" w:sz="4" w:space="0" w:color="00000A"/>
              <w:right w:val="nil"/>
            </w:tcBorders>
          </w:tcPr>
          <w:p w:rsidR="00E23B86" w:rsidRDefault="00BA7C13">
            <w:pPr>
              <w:spacing w:after="339"/>
              <w:ind w:left="330"/>
              <w:jc w:val="center"/>
            </w:pPr>
            <w:r>
              <w:rPr>
                <w:rFonts w:ascii="Segoe UI Symbol" w:eastAsia="Segoe UI Symbol" w:hAnsi="Segoe UI Symbol" w:cs="Segoe UI Symbol"/>
                <w:sz w:val="20"/>
              </w:rPr>
              <w:t></w:t>
            </w:r>
          </w:p>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118" w:line="241" w:lineRule="auto"/>
              <w:jc w:val="both"/>
            </w:pPr>
            <w:r>
              <w:rPr>
                <w:rFonts w:ascii="Arial" w:eastAsia="Arial" w:hAnsi="Arial" w:cs="Arial"/>
                <w:i/>
              </w:rPr>
              <w:t>Facilidad de acceso a recursos en igualdad de condiciones y sin discriminación a las prestaciones preventivas, asistenciales.</w:t>
            </w:r>
          </w:p>
          <w:p w:rsidR="00E23B86" w:rsidRDefault="00BA7C13">
            <w:pPr>
              <w:spacing w:after="0"/>
              <w:jc w:val="both"/>
            </w:pPr>
            <w:r>
              <w:rPr>
                <w:rFonts w:ascii="Arial" w:eastAsia="Arial" w:hAnsi="Arial" w:cs="Arial"/>
                <w:i/>
              </w:rPr>
              <w:t>Prioridad con grupos sociales más vulnerables o con mayores dificultades para el acceso.</w:t>
            </w:r>
          </w:p>
        </w:tc>
      </w:tr>
      <w:tr w:rsidR="00E23B86">
        <w:trPr>
          <w:trHeight w:val="1010"/>
        </w:trPr>
        <w:tc>
          <w:tcPr>
            <w:tcW w:w="2567"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1268" w:hanging="722"/>
            </w:pPr>
            <w:r>
              <w:rPr>
                <w:rFonts w:ascii="Segoe UI Symbol" w:eastAsia="Segoe UI Symbol" w:hAnsi="Segoe UI Symbol" w:cs="Segoe UI Symbol"/>
                <w:sz w:val="20"/>
              </w:rPr>
              <w:t xml:space="preserve"> </w:t>
            </w:r>
            <w:r>
              <w:rPr>
                <w:rFonts w:ascii="Arial" w:eastAsia="Arial" w:hAnsi="Arial" w:cs="Arial"/>
                <w:i/>
              </w:rPr>
              <w:t>Perspectiva de Género</w:t>
            </w:r>
          </w:p>
        </w:tc>
        <w:tc>
          <w:tcPr>
            <w:tcW w:w="829" w:type="dxa"/>
            <w:tcBorders>
              <w:top w:val="single" w:sz="4" w:space="0" w:color="00000A"/>
              <w:left w:val="single" w:sz="5" w:space="0" w:color="00000A"/>
              <w:bottom w:val="single" w:sz="4" w:space="0" w:color="00000A"/>
              <w:right w:val="nil"/>
            </w:tcBorders>
          </w:tcPr>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0"/>
              <w:ind w:right="3"/>
              <w:jc w:val="both"/>
            </w:pPr>
            <w:r>
              <w:rPr>
                <w:rFonts w:ascii="Arial" w:eastAsia="Arial" w:hAnsi="Arial" w:cs="Arial"/>
                <w:i/>
              </w:rPr>
              <w:t>Se propone perspectiva de género como marco analítico y de acción, así como de forma específica para visibilizar, analizar y hacer frente a las adicciones de las mujeres.</w:t>
            </w:r>
          </w:p>
        </w:tc>
      </w:tr>
      <w:tr w:rsidR="00E23B86">
        <w:trPr>
          <w:trHeight w:val="1262"/>
        </w:trPr>
        <w:tc>
          <w:tcPr>
            <w:tcW w:w="2567"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580"/>
            </w:pPr>
            <w:r>
              <w:rPr>
                <w:rFonts w:ascii="Segoe UI Symbol" w:eastAsia="Segoe UI Symbol" w:hAnsi="Segoe UI Symbol" w:cs="Segoe UI Symbol"/>
                <w:sz w:val="20"/>
              </w:rPr>
              <w:t xml:space="preserve"> </w:t>
            </w:r>
            <w:r>
              <w:rPr>
                <w:rFonts w:ascii="Arial" w:eastAsia="Arial" w:hAnsi="Arial" w:cs="Arial"/>
                <w:i/>
              </w:rPr>
              <w:t>Transparencia</w:t>
            </w:r>
          </w:p>
        </w:tc>
        <w:tc>
          <w:tcPr>
            <w:tcW w:w="829" w:type="dxa"/>
            <w:tcBorders>
              <w:top w:val="single" w:sz="4" w:space="0" w:color="00000A"/>
              <w:left w:val="single" w:sz="5" w:space="0" w:color="00000A"/>
              <w:bottom w:val="single" w:sz="4" w:space="0" w:color="00000A"/>
              <w:right w:val="nil"/>
            </w:tcBorders>
          </w:tcPr>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0"/>
              <w:ind w:right="4"/>
              <w:jc w:val="both"/>
            </w:pPr>
            <w:r>
              <w:rPr>
                <w:rFonts w:ascii="Arial" w:eastAsia="Arial" w:hAnsi="Arial" w:cs="Arial"/>
                <w:i/>
              </w:rPr>
              <w:t>Desde el Plan se continuará y mejorará para una mejor publicidad y</w:t>
            </w:r>
            <w:r>
              <w:rPr>
                <w:rFonts w:ascii="Arial" w:eastAsia="Arial" w:hAnsi="Arial" w:cs="Arial"/>
                <w:i/>
              </w:rPr>
              <w:t xml:space="preserve"> difusión de los datos, de los resultados de su análisis, de la investigación y evaluación de los resultados y del impacto de las intervenciones. </w:t>
            </w:r>
          </w:p>
        </w:tc>
      </w:tr>
      <w:tr w:rsidR="00E23B86">
        <w:trPr>
          <w:trHeight w:val="1483"/>
        </w:trPr>
        <w:tc>
          <w:tcPr>
            <w:tcW w:w="2567" w:type="dxa"/>
            <w:gridSpan w:val="2"/>
            <w:tcBorders>
              <w:top w:val="single" w:sz="4" w:space="0" w:color="00000A"/>
              <w:left w:val="single" w:sz="4" w:space="0" w:color="00000A"/>
              <w:bottom w:val="nil"/>
              <w:right w:val="single" w:sz="5" w:space="0" w:color="00000A"/>
            </w:tcBorders>
            <w:vAlign w:val="bottom"/>
          </w:tcPr>
          <w:p w:rsidR="00E23B86" w:rsidRDefault="00BA7C13">
            <w:pPr>
              <w:spacing w:after="0"/>
              <w:ind w:left="798"/>
            </w:pPr>
            <w:r>
              <w:rPr>
                <w:rFonts w:ascii="Segoe UI Symbol" w:eastAsia="Segoe UI Symbol" w:hAnsi="Segoe UI Symbol" w:cs="Segoe UI Symbol"/>
                <w:sz w:val="20"/>
              </w:rPr>
              <w:t xml:space="preserve"> </w:t>
            </w:r>
            <w:r>
              <w:rPr>
                <w:rFonts w:ascii="Arial" w:eastAsia="Arial" w:hAnsi="Arial" w:cs="Arial"/>
                <w:i/>
              </w:rPr>
              <w:t>Evidencia</w:t>
            </w:r>
          </w:p>
          <w:p w:rsidR="00E23B86" w:rsidRDefault="00BA7C13">
            <w:pPr>
              <w:spacing w:after="0"/>
              <w:ind w:left="1200"/>
            </w:pPr>
            <w:r>
              <w:rPr>
                <w:rFonts w:ascii="Arial" w:eastAsia="Arial" w:hAnsi="Arial" w:cs="Arial"/>
                <w:i/>
              </w:rPr>
              <w:t>científica</w:t>
            </w:r>
          </w:p>
        </w:tc>
        <w:tc>
          <w:tcPr>
            <w:tcW w:w="829" w:type="dxa"/>
            <w:tcBorders>
              <w:top w:val="single" w:sz="4" w:space="0" w:color="00000A"/>
              <w:left w:val="single" w:sz="5" w:space="0" w:color="00000A"/>
              <w:bottom w:val="nil"/>
              <w:right w:val="nil"/>
            </w:tcBorders>
          </w:tcPr>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single" w:sz="4" w:space="0" w:color="00000A"/>
              <w:left w:val="nil"/>
              <w:bottom w:val="nil"/>
              <w:right w:val="single" w:sz="4" w:space="0" w:color="00000A"/>
            </w:tcBorders>
          </w:tcPr>
          <w:p w:rsidR="00E23B86" w:rsidRDefault="00BA7C13">
            <w:pPr>
              <w:spacing w:after="0"/>
              <w:ind w:right="2"/>
              <w:jc w:val="both"/>
            </w:pPr>
            <w:r>
              <w:rPr>
                <w:rFonts w:ascii="Arial" w:eastAsia="Arial" w:hAnsi="Arial" w:cs="Arial"/>
                <w:i/>
              </w:rPr>
              <w:t>Las acciones dirigidas a prevenir y a disminuir la presencia y los daños asociados a las adicciones, están empíricamente contrastadas, científicamente fundadas y eficientes, persiguiendo resultados realistas y cuantificables que puedan ser evaluados, fomen</w:t>
            </w:r>
            <w:r>
              <w:rPr>
                <w:rFonts w:ascii="Arial" w:eastAsia="Arial" w:hAnsi="Arial" w:cs="Arial"/>
                <w:i/>
              </w:rPr>
              <w:t>tando así las buenas prácticas.</w:t>
            </w:r>
          </w:p>
        </w:tc>
      </w:tr>
      <w:tr w:rsidR="00E23B86">
        <w:trPr>
          <w:trHeight w:val="911"/>
        </w:trPr>
        <w:tc>
          <w:tcPr>
            <w:tcW w:w="2567" w:type="dxa"/>
            <w:gridSpan w:val="2"/>
            <w:tcBorders>
              <w:top w:val="nil"/>
              <w:left w:val="single" w:sz="4" w:space="0" w:color="00000A"/>
              <w:bottom w:val="single" w:sz="4" w:space="0" w:color="00000A"/>
              <w:right w:val="single" w:sz="5" w:space="0" w:color="00000A"/>
            </w:tcBorders>
          </w:tcPr>
          <w:p w:rsidR="00E23B86" w:rsidRDefault="00E23B86"/>
        </w:tc>
        <w:tc>
          <w:tcPr>
            <w:tcW w:w="829" w:type="dxa"/>
            <w:tcBorders>
              <w:top w:val="nil"/>
              <w:left w:val="single" w:sz="5" w:space="0" w:color="00000A"/>
              <w:bottom w:val="single" w:sz="4" w:space="0" w:color="00000A"/>
              <w:right w:val="nil"/>
            </w:tcBorders>
          </w:tcPr>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nil"/>
              <w:left w:val="nil"/>
              <w:bottom w:val="single" w:sz="4" w:space="0" w:color="00000A"/>
              <w:right w:val="single" w:sz="4" w:space="0" w:color="00000A"/>
            </w:tcBorders>
          </w:tcPr>
          <w:p w:rsidR="00E23B86" w:rsidRDefault="00BA7C13">
            <w:pPr>
              <w:spacing w:after="0"/>
              <w:ind w:right="2"/>
              <w:jc w:val="both"/>
            </w:pPr>
            <w:r>
              <w:rPr>
                <w:rFonts w:ascii="Arial" w:eastAsia="Arial" w:hAnsi="Arial" w:cs="Arial"/>
                <w:i/>
              </w:rPr>
              <w:t>Las acciones están apoyadas en metodologías de intervención respaldadas por la comunidad profesional y las recomendaciones de las instituciones.</w:t>
            </w:r>
          </w:p>
        </w:tc>
      </w:tr>
      <w:tr w:rsidR="00E23B86">
        <w:trPr>
          <w:trHeight w:val="1634"/>
        </w:trPr>
        <w:tc>
          <w:tcPr>
            <w:tcW w:w="2567"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ind w:left="644"/>
            </w:pPr>
            <w:r>
              <w:rPr>
                <w:rFonts w:ascii="Segoe UI Symbol" w:eastAsia="Segoe UI Symbol" w:hAnsi="Segoe UI Symbol" w:cs="Segoe UI Symbol"/>
                <w:sz w:val="20"/>
              </w:rPr>
              <w:t xml:space="preserve"> </w:t>
            </w:r>
            <w:r>
              <w:rPr>
                <w:rFonts w:ascii="Arial" w:eastAsia="Arial" w:hAnsi="Arial" w:cs="Arial"/>
                <w:i/>
              </w:rPr>
              <w:t>Participación</w:t>
            </w:r>
          </w:p>
          <w:p w:rsidR="00E23B86" w:rsidRDefault="00BA7C13">
            <w:pPr>
              <w:spacing w:after="0"/>
              <w:ind w:left="222"/>
              <w:jc w:val="center"/>
            </w:pPr>
            <w:r>
              <w:rPr>
                <w:rFonts w:ascii="Segoe UI Symbol" w:eastAsia="Segoe UI Symbol" w:hAnsi="Segoe UI Symbol" w:cs="Segoe UI Symbol"/>
                <w:sz w:val="20"/>
              </w:rPr>
              <w:t></w:t>
            </w:r>
          </w:p>
        </w:tc>
        <w:tc>
          <w:tcPr>
            <w:tcW w:w="829" w:type="dxa"/>
            <w:tcBorders>
              <w:top w:val="single" w:sz="4" w:space="0" w:color="00000A"/>
              <w:left w:val="single" w:sz="5" w:space="0" w:color="00000A"/>
              <w:bottom w:val="single" w:sz="4" w:space="0" w:color="00000A"/>
              <w:right w:val="nil"/>
            </w:tcBorders>
          </w:tcPr>
          <w:p w:rsidR="00E23B86" w:rsidRDefault="00BA7C13">
            <w:pPr>
              <w:spacing w:after="339"/>
              <w:ind w:left="330"/>
              <w:jc w:val="center"/>
            </w:pPr>
            <w:r>
              <w:rPr>
                <w:rFonts w:ascii="Segoe UI Symbol" w:eastAsia="Segoe UI Symbol" w:hAnsi="Segoe UI Symbol" w:cs="Segoe UI Symbol"/>
                <w:sz w:val="20"/>
              </w:rPr>
              <w:t></w:t>
            </w:r>
          </w:p>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122" w:line="239" w:lineRule="auto"/>
            </w:pPr>
            <w:r>
              <w:rPr>
                <w:rFonts w:ascii="Arial" w:eastAsia="Arial" w:hAnsi="Arial" w:cs="Arial"/>
                <w:i/>
              </w:rPr>
              <w:t xml:space="preserve">Información y sensibilización de la sociedad en su conjunto, a fin de que se involucre de forma directa en este tema. </w:t>
            </w:r>
          </w:p>
          <w:p w:rsidR="00E23B86" w:rsidRDefault="00BA7C13">
            <w:pPr>
              <w:spacing w:after="0"/>
              <w:ind w:right="1"/>
              <w:jc w:val="both"/>
            </w:pPr>
            <w:r>
              <w:rPr>
                <w:rFonts w:ascii="Arial" w:eastAsia="Arial" w:hAnsi="Arial" w:cs="Arial"/>
                <w:i/>
              </w:rPr>
              <w:t>Se trabaja en la identificación, motivación e implicación activa de los grupos poblacionales que se hallan en situaciones de mayor vulner</w:t>
            </w:r>
            <w:r>
              <w:rPr>
                <w:rFonts w:ascii="Arial" w:eastAsia="Arial" w:hAnsi="Arial" w:cs="Arial"/>
                <w:i/>
              </w:rPr>
              <w:t xml:space="preserve">abilidad. </w:t>
            </w:r>
          </w:p>
        </w:tc>
      </w:tr>
      <w:tr w:rsidR="00E23B86">
        <w:trPr>
          <w:trHeight w:val="1262"/>
        </w:trPr>
        <w:tc>
          <w:tcPr>
            <w:tcW w:w="2567" w:type="dxa"/>
            <w:gridSpan w:val="2"/>
            <w:tcBorders>
              <w:top w:val="single" w:sz="4" w:space="0" w:color="00000A"/>
              <w:left w:val="single" w:sz="4" w:space="0" w:color="00000A"/>
              <w:bottom w:val="single" w:sz="4" w:space="0" w:color="00000A"/>
              <w:right w:val="single" w:sz="5" w:space="0" w:color="00000A"/>
            </w:tcBorders>
            <w:vAlign w:val="center"/>
          </w:tcPr>
          <w:p w:rsidR="00E23B86" w:rsidRDefault="00BA7C13">
            <w:pPr>
              <w:spacing w:after="0" w:line="243" w:lineRule="auto"/>
              <w:ind w:left="1482" w:hanging="984"/>
            </w:pPr>
            <w:r>
              <w:rPr>
                <w:rFonts w:ascii="Segoe UI Symbol" w:eastAsia="Segoe UI Symbol" w:hAnsi="Segoe UI Symbol" w:cs="Segoe UI Symbol"/>
                <w:sz w:val="20"/>
              </w:rPr>
              <w:t xml:space="preserve"> </w:t>
            </w:r>
            <w:r>
              <w:rPr>
                <w:rFonts w:ascii="Arial" w:eastAsia="Arial" w:hAnsi="Arial" w:cs="Arial"/>
                <w:i/>
              </w:rPr>
              <w:t>Intersectorialida d e</w:t>
            </w:r>
          </w:p>
          <w:p w:rsidR="00E23B86" w:rsidRDefault="00BA7C13">
            <w:pPr>
              <w:spacing w:after="0"/>
              <w:ind w:right="16"/>
              <w:jc w:val="right"/>
            </w:pPr>
            <w:r>
              <w:rPr>
                <w:rFonts w:ascii="Arial" w:eastAsia="Arial" w:hAnsi="Arial" w:cs="Arial"/>
                <w:i/>
              </w:rPr>
              <w:t>interdisciplinarie</w:t>
            </w:r>
          </w:p>
          <w:p w:rsidR="00E23B86" w:rsidRDefault="00BA7C13">
            <w:pPr>
              <w:spacing w:after="0"/>
              <w:ind w:left="828"/>
              <w:jc w:val="center"/>
            </w:pPr>
            <w:r>
              <w:rPr>
                <w:rFonts w:ascii="Arial" w:eastAsia="Arial" w:hAnsi="Arial" w:cs="Arial"/>
                <w:i/>
              </w:rPr>
              <w:t>dad</w:t>
            </w:r>
          </w:p>
        </w:tc>
        <w:tc>
          <w:tcPr>
            <w:tcW w:w="829" w:type="dxa"/>
            <w:tcBorders>
              <w:top w:val="single" w:sz="4" w:space="0" w:color="00000A"/>
              <w:left w:val="single" w:sz="5" w:space="0" w:color="00000A"/>
              <w:bottom w:val="single" w:sz="4" w:space="0" w:color="00000A"/>
              <w:right w:val="nil"/>
            </w:tcBorders>
          </w:tcPr>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 xml:space="preserve">Ofrecer un enfoque y un abordaje multifactorial, intersectorial y multidisciplinar, y aspirar a una optimización de esfuerzos y recursos mediante la coordinación y cooperación de los distintos agentes. </w:t>
            </w:r>
          </w:p>
        </w:tc>
      </w:tr>
      <w:tr w:rsidR="00E23B86">
        <w:trPr>
          <w:trHeight w:val="695"/>
        </w:trPr>
        <w:tc>
          <w:tcPr>
            <w:tcW w:w="2567" w:type="dxa"/>
            <w:gridSpan w:val="2"/>
            <w:tcBorders>
              <w:top w:val="single" w:sz="4" w:space="0" w:color="00000A"/>
              <w:left w:val="single" w:sz="4" w:space="0" w:color="00000A"/>
              <w:bottom w:val="nil"/>
              <w:right w:val="single" w:sz="5" w:space="0" w:color="00000A"/>
            </w:tcBorders>
          </w:tcPr>
          <w:p w:rsidR="00E23B86" w:rsidRDefault="00BA7C13">
            <w:pPr>
              <w:spacing w:after="0"/>
              <w:ind w:left="472"/>
              <w:jc w:val="center"/>
            </w:pPr>
            <w:r>
              <w:rPr>
                <w:rFonts w:ascii="Segoe UI Symbol" w:eastAsia="Segoe UI Symbol" w:hAnsi="Segoe UI Symbol" w:cs="Segoe UI Symbol"/>
                <w:sz w:val="20"/>
              </w:rPr>
              <w:t xml:space="preserve"> </w:t>
            </w:r>
            <w:r>
              <w:rPr>
                <w:rFonts w:ascii="Arial" w:eastAsia="Arial" w:hAnsi="Arial" w:cs="Arial"/>
                <w:i/>
              </w:rPr>
              <w:t>Calidad</w:t>
            </w:r>
          </w:p>
        </w:tc>
        <w:tc>
          <w:tcPr>
            <w:tcW w:w="829" w:type="dxa"/>
            <w:tcBorders>
              <w:top w:val="single" w:sz="4" w:space="0" w:color="00000A"/>
              <w:left w:val="single" w:sz="5" w:space="0" w:color="00000A"/>
              <w:bottom w:val="nil"/>
              <w:right w:val="nil"/>
            </w:tcBorders>
          </w:tcPr>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single" w:sz="4" w:space="0" w:color="00000A"/>
              <w:left w:val="nil"/>
              <w:bottom w:val="nil"/>
              <w:right w:val="single" w:sz="4" w:space="0" w:color="00000A"/>
            </w:tcBorders>
          </w:tcPr>
          <w:p w:rsidR="00E23B86" w:rsidRDefault="00BA7C13">
            <w:pPr>
              <w:spacing w:after="0"/>
              <w:jc w:val="both"/>
            </w:pPr>
            <w:r>
              <w:rPr>
                <w:rFonts w:ascii="Arial" w:eastAsia="Arial" w:hAnsi="Arial" w:cs="Arial"/>
                <w:i/>
              </w:rPr>
              <w:t xml:space="preserve">Garantizar una acción preventiva a las personas directa o indirectamente afectadas por las adicciones. </w:t>
            </w:r>
          </w:p>
        </w:tc>
      </w:tr>
      <w:tr w:rsidR="00E23B86">
        <w:trPr>
          <w:trHeight w:val="317"/>
        </w:trPr>
        <w:tc>
          <w:tcPr>
            <w:tcW w:w="2567" w:type="dxa"/>
            <w:gridSpan w:val="2"/>
            <w:tcBorders>
              <w:top w:val="nil"/>
              <w:left w:val="single" w:sz="4" w:space="0" w:color="00000A"/>
              <w:bottom w:val="single" w:sz="4" w:space="0" w:color="00000A"/>
              <w:right w:val="single" w:sz="5" w:space="0" w:color="00000A"/>
            </w:tcBorders>
          </w:tcPr>
          <w:p w:rsidR="00E23B86" w:rsidRDefault="00E23B86"/>
        </w:tc>
        <w:tc>
          <w:tcPr>
            <w:tcW w:w="829" w:type="dxa"/>
            <w:tcBorders>
              <w:top w:val="nil"/>
              <w:left w:val="single" w:sz="5" w:space="0" w:color="00000A"/>
              <w:bottom w:val="single" w:sz="4" w:space="0" w:color="00000A"/>
              <w:right w:val="nil"/>
            </w:tcBorders>
          </w:tcPr>
          <w:p w:rsidR="00E23B86" w:rsidRDefault="00BA7C13">
            <w:pPr>
              <w:spacing w:after="0"/>
              <w:ind w:left="330"/>
              <w:jc w:val="center"/>
            </w:pPr>
            <w:r>
              <w:rPr>
                <w:rFonts w:ascii="Segoe UI Symbol" w:eastAsia="Segoe UI Symbol" w:hAnsi="Segoe UI Symbol" w:cs="Segoe UI Symbol"/>
                <w:sz w:val="20"/>
              </w:rPr>
              <w:t></w:t>
            </w:r>
          </w:p>
        </w:tc>
        <w:tc>
          <w:tcPr>
            <w:tcW w:w="6473" w:type="dxa"/>
            <w:tcBorders>
              <w:top w:val="nil"/>
              <w:left w:val="nil"/>
              <w:bottom w:val="single" w:sz="4" w:space="0" w:color="00000A"/>
              <w:right w:val="single" w:sz="4" w:space="0" w:color="00000A"/>
            </w:tcBorders>
          </w:tcPr>
          <w:p w:rsidR="00E23B86" w:rsidRDefault="00BA7C13">
            <w:pPr>
              <w:spacing w:after="0"/>
            </w:pPr>
            <w:r>
              <w:rPr>
                <w:rFonts w:ascii="Arial" w:eastAsia="Arial" w:hAnsi="Arial" w:cs="Arial"/>
                <w:i/>
              </w:rPr>
              <w:t>Este principio se respalda en el descrito en la “evidencia</w:t>
            </w:r>
          </w:p>
        </w:tc>
      </w:tr>
      <w:tr w:rsidR="00E23B86">
        <w:trPr>
          <w:trHeight w:val="781"/>
        </w:trPr>
        <w:tc>
          <w:tcPr>
            <w:tcW w:w="968" w:type="dxa"/>
            <w:tcBorders>
              <w:top w:val="single" w:sz="4" w:space="0" w:color="00000A"/>
              <w:left w:val="single" w:sz="4" w:space="0" w:color="00000A"/>
              <w:bottom w:val="single" w:sz="4" w:space="0" w:color="00000A"/>
              <w:right w:val="nil"/>
            </w:tcBorders>
          </w:tcPr>
          <w:p w:rsidR="00E23B86" w:rsidRDefault="00E23B86"/>
        </w:tc>
        <w:tc>
          <w:tcPr>
            <w:tcW w:w="1599" w:type="dxa"/>
            <w:tcBorders>
              <w:top w:val="single" w:sz="4" w:space="0" w:color="00000A"/>
              <w:left w:val="nil"/>
              <w:bottom w:val="single" w:sz="4" w:space="0" w:color="00000A"/>
              <w:right w:val="single" w:sz="5" w:space="0" w:color="00000A"/>
            </w:tcBorders>
          </w:tcPr>
          <w:p w:rsidR="00E23B86" w:rsidRDefault="00E23B86"/>
        </w:tc>
        <w:tc>
          <w:tcPr>
            <w:tcW w:w="829" w:type="dxa"/>
            <w:tcBorders>
              <w:top w:val="single" w:sz="4" w:space="0" w:color="00000A"/>
              <w:left w:val="single" w:sz="5" w:space="0" w:color="00000A"/>
              <w:bottom w:val="single" w:sz="4" w:space="0" w:color="00000A"/>
              <w:right w:val="nil"/>
            </w:tcBorders>
          </w:tcPr>
          <w:p w:rsidR="00E23B86" w:rsidRDefault="00E23B86"/>
        </w:tc>
        <w:tc>
          <w:tcPr>
            <w:tcW w:w="6473" w:type="dxa"/>
            <w:tcBorders>
              <w:top w:val="single" w:sz="4" w:space="0" w:color="00000A"/>
              <w:left w:val="nil"/>
              <w:bottom w:val="single" w:sz="4" w:space="0" w:color="00000A"/>
              <w:right w:val="single" w:sz="5" w:space="0" w:color="00000A"/>
            </w:tcBorders>
            <w:vAlign w:val="center"/>
          </w:tcPr>
          <w:p w:rsidR="00E23B86" w:rsidRDefault="00BA7C13">
            <w:pPr>
              <w:spacing w:after="0"/>
            </w:pPr>
            <w:r>
              <w:rPr>
                <w:rFonts w:ascii="Arial" w:eastAsia="Arial" w:hAnsi="Arial" w:cs="Arial"/>
                <w:i/>
              </w:rPr>
              <w:t>científica”.</w:t>
            </w:r>
          </w:p>
        </w:tc>
      </w:tr>
      <w:tr w:rsidR="00E23B86">
        <w:trPr>
          <w:trHeight w:val="1517"/>
        </w:trPr>
        <w:tc>
          <w:tcPr>
            <w:tcW w:w="968" w:type="dxa"/>
            <w:tcBorders>
              <w:top w:val="single" w:sz="4" w:space="0" w:color="00000A"/>
              <w:left w:val="single" w:sz="4" w:space="0" w:color="00000A"/>
              <w:bottom w:val="single" w:sz="4" w:space="0" w:color="00000A"/>
              <w:right w:val="nil"/>
            </w:tcBorders>
          </w:tcPr>
          <w:p w:rsidR="00E23B86" w:rsidRDefault="00BA7C13">
            <w:pPr>
              <w:spacing w:after="0"/>
              <w:ind w:left="718"/>
            </w:pPr>
            <w:r>
              <w:rPr>
                <w:rFonts w:ascii="Segoe UI Symbol" w:eastAsia="Segoe UI Symbol" w:hAnsi="Segoe UI Symbol" w:cs="Segoe UI Symbol"/>
                <w:sz w:val="20"/>
              </w:rPr>
              <w:t></w:t>
            </w:r>
          </w:p>
        </w:tc>
        <w:tc>
          <w:tcPr>
            <w:tcW w:w="1599" w:type="dxa"/>
            <w:tcBorders>
              <w:top w:val="single" w:sz="4" w:space="0" w:color="00000A"/>
              <w:left w:val="nil"/>
              <w:bottom w:val="single" w:sz="4" w:space="0" w:color="00000A"/>
              <w:right w:val="single" w:sz="5" w:space="0" w:color="00000A"/>
            </w:tcBorders>
            <w:vAlign w:val="center"/>
          </w:tcPr>
          <w:p w:rsidR="00E23B86" w:rsidRDefault="00BA7C13">
            <w:pPr>
              <w:spacing w:after="2" w:line="239" w:lineRule="auto"/>
              <w:ind w:firstLine="110"/>
            </w:pPr>
            <w:r>
              <w:rPr>
                <w:rFonts w:ascii="Arial" w:eastAsia="Arial" w:hAnsi="Arial" w:cs="Arial"/>
                <w:i/>
              </w:rPr>
              <w:t>Eficiencia y sostenibilidad</w:t>
            </w:r>
          </w:p>
          <w:p w:rsidR="00E23B86" w:rsidRDefault="00BA7C13">
            <w:pPr>
              <w:spacing w:after="0"/>
              <w:ind w:left="316"/>
            </w:pPr>
            <w:r>
              <w:rPr>
                <w:rFonts w:ascii="Segoe UI Symbol" w:eastAsia="Segoe UI Symbol" w:hAnsi="Segoe UI Symbol" w:cs="Segoe UI Symbol"/>
                <w:sz w:val="20"/>
              </w:rPr>
              <w:t></w:t>
            </w:r>
          </w:p>
        </w:tc>
        <w:tc>
          <w:tcPr>
            <w:tcW w:w="829" w:type="dxa"/>
            <w:tcBorders>
              <w:top w:val="single" w:sz="4" w:space="0" w:color="00000A"/>
              <w:left w:val="single" w:sz="5"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6473" w:type="dxa"/>
            <w:tcBorders>
              <w:top w:val="single" w:sz="4" w:space="0" w:color="00000A"/>
              <w:left w:val="nil"/>
              <w:bottom w:val="single" w:sz="4" w:space="0" w:color="00000A"/>
              <w:right w:val="single" w:sz="5" w:space="0" w:color="00000A"/>
            </w:tcBorders>
            <w:vAlign w:val="center"/>
          </w:tcPr>
          <w:p w:rsidR="00E23B86" w:rsidRDefault="00BA7C13">
            <w:pPr>
              <w:spacing w:after="0"/>
              <w:jc w:val="both"/>
            </w:pPr>
            <w:r>
              <w:rPr>
                <w:rFonts w:ascii="Arial" w:eastAsia="Arial" w:hAnsi="Arial" w:cs="Arial"/>
                <w:i/>
              </w:rPr>
              <w:t>Apostando por una gestión eficiente de los recursos que garanticen la eficacia y la sostenibilidad del sistema y su evaluación; y que permita asegurar la ejecución de las políticas acordadas, mediante la consignación presupuestaria correspondiente.</w:t>
            </w:r>
          </w:p>
        </w:tc>
      </w:tr>
    </w:tbl>
    <w:p w:rsidR="00E23B86" w:rsidRDefault="00BA7C13">
      <w:pPr>
        <w:spacing w:after="3"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Fuente: Estrategia Nacional sobre Adicciones 2017 – 2024. </w:t>
      </w:r>
    </w:p>
    <w:tbl>
      <w:tblPr>
        <w:tblStyle w:val="TableGrid"/>
        <w:tblW w:w="8123" w:type="dxa"/>
        <w:tblInd w:w="101"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5"/>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CAMPO DE ACTUACIÓN  </w:t>
            </w:r>
          </w:p>
        </w:tc>
      </w:tr>
    </w:tbl>
    <w:p w:rsidR="00E23B86" w:rsidRDefault="00BA7C13">
      <w:pPr>
        <w:numPr>
          <w:ilvl w:val="0"/>
          <w:numId w:val="140"/>
        </w:numPr>
        <w:spacing w:after="111" w:line="251" w:lineRule="auto"/>
        <w:ind w:right="1" w:hanging="841"/>
        <w:jc w:val="both"/>
      </w:pPr>
      <w:r>
        <w:rPr>
          <w:rFonts w:ascii="Arial" w:eastAsia="Arial" w:hAnsi="Arial" w:cs="Arial"/>
          <w:i/>
        </w:rPr>
        <w:t>Para este IV Plan, y en consonancia con la Estrategia Nacional sobre Adicciones 2017-2024, la prevención y las acciones para la reducción de riesgos se centrarán en las siguientes adicciones:</w:t>
      </w:r>
    </w:p>
    <w:p w:rsidR="00E23B86" w:rsidRDefault="00BA7C13">
      <w:pPr>
        <w:numPr>
          <w:ilvl w:val="0"/>
          <w:numId w:val="140"/>
        </w:numPr>
        <w:spacing w:after="111" w:line="251" w:lineRule="auto"/>
        <w:ind w:right="1" w:hanging="841"/>
        <w:jc w:val="both"/>
      </w:pPr>
      <w:r>
        <w:rPr>
          <w:rFonts w:ascii="Arial" w:eastAsia="Arial" w:hAnsi="Arial" w:cs="Arial"/>
          <w:i/>
        </w:rPr>
        <w:t>Drogas legales: tabaco, alcohol.</w:t>
      </w:r>
    </w:p>
    <w:p w:rsidR="00E23B86" w:rsidRDefault="00BA7C13">
      <w:pPr>
        <w:numPr>
          <w:ilvl w:val="0"/>
          <w:numId w:val="140"/>
        </w:numPr>
        <w:spacing w:after="111" w:line="251" w:lineRule="auto"/>
        <w:ind w:right="1" w:hanging="841"/>
        <w:jc w:val="both"/>
      </w:pPr>
      <w:r>
        <w:rPr>
          <w:rFonts w:ascii="Arial" w:eastAsia="Arial" w:hAnsi="Arial" w:cs="Arial"/>
          <w:i/>
        </w:rPr>
        <w:t>Fármacos de prescripción médica</w:t>
      </w:r>
      <w:r>
        <w:rPr>
          <w:rFonts w:ascii="Arial" w:eastAsia="Arial" w:hAnsi="Arial" w:cs="Arial"/>
          <w:i/>
        </w:rPr>
        <w:t xml:space="preserve"> y otras sustancias con potencial adictivo.</w:t>
      </w:r>
    </w:p>
    <w:p w:rsidR="00E23B86" w:rsidRDefault="00BA7C13">
      <w:pPr>
        <w:numPr>
          <w:ilvl w:val="0"/>
          <w:numId w:val="140"/>
        </w:numPr>
        <w:spacing w:after="111" w:line="251" w:lineRule="auto"/>
        <w:ind w:right="1" w:hanging="841"/>
        <w:jc w:val="both"/>
      </w:pPr>
      <w:r>
        <w:rPr>
          <w:rFonts w:ascii="Arial" w:eastAsia="Arial" w:hAnsi="Arial" w:cs="Arial"/>
          <w:i/>
        </w:rPr>
        <w:t>Drogas ilegales, incluidas las nuevas sustancias psicoactivas.</w:t>
      </w:r>
    </w:p>
    <w:p w:rsidR="00E23B86" w:rsidRDefault="00BA7C13">
      <w:pPr>
        <w:numPr>
          <w:ilvl w:val="0"/>
          <w:numId w:val="140"/>
        </w:numPr>
        <w:spacing w:after="111" w:line="251" w:lineRule="auto"/>
        <w:ind w:right="1" w:hanging="841"/>
        <w:jc w:val="both"/>
      </w:pPr>
      <w:r>
        <w:rPr>
          <w:rFonts w:ascii="Arial" w:eastAsia="Arial" w:hAnsi="Arial" w:cs="Arial"/>
          <w:i/>
        </w:rPr>
        <w:t>Adicciones comportamentales relacionadas con la ludopatía (juego presencial y online) y videojuegos.</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777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4562" name="Group 60456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062" name="Rectangle 5006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w:t>
                              </w: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063" name="Rectangle 5006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310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4562" style="width:12.7031pt;height:280.35pt;position:absolute;mso-position-horizontal-relative:page;mso-position-horizontal:absolute;margin-left:681.958pt;mso-position-vertical-relative:page;margin-top:531.65pt;" coordsize="1613,35604">
                <v:rect id="Rectangle 5006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06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310 de 391 </w:t>
                        </w:r>
                      </w:p>
                    </w:txbxContent>
                  </v:textbox>
                </v:rect>
                <w10:wrap type="square"/>
              </v:group>
            </w:pict>
          </mc:Fallback>
        </mc:AlternateContent>
      </w:r>
      <w:r>
        <w:rPr>
          <w:rFonts w:ascii="Arial" w:eastAsia="Arial" w:hAnsi="Arial" w:cs="Arial"/>
          <w:i/>
        </w:rPr>
        <w:t>Adicciones comportamentales relacionadas con las Tecnologías de la Información y la Comunicación (Redes Sociales, Internet).</w:t>
      </w:r>
    </w:p>
    <w:tbl>
      <w:tblPr>
        <w:tblStyle w:val="TableGrid"/>
        <w:tblW w:w="8123" w:type="dxa"/>
        <w:tblInd w:w="101"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583"/>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ind w:left="102" w:hanging="102"/>
            </w:pPr>
            <w:r>
              <w:rPr>
                <w:rFonts w:ascii="Arial" w:eastAsia="Arial" w:hAnsi="Arial" w:cs="Arial"/>
                <w:i/>
              </w:rPr>
              <w:t xml:space="preserve">META Y OBJETIVOS GENERALES DEL IV PLAN SOBRE ADICCIONES DE CANDELARIA  </w:t>
            </w:r>
          </w:p>
        </w:tc>
      </w:tr>
    </w:tbl>
    <w:p w:rsidR="00E23B86" w:rsidRDefault="00BA7C13">
      <w:pPr>
        <w:spacing w:after="82"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La meta principal de este IV Plan de Adicciones es log</w:t>
      </w:r>
      <w:r>
        <w:rPr>
          <w:rFonts w:ascii="Arial" w:eastAsia="Arial" w:hAnsi="Arial" w:cs="Arial"/>
          <w:i/>
        </w:rPr>
        <w:t>rar una comunidad saludable, más informada y sensibilizada ante las drogas y otras adicciones, haciendo énfasis en los siguientes objetivos generales según las áreas de actuación.</w:t>
      </w:r>
    </w:p>
    <w:p w:rsidR="00E23B86" w:rsidRDefault="00BA7C13">
      <w:pPr>
        <w:numPr>
          <w:ilvl w:val="0"/>
          <w:numId w:val="140"/>
        </w:numPr>
        <w:spacing w:after="111" w:line="251" w:lineRule="auto"/>
        <w:ind w:right="1" w:hanging="841"/>
        <w:jc w:val="both"/>
      </w:pPr>
      <w:r>
        <w:rPr>
          <w:rFonts w:ascii="Arial" w:eastAsia="Arial" w:hAnsi="Arial" w:cs="Arial"/>
          <w:i/>
        </w:rPr>
        <w:t xml:space="preserve">Área de prevención y sensibilización.  </w:t>
      </w:r>
    </w:p>
    <w:p w:rsidR="00E23B86" w:rsidRDefault="00BA7C13">
      <w:pPr>
        <w:numPr>
          <w:ilvl w:val="0"/>
          <w:numId w:val="140"/>
        </w:numPr>
        <w:spacing w:after="111" w:line="251" w:lineRule="auto"/>
        <w:ind w:right="1" w:hanging="841"/>
        <w:jc w:val="both"/>
      </w:pPr>
      <w:r>
        <w:rPr>
          <w:rFonts w:ascii="Arial" w:eastAsia="Arial" w:hAnsi="Arial" w:cs="Arial"/>
          <w:i/>
        </w:rPr>
        <w:t>Objetivo general: potenciar acciones</w:t>
      </w:r>
      <w:r>
        <w:rPr>
          <w:rFonts w:ascii="Arial" w:eastAsia="Arial" w:hAnsi="Arial" w:cs="Arial"/>
          <w:i/>
        </w:rPr>
        <w:t xml:space="preserve"> encaminadas a reducir los factores de riesgo y potenciar los de protección frente al consumo de drogas y otras adicciones relacionadas con conductas con potencial adictivo.</w:t>
      </w:r>
    </w:p>
    <w:p w:rsidR="00E23B86" w:rsidRDefault="00BA7C13">
      <w:pPr>
        <w:numPr>
          <w:ilvl w:val="0"/>
          <w:numId w:val="140"/>
        </w:numPr>
        <w:spacing w:after="111" w:line="251" w:lineRule="auto"/>
        <w:ind w:right="1" w:hanging="841"/>
        <w:jc w:val="both"/>
      </w:pPr>
      <w:r>
        <w:rPr>
          <w:rFonts w:ascii="Arial" w:eastAsia="Arial" w:hAnsi="Arial" w:cs="Arial"/>
          <w:i/>
        </w:rPr>
        <w:t>Área de incorporación social.</w:t>
      </w:r>
    </w:p>
    <w:p w:rsidR="00E23B86" w:rsidRDefault="00BA7C13">
      <w:pPr>
        <w:numPr>
          <w:ilvl w:val="0"/>
          <w:numId w:val="140"/>
        </w:numPr>
        <w:spacing w:after="111" w:line="251" w:lineRule="auto"/>
        <w:ind w:right="1" w:hanging="841"/>
        <w:jc w:val="both"/>
      </w:pPr>
      <w:r>
        <w:rPr>
          <w:rFonts w:ascii="Arial" w:eastAsia="Arial" w:hAnsi="Arial" w:cs="Arial"/>
          <w:i/>
        </w:rPr>
        <w:t>Objetivo general: promover la coordinación y participación de los distintos agentes sociales de la comunidad y los recursos existentes, en los procesos de incorporación laboral y social de las personas en situación de riesgo o vulnerabilidad.</w:t>
      </w:r>
    </w:p>
    <w:p w:rsidR="00E23B86" w:rsidRDefault="00BA7C13">
      <w:pPr>
        <w:numPr>
          <w:ilvl w:val="0"/>
          <w:numId w:val="140"/>
        </w:numPr>
        <w:spacing w:after="111" w:line="251" w:lineRule="auto"/>
        <w:ind w:right="1" w:hanging="841"/>
        <w:jc w:val="both"/>
      </w:pPr>
      <w:r>
        <w:rPr>
          <w:rFonts w:ascii="Arial" w:eastAsia="Arial" w:hAnsi="Arial" w:cs="Arial"/>
          <w:i/>
        </w:rPr>
        <w:t>Área de sopor</w:t>
      </w:r>
      <w:r>
        <w:rPr>
          <w:rFonts w:ascii="Arial" w:eastAsia="Arial" w:hAnsi="Arial" w:cs="Arial"/>
          <w:i/>
        </w:rPr>
        <w:t xml:space="preserve">te y apoyo a los procesos de gestión del IV Plan. </w:t>
      </w:r>
    </w:p>
    <w:p w:rsidR="00E23B86" w:rsidRDefault="00BA7C13">
      <w:pPr>
        <w:numPr>
          <w:ilvl w:val="0"/>
          <w:numId w:val="140"/>
        </w:numPr>
        <w:spacing w:after="89" w:line="251" w:lineRule="auto"/>
        <w:ind w:right="1" w:hanging="841"/>
        <w:jc w:val="both"/>
      </w:pPr>
      <w:r>
        <w:rPr>
          <w:rFonts w:ascii="Arial" w:eastAsia="Arial" w:hAnsi="Arial" w:cs="Arial"/>
          <w:i/>
        </w:rPr>
        <w:t>Objetivo general: desarrollar los procesos básicos, de recursos y avanzados de gestión a lo largo de la ejecución de las acciones del IV Plan Municipal, para lograr los objetivos buscados en las áreas de p</w:t>
      </w:r>
      <w:r>
        <w:rPr>
          <w:rFonts w:ascii="Arial" w:eastAsia="Arial" w:hAnsi="Arial" w:cs="Arial"/>
          <w:i/>
        </w:rPr>
        <w:t>revención e incorporación social.</w:t>
      </w:r>
    </w:p>
    <w:tbl>
      <w:tblPr>
        <w:tblStyle w:val="TableGrid"/>
        <w:tblW w:w="8123" w:type="dxa"/>
        <w:tblInd w:w="101"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ÁREAS DE ACTUACIÓN </w:t>
            </w:r>
          </w:p>
        </w:tc>
      </w:tr>
    </w:tbl>
    <w:p w:rsidR="00E23B86" w:rsidRDefault="00BA7C13">
      <w:pPr>
        <w:numPr>
          <w:ilvl w:val="0"/>
          <w:numId w:val="140"/>
        </w:numPr>
        <w:spacing w:after="273" w:line="251" w:lineRule="auto"/>
        <w:ind w:right="1" w:hanging="841"/>
        <w:jc w:val="both"/>
      </w:pPr>
      <w:r>
        <w:rPr>
          <w:rFonts w:ascii="Arial" w:eastAsia="Arial" w:hAnsi="Arial" w:cs="Arial"/>
          <w:i/>
        </w:rPr>
        <w:t xml:space="preserve">Para abordar la prevención de las drogodependencias y otras adicciones, se trabajará sobre las tres áreas comentadas anteriormente. Dentro de cada una de estas áreas, se especificarán las acciones y </w:t>
      </w:r>
      <w:r>
        <w:rPr>
          <w:rFonts w:ascii="Arial" w:eastAsia="Arial" w:hAnsi="Arial" w:cs="Arial"/>
          <w:i/>
        </w:rPr>
        <w:t xml:space="preserve">medidas por ámbitos, entendidos como el sector, contexto o colectivo al que van dirigidas las acciones. Los ámbitos de actuación son los que propone la Estrategia Nacional sobre Adicciones 2017-2024 y son los siguientes: escolar, familiar y comunitario. </w:t>
      </w:r>
    </w:p>
    <w:p w:rsidR="00E23B86" w:rsidRDefault="00BA7C13">
      <w:pPr>
        <w:numPr>
          <w:ilvl w:val="0"/>
          <w:numId w:val="140"/>
        </w:numPr>
        <w:spacing w:after="232" w:line="251" w:lineRule="auto"/>
        <w:ind w:right="1" w:hanging="841"/>
        <w:jc w:val="both"/>
      </w:pPr>
      <w:r>
        <w:rPr>
          <w:rFonts w:ascii="Arial" w:eastAsia="Arial" w:hAnsi="Arial" w:cs="Arial"/>
          <w:i/>
        </w:rPr>
        <w:t xml:space="preserve">6.1. ÁREA DE PREVENCIÓN Y SENSIBILIZACIÓN </w:t>
      </w:r>
    </w:p>
    <w:p w:rsidR="00E23B86" w:rsidRDefault="00BA7C13">
      <w:pPr>
        <w:numPr>
          <w:ilvl w:val="0"/>
          <w:numId w:val="140"/>
        </w:numPr>
        <w:spacing w:after="111" w:line="251" w:lineRule="auto"/>
        <w:ind w:right="1" w:hanging="841"/>
        <w:jc w:val="both"/>
      </w:pPr>
      <w:r>
        <w:rPr>
          <w:rFonts w:ascii="Arial" w:eastAsia="Arial" w:hAnsi="Arial" w:cs="Arial"/>
          <w:i/>
        </w:rPr>
        <w:t>La prevención y sensibilización entendida como todas aquellas acciones e intervenciones dirigidas a reducir los factores de riesgo (evitar el consumo experimental y esporádico y que éste no se convierta en continu</w:t>
      </w:r>
      <w:r>
        <w:rPr>
          <w:rFonts w:ascii="Arial" w:eastAsia="Arial" w:hAnsi="Arial" w:cs="Arial"/>
          <w:i/>
        </w:rPr>
        <w:t>ado y provoque daños) y potenciar los factores de protección (estilo de vida saludable, ocio y tiempo libre, formación…).</w:t>
      </w:r>
    </w:p>
    <w:p w:rsidR="00E23B86" w:rsidRDefault="00BA7C13">
      <w:pPr>
        <w:numPr>
          <w:ilvl w:val="0"/>
          <w:numId w:val="140"/>
        </w:numPr>
        <w:spacing w:after="111" w:line="251" w:lineRule="auto"/>
        <w:ind w:right="1" w:hanging="841"/>
        <w:jc w:val="both"/>
      </w:pPr>
      <w:r>
        <w:rPr>
          <w:rFonts w:ascii="Arial" w:eastAsia="Arial" w:hAnsi="Arial" w:cs="Arial"/>
          <w:i/>
        </w:rPr>
        <w:t>Las intervenciones preventivas propuestas se clasifican en tres niveles, en función de la población a las que van dirigidas:</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787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7496" name="Group 57749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135" name="Rectangle 5013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w:t>
                              </w:r>
                              <w:r>
                                <w:rPr>
                                  <w:rFonts w:ascii="Arial" w:eastAsia="Arial" w:hAnsi="Arial" w:cs="Arial"/>
                                  <w:sz w:val="12"/>
                                </w:rPr>
                                <w:t xml:space="preserve">alidación: 5AJ7C4GAAK3P9GMGZC2N3FZWC | Verificación: https://candelaria.sedelectronica.es/ </w:t>
                              </w:r>
                            </w:p>
                          </w:txbxContent>
                        </wps:txbx>
                        <wps:bodyPr horzOverflow="overflow" vert="horz" lIns="0" tIns="0" rIns="0" bIns="0" rtlCol="0">
                          <a:noAutofit/>
                        </wps:bodyPr>
                      </wps:wsp>
                      <wps:wsp>
                        <wps:cNvPr id="50136" name="Rectangle 50136"/>
                        <wps:cNvSpPr/>
                        <wps:spPr>
                          <a:xfrm rot="-5399999">
                            <a:off x="-2094822" y="1276197"/>
                            <a:ext cx="4455272"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311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7496" style="width:12.7031pt;height:280.35pt;position:absolute;mso-position-horizontal-relative:page;mso-position-horizontal:absolute;margin-left:681.958pt;mso-position-vertical-relative:page;margin-top:531.65pt;" coordsize="1613,35604">
                <v:rect id="Rectangle 5013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136" style="position:absolute;width:44552;height:1132;left:-20948;top:1276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311 de 391 </w:t>
                        </w:r>
                      </w:p>
                    </w:txbxContent>
                  </v:textbox>
                </v:rect>
                <w10:wrap type="square"/>
              </v:group>
            </w:pict>
          </mc:Fallback>
        </mc:AlternateContent>
      </w:r>
      <w:r>
        <w:rPr>
          <w:rFonts w:ascii="Arial" w:eastAsia="Arial" w:hAnsi="Arial" w:cs="Arial"/>
          <w:i/>
        </w:rPr>
        <w:t>Universal: acciones dirigidas para toda la población dentro del ámb</w:t>
      </w:r>
      <w:r>
        <w:rPr>
          <w:rFonts w:ascii="Arial" w:eastAsia="Arial" w:hAnsi="Arial" w:cs="Arial"/>
          <w:i/>
        </w:rPr>
        <w:t>ito concreto (educativo, laboral, familiar).</w:t>
      </w:r>
    </w:p>
    <w:p w:rsidR="00E23B86" w:rsidRDefault="00BA7C13">
      <w:pPr>
        <w:spacing w:after="84"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Selectiva: acciones dirigidas a un subgrupo o colectivo que presentan unas características que lo hacen potencial consumidor.</w:t>
      </w:r>
    </w:p>
    <w:p w:rsidR="00E23B86" w:rsidRDefault="00BA7C13">
      <w:pPr>
        <w:numPr>
          <w:ilvl w:val="0"/>
          <w:numId w:val="140"/>
        </w:numPr>
        <w:spacing w:after="151" w:line="251" w:lineRule="auto"/>
        <w:ind w:right="1" w:hanging="841"/>
        <w:jc w:val="both"/>
      </w:pPr>
      <w:r>
        <w:rPr>
          <w:rFonts w:ascii="Arial" w:eastAsia="Arial" w:hAnsi="Arial" w:cs="Arial"/>
          <w:i/>
        </w:rPr>
        <w:t xml:space="preserve">Indicada: acciones dirigidas a un subgrupo con conductas o problemas ya de consumo </w:t>
      </w:r>
      <w:r>
        <w:rPr>
          <w:rFonts w:ascii="Arial" w:eastAsia="Arial" w:hAnsi="Arial" w:cs="Arial"/>
          <w:i/>
        </w:rPr>
        <w:t xml:space="preserve">de sustancias y donde existe una relación problemática con las adicciones. </w:t>
      </w:r>
    </w:p>
    <w:p w:rsidR="00E23B86" w:rsidRDefault="00BA7C13">
      <w:pPr>
        <w:numPr>
          <w:ilvl w:val="0"/>
          <w:numId w:val="140"/>
        </w:numPr>
        <w:spacing w:after="111" w:line="251" w:lineRule="auto"/>
        <w:ind w:right="1" w:hanging="841"/>
        <w:jc w:val="both"/>
      </w:pPr>
      <w:r>
        <w:rPr>
          <w:rFonts w:ascii="Arial" w:eastAsia="Arial" w:hAnsi="Arial" w:cs="Arial"/>
          <w:i/>
        </w:rPr>
        <w:t xml:space="preserve">6.1.1. Ámbito Educativo </w:t>
      </w:r>
    </w:p>
    <w:p w:rsidR="00E23B86" w:rsidRDefault="00BA7C13">
      <w:pPr>
        <w:numPr>
          <w:ilvl w:val="0"/>
          <w:numId w:val="140"/>
        </w:numPr>
        <w:spacing w:after="111" w:line="251" w:lineRule="auto"/>
        <w:ind w:right="1" w:hanging="841"/>
        <w:jc w:val="both"/>
      </w:pPr>
      <w:r>
        <w:rPr>
          <w:rFonts w:ascii="Arial" w:eastAsia="Arial" w:hAnsi="Arial" w:cs="Arial"/>
          <w:i/>
        </w:rPr>
        <w:t>Para este ámbito se proponen acciones encaminadas a la prevención del consumo de drogas y otras adicciones en el ámbito educativo formal. Son necesarias es</w:t>
      </w:r>
      <w:r>
        <w:rPr>
          <w:rFonts w:ascii="Arial" w:eastAsia="Arial" w:hAnsi="Arial" w:cs="Arial"/>
          <w:i/>
        </w:rPr>
        <w:t xml:space="preserve">tas acciones para prevenir el riesgo y que no suceda el consumo en estas edades tempranas.  Las acciones van dirigidas al estudiantado, profesorado, padres, madres, y/o tutores/as legales.  </w:t>
      </w:r>
    </w:p>
    <w:p w:rsidR="00E23B86" w:rsidRDefault="00BA7C13">
      <w:pPr>
        <w:spacing w:after="82"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Objetivo general</w:t>
      </w:r>
    </w:p>
    <w:p w:rsidR="00E23B86" w:rsidRDefault="00BA7C13">
      <w:pPr>
        <w:numPr>
          <w:ilvl w:val="0"/>
          <w:numId w:val="140"/>
        </w:numPr>
        <w:spacing w:after="112" w:line="250" w:lineRule="auto"/>
        <w:ind w:right="1" w:hanging="841"/>
        <w:jc w:val="both"/>
      </w:pPr>
      <w:r>
        <w:rPr>
          <w:rFonts w:ascii="Arial" w:eastAsia="Arial" w:hAnsi="Arial" w:cs="Arial"/>
          <w:i/>
        </w:rPr>
        <w:t>Llevar a cabo acciones y medidas preventivas en el ámbito escolar de manera conjunta entre profesorado, padres/madres/tutores/as y estudiantado, destinadas a reducir los factores de riesgo y potenciar los de protección, frente a las drogas y las nuevas adi</w:t>
      </w:r>
      <w:r>
        <w:rPr>
          <w:rFonts w:ascii="Arial" w:eastAsia="Arial" w:hAnsi="Arial" w:cs="Arial"/>
          <w:i/>
        </w:rPr>
        <w:t>cciones.</w:t>
      </w:r>
    </w:p>
    <w:p w:rsidR="00E23B86" w:rsidRDefault="00BA7C13">
      <w:pPr>
        <w:spacing w:after="80" w:line="265" w:lineRule="auto"/>
        <w:ind w:left="102" w:right="13" w:hanging="10"/>
      </w:pPr>
      <w:r>
        <w:rPr>
          <w:rFonts w:ascii="Segoe UI Symbol" w:eastAsia="Segoe UI Symbol" w:hAnsi="Segoe UI Symbol" w:cs="Segoe UI Symbol"/>
          <w:sz w:val="20"/>
        </w:rPr>
        <w:t></w:t>
      </w:r>
    </w:p>
    <w:p w:rsidR="00E23B86" w:rsidRDefault="00BA7C13">
      <w:pPr>
        <w:spacing w:after="82" w:line="265" w:lineRule="auto"/>
        <w:ind w:left="102" w:right="13" w:hanging="10"/>
      </w:pPr>
      <w:r>
        <w:rPr>
          <w:rFonts w:ascii="Segoe UI Symbol" w:eastAsia="Segoe UI Symbol" w:hAnsi="Segoe UI Symbol" w:cs="Segoe UI Symbol"/>
          <w:sz w:val="20"/>
        </w:rPr>
        <w:t></w:t>
      </w:r>
    </w:p>
    <w:p w:rsidR="00E23B86" w:rsidRDefault="00BA7C13">
      <w:pPr>
        <w:spacing w:after="3" w:line="265" w:lineRule="auto"/>
        <w:ind w:left="102" w:right="13" w:hanging="10"/>
      </w:pPr>
      <w:r>
        <w:rPr>
          <w:rFonts w:ascii="Segoe UI Symbol" w:eastAsia="Segoe UI Symbol" w:hAnsi="Segoe UI Symbol" w:cs="Segoe UI Symbol"/>
          <w:sz w:val="20"/>
        </w:rPr>
        <w:t></w:t>
      </w:r>
    </w:p>
    <w:tbl>
      <w:tblPr>
        <w:tblStyle w:val="TableGrid"/>
        <w:tblW w:w="9341" w:type="dxa"/>
        <w:tblInd w:w="-687" w:type="dxa"/>
        <w:tblCellMar>
          <w:top w:w="11" w:type="dxa"/>
          <w:left w:w="50" w:type="dxa"/>
          <w:bottom w:w="0" w:type="dxa"/>
          <w:right w:w="133" w:type="dxa"/>
        </w:tblCellMar>
        <w:tblLook w:val="04A0" w:firstRow="1" w:lastRow="0" w:firstColumn="1" w:lastColumn="0" w:noHBand="0" w:noVBand="1"/>
      </w:tblPr>
      <w:tblGrid>
        <w:gridCol w:w="780"/>
        <w:gridCol w:w="5403"/>
        <w:gridCol w:w="3158"/>
      </w:tblGrid>
      <w:tr w:rsidR="00E23B86">
        <w:trPr>
          <w:trHeight w:val="454"/>
        </w:trPr>
        <w:tc>
          <w:tcPr>
            <w:tcW w:w="780" w:type="dxa"/>
            <w:tcBorders>
              <w:top w:val="single" w:sz="4" w:space="0" w:color="00000A"/>
              <w:left w:val="single" w:sz="4" w:space="0" w:color="00000A"/>
              <w:bottom w:val="single" w:sz="4" w:space="0" w:color="00000A"/>
              <w:right w:val="nil"/>
            </w:tcBorders>
            <w:shd w:val="clear" w:color="auto" w:fill="BFBFBF"/>
          </w:tcPr>
          <w:p w:rsidR="00E23B86" w:rsidRDefault="00BA7C13">
            <w:pPr>
              <w:spacing w:after="0"/>
              <w:ind w:left="458"/>
              <w:jc w:val="center"/>
            </w:pPr>
            <w:r>
              <w:rPr>
                <w:rFonts w:ascii="Segoe UI Symbol" w:eastAsia="Segoe UI Symbol" w:hAnsi="Segoe UI Symbol" w:cs="Segoe UI Symbol"/>
                <w:sz w:val="20"/>
              </w:rPr>
              <w:t></w:t>
            </w:r>
          </w:p>
        </w:tc>
        <w:tc>
          <w:tcPr>
            <w:tcW w:w="5403" w:type="dxa"/>
            <w:tcBorders>
              <w:top w:val="single" w:sz="4" w:space="0" w:color="00000A"/>
              <w:left w:val="nil"/>
              <w:bottom w:val="single" w:sz="4" w:space="0" w:color="00000A"/>
              <w:right w:val="single" w:sz="4" w:space="0" w:color="00000A"/>
            </w:tcBorders>
            <w:shd w:val="clear" w:color="auto" w:fill="BFBFBF"/>
          </w:tcPr>
          <w:p w:rsidR="00E23B86" w:rsidRDefault="00BA7C13">
            <w:pPr>
              <w:spacing w:after="0"/>
              <w:ind w:left="62"/>
            </w:pPr>
            <w:r>
              <w:rPr>
                <w:rFonts w:ascii="Arial" w:eastAsia="Arial" w:hAnsi="Arial" w:cs="Arial"/>
                <w:i/>
              </w:rPr>
              <w:t>Actuaciones a desarrollar según nivel de prevención</w:t>
            </w:r>
          </w:p>
        </w:tc>
        <w:tc>
          <w:tcPr>
            <w:tcW w:w="3158" w:type="dxa"/>
            <w:tcBorders>
              <w:top w:val="nil"/>
              <w:left w:val="single" w:sz="4" w:space="0" w:color="00000A"/>
              <w:bottom w:val="single" w:sz="4" w:space="0" w:color="00000A"/>
              <w:right w:val="nil"/>
            </w:tcBorders>
          </w:tcPr>
          <w:p w:rsidR="00E23B86" w:rsidRDefault="00BA7C13">
            <w:pPr>
              <w:spacing w:after="0"/>
              <w:ind w:left="311"/>
            </w:pPr>
            <w:r>
              <w:rPr>
                <w:rFonts w:ascii="Segoe UI Symbol" w:eastAsia="Segoe UI Symbol" w:hAnsi="Segoe UI Symbol" w:cs="Segoe UI Symbol"/>
                <w:sz w:val="20"/>
              </w:rPr>
              <w:t></w:t>
            </w:r>
          </w:p>
        </w:tc>
      </w:tr>
      <w:tr w:rsidR="00E23B86">
        <w:trPr>
          <w:trHeight w:val="454"/>
        </w:trPr>
        <w:tc>
          <w:tcPr>
            <w:tcW w:w="780" w:type="dxa"/>
            <w:tcBorders>
              <w:top w:val="single" w:sz="4" w:space="0" w:color="00000A"/>
              <w:left w:val="single" w:sz="4" w:space="0" w:color="00000A"/>
              <w:bottom w:val="single" w:sz="4" w:space="0" w:color="00000A"/>
              <w:right w:val="nil"/>
            </w:tcBorders>
            <w:shd w:val="clear" w:color="auto" w:fill="BFBFBF"/>
          </w:tcPr>
          <w:p w:rsidR="00E23B86" w:rsidRDefault="00E23B86"/>
        </w:tc>
        <w:tc>
          <w:tcPr>
            <w:tcW w:w="8561" w:type="dxa"/>
            <w:gridSpan w:val="2"/>
            <w:tcBorders>
              <w:top w:val="single" w:sz="4" w:space="0" w:color="00000A"/>
              <w:left w:val="nil"/>
              <w:bottom w:val="single" w:sz="4" w:space="0" w:color="00000A"/>
              <w:right w:val="single" w:sz="5" w:space="0" w:color="00000A"/>
            </w:tcBorders>
            <w:shd w:val="clear" w:color="auto" w:fill="BFBFBF"/>
          </w:tcPr>
          <w:p w:rsidR="00E23B86" w:rsidRDefault="00BA7C13">
            <w:pPr>
              <w:spacing w:after="0"/>
              <w:ind w:right="358"/>
              <w:jc w:val="center"/>
            </w:pPr>
            <w:r>
              <w:rPr>
                <w:rFonts w:ascii="Segoe UI Symbol" w:eastAsia="Segoe UI Symbol" w:hAnsi="Segoe UI Symbol" w:cs="Segoe UI Symbol"/>
                <w:sz w:val="20"/>
              </w:rPr>
              <w:t xml:space="preserve"> </w:t>
            </w:r>
            <w:r>
              <w:rPr>
                <w:rFonts w:ascii="Arial" w:eastAsia="Arial" w:hAnsi="Arial" w:cs="Arial"/>
                <w:i/>
              </w:rPr>
              <w:t>Actuación</w:t>
            </w:r>
          </w:p>
        </w:tc>
      </w:tr>
      <w:tr w:rsidR="00E23B86">
        <w:trPr>
          <w:trHeight w:val="1022"/>
        </w:trPr>
        <w:tc>
          <w:tcPr>
            <w:tcW w:w="780" w:type="dxa"/>
            <w:tcBorders>
              <w:top w:val="single" w:sz="4" w:space="0" w:color="00000A"/>
              <w:left w:val="single" w:sz="4"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2"/>
            <w:tcBorders>
              <w:top w:val="single" w:sz="4" w:space="0" w:color="00000A"/>
              <w:left w:val="nil"/>
              <w:bottom w:val="single" w:sz="4" w:space="0" w:color="00000A"/>
              <w:right w:val="single" w:sz="5" w:space="0" w:color="00000A"/>
            </w:tcBorders>
          </w:tcPr>
          <w:p w:rsidR="00E23B86" w:rsidRDefault="00BA7C13">
            <w:pPr>
              <w:spacing w:after="0"/>
              <w:ind w:right="3"/>
              <w:jc w:val="both"/>
            </w:pPr>
            <w:r>
              <w:rPr>
                <w:rFonts w:ascii="Arial" w:eastAsia="Arial" w:hAnsi="Arial" w:cs="Arial"/>
                <w:i/>
              </w:rPr>
              <w:t>Acción E1. Diseño e implementación de programas, proyectos y actividades preventivas dentro del espacio escolar, con la implicación de profesorado, padres, madres y/o tutores/as legales destinados a mejorar la competencia social del estudiantado ante los r</w:t>
            </w:r>
            <w:r>
              <w:rPr>
                <w:rFonts w:ascii="Arial" w:eastAsia="Arial" w:hAnsi="Arial" w:cs="Arial"/>
                <w:i/>
              </w:rPr>
              <w:t xml:space="preserve">iegos de consumo y adicciones. </w:t>
            </w:r>
          </w:p>
        </w:tc>
      </w:tr>
      <w:tr w:rsidR="00E23B86">
        <w:trPr>
          <w:trHeight w:val="770"/>
        </w:trPr>
        <w:tc>
          <w:tcPr>
            <w:tcW w:w="780" w:type="dxa"/>
            <w:tcBorders>
              <w:top w:val="single" w:sz="4" w:space="0" w:color="00000A"/>
              <w:left w:val="single" w:sz="4"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2"/>
            <w:tcBorders>
              <w:top w:val="single" w:sz="4" w:space="0" w:color="00000A"/>
              <w:left w:val="nil"/>
              <w:bottom w:val="single" w:sz="4" w:space="0" w:color="00000A"/>
              <w:right w:val="single" w:sz="5" w:space="0" w:color="00000A"/>
            </w:tcBorders>
          </w:tcPr>
          <w:p w:rsidR="00E23B86" w:rsidRDefault="00BA7C13">
            <w:pPr>
              <w:spacing w:after="0"/>
              <w:ind w:right="2"/>
              <w:jc w:val="both"/>
            </w:pPr>
            <w:r>
              <w:rPr>
                <w:rFonts w:ascii="Arial" w:eastAsia="Arial" w:hAnsi="Arial" w:cs="Arial"/>
                <w:i/>
              </w:rPr>
              <w:t>Acción E2. Poner en marcha programas o proyectos de intervención temprana dirigidos a  menores adolescentes, que presentan dentro o fuera  del contexto escolar conductas de riesgo.</w:t>
            </w:r>
          </w:p>
        </w:tc>
      </w:tr>
      <w:tr w:rsidR="00E23B86">
        <w:trPr>
          <w:trHeight w:val="768"/>
        </w:trPr>
        <w:tc>
          <w:tcPr>
            <w:tcW w:w="780" w:type="dxa"/>
            <w:tcBorders>
              <w:top w:val="single" w:sz="4" w:space="0" w:color="00000A"/>
              <w:left w:val="single" w:sz="4"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2"/>
            <w:tcBorders>
              <w:top w:val="single" w:sz="4" w:space="0" w:color="00000A"/>
              <w:left w:val="nil"/>
              <w:bottom w:val="single" w:sz="4" w:space="0" w:color="00000A"/>
              <w:right w:val="single" w:sz="5" w:space="0" w:color="00000A"/>
            </w:tcBorders>
          </w:tcPr>
          <w:p w:rsidR="00E23B86" w:rsidRDefault="00BA7C13">
            <w:pPr>
              <w:spacing w:after="0"/>
              <w:ind w:right="6"/>
              <w:jc w:val="both"/>
            </w:pPr>
            <w:r>
              <w:rPr>
                <w:rFonts w:ascii="Arial" w:eastAsia="Arial" w:hAnsi="Arial" w:cs="Arial"/>
                <w:i/>
              </w:rPr>
              <w:t>Acción E3. Ofertar a los centros educativos un proyecto/programa de orientación personalizada, ya sea de manera individual o grupal, dirigido a estudiantes que presentan vulnerabilidad ante riesgo de consumo o  adicciones.</w:t>
            </w:r>
          </w:p>
        </w:tc>
      </w:tr>
      <w:tr w:rsidR="00E23B86">
        <w:trPr>
          <w:trHeight w:val="1022"/>
        </w:trPr>
        <w:tc>
          <w:tcPr>
            <w:tcW w:w="780" w:type="dxa"/>
            <w:tcBorders>
              <w:top w:val="single" w:sz="4" w:space="0" w:color="00000A"/>
              <w:left w:val="single" w:sz="4"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2"/>
            <w:tcBorders>
              <w:top w:val="single" w:sz="4" w:space="0" w:color="00000A"/>
              <w:left w:val="nil"/>
              <w:bottom w:val="single" w:sz="4" w:space="0" w:color="00000A"/>
              <w:right w:val="single" w:sz="5" w:space="0" w:color="00000A"/>
            </w:tcBorders>
          </w:tcPr>
          <w:p w:rsidR="00E23B86" w:rsidRDefault="00BA7C13">
            <w:pPr>
              <w:spacing w:after="0"/>
              <w:ind w:right="3"/>
              <w:jc w:val="both"/>
            </w:pPr>
            <w:r>
              <w:rPr>
                <w:rFonts w:ascii="Arial" w:eastAsia="Arial" w:hAnsi="Arial" w:cs="Arial"/>
                <w:i/>
              </w:rPr>
              <w:t xml:space="preserve">Acción E4. Llevar a cabo durante el desarrollo del curso académico y en coordinación con profesorado, estudiantado y progenitores/as y/o tutores/as, campañas específicas destinadas al estudiantado, sobre factores de riesgo y protección de la salud. </w:t>
            </w:r>
          </w:p>
        </w:tc>
      </w:tr>
      <w:tr w:rsidR="00E23B86">
        <w:trPr>
          <w:trHeight w:val="770"/>
        </w:trPr>
        <w:tc>
          <w:tcPr>
            <w:tcW w:w="780" w:type="dxa"/>
            <w:tcBorders>
              <w:top w:val="single" w:sz="4" w:space="0" w:color="00000A"/>
              <w:left w:val="single" w:sz="4"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2"/>
            <w:tcBorders>
              <w:top w:val="single" w:sz="4" w:space="0" w:color="00000A"/>
              <w:left w:val="nil"/>
              <w:bottom w:val="single" w:sz="4" w:space="0" w:color="00000A"/>
              <w:right w:val="single" w:sz="5" w:space="0" w:color="00000A"/>
            </w:tcBorders>
          </w:tcPr>
          <w:p w:rsidR="00E23B86" w:rsidRDefault="00BA7C13">
            <w:pPr>
              <w:spacing w:after="0"/>
              <w:jc w:val="both"/>
            </w:pPr>
            <w:r>
              <w:rPr>
                <w:rFonts w:ascii="Arial" w:eastAsia="Arial" w:hAnsi="Arial" w:cs="Arial"/>
                <w:i/>
              </w:rPr>
              <w:t>Acción E5. Ofertar espacios de encuentro y formación al profesorado, sobre herramientas de detección y actuación ante situaciones de riesgo relacionadas con el consumo de drogas y las adicciones.</w:t>
            </w:r>
          </w:p>
        </w:tc>
      </w:tr>
      <w:tr w:rsidR="00E23B86">
        <w:trPr>
          <w:trHeight w:val="768"/>
        </w:trPr>
        <w:tc>
          <w:tcPr>
            <w:tcW w:w="780" w:type="dxa"/>
            <w:tcBorders>
              <w:top w:val="single" w:sz="4" w:space="0" w:color="00000A"/>
              <w:left w:val="single" w:sz="4"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2"/>
            <w:tcBorders>
              <w:top w:val="single" w:sz="4" w:space="0" w:color="00000A"/>
              <w:left w:val="nil"/>
              <w:bottom w:val="single" w:sz="4" w:space="0" w:color="00000A"/>
              <w:right w:val="single" w:sz="5" w:space="0" w:color="00000A"/>
            </w:tcBorders>
          </w:tcPr>
          <w:p w:rsidR="00E23B86" w:rsidRDefault="00BA7C13">
            <w:pPr>
              <w:spacing w:after="0"/>
              <w:ind w:right="1"/>
              <w:jc w:val="both"/>
            </w:pPr>
            <w:r>
              <w:rPr>
                <w:rFonts w:ascii="Arial" w:eastAsia="Arial" w:hAnsi="Arial" w:cs="Arial"/>
                <w:i/>
              </w:rPr>
              <w:t xml:space="preserve">Acción E6.  Prestar un apoyo y asesoramiento al profesorado que participa en las acciones preventivas, para ayudarles a mejorar las actuaciones y aportar nuevas herramientas preventivas. </w:t>
            </w:r>
          </w:p>
        </w:tc>
      </w:tr>
      <w:tr w:rsidR="00E23B86">
        <w:trPr>
          <w:trHeight w:val="1277"/>
        </w:trPr>
        <w:tc>
          <w:tcPr>
            <w:tcW w:w="780" w:type="dxa"/>
            <w:tcBorders>
              <w:top w:val="single" w:sz="4" w:space="0" w:color="00000A"/>
              <w:left w:val="single" w:sz="4" w:space="0" w:color="00000A"/>
              <w:bottom w:val="single" w:sz="4" w:space="0" w:color="00000A"/>
              <w:right w:val="nil"/>
            </w:tcBorders>
          </w:tcPr>
          <w:p w:rsidR="00E23B86" w:rsidRDefault="00BA7C13">
            <w:pPr>
              <w:spacing w:after="0"/>
              <w:ind w:left="334"/>
              <w:jc w:val="center"/>
            </w:pPr>
            <w:r>
              <w:rPr>
                <w:rFonts w:ascii="Segoe UI Symbol" w:eastAsia="Segoe UI Symbol" w:hAnsi="Segoe UI Symbol" w:cs="Segoe UI Symbol"/>
                <w:sz w:val="20"/>
              </w:rPr>
              <w:t></w:t>
            </w:r>
          </w:p>
        </w:tc>
        <w:tc>
          <w:tcPr>
            <w:tcW w:w="8561" w:type="dxa"/>
            <w:gridSpan w:val="2"/>
            <w:tcBorders>
              <w:top w:val="single" w:sz="4" w:space="0" w:color="00000A"/>
              <w:left w:val="nil"/>
              <w:bottom w:val="single" w:sz="4" w:space="0" w:color="00000A"/>
              <w:right w:val="single" w:sz="5" w:space="0" w:color="00000A"/>
            </w:tcBorders>
          </w:tcPr>
          <w:p w:rsidR="00E23B86" w:rsidRDefault="00BA7C13">
            <w:pPr>
              <w:spacing w:after="0"/>
              <w:ind w:right="3"/>
              <w:jc w:val="both"/>
            </w:pPr>
            <w:r>
              <w:rPr>
                <w:rFonts w:ascii="Arial" w:eastAsia="Arial" w:hAnsi="Arial" w:cs="Arial"/>
                <w:i/>
              </w:rPr>
              <w:t>Acción E7.  Crear un espacio y sistema de coordinación entre equipos docentes de los centros educativos y profesionales externos que intervienen, para evaluar resultados, potenciar la participación, análisis de necesidades y la búsqueda de soluciones viabl</w:t>
            </w:r>
            <w:r>
              <w:rPr>
                <w:rFonts w:ascii="Arial" w:eastAsia="Arial" w:hAnsi="Arial" w:cs="Arial"/>
                <w:i/>
              </w:rPr>
              <w:t xml:space="preserve">es para la prevención de adicciones y promoción de la salud en los centros. </w:t>
            </w:r>
          </w:p>
        </w:tc>
      </w:tr>
    </w:tbl>
    <w:p w:rsidR="00E23B86" w:rsidRDefault="00BA7C13">
      <w:pPr>
        <w:spacing w:after="122" w:line="265" w:lineRule="auto"/>
        <w:ind w:left="102" w:right="13" w:hanging="10"/>
      </w:pPr>
      <w:r>
        <w:rPr>
          <w:rFonts w:ascii="Segoe UI Symbol" w:eastAsia="Segoe UI Symbol" w:hAnsi="Segoe UI Symbol" w:cs="Segoe UI Symbol"/>
          <w:sz w:val="20"/>
        </w:rPr>
        <w:t></w:t>
      </w:r>
      <w:r>
        <w:rPr>
          <w:rFonts w:ascii="Arial" w:eastAsia="Arial" w:hAnsi="Arial" w:cs="Arial"/>
          <w:i/>
        </w:rPr>
        <w:t xml:space="preserve">   </w:t>
      </w:r>
    </w:p>
    <w:p w:rsidR="00E23B86" w:rsidRDefault="00BA7C13">
      <w:pPr>
        <w:numPr>
          <w:ilvl w:val="0"/>
          <w:numId w:val="140"/>
        </w:numPr>
        <w:spacing w:after="111" w:line="251" w:lineRule="auto"/>
        <w:ind w:right="1" w:hanging="841"/>
        <w:jc w:val="both"/>
      </w:pPr>
      <w:r>
        <w:rPr>
          <w:rFonts w:ascii="Arial" w:eastAsia="Arial" w:hAnsi="Arial" w:cs="Arial"/>
          <w:i/>
        </w:rPr>
        <w:t xml:space="preserve">6.1.2. Ámbito Familiar </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797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9438" name="Group 60943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258" name="Rectangle 5025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0259" name="Rectangle 5025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312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9438" style="width:12.7031pt;height:280.35pt;position:absolute;mso-position-horizontal-relative:page;mso-position-horizontal:absolute;margin-left:681.958pt;mso-position-vertical-relative:page;margin-top:531.65pt;" coordsize="1613,35604">
                <v:rect id="Rectangle 5025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25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312 de 391 </w:t>
                        </w:r>
                      </w:p>
                    </w:txbxContent>
                  </v:textbox>
                </v:rect>
                <w10:wrap type="square"/>
              </v:group>
            </w:pict>
          </mc:Fallback>
        </mc:AlternateContent>
      </w:r>
      <w:r>
        <w:rPr>
          <w:rFonts w:ascii="Arial" w:eastAsia="Arial" w:hAnsi="Arial" w:cs="Arial"/>
          <w:i/>
        </w:rPr>
        <w:t>La familia es considerada el agente de la socialización primaria y en ella es donde se construye el carácter, personalidad, valores, de los niños y las niñas. La</w:t>
      </w:r>
      <w:r>
        <w:rPr>
          <w:rFonts w:ascii="Arial" w:eastAsia="Arial" w:hAnsi="Arial" w:cs="Arial"/>
          <w:i/>
        </w:rPr>
        <w:t xml:space="preserve"> prevención centrada en la familia es clave para promover estilos de vida sana en sus miembros/as y cumple una función clave en el desarrollo evolutivo de los y las menores. La prevención hacia la familia debe ir encaminada a dotar de recursos a las mismas</w:t>
      </w:r>
      <w:r>
        <w:rPr>
          <w:rFonts w:ascii="Arial" w:eastAsia="Arial" w:hAnsi="Arial" w:cs="Arial"/>
          <w:i/>
        </w:rPr>
        <w:t xml:space="preserve"> para que sean agentes de prevención y dotarles de estrategias para hacer frente a las situaciones de la vida a las que se deberán enfrentar sus hijos/as, y/o algún progenitor/a. </w:t>
      </w:r>
    </w:p>
    <w:p w:rsidR="00E23B86" w:rsidRDefault="00BA7C13">
      <w:pPr>
        <w:spacing w:after="84"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Objetivo general </w:t>
      </w:r>
    </w:p>
    <w:p w:rsidR="00E23B86" w:rsidRDefault="00BA7C13">
      <w:pPr>
        <w:numPr>
          <w:ilvl w:val="0"/>
          <w:numId w:val="140"/>
        </w:numPr>
        <w:spacing w:after="0" w:line="251" w:lineRule="auto"/>
        <w:ind w:right="1" w:hanging="841"/>
        <w:jc w:val="both"/>
      </w:pPr>
      <w:r>
        <w:rPr>
          <w:rFonts w:ascii="Arial" w:eastAsia="Arial" w:hAnsi="Arial" w:cs="Arial"/>
          <w:i/>
        </w:rPr>
        <w:t>Potenciar y promover modelos familiares positivos en lo referido a la educación para la salud, además de ofertar programas preventivos para todas las familias, así como para las familias cuyos hijos/as están en riesgo de consumo de drogas u otros comportam</w:t>
      </w:r>
      <w:r>
        <w:rPr>
          <w:rFonts w:ascii="Arial" w:eastAsia="Arial" w:hAnsi="Arial" w:cs="Arial"/>
          <w:i/>
        </w:rPr>
        <w:t xml:space="preserve">ientos adictivos. </w:t>
      </w:r>
    </w:p>
    <w:p w:rsidR="00E23B86" w:rsidRDefault="00BA7C13">
      <w:pPr>
        <w:spacing w:after="3" w:line="265" w:lineRule="auto"/>
        <w:ind w:left="102" w:right="13" w:hanging="10"/>
      </w:pPr>
      <w:r>
        <w:rPr>
          <w:rFonts w:ascii="Segoe UI Symbol" w:eastAsia="Segoe UI Symbol" w:hAnsi="Segoe UI Symbol" w:cs="Segoe UI Symbol"/>
          <w:sz w:val="20"/>
        </w:rPr>
        <w:t></w:t>
      </w:r>
    </w:p>
    <w:tbl>
      <w:tblPr>
        <w:tblStyle w:val="TableGrid"/>
        <w:tblW w:w="9607" w:type="dxa"/>
        <w:tblInd w:w="-821" w:type="dxa"/>
        <w:tblCellMar>
          <w:top w:w="7" w:type="dxa"/>
          <w:left w:w="0" w:type="dxa"/>
          <w:bottom w:w="0" w:type="dxa"/>
          <w:right w:w="115" w:type="dxa"/>
        </w:tblCellMar>
        <w:tblLook w:val="04A0" w:firstRow="1" w:lastRow="0" w:firstColumn="1" w:lastColumn="0" w:noHBand="0" w:noVBand="1"/>
      </w:tblPr>
      <w:tblGrid>
        <w:gridCol w:w="1"/>
        <w:gridCol w:w="716"/>
        <w:gridCol w:w="355"/>
        <w:gridCol w:w="5469"/>
        <w:gridCol w:w="3066"/>
        <w:gridCol w:w="1"/>
      </w:tblGrid>
      <w:tr w:rsidR="00E23B86">
        <w:trPr>
          <w:gridAfter w:val="1"/>
          <w:trHeight w:val="454"/>
        </w:trPr>
        <w:tc>
          <w:tcPr>
            <w:tcW w:w="1072" w:type="dxa"/>
            <w:gridSpan w:val="3"/>
            <w:tcBorders>
              <w:top w:val="single" w:sz="4" w:space="0" w:color="00000A"/>
              <w:left w:val="single" w:sz="4" w:space="0" w:color="00000A"/>
              <w:bottom w:val="single" w:sz="4" w:space="0" w:color="00000A"/>
              <w:right w:val="nil"/>
            </w:tcBorders>
            <w:shd w:val="clear" w:color="auto" w:fill="BFBFBF"/>
          </w:tcPr>
          <w:p w:rsidR="00E23B86" w:rsidRDefault="00BA7C13">
            <w:pPr>
              <w:spacing w:after="0"/>
              <w:ind w:left="558"/>
              <w:jc w:val="center"/>
            </w:pPr>
            <w:r>
              <w:rPr>
                <w:rFonts w:ascii="Segoe UI Symbol" w:eastAsia="Segoe UI Symbol" w:hAnsi="Segoe UI Symbol" w:cs="Segoe UI Symbol"/>
                <w:sz w:val="20"/>
              </w:rPr>
              <w:t></w:t>
            </w:r>
          </w:p>
        </w:tc>
        <w:tc>
          <w:tcPr>
            <w:tcW w:w="5469" w:type="dxa"/>
            <w:tcBorders>
              <w:top w:val="single" w:sz="4" w:space="0" w:color="00000A"/>
              <w:left w:val="nil"/>
              <w:bottom w:val="single" w:sz="4" w:space="0" w:color="00000A"/>
              <w:right w:val="single" w:sz="4" w:space="0" w:color="00000A"/>
            </w:tcBorders>
            <w:shd w:val="clear" w:color="auto" w:fill="BFBFBF"/>
          </w:tcPr>
          <w:p w:rsidR="00E23B86" w:rsidRDefault="00BA7C13">
            <w:pPr>
              <w:spacing w:after="0"/>
            </w:pPr>
            <w:r>
              <w:rPr>
                <w:rFonts w:ascii="Arial" w:eastAsia="Arial" w:hAnsi="Arial" w:cs="Arial"/>
                <w:i/>
              </w:rPr>
              <w:t>Actuaciones a desarrollar según nivel de prevención</w:t>
            </w:r>
          </w:p>
        </w:tc>
        <w:tc>
          <w:tcPr>
            <w:tcW w:w="3066" w:type="dxa"/>
            <w:tcBorders>
              <w:top w:val="nil"/>
              <w:left w:val="single" w:sz="4" w:space="0" w:color="00000A"/>
              <w:bottom w:val="single" w:sz="4" w:space="0" w:color="00000A"/>
              <w:right w:val="nil"/>
            </w:tcBorders>
          </w:tcPr>
          <w:p w:rsidR="00E23B86" w:rsidRDefault="00BA7C13">
            <w:pPr>
              <w:spacing w:after="0"/>
              <w:ind w:left="362"/>
            </w:pPr>
            <w:r>
              <w:rPr>
                <w:rFonts w:ascii="Segoe UI Symbol" w:eastAsia="Segoe UI Symbol" w:hAnsi="Segoe UI Symbol" w:cs="Segoe UI Symbol"/>
                <w:sz w:val="20"/>
              </w:rPr>
              <w:t></w:t>
            </w:r>
          </w:p>
        </w:tc>
      </w:tr>
      <w:tr w:rsidR="00E23B86">
        <w:trPr>
          <w:gridAfter w:val="1"/>
          <w:trHeight w:val="454"/>
        </w:trPr>
        <w:tc>
          <w:tcPr>
            <w:tcW w:w="1072" w:type="dxa"/>
            <w:gridSpan w:val="3"/>
            <w:tcBorders>
              <w:top w:val="single" w:sz="4" w:space="0" w:color="00000A"/>
              <w:left w:val="single" w:sz="4" w:space="0" w:color="00000A"/>
              <w:bottom w:val="single" w:sz="4" w:space="0" w:color="00000A"/>
              <w:right w:val="nil"/>
            </w:tcBorders>
            <w:shd w:val="clear" w:color="auto" w:fill="BFBFBF"/>
          </w:tcPr>
          <w:p w:rsidR="00E23B86" w:rsidRDefault="00E23B86"/>
        </w:tc>
        <w:tc>
          <w:tcPr>
            <w:tcW w:w="5469" w:type="dxa"/>
            <w:tcBorders>
              <w:top w:val="single" w:sz="4" w:space="0" w:color="00000A"/>
              <w:left w:val="nil"/>
              <w:bottom w:val="single" w:sz="4" w:space="0" w:color="00000A"/>
              <w:right w:val="nil"/>
            </w:tcBorders>
            <w:shd w:val="clear" w:color="auto" w:fill="BFBFBF"/>
          </w:tcPr>
          <w:p w:rsidR="00E23B86" w:rsidRDefault="00BA7C13">
            <w:pPr>
              <w:spacing w:after="0"/>
              <w:ind w:left="3240"/>
            </w:pPr>
            <w:r>
              <w:rPr>
                <w:rFonts w:ascii="Segoe UI Symbol" w:eastAsia="Segoe UI Symbol" w:hAnsi="Segoe UI Symbol" w:cs="Segoe UI Symbol"/>
                <w:sz w:val="20"/>
              </w:rPr>
              <w:t xml:space="preserve"> </w:t>
            </w:r>
            <w:r>
              <w:rPr>
                <w:rFonts w:ascii="Arial" w:eastAsia="Arial" w:hAnsi="Arial" w:cs="Arial"/>
                <w:i/>
              </w:rPr>
              <w:t>Actuación</w:t>
            </w:r>
          </w:p>
        </w:tc>
        <w:tc>
          <w:tcPr>
            <w:tcW w:w="3066" w:type="dxa"/>
            <w:tcBorders>
              <w:top w:val="single" w:sz="4" w:space="0" w:color="00000A"/>
              <w:left w:val="nil"/>
              <w:bottom w:val="single" w:sz="4" w:space="0" w:color="00000A"/>
              <w:right w:val="single" w:sz="5" w:space="0" w:color="00000A"/>
            </w:tcBorders>
            <w:shd w:val="clear" w:color="auto" w:fill="BFBFBF"/>
          </w:tcPr>
          <w:p w:rsidR="00E23B86" w:rsidRDefault="00E23B86"/>
        </w:tc>
      </w:tr>
      <w:tr w:rsidR="00E23B86">
        <w:trPr>
          <w:gridBefore w:val="1"/>
          <w:trHeight w:val="1019"/>
        </w:trPr>
        <w:tc>
          <w:tcPr>
            <w:tcW w:w="716" w:type="dxa"/>
            <w:tcBorders>
              <w:top w:val="single" w:sz="3"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8891" w:type="dxa"/>
            <w:gridSpan w:val="4"/>
            <w:tcBorders>
              <w:top w:val="single" w:sz="3" w:space="0" w:color="00000A"/>
              <w:left w:val="nil"/>
              <w:bottom w:val="single" w:sz="4" w:space="0" w:color="00000A"/>
              <w:right w:val="single" w:sz="5" w:space="0" w:color="00000A"/>
            </w:tcBorders>
          </w:tcPr>
          <w:p w:rsidR="00E23B86" w:rsidRDefault="00BA7C13">
            <w:pPr>
              <w:spacing w:after="0"/>
              <w:jc w:val="both"/>
            </w:pPr>
            <w:r>
              <w:rPr>
                <w:rFonts w:ascii="Arial" w:eastAsia="Arial" w:hAnsi="Arial" w:cs="Arial"/>
                <w:i/>
              </w:rPr>
              <w:t>Acción F1. Ofertar, a los padres/madres/tutores/as que presentan dificultades relacionadas con el consumo o adicciones de los hijos/as o algún/a progenitor/a o figura educativa, un programa/proyecto de orientación personalizada, ya sea de manera individual</w:t>
            </w:r>
            <w:r>
              <w:rPr>
                <w:rFonts w:ascii="Arial" w:eastAsia="Arial" w:hAnsi="Arial" w:cs="Arial"/>
                <w:i/>
              </w:rPr>
              <w:t xml:space="preserve"> o grupal, para apoyarles y revertir las situaciones de riesgo. </w:t>
            </w:r>
          </w:p>
        </w:tc>
      </w:tr>
      <w:tr w:rsidR="00E23B86">
        <w:trPr>
          <w:gridBefore w:val="1"/>
          <w:trHeight w:val="770"/>
        </w:trPr>
        <w:tc>
          <w:tcPr>
            <w:tcW w:w="716"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8891" w:type="dxa"/>
            <w:gridSpan w:val="4"/>
            <w:tcBorders>
              <w:top w:val="single" w:sz="4" w:space="0" w:color="00000A"/>
              <w:left w:val="nil"/>
              <w:bottom w:val="single" w:sz="4" w:space="0" w:color="00000A"/>
              <w:right w:val="single" w:sz="5" w:space="0" w:color="00000A"/>
            </w:tcBorders>
          </w:tcPr>
          <w:p w:rsidR="00E23B86" w:rsidRDefault="00BA7C13">
            <w:pPr>
              <w:spacing w:after="0"/>
              <w:ind w:right="9"/>
              <w:jc w:val="both"/>
            </w:pPr>
            <w:r>
              <w:rPr>
                <w:rFonts w:ascii="Arial" w:eastAsia="Arial" w:hAnsi="Arial" w:cs="Arial"/>
                <w:i/>
              </w:rPr>
              <w:t>Acción F2. Ofertar espacios de formación y encuentro en el municipio dirigido a padres/madres/tutores/as con el fin de dotarles de herramientas y estrategias educativas que promuevan los factores de protección ante el consumo y adicciones.</w:t>
            </w:r>
          </w:p>
        </w:tc>
      </w:tr>
      <w:tr w:rsidR="00E23B86">
        <w:trPr>
          <w:gridBefore w:val="1"/>
          <w:trHeight w:val="1022"/>
        </w:trPr>
        <w:tc>
          <w:tcPr>
            <w:tcW w:w="716"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8891" w:type="dxa"/>
            <w:gridSpan w:val="4"/>
            <w:tcBorders>
              <w:top w:val="single" w:sz="4" w:space="0" w:color="00000A"/>
              <w:left w:val="nil"/>
              <w:bottom w:val="single" w:sz="4" w:space="0" w:color="00000A"/>
              <w:right w:val="single" w:sz="5" w:space="0" w:color="00000A"/>
            </w:tcBorders>
          </w:tcPr>
          <w:p w:rsidR="00E23B86" w:rsidRDefault="00BA7C13">
            <w:pPr>
              <w:spacing w:after="0"/>
              <w:ind w:right="3"/>
              <w:jc w:val="both"/>
            </w:pPr>
            <w:r>
              <w:rPr>
                <w:rFonts w:ascii="Arial" w:eastAsia="Arial" w:hAnsi="Arial" w:cs="Arial"/>
                <w:i/>
              </w:rPr>
              <w:t>Acción F3. Organizar espacios de encuentro e intercambio entre las familias del municipio, mediante la celebración de días internacionales, eventos, actividades comunitarias, con el fin de potenciar las redes de apoyo entre éstas y el intercambio de experi</w:t>
            </w:r>
            <w:r>
              <w:rPr>
                <w:rFonts w:ascii="Arial" w:eastAsia="Arial" w:hAnsi="Arial" w:cs="Arial"/>
                <w:i/>
              </w:rPr>
              <w:t>encias educativas.</w:t>
            </w:r>
          </w:p>
        </w:tc>
      </w:tr>
      <w:tr w:rsidR="00E23B86">
        <w:trPr>
          <w:gridBefore w:val="1"/>
          <w:trHeight w:val="768"/>
        </w:trPr>
        <w:tc>
          <w:tcPr>
            <w:tcW w:w="716"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8891" w:type="dxa"/>
            <w:gridSpan w:val="4"/>
            <w:tcBorders>
              <w:top w:val="single" w:sz="4" w:space="0" w:color="00000A"/>
              <w:left w:val="nil"/>
              <w:bottom w:val="single" w:sz="4" w:space="0" w:color="00000A"/>
              <w:right w:val="single" w:sz="5" w:space="0" w:color="00000A"/>
            </w:tcBorders>
          </w:tcPr>
          <w:p w:rsidR="00E23B86" w:rsidRDefault="00BA7C13">
            <w:pPr>
              <w:spacing w:after="0"/>
              <w:ind w:right="5"/>
              <w:jc w:val="both"/>
            </w:pPr>
            <w:r>
              <w:rPr>
                <w:rFonts w:ascii="Arial" w:eastAsia="Arial" w:hAnsi="Arial" w:cs="Arial"/>
                <w:i/>
              </w:rPr>
              <w:t>Acción F4.  Llevar a cabo formación de los/as agentes sociales de la comunidad que intervienen o se relacionan con las familias del municipio con el fin de que sean agentes de prevención y detección de riesgos.</w:t>
            </w:r>
          </w:p>
        </w:tc>
      </w:tr>
      <w:tr w:rsidR="00E23B86">
        <w:trPr>
          <w:gridBefore w:val="1"/>
          <w:trHeight w:val="770"/>
        </w:trPr>
        <w:tc>
          <w:tcPr>
            <w:tcW w:w="716"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8891" w:type="dxa"/>
            <w:gridSpan w:val="4"/>
            <w:tcBorders>
              <w:top w:val="single" w:sz="4" w:space="0" w:color="00000A"/>
              <w:left w:val="nil"/>
              <w:bottom w:val="single" w:sz="4" w:space="0" w:color="00000A"/>
              <w:right w:val="single" w:sz="5" w:space="0" w:color="00000A"/>
            </w:tcBorders>
          </w:tcPr>
          <w:p w:rsidR="00E23B86" w:rsidRDefault="00BA7C13">
            <w:pPr>
              <w:spacing w:after="0"/>
              <w:ind w:right="5"/>
              <w:jc w:val="both"/>
            </w:pPr>
            <w:r>
              <w:rPr>
                <w:rFonts w:ascii="Arial" w:eastAsia="Arial" w:hAnsi="Arial" w:cs="Arial"/>
                <w:i/>
              </w:rPr>
              <w:t xml:space="preserve">Acción F5. Poner en marcha protocolos o procedimientos de detección e intervención familiar dirigidos a los/as agentes sociales del municipio con el fin de coordinar las acciones. </w:t>
            </w:r>
          </w:p>
        </w:tc>
      </w:tr>
      <w:tr w:rsidR="00E23B86">
        <w:trPr>
          <w:gridBefore w:val="1"/>
          <w:trHeight w:val="1263"/>
        </w:trPr>
        <w:tc>
          <w:tcPr>
            <w:tcW w:w="716"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8891" w:type="dxa"/>
            <w:gridSpan w:val="4"/>
            <w:tcBorders>
              <w:top w:val="single" w:sz="4" w:space="0" w:color="00000A"/>
              <w:left w:val="nil"/>
              <w:bottom w:val="single" w:sz="4" w:space="0" w:color="00000A"/>
              <w:right w:val="single" w:sz="5" w:space="0" w:color="00000A"/>
            </w:tcBorders>
            <w:vAlign w:val="center"/>
          </w:tcPr>
          <w:p w:rsidR="00E23B86" w:rsidRDefault="00BA7C13">
            <w:pPr>
              <w:spacing w:after="0"/>
              <w:ind w:right="2"/>
              <w:jc w:val="both"/>
            </w:pPr>
            <w:r>
              <w:rPr>
                <w:rFonts w:ascii="Arial" w:eastAsia="Arial" w:hAnsi="Arial" w:cs="Arial"/>
                <w:i/>
              </w:rPr>
              <w:t>Acción F6. Ofertar un espacio de encuentro para la información y orientación sobre competencias educativas para promover hábitos saludables en progenitores/as y/o tutores/as, de niños/as del ciclo de infantil (0-4 años) (escuela infantil municipal y escuel</w:t>
            </w:r>
            <w:r>
              <w:rPr>
                <w:rFonts w:ascii="Arial" w:eastAsia="Arial" w:hAnsi="Arial" w:cs="Arial"/>
                <w:i/>
              </w:rPr>
              <w:t xml:space="preserve">as privadas). </w:t>
            </w:r>
          </w:p>
        </w:tc>
      </w:tr>
    </w:tbl>
    <w:p w:rsidR="00E23B86" w:rsidRDefault="00BA7C13">
      <w:pPr>
        <w:spacing w:after="122"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6.1.3. Ámbito Comunitario </w:t>
      </w:r>
    </w:p>
    <w:p w:rsidR="00E23B86" w:rsidRDefault="00BA7C13">
      <w:pPr>
        <w:numPr>
          <w:ilvl w:val="0"/>
          <w:numId w:val="140"/>
        </w:numPr>
        <w:spacing w:after="111" w:line="251" w:lineRule="auto"/>
        <w:ind w:right="1" w:hanging="841"/>
        <w:jc w:val="both"/>
      </w:pPr>
      <w:r>
        <w:rPr>
          <w:rFonts w:ascii="Arial" w:eastAsia="Arial" w:hAnsi="Arial" w:cs="Arial"/>
          <w:i/>
        </w:rPr>
        <w:t>Nos referimos con comunidad, al escenario donde se dan interacciones, oferta y demanda, uso del espacio público, ocio y tiempo libre, etc. Incluye este ámbito a la ciudadanía, la idiosincrasia de cada zona, realizando intervenciones por barrios, a través d</w:t>
      </w:r>
      <w:r>
        <w:rPr>
          <w:rFonts w:ascii="Arial" w:eastAsia="Arial" w:hAnsi="Arial" w:cs="Arial"/>
          <w:i/>
        </w:rPr>
        <w:t>e las asociaciones vecinales, juveniles, jóvenes, adultos/as, niños/as, mediadores/as, líderes/esas comunitarios/as, etc.</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808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8949" name="Group 60894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364" name="Rectangle 5036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0365" name="Rectangle 5036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w:t>
                              </w:r>
                              <w:r>
                                <w:rPr>
                                  <w:rFonts w:ascii="Arial" w:eastAsia="Arial" w:hAnsi="Arial" w:cs="Arial"/>
                                  <w:sz w:val="12"/>
                                </w:rPr>
                                <w:t xml:space="preserve">nte desde la plataforma esPublico Gestiona | Página 313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8949" style="width:12.7031pt;height:280.35pt;position:absolute;mso-position-horizontal-relative:page;mso-position-horizontal:absolute;margin-left:681.958pt;mso-position-vertical-relative:page;margin-top:531.65pt;" coordsize="1613,35604">
                <v:rect id="Rectangle 5036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36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313 de 391 </w:t>
                        </w:r>
                      </w:p>
                    </w:txbxContent>
                  </v:textbox>
                </v:rect>
                <w10:wrap type="square"/>
              </v:group>
            </w:pict>
          </mc:Fallback>
        </mc:AlternateContent>
      </w:r>
      <w:r>
        <w:rPr>
          <w:rFonts w:ascii="Arial" w:eastAsia="Arial" w:hAnsi="Arial" w:cs="Arial"/>
          <w:i/>
        </w:rPr>
        <w:t xml:space="preserve">Las acciones deben apoyarse desde las asociaciones y organizaciones juveniles, profesionales, líderes/esas comunitarios/as (educadores/as de calle, animadores/as socioculturales, monitores/as </w:t>
      </w:r>
      <w:r>
        <w:rPr>
          <w:rFonts w:ascii="Arial" w:eastAsia="Arial" w:hAnsi="Arial" w:cs="Arial"/>
          <w:i/>
        </w:rPr>
        <w:t>deportivos y de tiempo libre, miembros/as de asociaciones juveniles, etc.).</w:t>
      </w:r>
    </w:p>
    <w:p w:rsidR="00E23B86" w:rsidRDefault="00BA7C13">
      <w:pPr>
        <w:numPr>
          <w:ilvl w:val="0"/>
          <w:numId w:val="140"/>
        </w:numPr>
        <w:spacing w:after="111" w:line="251" w:lineRule="auto"/>
        <w:ind w:right="1" w:hanging="841"/>
        <w:jc w:val="both"/>
      </w:pPr>
      <w:r>
        <w:rPr>
          <w:rFonts w:ascii="Arial" w:eastAsia="Arial" w:hAnsi="Arial" w:cs="Arial"/>
          <w:i/>
        </w:rPr>
        <w:t xml:space="preserve">Objetivo general </w:t>
      </w:r>
    </w:p>
    <w:p w:rsidR="00E23B86" w:rsidRDefault="00BA7C13">
      <w:pPr>
        <w:numPr>
          <w:ilvl w:val="0"/>
          <w:numId w:val="140"/>
        </w:numPr>
        <w:spacing w:after="0" w:line="251" w:lineRule="auto"/>
        <w:ind w:right="1" w:hanging="841"/>
        <w:jc w:val="both"/>
      </w:pPr>
      <w:r>
        <w:rPr>
          <w:rFonts w:ascii="Arial" w:eastAsia="Arial" w:hAnsi="Arial" w:cs="Arial"/>
          <w:i/>
        </w:rPr>
        <w:t>Promover la educación para la salud y prevención de las conductas adictivas tanto para la población residente como agentes sociales municipales, velando por una mejora de la prevención y detección precoz del consumo de sustancias y otras adicciones a travé</w:t>
      </w:r>
      <w:r>
        <w:rPr>
          <w:rFonts w:ascii="Arial" w:eastAsia="Arial" w:hAnsi="Arial" w:cs="Arial"/>
          <w:i/>
        </w:rPr>
        <w:t>s de los/as agentes sociales presentes en el territorio.</w:t>
      </w:r>
    </w:p>
    <w:p w:rsidR="00E23B86" w:rsidRDefault="00BA7C13">
      <w:pPr>
        <w:spacing w:after="3" w:line="265" w:lineRule="auto"/>
        <w:ind w:left="102" w:right="13" w:hanging="10"/>
      </w:pPr>
      <w:r>
        <w:rPr>
          <w:rFonts w:ascii="Segoe UI Symbol" w:eastAsia="Segoe UI Symbol" w:hAnsi="Segoe UI Symbol" w:cs="Segoe UI Symbol"/>
          <w:sz w:val="20"/>
        </w:rPr>
        <w:t></w:t>
      </w:r>
    </w:p>
    <w:tbl>
      <w:tblPr>
        <w:tblStyle w:val="TableGrid"/>
        <w:tblW w:w="9624" w:type="dxa"/>
        <w:tblInd w:w="-829" w:type="dxa"/>
        <w:tblCellMar>
          <w:top w:w="29" w:type="dxa"/>
          <w:left w:w="0" w:type="dxa"/>
          <w:bottom w:w="0" w:type="dxa"/>
          <w:right w:w="133" w:type="dxa"/>
        </w:tblCellMar>
        <w:tblLook w:val="04A0" w:firstRow="1" w:lastRow="0" w:firstColumn="1" w:lastColumn="0" w:noHBand="0" w:noVBand="1"/>
      </w:tblPr>
      <w:tblGrid>
        <w:gridCol w:w="723"/>
        <w:gridCol w:w="5841"/>
        <w:gridCol w:w="3060"/>
      </w:tblGrid>
      <w:tr w:rsidR="00E23B86">
        <w:trPr>
          <w:trHeight w:val="454"/>
        </w:trPr>
        <w:tc>
          <w:tcPr>
            <w:tcW w:w="723" w:type="dxa"/>
            <w:tcBorders>
              <w:top w:val="single" w:sz="4" w:space="0" w:color="00000A"/>
              <w:left w:val="single" w:sz="5" w:space="0" w:color="00000A"/>
              <w:bottom w:val="single" w:sz="4" w:space="0" w:color="00000A"/>
              <w:right w:val="nil"/>
            </w:tcBorders>
            <w:shd w:val="clear" w:color="auto" w:fill="BFBFBF"/>
          </w:tcPr>
          <w:p w:rsidR="00E23B86" w:rsidRDefault="00E23B86"/>
        </w:tc>
        <w:tc>
          <w:tcPr>
            <w:tcW w:w="5841" w:type="dxa"/>
            <w:tcBorders>
              <w:top w:val="single" w:sz="4" w:space="0" w:color="00000A"/>
              <w:left w:val="nil"/>
              <w:bottom w:val="single" w:sz="4" w:space="0" w:color="00000A"/>
              <w:right w:val="single" w:sz="4" w:space="0" w:color="00000A"/>
            </w:tcBorders>
            <w:shd w:val="clear" w:color="auto" w:fill="BFBFBF"/>
          </w:tcPr>
          <w:p w:rsidR="00E23B86" w:rsidRDefault="00BA7C13">
            <w:pPr>
              <w:spacing w:after="0"/>
            </w:pPr>
            <w:r>
              <w:rPr>
                <w:rFonts w:ascii="Segoe UI Symbol" w:eastAsia="Segoe UI Symbol" w:hAnsi="Segoe UI Symbol" w:cs="Segoe UI Symbol"/>
                <w:sz w:val="20"/>
              </w:rPr>
              <w:t xml:space="preserve"> </w:t>
            </w:r>
            <w:r>
              <w:rPr>
                <w:rFonts w:ascii="Arial" w:eastAsia="Arial" w:hAnsi="Arial" w:cs="Arial"/>
                <w:i/>
              </w:rPr>
              <w:t>Actuaciones a desarrollar según nivel de prevención</w:t>
            </w:r>
          </w:p>
        </w:tc>
        <w:tc>
          <w:tcPr>
            <w:tcW w:w="3060" w:type="dxa"/>
            <w:tcBorders>
              <w:top w:val="nil"/>
              <w:left w:val="single" w:sz="4" w:space="0" w:color="00000A"/>
              <w:bottom w:val="single" w:sz="4" w:space="0" w:color="00000A"/>
              <w:right w:val="nil"/>
            </w:tcBorders>
          </w:tcPr>
          <w:p w:rsidR="00E23B86" w:rsidRDefault="00BA7C13">
            <w:pPr>
              <w:spacing w:after="0"/>
              <w:ind w:left="361"/>
            </w:pPr>
            <w:r>
              <w:rPr>
                <w:rFonts w:ascii="Segoe UI Symbol" w:eastAsia="Segoe UI Symbol" w:hAnsi="Segoe UI Symbol" w:cs="Segoe UI Symbol"/>
                <w:sz w:val="20"/>
              </w:rPr>
              <w:t></w:t>
            </w:r>
          </w:p>
        </w:tc>
      </w:tr>
      <w:tr w:rsidR="00E23B86">
        <w:trPr>
          <w:trHeight w:val="454"/>
        </w:trPr>
        <w:tc>
          <w:tcPr>
            <w:tcW w:w="723" w:type="dxa"/>
            <w:tcBorders>
              <w:top w:val="single" w:sz="4" w:space="0" w:color="00000A"/>
              <w:left w:val="single" w:sz="5" w:space="0" w:color="00000A"/>
              <w:bottom w:val="single" w:sz="4" w:space="0" w:color="00000A"/>
              <w:right w:val="nil"/>
            </w:tcBorders>
            <w:shd w:val="clear" w:color="auto" w:fill="BFBFBF"/>
          </w:tcPr>
          <w:p w:rsidR="00E23B86" w:rsidRDefault="00E23B86"/>
        </w:tc>
        <w:tc>
          <w:tcPr>
            <w:tcW w:w="8901" w:type="dxa"/>
            <w:gridSpan w:val="2"/>
            <w:tcBorders>
              <w:top w:val="single" w:sz="4" w:space="0" w:color="00000A"/>
              <w:left w:val="nil"/>
              <w:bottom w:val="single" w:sz="4" w:space="0" w:color="00000A"/>
              <w:right w:val="single" w:sz="5" w:space="0" w:color="00000A"/>
            </w:tcBorders>
            <w:shd w:val="clear" w:color="auto" w:fill="BFBFBF"/>
          </w:tcPr>
          <w:p w:rsidR="00E23B86" w:rsidRDefault="00BA7C13">
            <w:pPr>
              <w:spacing w:after="0"/>
              <w:ind w:right="252"/>
              <w:jc w:val="center"/>
            </w:pPr>
            <w:r>
              <w:rPr>
                <w:rFonts w:ascii="Segoe UI Symbol" w:eastAsia="Segoe UI Symbol" w:hAnsi="Segoe UI Symbol" w:cs="Segoe UI Symbol"/>
                <w:sz w:val="20"/>
              </w:rPr>
              <w:t xml:space="preserve"> </w:t>
            </w:r>
            <w:r>
              <w:rPr>
                <w:rFonts w:ascii="Arial" w:eastAsia="Arial" w:hAnsi="Arial" w:cs="Arial"/>
                <w:i/>
              </w:rPr>
              <w:t>Actuación</w:t>
            </w:r>
          </w:p>
        </w:tc>
      </w:tr>
      <w:tr w:rsidR="00E23B86">
        <w:trPr>
          <w:trHeight w:val="1009"/>
        </w:trPr>
        <w:tc>
          <w:tcPr>
            <w:tcW w:w="723" w:type="dxa"/>
            <w:tcBorders>
              <w:top w:val="single" w:sz="4" w:space="0" w:color="00000A"/>
              <w:left w:val="single" w:sz="5" w:space="0" w:color="00000A"/>
              <w:bottom w:val="single" w:sz="4" w:space="0" w:color="00000A"/>
              <w:right w:val="nil"/>
            </w:tcBorders>
          </w:tcPr>
          <w:p w:rsidR="00E23B86" w:rsidRDefault="00BA7C13">
            <w:pPr>
              <w:spacing w:after="0"/>
              <w:ind w:left="439"/>
              <w:jc w:val="center"/>
            </w:pPr>
            <w:r>
              <w:rPr>
                <w:rFonts w:ascii="Segoe UI Symbol" w:eastAsia="Segoe UI Symbol" w:hAnsi="Segoe UI Symbol" w:cs="Segoe UI Symbol"/>
                <w:sz w:val="20"/>
              </w:rPr>
              <w:t></w:t>
            </w:r>
          </w:p>
        </w:tc>
        <w:tc>
          <w:tcPr>
            <w:tcW w:w="8901" w:type="dxa"/>
            <w:gridSpan w:val="2"/>
            <w:tcBorders>
              <w:top w:val="single" w:sz="4" w:space="0" w:color="00000A"/>
              <w:left w:val="nil"/>
              <w:bottom w:val="single" w:sz="4" w:space="0" w:color="00000A"/>
              <w:right w:val="single" w:sz="5" w:space="0" w:color="00000A"/>
            </w:tcBorders>
            <w:vAlign w:val="center"/>
          </w:tcPr>
          <w:p w:rsidR="00E23B86" w:rsidRDefault="00BA7C13">
            <w:pPr>
              <w:spacing w:after="0"/>
              <w:ind w:left="106"/>
              <w:jc w:val="both"/>
            </w:pPr>
            <w:r>
              <w:rPr>
                <w:rFonts w:ascii="Arial" w:eastAsia="Arial" w:hAnsi="Arial" w:cs="Arial"/>
                <w:i/>
              </w:rPr>
              <w:t xml:space="preserve">Acción C1. Poner en marcha programas, proyectos y/o actividades de educación para la salud y prevención de conductas adictivas dirigidas a los/as agentes sociales del municipio.  </w:t>
            </w:r>
          </w:p>
        </w:tc>
      </w:tr>
    </w:tbl>
    <w:tbl>
      <w:tblPr>
        <w:tblStyle w:val="TableGrid"/>
        <w:tblpPr w:vertAnchor="text" w:tblpX="-830"/>
        <w:tblOverlap w:val="never"/>
        <w:tblW w:w="9624" w:type="dxa"/>
        <w:tblInd w:w="0" w:type="dxa"/>
        <w:tblCellMar>
          <w:top w:w="128" w:type="dxa"/>
          <w:left w:w="0" w:type="dxa"/>
          <w:bottom w:w="5" w:type="dxa"/>
          <w:right w:w="130" w:type="dxa"/>
        </w:tblCellMar>
        <w:tblLook w:val="04A0" w:firstRow="1" w:lastRow="0" w:firstColumn="1" w:lastColumn="0" w:noHBand="0" w:noVBand="1"/>
      </w:tblPr>
      <w:tblGrid>
        <w:gridCol w:w="830"/>
        <w:gridCol w:w="8795"/>
      </w:tblGrid>
      <w:tr w:rsidR="00E23B86">
        <w:trPr>
          <w:trHeight w:val="1008"/>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 xml:space="preserve">Acción C2. Ofrecer información y formación a los/as agentes sociales de la comunidad, dando prioridad a quiénes intervienen a través de ocio, cultura, deporte, con menores y adolescentes del municipio y personal propio de la Corporación Local. </w:t>
            </w:r>
          </w:p>
        </w:tc>
      </w:tr>
      <w:tr w:rsidR="00E23B86">
        <w:trPr>
          <w:trHeight w:val="756"/>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C3. Poner en marcha protocolos y procedimientos para la detección precoz y coordinación de las actuaciones con persona en riesgo de consumo o adicciones.</w:t>
            </w:r>
          </w:p>
        </w:tc>
      </w:tr>
      <w:tr w:rsidR="00E23B86">
        <w:trPr>
          <w:trHeight w:val="1262"/>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Acción C4. Llevar a cabo un seguimiento y supervisión de la prevención ambiental municipal (cumplimiento de ordenanzas municipales, publicidad de drogas, tiendas y clubes de consumidores/as de derivados cannábicos, espacios de juegos de apuestas, etc.).</w:t>
            </w:r>
          </w:p>
        </w:tc>
      </w:tr>
      <w:tr w:rsidR="00E23B86">
        <w:trPr>
          <w:trHeight w:val="1008"/>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ind w:right="3"/>
              <w:jc w:val="both"/>
            </w:pPr>
            <w:r>
              <w:rPr>
                <w:rFonts w:ascii="Arial" w:eastAsia="Arial" w:hAnsi="Arial" w:cs="Arial"/>
                <w:i/>
              </w:rPr>
              <w:t>Acción C5. Ofertar o aprovechar los espacios de encuentro de la ciudadanía (espacios de uso compartidos, días de celebración, etc.), para llevar a cabo educación para la salud y prevención de las adicciones.</w:t>
            </w:r>
          </w:p>
        </w:tc>
      </w:tr>
      <w:tr w:rsidR="00E23B86">
        <w:trPr>
          <w:trHeight w:val="1010"/>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 xml:space="preserve">Acción C6. Ofertar al tejido asociativo municipal (jóvenes, mayores,  vecinos/as, etc.) un catálogo de actividades informativas, de sensibilización y de orientación sobre educación para la salud y prevención de adicciones </w:t>
            </w:r>
          </w:p>
        </w:tc>
      </w:tr>
      <w:tr w:rsidR="00E23B86">
        <w:trPr>
          <w:trHeight w:val="1008"/>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ind w:right="2"/>
              <w:jc w:val="both"/>
            </w:pPr>
            <w:r>
              <w:rPr>
                <w:rFonts w:ascii="Arial" w:eastAsia="Arial" w:hAnsi="Arial" w:cs="Arial"/>
                <w:i/>
              </w:rPr>
              <w:t xml:space="preserve">Acción C7. Llevar a cabo campañas de sensibilización sobre hábitos saludables para toda la comunidad y/o específica por sectores sobre hábitos de vida saludable y prevención de adicciones. </w:t>
            </w:r>
          </w:p>
        </w:tc>
      </w:tr>
      <w:tr w:rsidR="00E23B86">
        <w:trPr>
          <w:trHeight w:val="1010"/>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ind w:right="6"/>
              <w:jc w:val="both"/>
            </w:pPr>
            <w:r>
              <w:rPr>
                <w:rFonts w:ascii="Arial" w:eastAsia="Arial" w:hAnsi="Arial" w:cs="Arial"/>
                <w:i/>
              </w:rPr>
              <w:t>Acción C8.  Crear un espacio virtual interactivo (residentes) dentro de la web institucional, centrado en la promoción de hábitos de vida saludable y prevención de adicciones.</w:t>
            </w:r>
          </w:p>
        </w:tc>
      </w:tr>
      <w:tr w:rsidR="00E23B86">
        <w:trPr>
          <w:trHeight w:val="1262"/>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ind w:right="3"/>
              <w:jc w:val="both"/>
            </w:pPr>
            <w:r>
              <w:rPr>
                <w:rFonts w:ascii="Arial" w:eastAsia="Arial" w:hAnsi="Arial" w:cs="Arial"/>
                <w:i/>
              </w:rPr>
              <w:t>Acción C9. Organizar y poner en marcha actividades de prevención de adicciones y promoción de la salud en eventos y fiestas municipales, dirigidas a sensibilizar, informar y hacer seguimiento de la comprobación de la prevención ambiental (menores y venta d</w:t>
            </w:r>
            <w:r>
              <w:rPr>
                <w:rFonts w:ascii="Arial" w:eastAsia="Arial" w:hAnsi="Arial" w:cs="Arial"/>
                <w:i/>
              </w:rPr>
              <w:t xml:space="preserve">e alcohol, menores y eventos, publicidad, ordenanza municipal de fiestas, etc.). </w:t>
            </w:r>
          </w:p>
        </w:tc>
      </w:tr>
      <w:tr w:rsidR="00E23B86">
        <w:trPr>
          <w:trHeight w:val="1008"/>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ind w:right="11"/>
              <w:jc w:val="both"/>
            </w:pPr>
            <w:r>
              <w:rPr>
                <w:rFonts w:ascii="Arial" w:eastAsia="Arial" w:hAnsi="Arial" w:cs="Arial"/>
                <w:i/>
              </w:rPr>
              <w:t>Acción C10. Llevar a cabo acciones en los distintos barrios del municipio educación de calle centrada en la promoción de la participación en la educación para la salud, coordinando las mismas con el tejido asociativo existente.</w:t>
            </w:r>
          </w:p>
        </w:tc>
      </w:tr>
      <w:tr w:rsidR="00E23B86">
        <w:trPr>
          <w:trHeight w:val="1010"/>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ind w:right="3"/>
              <w:jc w:val="both"/>
            </w:pPr>
            <w:r>
              <w:rPr>
                <w:rFonts w:ascii="Arial" w:eastAsia="Arial" w:hAnsi="Arial" w:cs="Arial"/>
                <w:i/>
              </w:rPr>
              <w:t>Acción C11. Editar material de orientación, información y sensibilización, en formato digital y papel, para toda la comunidad o sectores específicos de la población, centrado en hábitos de vida saludable y prevención de adicciones.</w:t>
            </w:r>
          </w:p>
        </w:tc>
      </w:tr>
      <w:tr w:rsidR="00E23B86">
        <w:trPr>
          <w:trHeight w:val="1262"/>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ind w:right="8"/>
              <w:jc w:val="both"/>
            </w:pPr>
            <w:r>
              <w:rPr>
                <w:rFonts w:ascii="Arial" w:eastAsia="Arial" w:hAnsi="Arial" w:cs="Arial"/>
                <w:i/>
              </w:rPr>
              <w:t xml:space="preserve">Acción C12. Llevar a cabo campañas de información, sensibilización y orientación al sector servicios del municipio sobre prevención ambiental (cumplimiento de normativas menores-alcohol-tabaco, evitar mensajes no saludables, eliminar publicidad y reclamos </w:t>
            </w:r>
            <w:r>
              <w:rPr>
                <w:rFonts w:ascii="Arial" w:eastAsia="Arial" w:hAnsi="Arial" w:cs="Arial"/>
                <w:i/>
              </w:rPr>
              <w:t>sexistas, etc.).</w:t>
            </w:r>
          </w:p>
        </w:tc>
      </w:tr>
      <w:tr w:rsidR="00E23B86">
        <w:trPr>
          <w:trHeight w:val="756"/>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center"/>
          </w:tcPr>
          <w:p w:rsidR="00E23B86" w:rsidRDefault="00BA7C13">
            <w:pPr>
              <w:spacing w:after="0"/>
              <w:jc w:val="both"/>
            </w:pPr>
            <w:r>
              <w:rPr>
                <w:rFonts w:ascii="Arial" w:eastAsia="Arial" w:hAnsi="Arial" w:cs="Arial"/>
                <w:i/>
              </w:rPr>
              <w:t xml:space="preserve">Acción C13. Realizar, a través del espacio de radio municipal, programas sobre promoción de la salud y prevención de adicciones. </w:t>
            </w:r>
          </w:p>
        </w:tc>
      </w:tr>
      <w:tr w:rsidR="00E23B86">
        <w:trPr>
          <w:trHeight w:val="889"/>
        </w:trPr>
        <w:tc>
          <w:tcPr>
            <w:tcW w:w="830" w:type="dxa"/>
            <w:tcBorders>
              <w:top w:val="single" w:sz="4" w:space="0" w:color="00000A"/>
              <w:left w:val="single" w:sz="4" w:space="0" w:color="00000A"/>
              <w:bottom w:val="single" w:sz="4" w:space="0" w:color="00000A"/>
              <w:right w:val="nil"/>
            </w:tcBorders>
          </w:tcPr>
          <w:p w:rsidR="00E23B86" w:rsidRDefault="00BA7C13">
            <w:pPr>
              <w:spacing w:after="0"/>
              <w:ind w:left="331"/>
              <w:jc w:val="center"/>
            </w:pPr>
            <w:r>
              <w:rPr>
                <w:rFonts w:ascii="Segoe UI Symbol" w:eastAsia="Segoe UI Symbol" w:hAnsi="Segoe UI Symbol" w:cs="Segoe UI Symbol"/>
                <w:sz w:val="20"/>
              </w:rPr>
              <w:t></w:t>
            </w:r>
          </w:p>
        </w:tc>
        <w:tc>
          <w:tcPr>
            <w:tcW w:w="8795" w:type="dxa"/>
            <w:tcBorders>
              <w:top w:val="single" w:sz="4" w:space="0" w:color="00000A"/>
              <w:left w:val="nil"/>
              <w:bottom w:val="single" w:sz="4" w:space="0" w:color="00000A"/>
              <w:right w:val="single" w:sz="4" w:space="0" w:color="00000A"/>
            </w:tcBorders>
            <w:vAlign w:val="bottom"/>
          </w:tcPr>
          <w:p w:rsidR="00E23B86" w:rsidRDefault="00BA7C13">
            <w:pPr>
              <w:spacing w:after="0"/>
              <w:ind w:right="7"/>
              <w:jc w:val="both"/>
            </w:pPr>
            <w:r>
              <w:rPr>
                <w:rFonts w:ascii="Arial" w:eastAsia="Arial" w:hAnsi="Arial" w:cs="Arial"/>
                <w:i/>
              </w:rPr>
              <w:t>Acción C14. Llevar a cabo acciones específicas de prevención de adicciones y promoción de la salud con personas de edad avanzada (como colectivo de riesgo) por no existir datos suficientes, pero sobre las que sabemos que consumen fármacos</w:t>
            </w:r>
          </w:p>
        </w:tc>
      </w:tr>
    </w:tbl>
    <w:p w:rsidR="00E23B86" w:rsidRDefault="00BA7C13">
      <w:pPr>
        <w:spacing w:after="0"/>
        <w:ind w:left="-3106" w:right="11320"/>
      </w:pPr>
      <w:r>
        <w:rPr>
          <w:noProof/>
        </w:rPr>
        <mc:AlternateContent>
          <mc:Choice Requires="wpg">
            <w:drawing>
              <wp:anchor distT="0" distB="0" distL="114300" distR="114300" simplePos="0" relativeHeight="251981824"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9629" name="Group 60962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470" name="Rectangle 5047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0471" name="Rectangle 5047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314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9629" style="width:12.7031pt;height:280.35pt;position:absolute;mso-position-horizontal-relative:page;mso-position-horizontal:absolute;margin-left:681.958pt;mso-position-vertical-relative:page;margin-top:531.65pt;" coordsize="1613,35604">
                <v:rect id="Rectangle 5047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47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314 de 391 </w:t>
                        </w:r>
                      </w:p>
                    </w:txbxContent>
                  </v:textbox>
                </v:rect>
                <w10:wrap type="topAndBottom"/>
              </v:group>
            </w:pict>
          </mc:Fallback>
        </mc:AlternateContent>
      </w:r>
      <w:r>
        <w:br w:type="page"/>
      </w:r>
    </w:p>
    <w:p w:rsidR="00E23B86" w:rsidRDefault="00BA7C13">
      <w:pPr>
        <w:pBdr>
          <w:top w:val="single" w:sz="4" w:space="0" w:color="00000A"/>
          <w:left w:val="single" w:sz="5" w:space="0" w:color="00000A"/>
          <w:bottom w:val="single" w:sz="4" w:space="0" w:color="00000A"/>
          <w:right w:val="single" w:sz="5" w:space="0" w:color="00000A"/>
        </w:pBdr>
        <w:spacing w:after="111"/>
        <w:ind w:left="-5" w:hanging="10"/>
      </w:pPr>
      <w:r>
        <w:rPr>
          <w:rFonts w:ascii="Arial" w:eastAsia="Arial" w:hAnsi="Arial" w:cs="Arial"/>
          <w:i/>
        </w:rPr>
        <w:t xml:space="preserve">(psicofármacos, entre ellos) de forma más frecuente que el </w:t>
      </w:r>
      <w:r>
        <w:rPr>
          <w:rFonts w:ascii="Arial" w:eastAsia="Arial" w:hAnsi="Arial" w:cs="Arial"/>
          <w:i/>
        </w:rPr>
        <w:t>resto de la población.</w:t>
      </w:r>
    </w:p>
    <w:p w:rsidR="00E23B86" w:rsidRDefault="00BA7C13">
      <w:pPr>
        <w:spacing w:after="242"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232" w:line="251" w:lineRule="auto"/>
        <w:ind w:right="1" w:hanging="841"/>
        <w:jc w:val="both"/>
      </w:pPr>
      <w:r>
        <w:rPr>
          <w:rFonts w:ascii="Arial" w:eastAsia="Arial" w:hAnsi="Arial" w:cs="Arial"/>
          <w:i/>
        </w:rPr>
        <w:t>6.2. ÁREA DE INSERCIÓN SOCIAL</w:t>
      </w:r>
    </w:p>
    <w:p w:rsidR="00E23B86" w:rsidRDefault="00BA7C13">
      <w:pPr>
        <w:numPr>
          <w:ilvl w:val="0"/>
          <w:numId w:val="140"/>
        </w:numPr>
        <w:spacing w:after="111" w:line="251" w:lineRule="auto"/>
        <w:ind w:right="1" w:hanging="841"/>
        <w:jc w:val="both"/>
      </w:pPr>
      <w:r>
        <w:rPr>
          <w:rFonts w:ascii="Arial" w:eastAsia="Arial" w:hAnsi="Arial" w:cs="Arial"/>
          <w:i/>
        </w:rPr>
        <w:t>La Corporación Local, tiene dentro de sus competencias (Ley 9/1998, de 22 de julio, sobre prevención, asistencia, e inserción social en materia de drogodependencias de la Comunidad Canaria), apoyar en los procesos de incorporación social.</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82848"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606634" name="Group 60663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565" name="Rectangle 5056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w:t>
                              </w:r>
                              <w:r>
                                <w:rPr>
                                  <w:rFonts w:ascii="Arial" w:eastAsia="Arial" w:hAnsi="Arial" w:cs="Arial"/>
                                  <w:sz w:val="12"/>
                                </w:rPr>
                                <w:t xml:space="preserve">n: 5AJ7C4GAAK3P9GMGZC2N3FZWC | Verificación: https://candelaria.sedelectronica.es/ </w:t>
                              </w:r>
                            </w:p>
                          </w:txbxContent>
                        </wps:txbx>
                        <wps:bodyPr horzOverflow="overflow" vert="horz" lIns="0" tIns="0" rIns="0" bIns="0" rtlCol="0">
                          <a:noAutofit/>
                        </wps:bodyPr>
                      </wps:wsp>
                      <wps:wsp>
                        <wps:cNvPr id="50566" name="Rectangle 5056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315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6634" style="width:12.7031pt;height:280.35pt;position:absolute;mso-position-horizontal-relative:page;mso-position-horizontal:absolute;margin-left:681.958pt;mso-position-vertical-relative:page;margin-top:531.65pt;" coordsize="1613,35604">
                <v:rect id="Rectangle 5056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56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315 de 391 </w:t>
                        </w:r>
                      </w:p>
                    </w:txbxContent>
                  </v:textbox>
                </v:rect>
                <w10:wrap type="topAndBottom"/>
              </v:group>
            </w:pict>
          </mc:Fallback>
        </mc:AlternateContent>
      </w:r>
      <w:r>
        <w:rPr>
          <w:rFonts w:ascii="Arial" w:eastAsia="Arial" w:hAnsi="Arial" w:cs="Arial"/>
          <w:i/>
        </w:rPr>
        <w:t>Así mismo, la Ley 16/2019 de 2 de mayo de Servicios Sociales de Canarias, e</w:t>
      </w:r>
      <w:r>
        <w:rPr>
          <w:rFonts w:ascii="Arial" w:eastAsia="Arial" w:hAnsi="Arial" w:cs="Arial"/>
          <w:i/>
        </w:rPr>
        <w:t>n su artículo 4 apartado 5, indica que los Servicios Sociales se dirigen especialmente a prevenir y a compensar el déficit de apoyo social y económico en situaciones de riesgo y exclusión social, promoviendo actitudes y capacidades que faciliten la inclusi</w:t>
      </w:r>
      <w:r>
        <w:rPr>
          <w:rFonts w:ascii="Arial" w:eastAsia="Arial" w:hAnsi="Arial" w:cs="Arial"/>
          <w:i/>
        </w:rPr>
        <w:t>ón de las personas, desde una perspectiva integral y participada. En el apartado 7, se define que los Servicios Sociales coordinarán con todos los sistemas que inciden en la calidad de vida, como los de salud, igualdad de género, prevención y protección de</w:t>
      </w:r>
      <w:r>
        <w:rPr>
          <w:rFonts w:ascii="Arial" w:eastAsia="Arial" w:hAnsi="Arial" w:cs="Arial"/>
          <w:i/>
        </w:rPr>
        <w:t xml:space="preserve"> las mujeres contra la violencia de género, educativos, culturales, de empleo, de vivienda, urbanísticos, judiciales, entre otros.</w:t>
      </w:r>
    </w:p>
    <w:p w:rsidR="00E23B86" w:rsidRDefault="00BA7C13">
      <w:pPr>
        <w:numPr>
          <w:ilvl w:val="0"/>
          <w:numId w:val="140"/>
        </w:numPr>
        <w:spacing w:after="111" w:line="251" w:lineRule="auto"/>
        <w:ind w:right="1" w:hanging="841"/>
        <w:jc w:val="both"/>
      </w:pPr>
      <w:r>
        <w:rPr>
          <w:rFonts w:ascii="Arial" w:eastAsia="Arial" w:hAnsi="Arial" w:cs="Arial"/>
          <w:i/>
        </w:rPr>
        <w:t>También en el apoyo a la inserción, se debe tener en cuenta la Estrategia Canaria de Inclusión Social 2019-2021, que en su ej</w:t>
      </w:r>
      <w:r>
        <w:rPr>
          <w:rFonts w:ascii="Arial" w:eastAsia="Arial" w:hAnsi="Arial" w:cs="Arial"/>
          <w:i/>
        </w:rPr>
        <w:t>e I (Inclusión Social Activa) desarrolla una serie de objetivos y actuaciones, destinadas a la inserción laboral y el acceso a servicios básicos.</w:t>
      </w:r>
    </w:p>
    <w:p w:rsidR="00E23B86" w:rsidRDefault="00BA7C13">
      <w:pPr>
        <w:spacing w:after="84" w:line="265" w:lineRule="auto"/>
        <w:ind w:left="102"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Objetivo general </w:t>
      </w:r>
    </w:p>
    <w:p w:rsidR="00E23B86" w:rsidRDefault="00BA7C13">
      <w:pPr>
        <w:numPr>
          <w:ilvl w:val="0"/>
          <w:numId w:val="140"/>
        </w:numPr>
        <w:spacing w:after="0" w:line="251" w:lineRule="auto"/>
        <w:ind w:right="1" w:hanging="841"/>
        <w:jc w:val="both"/>
      </w:pPr>
      <w:r>
        <w:rPr>
          <w:rFonts w:ascii="Arial" w:eastAsia="Arial" w:hAnsi="Arial" w:cs="Arial"/>
          <w:i/>
        </w:rPr>
        <w:t>Potenciar la colaboración y participación de los recursos y agentes sociales municipales e</w:t>
      </w:r>
      <w:r>
        <w:rPr>
          <w:rFonts w:ascii="Arial" w:eastAsia="Arial" w:hAnsi="Arial" w:cs="Arial"/>
          <w:i/>
        </w:rPr>
        <w:t>n el apoyo a la población consumidora y su entorno familiar, facilitando la implantación de medidas formativas, laborales y sociales que favorezcan su proceso de incorporación social y laboral para una adecuada integración social.</w:t>
      </w:r>
    </w:p>
    <w:p w:rsidR="00E23B86" w:rsidRDefault="00BA7C13">
      <w:pPr>
        <w:spacing w:after="3" w:line="265" w:lineRule="auto"/>
        <w:ind w:left="102" w:right="13" w:hanging="10"/>
      </w:pPr>
      <w:r>
        <w:rPr>
          <w:rFonts w:ascii="Segoe UI Symbol" w:eastAsia="Segoe UI Symbol" w:hAnsi="Segoe UI Symbol" w:cs="Segoe UI Symbol"/>
          <w:sz w:val="20"/>
        </w:rPr>
        <w:t></w:t>
      </w:r>
    </w:p>
    <w:tbl>
      <w:tblPr>
        <w:tblStyle w:val="TableGrid"/>
        <w:tblW w:w="9624" w:type="dxa"/>
        <w:tblInd w:w="-830" w:type="dxa"/>
        <w:tblCellMar>
          <w:top w:w="11" w:type="dxa"/>
          <w:left w:w="0" w:type="dxa"/>
          <w:bottom w:w="0" w:type="dxa"/>
          <w:right w:w="133" w:type="dxa"/>
        </w:tblCellMar>
        <w:tblLook w:val="04A0" w:firstRow="1" w:lastRow="0" w:firstColumn="1" w:lastColumn="0" w:noHBand="0" w:noVBand="1"/>
      </w:tblPr>
      <w:tblGrid>
        <w:gridCol w:w="724"/>
        <w:gridCol w:w="5841"/>
        <w:gridCol w:w="3060"/>
      </w:tblGrid>
      <w:tr w:rsidR="00E23B86">
        <w:trPr>
          <w:trHeight w:val="454"/>
        </w:trPr>
        <w:tc>
          <w:tcPr>
            <w:tcW w:w="724" w:type="dxa"/>
            <w:tcBorders>
              <w:top w:val="single" w:sz="4" w:space="0" w:color="00000A"/>
              <w:left w:val="single" w:sz="4" w:space="0" w:color="00000A"/>
              <w:bottom w:val="single" w:sz="4" w:space="0" w:color="00000A"/>
              <w:right w:val="nil"/>
            </w:tcBorders>
            <w:shd w:val="clear" w:color="auto" w:fill="BFBFBF"/>
          </w:tcPr>
          <w:p w:rsidR="00E23B86" w:rsidRDefault="00E23B86"/>
        </w:tc>
        <w:tc>
          <w:tcPr>
            <w:tcW w:w="5841" w:type="dxa"/>
            <w:tcBorders>
              <w:top w:val="single" w:sz="4" w:space="0" w:color="00000A"/>
              <w:left w:val="nil"/>
              <w:bottom w:val="single" w:sz="4" w:space="0" w:color="00000A"/>
              <w:right w:val="single" w:sz="5" w:space="0" w:color="00000A"/>
            </w:tcBorders>
            <w:shd w:val="clear" w:color="auto" w:fill="BFBFBF"/>
          </w:tcPr>
          <w:p w:rsidR="00E23B86" w:rsidRDefault="00BA7C13">
            <w:pPr>
              <w:spacing w:after="0"/>
            </w:pPr>
            <w:r>
              <w:rPr>
                <w:rFonts w:ascii="Segoe UI Symbol" w:eastAsia="Segoe UI Symbol" w:hAnsi="Segoe UI Symbol" w:cs="Segoe UI Symbol"/>
                <w:sz w:val="20"/>
              </w:rPr>
              <w:t xml:space="preserve"> </w:t>
            </w:r>
            <w:r>
              <w:rPr>
                <w:rFonts w:ascii="Arial" w:eastAsia="Arial" w:hAnsi="Arial" w:cs="Arial"/>
                <w:i/>
              </w:rPr>
              <w:t>Actuaciones a desarrollar según nivel de prevención</w:t>
            </w:r>
          </w:p>
        </w:tc>
        <w:tc>
          <w:tcPr>
            <w:tcW w:w="3060" w:type="dxa"/>
            <w:tcBorders>
              <w:top w:val="nil"/>
              <w:left w:val="single" w:sz="5" w:space="0" w:color="00000A"/>
              <w:bottom w:val="single" w:sz="4" w:space="0" w:color="00000A"/>
              <w:right w:val="nil"/>
            </w:tcBorders>
          </w:tcPr>
          <w:p w:rsidR="00E23B86" w:rsidRDefault="00BA7C13">
            <w:pPr>
              <w:spacing w:after="0"/>
              <w:ind w:left="361"/>
            </w:pPr>
            <w:r>
              <w:rPr>
                <w:rFonts w:ascii="Segoe UI Symbol" w:eastAsia="Segoe UI Symbol" w:hAnsi="Segoe UI Symbol" w:cs="Segoe UI Symbol"/>
                <w:sz w:val="20"/>
              </w:rPr>
              <w:t></w:t>
            </w:r>
          </w:p>
        </w:tc>
      </w:tr>
      <w:tr w:rsidR="00E23B86">
        <w:trPr>
          <w:trHeight w:val="454"/>
        </w:trPr>
        <w:tc>
          <w:tcPr>
            <w:tcW w:w="724" w:type="dxa"/>
            <w:tcBorders>
              <w:top w:val="single" w:sz="4" w:space="0" w:color="00000A"/>
              <w:left w:val="single" w:sz="4" w:space="0" w:color="00000A"/>
              <w:bottom w:val="single" w:sz="4" w:space="0" w:color="00000A"/>
              <w:right w:val="nil"/>
            </w:tcBorders>
            <w:shd w:val="clear" w:color="auto" w:fill="BFBFBF"/>
          </w:tcPr>
          <w:p w:rsidR="00E23B86" w:rsidRDefault="00E23B86"/>
        </w:tc>
        <w:tc>
          <w:tcPr>
            <w:tcW w:w="8901" w:type="dxa"/>
            <w:gridSpan w:val="2"/>
            <w:tcBorders>
              <w:top w:val="single" w:sz="4" w:space="0" w:color="00000A"/>
              <w:left w:val="nil"/>
              <w:bottom w:val="single" w:sz="4" w:space="0" w:color="00000A"/>
              <w:right w:val="single" w:sz="4" w:space="0" w:color="00000A"/>
            </w:tcBorders>
            <w:shd w:val="clear" w:color="auto" w:fill="BFBFBF"/>
          </w:tcPr>
          <w:p w:rsidR="00E23B86" w:rsidRDefault="00BA7C13">
            <w:pPr>
              <w:spacing w:after="0"/>
              <w:ind w:right="251"/>
              <w:jc w:val="center"/>
            </w:pPr>
            <w:r>
              <w:rPr>
                <w:rFonts w:ascii="Segoe UI Symbol" w:eastAsia="Segoe UI Symbol" w:hAnsi="Segoe UI Symbol" w:cs="Segoe UI Symbol"/>
                <w:sz w:val="20"/>
              </w:rPr>
              <w:t xml:space="preserve"> </w:t>
            </w:r>
            <w:r>
              <w:rPr>
                <w:rFonts w:ascii="Arial" w:eastAsia="Arial" w:hAnsi="Arial" w:cs="Arial"/>
                <w:i/>
              </w:rPr>
              <w:t>Actuación</w:t>
            </w:r>
          </w:p>
        </w:tc>
      </w:tr>
      <w:tr w:rsidR="00E23B86">
        <w:trPr>
          <w:trHeight w:val="1142"/>
        </w:trPr>
        <w:tc>
          <w:tcPr>
            <w:tcW w:w="724" w:type="dxa"/>
            <w:tcBorders>
              <w:top w:val="single" w:sz="4" w:space="0" w:color="00000A"/>
              <w:left w:val="single" w:sz="4" w:space="0" w:color="00000A"/>
              <w:bottom w:val="single" w:sz="4" w:space="0" w:color="00000A"/>
              <w:right w:val="nil"/>
            </w:tcBorders>
          </w:tcPr>
          <w:p w:rsidR="00E23B86" w:rsidRDefault="00BA7C13">
            <w:pPr>
              <w:spacing w:after="0"/>
              <w:ind w:left="440"/>
              <w:jc w:val="center"/>
            </w:pPr>
            <w:r>
              <w:rPr>
                <w:rFonts w:ascii="Segoe UI Symbol" w:eastAsia="Segoe UI Symbol" w:hAnsi="Segoe UI Symbol" w:cs="Segoe UI Symbol"/>
                <w:sz w:val="20"/>
              </w:rPr>
              <w:t></w:t>
            </w:r>
          </w:p>
        </w:tc>
        <w:tc>
          <w:tcPr>
            <w:tcW w:w="8901" w:type="dxa"/>
            <w:gridSpan w:val="2"/>
            <w:tcBorders>
              <w:top w:val="single" w:sz="4" w:space="0" w:color="00000A"/>
              <w:left w:val="nil"/>
              <w:bottom w:val="single" w:sz="4" w:space="0" w:color="00000A"/>
              <w:right w:val="single" w:sz="4" w:space="0" w:color="00000A"/>
            </w:tcBorders>
          </w:tcPr>
          <w:p w:rsidR="00E23B86" w:rsidRDefault="00BA7C13">
            <w:pPr>
              <w:spacing w:after="0"/>
              <w:ind w:left="106" w:right="1"/>
              <w:jc w:val="both"/>
            </w:pPr>
            <w:r>
              <w:rPr>
                <w:rFonts w:ascii="Arial" w:eastAsia="Arial" w:hAnsi="Arial" w:cs="Arial"/>
                <w:i/>
              </w:rPr>
              <w:t>Acción ISL1. Ofertar un espacio para la atención individualizada a las familias con algún miembro/a con problemas de consumo (mayor o menor de edad), en su proceso de recuperación e integración social y que estén en tratamiento en la red de atención de adi</w:t>
            </w:r>
            <w:r>
              <w:rPr>
                <w:rFonts w:ascii="Arial" w:eastAsia="Arial" w:hAnsi="Arial" w:cs="Arial"/>
                <w:i/>
              </w:rPr>
              <w:t xml:space="preserve">cciones. </w:t>
            </w:r>
          </w:p>
        </w:tc>
      </w:tr>
      <w:tr w:rsidR="00E23B86">
        <w:trPr>
          <w:trHeight w:val="890"/>
        </w:trPr>
        <w:tc>
          <w:tcPr>
            <w:tcW w:w="724" w:type="dxa"/>
            <w:tcBorders>
              <w:top w:val="single" w:sz="4" w:space="0" w:color="00000A"/>
              <w:left w:val="single" w:sz="4" w:space="0" w:color="00000A"/>
              <w:bottom w:val="single" w:sz="4" w:space="0" w:color="00000A"/>
              <w:right w:val="nil"/>
            </w:tcBorders>
          </w:tcPr>
          <w:p w:rsidR="00E23B86" w:rsidRDefault="00BA7C13">
            <w:pPr>
              <w:spacing w:after="0"/>
              <w:ind w:left="440"/>
              <w:jc w:val="center"/>
            </w:pPr>
            <w:r>
              <w:rPr>
                <w:rFonts w:ascii="Segoe UI Symbol" w:eastAsia="Segoe UI Symbol" w:hAnsi="Segoe UI Symbol" w:cs="Segoe UI Symbol"/>
                <w:sz w:val="20"/>
              </w:rPr>
              <w:t></w:t>
            </w:r>
          </w:p>
        </w:tc>
        <w:tc>
          <w:tcPr>
            <w:tcW w:w="8901" w:type="dxa"/>
            <w:gridSpan w:val="2"/>
            <w:tcBorders>
              <w:top w:val="single" w:sz="4" w:space="0" w:color="00000A"/>
              <w:left w:val="nil"/>
              <w:bottom w:val="single" w:sz="4" w:space="0" w:color="00000A"/>
              <w:right w:val="single" w:sz="4" w:space="0" w:color="00000A"/>
            </w:tcBorders>
          </w:tcPr>
          <w:p w:rsidR="00E23B86" w:rsidRDefault="00BA7C13">
            <w:pPr>
              <w:spacing w:after="0"/>
              <w:ind w:left="106" w:right="1"/>
              <w:jc w:val="both"/>
            </w:pPr>
            <w:r>
              <w:rPr>
                <w:rFonts w:ascii="Arial" w:eastAsia="Arial" w:hAnsi="Arial" w:cs="Arial"/>
                <w:i/>
              </w:rPr>
              <w:t xml:space="preserve">Acción ISL2. Diseñar itinerarios de inserción laboral personalizados para las personas y familias en coordinación con los/as agentes sociales y Servicios Sociales y recursos de la comunidad. </w:t>
            </w:r>
          </w:p>
        </w:tc>
      </w:tr>
      <w:tr w:rsidR="00E23B86">
        <w:trPr>
          <w:trHeight w:val="888"/>
        </w:trPr>
        <w:tc>
          <w:tcPr>
            <w:tcW w:w="724" w:type="dxa"/>
            <w:tcBorders>
              <w:top w:val="single" w:sz="4" w:space="0" w:color="00000A"/>
              <w:left w:val="single" w:sz="4" w:space="0" w:color="00000A"/>
              <w:bottom w:val="single" w:sz="4" w:space="0" w:color="00000A"/>
              <w:right w:val="nil"/>
            </w:tcBorders>
          </w:tcPr>
          <w:p w:rsidR="00E23B86" w:rsidRDefault="00BA7C13">
            <w:pPr>
              <w:spacing w:after="0"/>
              <w:ind w:left="440"/>
              <w:jc w:val="center"/>
            </w:pPr>
            <w:r>
              <w:rPr>
                <w:rFonts w:ascii="Segoe UI Symbol" w:eastAsia="Segoe UI Symbol" w:hAnsi="Segoe UI Symbol" w:cs="Segoe UI Symbol"/>
                <w:sz w:val="20"/>
              </w:rPr>
              <w:t></w:t>
            </w:r>
          </w:p>
        </w:tc>
        <w:tc>
          <w:tcPr>
            <w:tcW w:w="8901" w:type="dxa"/>
            <w:gridSpan w:val="2"/>
            <w:tcBorders>
              <w:top w:val="single" w:sz="4" w:space="0" w:color="00000A"/>
              <w:left w:val="nil"/>
              <w:bottom w:val="single" w:sz="4" w:space="0" w:color="00000A"/>
              <w:right w:val="single" w:sz="4" w:space="0" w:color="00000A"/>
            </w:tcBorders>
          </w:tcPr>
          <w:p w:rsidR="00E23B86" w:rsidRDefault="00BA7C13">
            <w:pPr>
              <w:spacing w:after="0"/>
              <w:ind w:left="106"/>
              <w:jc w:val="both"/>
            </w:pPr>
            <w:r>
              <w:rPr>
                <w:rFonts w:ascii="Arial" w:eastAsia="Arial" w:hAnsi="Arial" w:cs="Arial"/>
                <w:i/>
              </w:rPr>
              <w:t xml:space="preserve">Acción ISL3. Ofertar, desde los Servicios Sociales, el apoyo social y los recursos, prestaciones y otras ayudas técnicas a las personas y familias que precisan apoyo en su proceso de recuperación e inserción social. </w:t>
            </w:r>
          </w:p>
        </w:tc>
      </w:tr>
      <w:tr w:rsidR="00E23B86">
        <w:trPr>
          <w:trHeight w:val="517"/>
        </w:trPr>
        <w:tc>
          <w:tcPr>
            <w:tcW w:w="724" w:type="dxa"/>
            <w:tcBorders>
              <w:top w:val="single" w:sz="4" w:space="0" w:color="00000A"/>
              <w:left w:val="single" w:sz="4" w:space="0" w:color="00000A"/>
              <w:bottom w:val="single" w:sz="4" w:space="0" w:color="00000A"/>
              <w:right w:val="nil"/>
            </w:tcBorders>
          </w:tcPr>
          <w:p w:rsidR="00E23B86" w:rsidRDefault="00BA7C13">
            <w:pPr>
              <w:spacing w:after="0"/>
              <w:ind w:left="440"/>
              <w:jc w:val="center"/>
            </w:pPr>
            <w:r>
              <w:rPr>
                <w:rFonts w:ascii="Segoe UI Symbol" w:eastAsia="Segoe UI Symbol" w:hAnsi="Segoe UI Symbol" w:cs="Segoe UI Symbol"/>
                <w:sz w:val="20"/>
              </w:rPr>
              <w:t></w:t>
            </w:r>
          </w:p>
        </w:tc>
        <w:tc>
          <w:tcPr>
            <w:tcW w:w="8901" w:type="dxa"/>
            <w:gridSpan w:val="2"/>
            <w:tcBorders>
              <w:top w:val="single" w:sz="4" w:space="0" w:color="00000A"/>
              <w:left w:val="nil"/>
              <w:bottom w:val="single" w:sz="4" w:space="0" w:color="00000A"/>
              <w:right w:val="single" w:sz="4" w:space="0" w:color="00000A"/>
            </w:tcBorders>
          </w:tcPr>
          <w:p w:rsidR="00E23B86" w:rsidRDefault="00BA7C13">
            <w:pPr>
              <w:spacing w:after="0"/>
              <w:ind w:left="106"/>
              <w:jc w:val="both"/>
            </w:pPr>
            <w:r>
              <w:rPr>
                <w:rFonts w:ascii="Arial" w:eastAsia="Arial" w:hAnsi="Arial" w:cs="Arial"/>
                <w:i/>
              </w:rPr>
              <w:t xml:space="preserve">Acción ISL4. Ofertar a las personas </w:t>
            </w:r>
            <w:r>
              <w:rPr>
                <w:rFonts w:ascii="Arial" w:eastAsia="Arial" w:hAnsi="Arial" w:cs="Arial"/>
                <w:i/>
              </w:rPr>
              <w:t>con problemas de consumo y sus familias, los recursos de ocio, culturales, deportivos, etc., como parte del apoyo en su proceso de</w:t>
            </w:r>
          </w:p>
        </w:tc>
      </w:tr>
    </w:tbl>
    <w:p w:rsidR="00E23B86" w:rsidRDefault="00BA7C13">
      <w:pPr>
        <w:pBdr>
          <w:top w:val="single" w:sz="4" w:space="0" w:color="00000A"/>
          <w:left w:val="single" w:sz="5" w:space="0" w:color="00000A"/>
          <w:bottom w:val="single" w:sz="4" w:space="0" w:color="00000A"/>
          <w:right w:val="single" w:sz="5" w:space="0" w:color="00000A"/>
        </w:pBdr>
        <w:spacing w:after="111"/>
        <w:ind w:left="-5" w:hanging="10"/>
      </w:pPr>
      <w:r>
        <w:rPr>
          <w:rFonts w:ascii="Arial" w:eastAsia="Arial" w:hAnsi="Arial" w:cs="Arial"/>
          <w:i/>
        </w:rPr>
        <w:t xml:space="preserve">inserción. </w:t>
      </w:r>
    </w:p>
    <w:p w:rsidR="00E23B86" w:rsidRDefault="00BA7C13">
      <w:pPr>
        <w:spacing w:after="80" w:line="265" w:lineRule="auto"/>
        <w:ind w:left="102" w:right="13" w:hanging="10"/>
      </w:pPr>
      <w:r>
        <w:rPr>
          <w:rFonts w:ascii="Segoe UI Symbol" w:eastAsia="Segoe UI Symbol" w:hAnsi="Segoe UI Symbol" w:cs="Segoe UI Symbol"/>
          <w:sz w:val="20"/>
        </w:rPr>
        <w:t></w:t>
      </w:r>
    </w:p>
    <w:p w:rsidR="00E23B86" w:rsidRDefault="00BA7C13">
      <w:pPr>
        <w:spacing w:after="245" w:line="265" w:lineRule="auto"/>
        <w:ind w:left="102" w:right="13" w:hanging="10"/>
      </w:pPr>
      <w:r>
        <w:rPr>
          <w:rFonts w:ascii="Segoe UI Symbol" w:eastAsia="Segoe UI Symbol" w:hAnsi="Segoe UI Symbol" w:cs="Segoe UI Symbol"/>
          <w:sz w:val="20"/>
        </w:rPr>
        <w:t></w:t>
      </w:r>
      <w:r>
        <w:rPr>
          <w:rFonts w:ascii="Arial" w:eastAsia="Arial" w:hAnsi="Arial" w:cs="Arial"/>
          <w:i/>
        </w:rPr>
        <w:t xml:space="preserve"> </w:t>
      </w:r>
    </w:p>
    <w:p w:rsidR="00E23B86" w:rsidRDefault="00BA7C13">
      <w:pPr>
        <w:spacing w:after="269" w:line="251" w:lineRule="auto"/>
        <w:ind w:left="822" w:right="573" w:hanging="10"/>
        <w:jc w:val="both"/>
      </w:pPr>
      <w:r>
        <w:rPr>
          <w:rFonts w:ascii="Courier New" w:eastAsia="Courier New" w:hAnsi="Courier New" w:cs="Courier New"/>
          <w:sz w:val="20"/>
        </w:rPr>
        <w:t xml:space="preserve">o </w:t>
      </w:r>
      <w:r>
        <w:rPr>
          <w:rFonts w:ascii="Arial" w:eastAsia="Arial" w:hAnsi="Arial" w:cs="Arial"/>
          <w:i/>
        </w:rPr>
        <w:t xml:space="preserve">REA DE SOPORTE Y APOYO </w:t>
      </w:r>
    </w:p>
    <w:p w:rsidR="00E23B86" w:rsidRDefault="00BA7C13">
      <w:pPr>
        <w:numPr>
          <w:ilvl w:val="0"/>
          <w:numId w:val="140"/>
        </w:numPr>
        <w:spacing w:after="111" w:line="251" w:lineRule="auto"/>
        <w:ind w:right="1" w:hanging="841"/>
        <w:jc w:val="both"/>
      </w:pPr>
      <w:r>
        <w:rPr>
          <w:rFonts w:ascii="Arial" w:eastAsia="Arial" w:hAnsi="Arial" w:cs="Arial"/>
          <w:i/>
        </w:rPr>
        <w:t xml:space="preserve">El área de soporte y apoyo es clave en los procesos de gestión y las acciones van encaminadas a facilitar la implementación y ejecución del IV Plan Municipal. </w:t>
      </w:r>
    </w:p>
    <w:p w:rsidR="00E23B86" w:rsidRDefault="00BA7C13">
      <w:pPr>
        <w:numPr>
          <w:ilvl w:val="0"/>
          <w:numId w:val="140"/>
        </w:numPr>
        <w:spacing w:after="111" w:line="251" w:lineRule="auto"/>
        <w:ind w:right="1" w:hanging="841"/>
        <w:jc w:val="both"/>
      </w:pPr>
      <w:r>
        <w:rPr>
          <w:rFonts w:ascii="Arial" w:eastAsia="Arial" w:hAnsi="Arial" w:cs="Arial"/>
          <w:i/>
        </w:rPr>
        <w:t>Objetivo general</w:t>
      </w:r>
    </w:p>
    <w:p w:rsidR="00E23B86" w:rsidRDefault="00BA7C13">
      <w:pPr>
        <w:numPr>
          <w:ilvl w:val="0"/>
          <w:numId w:val="140"/>
        </w:numPr>
        <w:spacing w:after="111" w:line="251" w:lineRule="auto"/>
        <w:ind w:right="1" w:hanging="841"/>
        <w:jc w:val="both"/>
      </w:pPr>
      <w:r>
        <w:rPr>
          <w:rFonts w:ascii="Arial" w:eastAsia="Arial" w:hAnsi="Arial" w:cs="Arial"/>
          <w:i/>
        </w:rPr>
        <w:t>Desarrollar y ejecutar por parte del equipo del IV Plan, los procesos básicos d</w:t>
      </w:r>
      <w:r>
        <w:rPr>
          <w:rFonts w:ascii="Arial" w:eastAsia="Arial" w:hAnsi="Arial" w:cs="Arial"/>
          <w:i/>
        </w:rPr>
        <w:t xml:space="preserve">e gestión (investigación, evaluación, planificación e interlocución (coordinación) interna y externa), los procesos de gestión de recursos (recursos humanos, materiales, económicos y metodológicos necesarios), y los procesos avanzados de gestión (calidad, </w:t>
      </w:r>
      <w:r>
        <w:rPr>
          <w:rFonts w:ascii="Arial" w:eastAsia="Arial" w:hAnsi="Arial" w:cs="Arial"/>
          <w:i/>
        </w:rPr>
        <w:t xml:space="preserve">marketing social, participación, etc.,). </w:t>
      </w:r>
    </w:p>
    <w:p w:rsidR="00E23B86" w:rsidRDefault="00BA7C13">
      <w:pPr>
        <w:spacing w:after="3" w:line="265" w:lineRule="auto"/>
        <w:ind w:left="102" w:right="13" w:hanging="10"/>
      </w:pPr>
      <w:r>
        <w:rPr>
          <w:noProof/>
        </w:rPr>
        <mc:AlternateContent>
          <mc:Choice Requires="wpg">
            <w:drawing>
              <wp:anchor distT="0" distB="0" distL="114300" distR="114300" simplePos="0" relativeHeight="2519838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6191" name="Group 60619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666" name="Rectangle 5066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0667" name="Rectangle 5066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316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6191" style="width:12.7031pt;height:280.35pt;position:absolute;mso-position-horizontal-relative:page;mso-position-horizontal:absolute;margin-left:681.958pt;mso-position-vertical-relative:page;margin-top:531.65pt;" coordsize="1613,35604">
                <v:rect id="Rectangle 5066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66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316 de 391 </w:t>
                        </w:r>
                      </w:p>
                    </w:txbxContent>
                  </v:textbox>
                </v:rect>
                <w10:wrap type="square"/>
              </v:group>
            </w:pict>
          </mc:Fallback>
        </mc:AlternateContent>
      </w:r>
      <w:r>
        <w:rPr>
          <w:rFonts w:ascii="Segoe UI Symbol" w:eastAsia="Segoe UI Symbol" w:hAnsi="Segoe UI Symbol" w:cs="Segoe UI Symbol"/>
          <w:sz w:val="20"/>
        </w:rPr>
        <w:t></w:t>
      </w:r>
    </w:p>
    <w:tbl>
      <w:tblPr>
        <w:tblStyle w:val="TableGrid"/>
        <w:tblW w:w="8611" w:type="dxa"/>
        <w:tblInd w:w="-323" w:type="dxa"/>
        <w:tblCellMar>
          <w:top w:w="11" w:type="dxa"/>
          <w:left w:w="54" w:type="dxa"/>
          <w:bottom w:w="0" w:type="dxa"/>
          <w:right w:w="131" w:type="dxa"/>
        </w:tblCellMar>
        <w:tblLook w:val="04A0" w:firstRow="1" w:lastRow="0" w:firstColumn="1" w:lastColumn="0" w:noHBand="0" w:noVBand="1"/>
      </w:tblPr>
      <w:tblGrid>
        <w:gridCol w:w="775"/>
        <w:gridCol w:w="7836"/>
      </w:tblGrid>
      <w:tr w:rsidR="00E23B86">
        <w:trPr>
          <w:trHeight w:val="384"/>
        </w:trPr>
        <w:tc>
          <w:tcPr>
            <w:tcW w:w="775" w:type="dxa"/>
            <w:tcBorders>
              <w:top w:val="single" w:sz="4" w:space="0" w:color="00000A"/>
              <w:left w:val="single" w:sz="5" w:space="0" w:color="00000A"/>
              <w:bottom w:val="single" w:sz="4" w:space="0" w:color="00000A"/>
              <w:right w:val="nil"/>
            </w:tcBorders>
            <w:shd w:val="clear" w:color="auto" w:fill="BFBFBF"/>
          </w:tcPr>
          <w:p w:rsidR="00E23B86" w:rsidRDefault="00E23B86"/>
        </w:tc>
        <w:tc>
          <w:tcPr>
            <w:tcW w:w="7836" w:type="dxa"/>
            <w:tcBorders>
              <w:top w:val="single" w:sz="4" w:space="0" w:color="00000A"/>
              <w:left w:val="nil"/>
              <w:bottom w:val="single" w:sz="4" w:space="0" w:color="00000A"/>
              <w:right w:val="single" w:sz="4" w:space="0" w:color="00000A"/>
            </w:tcBorders>
            <w:shd w:val="clear" w:color="auto" w:fill="BFBFBF"/>
          </w:tcPr>
          <w:p w:rsidR="00E23B86" w:rsidRDefault="00BA7C13">
            <w:pPr>
              <w:spacing w:after="0"/>
              <w:ind w:right="360"/>
              <w:jc w:val="center"/>
            </w:pPr>
            <w:r>
              <w:rPr>
                <w:rFonts w:ascii="Segoe UI Symbol" w:eastAsia="Segoe UI Symbol" w:hAnsi="Segoe UI Symbol" w:cs="Segoe UI Symbol"/>
                <w:sz w:val="20"/>
              </w:rPr>
              <w:t xml:space="preserve"> </w:t>
            </w:r>
            <w:r>
              <w:rPr>
                <w:rFonts w:ascii="Arial" w:eastAsia="Arial" w:hAnsi="Arial" w:cs="Arial"/>
                <w:i/>
              </w:rPr>
              <w:t>Actuaciones</w:t>
            </w:r>
            <w:r>
              <w:rPr>
                <w:rFonts w:ascii="Arial" w:eastAsia="Arial" w:hAnsi="Arial" w:cs="Arial"/>
                <w:i/>
              </w:rPr>
              <w:t xml:space="preserve"> a desarrollar</w:t>
            </w:r>
          </w:p>
        </w:tc>
      </w:tr>
      <w:tr w:rsidR="00E23B86">
        <w:trPr>
          <w:trHeight w:val="1262"/>
        </w:trPr>
        <w:tc>
          <w:tcPr>
            <w:tcW w:w="775"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7836" w:type="dxa"/>
            <w:tcBorders>
              <w:top w:val="single" w:sz="4" w:space="0" w:color="00000A"/>
              <w:left w:val="nil"/>
              <w:bottom w:val="single" w:sz="4" w:space="0" w:color="00000A"/>
              <w:right w:val="single" w:sz="4" w:space="0" w:color="00000A"/>
            </w:tcBorders>
            <w:vAlign w:val="center"/>
          </w:tcPr>
          <w:p w:rsidR="00E23B86" w:rsidRDefault="00BA7C13">
            <w:pPr>
              <w:spacing w:after="0"/>
              <w:ind w:right="1"/>
              <w:jc w:val="both"/>
            </w:pPr>
            <w:r>
              <w:rPr>
                <w:rFonts w:ascii="Arial" w:eastAsia="Arial" w:hAnsi="Arial" w:cs="Arial"/>
                <w:i/>
              </w:rPr>
              <w:t>Acción SA1: Promover la participación activa en la comisión mixta municipal de coordinación, y las comisiones de trabajo específico, de todos los recursos de la comunidad y agentes implicados/as, como espacio de coordinación, planificación, evaluación y to</w:t>
            </w:r>
            <w:r>
              <w:rPr>
                <w:rFonts w:ascii="Arial" w:eastAsia="Arial" w:hAnsi="Arial" w:cs="Arial"/>
                <w:i/>
              </w:rPr>
              <w:t>ma de decisiones.</w:t>
            </w:r>
          </w:p>
        </w:tc>
      </w:tr>
      <w:tr w:rsidR="00E23B86">
        <w:trPr>
          <w:trHeight w:val="888"/>
        </w:trPr>
        <w:tc>
          <w:tcPr>
            <w:tcW w:w="775"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7836" w:type="dxa"/>
            <w:tcBorders>
              <w:top w:val="single" w:sz="4" w:space="0" w:color="00000A"/>
              <w:left w:val="nil"/>
              <w:bottom w:val="single" w:sz="4" w:space="0" w:color="00000A"/>
              <w:right w:val="single" w:sz="4" w:space="0" w:color="00000A"/>
            </w:tcBorders>
          </w:tcPr>
          <w:p w:rsidR="00E23B86" w:rsidRDefault="00BA7C13">
            <w:pPr>
              <w:spacing w:after="0"/>
              <w:ind w:right="2"/>
              <w:jc w:val="both"/>
            </w:pPr>
            <w:r>
              <w:rPr>
                <w:rFonts w:ascii="Arial" w:eastAsia="Arial" w:hAnsi="Arial" w:cs="Arial"/>
                <w:i/>
              </w:rPr>
              <w:t xml:space="preserve">Acción SA2. Difundir y comunicar de una forma adecuada este IV Plan Municipal, a todos los recursos implicados, facilitando el lenguaje y la transmisión de información, así como emplear los soportes adecuados. </w:t>
            </w:r>
          </w:p>
        </w:tc>
      </w:tr>
      <w:tr w:rsidR="00E23B86">
        <w:trPr>
          <w:trHeight w:val="1142"/>
        </w:trPr>
        <w:tc>
          <w:tcPr>
            <w:tcW w:w="775"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7836" w:type="dxa"/>
            <w:tcBorders>
              <w:top w:val="single" w:sz="4" w:space="0" w:color="00000A"/>
              <w:left w:val="nil"/>
              <w:bottom w:val="single" w:sz="4" w:space="0" w:color="00000A"/>
              <w:right w:val="single" w:sz="4" w:space="0" w:color="00000A"/>
            </w:tcBorders>
          </w:tcPr>
          <w:p w:rsidR="00E23B86" w:rsidRDefault="00BA7C13">
            <w:pPr>
              <w:spacing w:after="0"/>
              <w:jc w:val="both"/>
            </w:pPr>
            <w:r>
              <w:rPr>
                <w:rFonts w:ascii="Arial" w:eastAsia="Arial" w:hAnsi="Arial" w:cs="Arial"/>
                <w:i/>
              </w:rPr>
              <w:t>Acción SA3. Llevar a cabo estudios, análisis de necesidades e investigaciones, con el fin de conocer en todo momento la realidad social en el ámbito de promoción de la salud, empleando, si es necesario, recursos externos al Ayuntamiento.</w:t>
            </w:r>
          </w:p>
        </w:tc>
      </w:tr>
      <w:tr w:rsidR="00E23B86">
        <w:trPr>
          <w:trHeight w:val="891"/>
        </w:trPr>
        <w:tc>
          <w:tcPr>
            <w:tcW w:w="775" w:type="dxa"/>
            <w:tcBorders>
              <w:top w:val="single" w:sz="4" w:space="0" w:color="00000A"/>
              <w:left w:val="single" w:sz="5" w:space="0" w:color="00000A"/>
              <w:bottom w:val="single" w:sz="4" w:space="0" w:color="00000A"/>
              <w:right w:val="nil"/>
            </w:tcBorders>
          </w:tcPr>
          <w:p w:rsidR="00E23B86" w:rsidRDefault="00BA7C13">
            <w:pPr>
              <w:spacing w:after="0"/>
              <w:ind w:left="332"/>
              <w:jc w:val="center"/>
            </w:pPr>
            <w:r>
              <w:rPr>
                <w:rFonts w:ascii="Segoe UI Symbol" w:eastAsia="Segoe UI Symbol" w:hAnsi="Segoe UI Symbol" w:cs="Segoe UI Symbol"/>
                <w:sz w:val="20"/>
              </w:rPr>
              <w:t></w:t>
            </w:r>
          </w:p>
        </w:tc>
        <w:tc>
          <w:tcPr>
            <w:tcW w:w="7836" w:type="dxa"/>
            <w:tcBorders>
              <w:top w:val="single" w:sz="4" w:space="0" w:color="00000A"/>
              <w:left w:val="nil"/>
              <w:bottom w:val="single" w:sz="4" w:space="0" w:color="00000A"/>
              <w:right w:val="single" w:sz="4" w:space="0" w:color="00000A"/>
            </w:tcBorders>
          </w:tcPr>
          <w:p w:rsidR="00E23B86" w:rsidRDefault="00BA7C13">
            <w:pPr>
              <w:spacing w:after="0"/>
              <w:ind w:right="2"/>
              <w:jc w:val="both"/>
            </w:pPr>
            <w:r>
              <w:rPr>
                <w:rFonts w:ascii="Arial" w:eastAsia="Arial" w:hAnsi="Arial" w:cs="Arial"/>
                <w:i/>
              </w:rPr>
              <w:t xml:space="preserve">Acción SA4. Promover la organización y realización de acciones formativas, dirigidas al personal implicado en el ámbito de las adicciones, procurando que dichas acciones formativas, estén avaladas por algún organismo oficial. </w:t>
            </w:r>
          </w:p>
        </w:tc>
      </w:tr>
    </w:tbl>
    <w:p w:rsidR="00E23B86" w:rsidRDefault="00BA7C13">
      <w:pPr>
        <w:spacing w:after="80" w:line="265" w:lineRule="auto"/>
        <w:ind w:left="102" w:right="13" w:hanging="10"/>
      </w:pPr>
      <w:r>
        <w:rPr>
          <w:rFonts w:ascii="Segoe UI Symbol" w:eastAsia="Segoe UI Symbol" w:hAnsi="Segoe UI Symbol" w:cs="Segoe UI Symbol"/>
          <w:sz w:val="20"/>
        </w:rPr>
        <w:t></w:t>
      </w:r>
    </w:p>
    <w:tbl>
      <w:tblPr>
        <w:tblStyle w:val="TableGrid"/>
        <w:tblW w:w="8123" w:type="dxa"/>
        <w:tblInd w:w="101"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COORDINACIÓN DE LAS ACTUACIONES DEL IV PLAN</w:t>
            </w:r>
          </w:p>
        </w:tc>
      </w:tr>
    </w:tbl>
    <w:p w:rsidR="00E23B86" w:rsidRDefault="00BA7C13">
      <w:pPr>
        <w:numPr>
          <w:ilvl w:val="0"/>
          <w:numId w:val="140"/>
        </w:numPr>
        <w:spacing w:after="111" w:line="251" w:lineRule="auto"/>
        <w:ind w:right="1" w:hanging="841"/>
        <w:jc w:val="both"/>
      </w:pPr>
      <w:r>
        <w:rPr>
          <w:rFonts w:ascii="Arial" w:eastAsia="Arial" w:hAnsi="Arial" w:cs="Arial"/>
          <w:i/>
        </w:rPr>
        <w:t xml:space="preserve">La coordinación del IV Plan es la clave para su ejecución y el logro de resultados, para que ésta sea operativa se propone la coordinación a dos niveles: </w:t>
      </w:r>
    </w:p>
    <w:p w:rsidR="00E23B86" w:rsidRDefault="00BA7C13">
      <w:pPr>
        <w:numPr>
          <w:ilvl w:val="0"/>
          <w:numId w:val="140"/>
        </w:numPr>
        <w:spacing w:after="165" w:line="251" w:lineRule="auto"/>
        <w:ind w:right="1" w:hanging="841"/>
        <w:jc w:val="both"/>
      </w:pPr>
      <w:r>
        <w:rPr>
          <w:rFonts w:ascii="Arial" w:eastAsia="Arial" w:hAnsi="Arial" w:cs="Arial"/>
          <w:i/>
        </w:rPr>
        <w:t>Coordinación interna o institucional: Se desarrollará entre responsables políticos/as y personal técnico de la Concejalía de Servicios Sociales y otras Concejalías.</w:t>
      </w:r>
    </w:p>
    <w:p w:rsidR="00E23B86" w:rsidRDefault="00BA7C13">
      <w:pPr>
        <w:numPr>
          <w:ilvl w:val="0"/>
          <w:numId w:val="140"/>
        </w:numPr>
        <w:spacing w:after="111" w:line="251" w:lineRule="auto"/>
        <w:ind w:right="1" w:hanging="841"/>
        <w:jc w:val="both"/>
      </w:pPr>
      <w:r>
        <w:rPr>
          <w:rFonts w:ascii="Arial" w:eastAsia="Arial" w:hAnsi="Arial" w:cs="Arial"/>
          <w:i/>
        </w:rPr>
        <w:t>Coordinación externa o de participación social. Se realizará con otras instituciones de car</w:t>
      </w:r>
      <w:r>
        <w:rPr>
          <w:rFonts w:ascii="Arial" w:eastAsia="Arial" w:hAnsi="Arial" w:cs="Arial"/>
          <w:i/>
        </w:rPr>
        <w:t xml:space="preserve">ácter público o privado, que tengan competencias en materia de adicciones. </w:t>
      </w:r>
    </w:p>
    <w:p w:rsidR="00E23B86" w:rsidRDefault="00E23B86">
      <w:pPr>
        <w:sectPr w:rsidR="00E23B86">
          <w:headerReference w:type="even" r:id="rId65"/>
          <w:headerReference w:type="default" r:id="rId66"/>
          <w:footerReference w:type="even" r:id="rId67"/>
          <w:footerReference w:type="default" r:id="rId68"/>
          <w:headerReference w:type="first" r:id="rId69"/>
          <w:footerReference w:type="first" r:id="rId70"/>
          <w:pgSz w:w="14168" w:h="16840"/>
          <w:pgMar w:top="2002" w:right="2848" w:bottom="1485" w:left="3106" w:header="712" w:footer="712" w:gutter="0"/>
          <w:cols w:space="720"/>
        </w:sectPr>
      </w:pPr>
    </w:p>
    <w:p w:rsidR="00E23B86" w:rsidRDefault="00BA7C13">
      <w:pPr>
        <w:numPr>
          <w:ilvl w:val="0"/>
          <w:numId w:val="140"/>
        </w:numPr>
        <w:spacing w:after="111" w:line="251" w:lineRule="auto"/>
        <w:ind w:right="1" w:hanging="841"/>
        <w:jc w:val="both"/>
      </w:pPr>
      <w:r>
        <w:rPr>
          <w:rFonts w:ascii="Arial" w:eastAsia="Arial" w:hAnsi="Arial" w:cs="Arial"/>
          <w:i/>
        </w:rPr>
        <w:t xml:space="preserve">Para lleva a la práctica dicha coordinación, es preciso la creación de dos comisiones: </w:t>
      </w:r>
    </w:p>
    <w:p w:rsidR="00E23B86" w:rsidRDefault="00BA7C13">
      <w:pPr>
        <w:numPr>
          <w:ilvl w:val="0"/>
          <w:numId w:val="140"/>
        </w:numPr>
        <w:spacing w:after="8" w:line="251" w:lineRule="auto"/>
        <w:ind w:right="1" w:hanging="841"/>
        <w:jc w:val="both"/>
      </w:pPr>
      <w:r>
        <w:rPr>
          <w:rFonts w:ascii="Arial" w:eastAsia="Arial" w:hAnsi="Arial" w:cs="Arial"/>
          <w:i/>
        </w:rPr>
        <w:t>La Comisión Municipal de Prevención de Adicciones de Candelaria</w:t>
      </w:r>
    </w:p>
    <w:p w:rsidR="00E23B86" w:rsidRDefault="00BA7C13">
      <w:pPr>
        <w:spacing w:after="111" w:line="251" w:lineRule="auto"/>
        <w:ind w:left="355" w:right="573" w:hanging="10"/>
        <w:jc w:val="both"/>
      </w:pPr>
      <w:r>
        <w:rPr>
          <w:rFonts w:ascii="Arial" w:eastAsia="Arial" w:hAnsi="Arial" w:cs="Arial"/>
          <w:i/>
        </w:rPr>
        <w:t xml:space="preserve">(coordinación interna). </w:t>
      </w:r>
    </w:p>
    <w:p w:rsidR="00E23B86" w:rsidRDefault="00BA7C13">
      <w:pPr>
        <w:numPr>
          <w:ilvl w:val="0"/>
          <w:numId w:val="140"/>
        </w:numPr>
        <w:spacing w:after="0" w:line="484" w:lineRule="auto"/>
        <w:ind w:right="1" w:hanging="841"/>
        <w:jc w:val="both"/>
      </w:pPr>
      <w:r>
        <w:rPr>
          <w:rFonts w:ascii="Arial" w:eastAsia="Arial" w:hAnsi="Arial" w:cs="Arial"/>
          <w:i/>
        </w:rPr>
        <w:t xml:space="preserve">La Comisión Mixta de Prevención de Adicciones de Candelaria. </w:t>
      </w:r>
      <w:r>
        <w:rPr>
          <w:rFonts w:ascii="Segoe UI Symbol" w:eastAsia="Segoe UI Symbol" w:hAnsi="Segoe UI Symbol" w:cs="Segoe UI Symbol"/>
          <w:sz w:val="20"/>
        </w:rPr>
        <w:t xml:space="preserve"> </w:t>
      </w:r>
      <w:r>
        <w:rPr>
          <w:rFonts w:ascii="Arial" w:eastAsia="Arial" w:hAnsi="Arial" w:cs="Arial"/>
          <w:i/>
        </w:rPr>
        <w:t>7.1. Comisión Municipal de Prevención de Adicciones de Candelaria</w:t>
      </w:r>
    </w:p>
    <w:p w:rsidR="00E23B86" w:rsidRDefault="00BA7C13">
      <w:pPr>
        <w:numPr>
          <w:ilvl w:val="0"/>
          <w:numId w:val="140"/>
        </w:numPr>
        <w:spacing w:after="111" w:line="251" w:lineRule="auto"/>
        <w:ind w:right="1" w:hanging="841"/>
        <w:jc w:val="both"/>
      </w:pPr>
      <w:r>
        <w:rPr>
          <w:rFonts w:ascii="Arial" w:eastAsia="Arial" w:hAnsi="Arial" w:cs="Arial"/>
          <w:i/>
        </w:rPr>
        <w:t xml:space="preserve">Sus integrantes serán: </w:t>
      </w:r>
    </w:p>
    <w:p w:rsidR="00E23B86" w:rsidRDefault="00BA7C13">
      <w:pPr>
        <w:numPr>
          <w:ilvl w:val="0"/>
          <w:numId w:val="140"/>
        </w:numPr>
        <w:spacing w:after="111" w:line="251" w:lineRule="auto"/>
        <w:ind w:right="1" w:hanging="841"/>
        <w:jc w:val="both"/>
      </w:pPr>
      <w:r>
        <w:rPr>
          <w:rFonts w:ascii="Arial" w:eastAsia="Arial" w:hAnsi="Arial" w:cs="Arial"/>
          <w:i/>
        </w:rPr>
        <w:t xml:space="preserve">Quien ostente </w:t>
      </w:r>
      <w:r>
        <w:rPr>
          <w:rFonts w:ascii="Arial" w:eastAsia="Arial" w:hAnsi="Arial" w:cs="Arial"/>
          <w:i/>
        </w:rPr>
        <w:t>la Alcaldía o Presidencia del Ayuntamiento, o Concejalía en quien delegue, que ostentará la Presidencia de la Comisión.</w:t>
      </w:r>
    </w:p>
    <w:p w:rsidR="00E23B86" w:rsidRDefault="00BA7C13">
      <w:pPr>
        <w:numPr>
          <w:ilvl w:val="0"/>
          <w:numId w:val="140"/>
        </w:numPr>
        <w:spacing w:after="111" w:line="251" w:lineRule="auto"/>
        <w:ind w:right="1" w:hanging="841"/>
        <w:jc w:val="both"/>
      </w:pPr>
      <w:r>
        <w:rPr>
          <w:rFonts w:ascii="Arial" w:eastAsia="Arial" w:hAnsi="Arial" w:cs="Arial"/>
          <w:i/>
        </w:rPr>
        <w:t>La persona que ostente la Concejalía con competencias en prevención de adicciones/drogodependencias.</w:t>
      </w:r>
    </w:p>
    <w:p w:rsidR="00E23B86" w:rsidRDefault="00BA7C13">
      <w:pPr>
        <w:numPr>
          <w:ilvl w:val="0"/>
          <w:numId w:val="140"/>
        </w:numPr>
        <w:spacing w:after="111" w:line="251" w:lineRule="auto"/>
        <w:ind w:right="1" w:hanging="841"/>
        <w:jc w:val="both"/>
      </w:pPr>
      <w:r>
        <w:rPr>
          <w:rFonts w:ascii="Arial" w:eastAsia="Arial" w:hAnsi="Arial" w:cs="Arial"/>
          <w:i/>
        </w:rPr>
        <w:t>Representantes de los grupos políti</w:t>
      </w:r>
      <w:r>
        <w:rPr>
          <w:rFonts w:ascii="Arial" w:eastAsia="Arial" w:hAnsi="Arial" w:cs="Arial"/>
          <w:i/>
        </w:rPr>
        <w:t>cos municipales.</w:t>
      </w:r>
    </w:p>
    <w:p w:rsidR="00E23B86" w:rsidRDefault="00BA7C13">
      <w:pPr>
        <w:numPr>
          <w:ilvl w:val="0"/>
          <w:numId w:val="140"/>
        </w:numPr>
        <w:spacing w:after="111" w:line="251" w:lineRule="auto"/>
        <w:ind w:right="1" w:hanging="841"/>
        <w:jc w:val="both"/>
      </w:pPr>
      <w:r>
        <w:rPr>
          <w:rFonts w:ascii="Arial" w:eastAsia="Arial" w:hAnsi="Arial" w:cs="Arial"/>
          <w:i/>
        </w:rPr>
        <w:t>Personal de Secretaría del Ayuntamiento o funcionariado en quien delegue, que asumirá las funciones derivadas de la Secretaría de la Comisión Municipal.</w:t>
      </w:r>
    </w:p>
    <w:p w:rsidR="00E23B86" w:rsidRDefault="00BA7C13">
      <w:pPr>
        <w:numPr>
          <w:ilvl w:val="0"/>
          <w:numId w:val="140"/>
        </w:numPr>
        <w:spacing w:after="111" w:line="251" w:lineRule="auto"/>
        <w:ind w:right="1" w:hanging="841"/>
        <w:jc w:val="both"/>
      </w:pPr>
      <w:r>
        <w:rPr>
          <w:rFonts w:ascii="Arial" w:eastAsia="Arial" w:hAnsi="Arial" w:cs="Arial"/>
          <w:i/>
        </w:rPr>
        <w:t xml:space="preserve">Esta Comisión estará asistida en la celebración de sus reuniones periódicas por el/la </w:t>
      </w:r>
      <w:r>
        <w:rPr>
          <w:rFonts w:ascii="Arial" w:eastAsia="Arial" w:hAnsi="Arial" w:cs="Arial"/>
          <w:i/>
        </w:rPr>
        <w:t>Técnico/a Municipal en Prevención de Adicciones. Se reunirá con una periodicidad anual y sus funciones serán:</w:t>
      </w:r>
    </w:p>
    <w:p w:rsidR="00E23B86" w:rsidRDefault="00BA7C13">
      <w:pPr>
        <w:numPr>
          <w:ilvl w:val="0"/>
          <w:numId w:val="140"/>
        </w:numPr>
        <w:spacing w:after="111" w:line="251" w:lineRule="auto"/>
        <w:ind w:right="1" w:hanging="841"/>
        <w:jc w:val="both"/>
      </w:pPr>
      <w:r>
        <w:rPr>
          <w:rFonts w:ascii="Arial" w:eastAsia="Arial" w:hAnsi="Arial" w:cs="Arial"/>
          <w:i/>
        </w:rPr>
        <w:t>Definir y aprobar anualmente las líneas de actuación prioritarias del Plan Municipal.</w:t>
      </w:r>
    </w:p>
    <w:p w:rsidR="00E23B86" w:rsidRDefault="00BA7C13">
      <w:pPr>
        <w:numPr>
          <w:ilvl w:val="0"/>
          <w:numId w:val="140"/>
        </w:numPr>
        <w:spacing w:after="0" w:line="485" w:lineRule="auto"/>
        <w:ind w:right="1" w:hanging="841"/>
        <w:jc w:val="both"/>
      </w:pPr>
      <w:r>
        <w:rPr>
          <w:noProof/>
        </w:rPr>
        <mc:AlternateContent>
          <mc:Choice Requires="wpg">
            <w:drawing>
              <wp:anchor distT="0" distB="0" distL="114300" distR="114300" simplePos="0" relativeHeight="2519848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6413" name="Group 57641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741" name="Rectangle 5074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0742" name="Rectangle 5074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317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6413" style="width:12.7031pt;height:280.35pt;position:absolute;mso-position-horizontal-relative:page;mso-position-horizontal:absolute;margin-left:681.958pt;mso-position-vertical-relative:page;margin-top:531.65pt;" coordsize="1613,35604">
                <v:rect id="Rectangle 5074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74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317 de 391 </w:t>
                        </w:r>
                      </w:p>
                    </w:txbxContent>
                  </v:textbox>
                </v:rect>
                <w10:wrap type="square"/>
              </v:group>
            </w:pict>
          </mc:Fallback>
        </mc:AlternateContent>
      </w:r>
      <w:r>
        <w:rPr>
          <w:rFonts w:ascii="Arial" w:eastAsia="Arial" w:hAnsi="Arial" w:cs="Arial"/>
          <w:i/>
        </w:rPr>
        <w:t xml:space="preserve">Aprobar las líneas de trabajo y realizar el seguimiento. </w:t>
      </w:r>
      <w:r>
        <w:rPr>
          <w:rFonts w:ascii="Segoe UI Symbol" w:eastAsia="Segoe UI Symbol" w:hAnsi="Segoe UI Symbol" w:cs="Segoe UI Symbol"/>
          <w:sz w:val="20"/>
        </w:rPr>
        <w:t xml:space="preserve"> </w:t>
      </w:r>
      <w:r>
        <w:rPr>
          <w:rFonts w:ascii="Arial" w:eastAsia="Arial" w:hAnsi="Arial" w:cs="Arial"/>
          <w:i/>
        </w:rPr>
        <w:t>7.</w:t>
      </w:r>
      <w:r>
        <w:rPr>
          <w:rFonts w:ascii="Arial" w:eastAsia="Arial" w:hAnsi="Arial" w:cs="Arial"/>
          <w:i/>
        </w:rPr>
        <w:t>2. Comisión Mixta de Prevención de Adicciones de Candelaria</w:t>
      </w:r>
    </w:p>
    <w:p w:rsidR="00E23B86" w:rsidRDefault="00BA7C13">
      <w:pPr>
        <w:numPr>
          <w:ilvl w:val="0"/>
          <w:numId w:val="140"/>
        </w:numPr>
        <w:spacing w:after="111" w:line="251" w:lineRule="auto"/>
        <w:ind w:right="1" w:hanging="841"/>
        <w:jc w:val="both"/>
      </w:pPr>
      <w:r>
        <w:rPr>
          <w:rFonts w:ascii="Arial" w:eastAsia="Arial" w:hAnsi="Arial" w:cs="Arial"/>
          <w:i/>
        </w:rPr>
        <w:t xml:space="preserve">Sus integrantes serán: </w:t>
      </w:r>
    </w:p>
    <w:p w:rsidR="00E23B86" w:rsidRDefault="00BA7C13">
      <w:pPr>
        <w:numPr>
          <w:ilvl w:val="0"/>
          <w:numId w:val="140"/>
        </w:numPr>
        <w:spacing w:after="111" w:line="251" w:lineRule="auto"/>
        <w:ind w:right="1" w:hanging="841"/>
        <w:jc w:val="both"/>
      </w:pPr>
      <w:r>
        <w:rPr>
          <w:rFonts w:ascii="Arial" w:eastAsia="Arial" w:hAnsi="Arial" w:cs="Arial"/>
          <w:i/>
        </w:rPr>
        <w:t>La persona que ostente la Concejalía con competencias en adicciones.</w:t>
      </w:r>
    </w:p>
    <w:p w:rsidR="00E23B86" w:rsidRDefault="00BA7C13">
      <w:pPr>
        <w:numPr>
          <w:ilvl w:val="0"/>
          <w:numId w:val="140"/>
        </w:numPr>
        <w:spacing w:after="111" w:line="251" w:lineRule="auto"/>
        <w:ind w:right="1" w:hanging="841"/>
        <w:jc w:val="both"/>
      </w:pPr>
      <w:r>
        <w:rPr>
          <w:rFonts w:ascii="Arial" w:eastAsia="Arial" w:hAnsi="Arial" w:cs="Arial"/>
          <w:i/>
        </w:rPr>
        <w:t>Representantes de los grupos políticos municipales.</w:t>
      </w:r>
    </w:p>
    <w:p w:rsidR="00E23B86" w:rsidRDefault="00BA7C13">
      <w:pPr>
        <w:numPr>
          <w:ilvl w:val="0"/>
          <w:numId w:val="140"/>
        </w:numPr>
        <w:spacing w:after="111" w:line="251" w:lineRule="auto"/>
        <w:ind w:right="1" w:hanging="841"/>
        <w:jc w:val="both"/>
      </w:pPr>
      <w:r>
        <w:rPr>
          <w:rFonts w:ascii="Arial" w:eastAsia="Arial" w:hAnsi="Arial" w:cs="Arial"/>
          <w:i/>
        </w:rPr>
        <w:t>Los/las técnicos/as municipales de las Áreas del Ay</w:t>
      </w:r>
      <w:r>
        <w:rPr>
          <w:rFonts w:ascii="Arial" w:eastAsia="Arial" w:hAnsi="Arial" w:cs="Arial"/>
          <w:i/>
        </w:rPr>
        <w:t>untamiento adscritas al Plan Municipal en Prevención de Adicciones.</w:t>
      </w:r>
    </w:p>
    <w:p w:rsidR="00E23B86" w:rsidRDefault="00BA7C13">
      <w:pPr>
        <w:numPr>
          <w:ilvl w:val="0"/>
          <w:numId w:val="140"/>
        </w:numPr>
        <w:spacing w:after="111" w:line="251" w:lineRule="auto"/>
        <w:ind w:right="1" w:hanging="841"/>
        <w:jc w:val="both"/>
      </w:pPr>
      <w:r>
        <w:rPr>
          <w:rFonts w:ascii="Arial" w:eastAsia="Arial" w:hAnsi="Arial" w:cs="Arial"/>
          <w:i/>
        </w:rPr>
        <w:t>Los/las representantes de los recursos institucionales del municipio.</w:t>
      </w:r>
    </w:p>
    <w:p w:rsidR="00E23B86" w:rsidRDefault="00BA7C13">
      <w:pPr>
        <w:numPr>
          <w:ilvl w:val="0"/>
          <w:numId w:val="140"/>
        </w:numPr>
        <w:spacing w:after="111" w:line="251" w:lineRule="auto"/>
        <w:ind w:right="1" w:hanging="841"/>
        <w:jc w:val="both"/>
      </w:pPr>
      <w:r>
        <w:rPr>
          <w:rFonts w:ascii="Arial" w:eastAsia="Arial" w:hAnsi="Arial" w:cs="Arial"/>
          <w:i/>
        </w:rPr>
        <w:t>Los/las representantes de las asociaciones y entidades ciudadanas.</w:t>
      </w:r>
    </w:p>
    <w:p w:rsidR="00E23B86" w:rsidRDefault="00BA7C13">
      <w:pPr>
        <w:numPr>
          <w:ilvl w:val="0"/>
          <w:numId w:val="140"/>
        </w:numPr>
        <w:spacing w:after="111" w:line="251" w:lineRule="auto"/>
        <w:ind w:right="1" w:hanging="841"/>
        <w:jc w:val="both"/>
      </w:pPr>
      <w:r>
        <w:rPr>
          <w:rFonts w:ascii="Arial" w:eastAsia="Arial" w:hAnsi="Arial" w:cs="Arial"/>
          <w:i/>
        </w:rPr>
        <w:t>El/la técnico/a municipal en Prevención de Adiccion</w:t>
      </w:r>
      <w:r>
        <w:rPr>
          <w:rFonts w:ascii="Arial" w:eastAsia="Arial" w:hAnsi="Arial" w:cs="Arial"/>
          <w:i/>
        </w:rPr>
        <w:t>es que actuará como Secretario/a de la Comisión.</w:t>
      </w:r>
    </w:p>
    <w:p w:rsidR="00E23B86" w:rsidRDefault="00BA7C13">
      <w:pPr>
        <w:numPr>
          <w:ilvl w:val="0"/>
          <w:numId w:val="140"/>
        </w:numPr>
        <w:spacing w:after="111" w:line="251" w:lineRule="auto"/>
        <w:ind w:right="1" w:hanging="841"/>
        <w:jc w:val="both"/>
      </w:pPr>
      <w:r>
        <w:rPr>
          <w:rFonts w:ascii="Arial" w:eastAsia="Arial" w:hAnsi="Arial" w:cs="Arial"/>
          <w:i/>
        </w:rPr>
        <w:t>La periodicidad de las reuniones de la Comisión Mixta se establecerá según la necesidad de las mismas, y las funciones serán:</w:t>
      </w:r>
    </w:p>
    <w:p w:rsidR="00E23B86" w:rsidRDefault="00BA7C13">
      <w:pPr>
        <w:numPr>
          <w:ilvl w:val="0"/>
          <w:numId w:val="140"/>
        </w:numPr>
        <w:spacing w:after="111" w:line="251" w:lineRule="auto"/>
        <w:ind w:right="1" w:hanging="841"/>
        <w:jc w:val="both"/>
      </w:pPr>
      <w:r>
        <w:rPr>
          <w:rFonts w:ascii="Arial" w:eastAsia="Arial" w:hAnsi="Arial" w:cs="Arial"/>
          <w:i/>
        </w:rPr>
        <w:t>El seguimiento y evaluación del Plan.</w:t>
      </w:r>
    </w:p>
    <w:p w:rsidR="00E23B86" w:rsidRDefault="00BA7C13">
      <w:pPr>
        <w:numPr>
          <w:ilvl w:val="0"/>
          <w:numId w:val="140"/>
        </w:numPr>
        <w:spacing w:after="111" w:line="251" w:lineRule="auto"/>
        <w:ind w:right="1" w:hanging="841"/>
        <w:jc w:val="both"/>
      </w:pPr>
      <w:r>
        <w:rPr>
          <w:rFonts w:ascii="Arial" w:eastAsia="Arial" w:hAnsi="Arial" w:cs="Arial"/>
          <w:i/>
        </w:rPr>
        <w:t>Establecer las líneas de actuación.</w:t>
      </w:r>
    </w:p>
    <w:p w:rsidR="00E23B86" w:rsidRDefault="00BA7C13">
      <w:pPr>
        <w:numPr>
          <w:ilvl w:val="0"/>
          <w:numId w:val="140"/>
        </w:numPr>
        <w:spacing w:after="111" w:line="251" w:lineRule="auto"/>
        <w:ind w:right="1" w:hanging="841"/>
        <w:jc w:val="both"/>
      </w:pPr>
      <w:r>
        <w:rPr>
          <w:rFonts w:ascii="Arial" w:eastAsia="Arial" w:hAnsi="Arial" w:cs="Arial"/>
          <w:i/>
        </w:rPr>
        <w:t>Coordin</w:t>
      </w:r>
      <w:r>
        <w:rPr>
          <w:rFonts w:ascii="Arial" w:eastAsia="Arial" w:hAnsi="Arial" w:cs="Arial"/>
          <w:i/>
        </w:rPr>
        <w:t>ar las actuaciones y programas en Adicciones de las distintas instituciones, entidades y grupos sociales.</w:t>
      </w:r>
    </w:p>
    <w:p w:rsidR="00E23B86" w:rsidRDefault="00BA7C13">
      <w:pPr>
        <w:spacing w:after="111" w:line="251" w:lineRule="auto"/>
        <w:ind w:left="355" w:right="24" w:hanging="10"/>
        <w:jc w:val="both"/>
      </w:pPr>
      <w:r>
        <w:rPr>
          <w:rFonts w:ascii="Arial" w:eastAsia="Arial" w:hAnsi="Arial" w:cs="Arial"/>
          <w:i/>
        </w:rPr>
        <w:t>Esta comisión podrá operativizarse en grupos de trabajo sobre la base de los ámbitos de intervención ya señalados (educativo, familiar, laboral y de o</w:t>
      </w:r>
      <w:r>
        <w:rPr>
          <w:rFonts w:ascii="Arial" w:eastAsia="Arial" w:hAnsi="Arial" w:cs="Arial"/>
          <w:i/>
        </w:rPr>
        <w:t>cio y tiempo libre), estableciéndose las reuniones según cada grupo de trabajo y tendrán como funciones proponer y elevar a la Comisión Mixta las siguientes cuestiones:</w:t>
      </w:r>
    </w:p>
    <w:p w:rsidR="00E23B86" w:rsidRDefault="00BA7C13">
      <w:pPr>
        <w:numPr>
          <w:ilvl w:val="0"/>
          <w:numId w:val="140"/>
        </w:numPr>
        <w:spacing w:after="111" w:line="251" w:lineRule="auto"/>
        <w:ind w:right="1" w:hanging="841"/>
        <w:jc w:val="both"/>
      </w:pPr>
      <w:r>
        <w:rPr>
          <w:rFonts w:ascii="Arial" w:eastAsia="Arial" w:hAnsi="Arial" w:cs="Arial"/>
          <w:i/>
        </w:rPr>
        <w:t>Nuevas propuestas de intervención.</w:t>
      </w:r>
    </w:p>
    <w:p w:rsidR="00E23B86" w:rsidRDefault="00BA7C13">
      <w:pPr>
        <w:numPr>
          <w:ilvl w:val="0"/>
          <w:numId w:val="140"/>
        </w:numPr>
        <w:spacing w:after="111" w:line="251" w:lineRule="auto"/>
        <w:ind w:right="1" w:hanging="841"/>
        <w:jc w:val="both"/>
      </w:pPr>
      <w:r>
        <w:rPr>
          <w:rFonts w:ascii="Arial" w:eastAsia="Arial" w:hAnsi="Arial" w:cs="Arial"/>
          <w:i/>
        </w:rPr>
        <w:t>La elaboración de diagnósticos y exposición de neces</w:t>
      </w:r>
      <w:r>
        <w:rPr>
          <w:rFonts w:ascii="Arial" w:eastAsia="Arial" w:hAnsi="Arial" w:cs="Arial"/>
          <w:i/>
        </w:rPr>
        <w:t xml:space="preserve">idades. </w:t>
      </w:r>
    </w:p>
    <w:p w:rsidR="00E23B86" w:rsidRDefault="00BA7C13">
      <w:pPr>
        <w:numPr>
          <w:ilvl w:val="0"/>
          <w:numId w:val="140"/>
        </w:numPr>
        <w:spacing w:after="111" w:line="251" w:lineRule="auto"/>
        <w:ind w:right="1" w:hanging="841"/>
        <w:jc w:val="both"/>
      </w:pPr>
      <w:r>
        <w:rPr>
          <w:rFonts w:ascii="Arial" w:eastAsia="Arial" w:hAnsi="Arial" w:cs="Arial"/>
          <w:i/>
        </w:rPr>
        <w:t>Estudios e Investigaciones.</w:t>
      </w:r>
    </w:p>
    <w:p w:rsidR="00E23B86" w:rsidRDefault="00BA7C13">
      <w:pPr>
        <w:numPr>
          <w:ilvl w:val="0"/>
          <w:numId w:val="140"/>
        </w:numPr>
        <w:spacing w:after="90" w:line="251" w:lineRule="auto"/>
        <w:ind w:right="1" w:hanging="841"/>
        <w:jc w:val="both"/>
      </w:pPr>
      <w:r>
        <w:rPr>
          <w:rFonts w:ascii="Arial" w:eastAsia="Arial" w:hAnsi="Arial" w:cs="Arial"/>
          <w:i/>
        </w:rPr>
        <w:t xml:space="preserve">Seguimiento y evaluación de las intervenciones llevadas en cada ámbito. </w:t>
      </w:r>
    </w:p>
    <w:tbl>
      <w:tblPr>
        <w:tblStyle w:val="TableGrid"/>
        <w:tblW w:w="8123" w:type="dxa"/>
        <w:tblInd w:w="9"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RECURSOS DEL IV PLAN  </w:t>
            </w:r>
          </w:p>
        </w:tc>
      </w:tr>
    </w:tbl>
    <w:p w:rsidR="00E23B86" w:rsidRDefault="00BA7C13">
      <w:pPr>
        <w:numPr>
          <w:ilvl w:val="0"/>
          <w:numId w:val="140"/>
        </w:numPr>
        <w:spacing w:after="111" w:line="251" w:lineRule="auto"/>
        <w:ind w:right="1" w:hanging="841"/>
        <w:jc w:val="both"/>
      </w:pPr>
      <w:r>
        <w:rPr>
          <w:rFonts w:ascii="Arial" w:eastAsia="Arial" w:hAnsi="Arial" w:cs="Arial"/>
          <w:i/>
        </w:rPr>
        <w:t>Para la implementación y ejecución del IV Plan Municipal de Prevención de Adicciones (2019-2023) del municipio de Candelaria, se dispondrá de los recursos ya existentes y se adjudicarán los recursos necesarios para desarrollar las medidas.</w:t>
      </w:r>
    </w:p>
    <w:p w:rsidR="00E23B86" w:rsidRDefault="00BA7C13">
      <w:pPr>
        <w:numPr>
          <w:ilvl w:val="0"/>
          <w:numId w:val="140"/>
        </w:numPr>
        <w:spacing w:after="112" w:line="344" w:lineRule="auto"/>
        <w:ind w:right="1" w:hanging="841"/>
        <w:jc w:val="both"/>
      </w:pPr>
      <w:r>
        <w:rPr>
          <w:rFonts w:ascii="Arial" w:eastAsia="Arial" w:hAnsi="Arial" w:cs="Arial"/>
          <w:i/>
        </w:rPr>
        <w:t>Como recursos re</w:t>
      </w:r>
      <w:r>
        <w:rPr>
          <w:rFonts w:ascii="Arial" w:eastAsia="Arial" w:hAnsi="Arial" w:cs="Arial"/>
          <w:i/>
        </w:rPr>
        <w:t xml:space="preserve">lacionados con el Plan que ya existen (sin dedicación exclusiva, responsables de otras áreas y funciones): </w:t>
      </w:r>
      <w:r>
        <w:rPr>
          <w:rFonts w:ascii="Courier New" w:eastAsia="Courier New" w:hAnsi="Courier New" w:cs="Courier New"/>
          <w:sz w:val="20"/>
        </w:rPr>
        <w:t xml:space="preserve">o </w:t>
      </w:r>
      <w:r>
        <w:rPr>
          <w:rFonts w:ascii="Arial" w:eastAsia="Arial" w:hAnsi="Arial" w:cs="Arial"/>
          <w:i/>
        </w:rPr>
        <w:t xml:space="preserve">1 Trabajadora Social (responsable del Plan) </w:t>
      </w:r>
      <w:r>
        <w:rPr>
          <w:rFonts w:ascii="Courier New" w:eastAsia="Courier New" w:hAnsi="Courier New" w:cs="Courier New"/>
          <w:sz w:val="20"/>
        </w:rPr>
        <w:t xml:space="preserve">o </w:t>
      </w:r>
      <w:r>
        <w:rPr>
          <w:rFonts w:ascii="Arial" w:eastAsia="Arial" w:hAnsi="Arial" w:cs="Arial"/>
          <w:i/>
        </w:rPr>
        <w:t xml:space="preserve">1 Pedagoga </w:t>
      </w:r>
    </w:p>
    <w:p w:rsidR="00E23B86" w:rsidRDefault="00BA7C13">
      <w:pPr>
        <w:spacing w:after="189" w:line="251" w:lineRule="auto"/>
        <w:ind w:left="730" w:right="573" w:hanging="10"/>
        <w:jc w:val="both"/>
      </w:pPr>
      <w:r>
        <w:rPr>
          <w:rFonts w:ascii="Courier New" w:eastAsia="Courier New" w:hAnsi="Courier New" w:cs="Courier New"/>
          <w:sz w:val="20"/>
        </w:rPr>
        <w:t xml:space="preserve">o </w:t>
      </w:r>
      <w:r>
        <w:rPr>
          <w:rFonts w:ascii="Arial" w:eastAsia="Arial" w:hAnsi="Arial" w:cs="Arial"/>
          <w:i/>
        </w:rPr>
        <w:t xml:space="preserve">1 Trabajadora Social   </w:t>
      </w:r>
    </w:p>
    <w:p w:rsidR="00E23B86" w:rsidRDefault="00BA7C13">
      <w:pPr>
        <w:spacing w:after="136"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64" w:line="251" w:lineRule="auto"/>
        <w:ind w:right="1" w:hanging="841"/>
        <w:jc w:val="both"/>
      </w:pPr>
      <w:r>
        <w:rPr>
          <w:noProof/>
        </w:rPr>
        <mc:AlternateContent>
          <mc:Choice Requires="wpg">
            <w:drawing>
              <wp:anchor distT="0" distB="0" distL="114300" distR="114300" simplePos="0" relativeHeight="2519859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0854" name="Group 58085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822" name="Rectangle 5082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0823" name="Rectangle 5082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318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0854" style="width:12.7031pt;height:280.35pt;position:absolute;mso-position-horizontal-relative:page;mso-position-horizontal:absolute;margin-left:681.958pt;mso-position-vertical-relative:page;margin-top:531.65pt;" coordsize="1613,35604">
                <v:rect id="Rectangle 5082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82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318 de 391 </w:t>
                        </w:r>
                      </w:p>
                    </w:txbxContent>
                  </v:textbox>
                </v:rect>
                <w10:wrap type="square"/>
              </v:group>
            </w:pict>
          </mc:Fallback>
        </mc:AlternateContent>
      </w:r>
      <w:r>
        <w:rPr>
          <w:rFonts w:ascii="Arial" w:eastAsia="Arial" w:hAnsi="Arial" w:cs="Arial"/>
          <w:i/>
        </w:rPr>
        <w:t>Como recursos relacionados con el Plan, que no existen y serí</w:t>
      </w:r>
      <w:r>
        <w:rPr>
          <w:rFonts w:ascii="Arial" w:eastAsia="Arial" w:hAnsi="Arial" w:cs="Arial"/>
          <w:i/>
        </w:rPr>
        <w:t>a necesario implementar:</w:t>
      </w:r>
    </w:p>
    <w:p w:rsidR="00E23B86" w:rsidRDefault="00BA7C13">
      <w:pPr>
        <w:numPr>
          <w:ilvl w:val="4"/>
          <w:numId w:val="142"/>
        </w:numPr>
        <w:spacing w:after="190" w:line="251" w:lineRule="auto"/>
        <w:ind w:right="18" w:hanging="360"/>
        <w:jc w:val="both"/>
      </w:pPr>
      <w:r>
        <w:rPr>
          <w:rFonts w:ascii="Arial" w:eastAsia="Arial" w:hAnsi="Arial" w:cs="Arial"/>
          <w:i/>
        </w:rPr>
        <w:t>Educadores/as de calle para trabajar en los barrios.</w:t>
      </w:r>
    </w:p>
    <w:p w:rsidR="00E23B86" w:rsidRDefault="00BA7C13">
      <w:pPr>
        <w:numPr>
          <w:ilvl w:val="4"/>
          <w:numId w:val="142"/>
        </w:numPr>
        <w:spacing w:after="162" w:line="251" w:lineRule="auto"/>
        <w:ind w:right="18" w:hanging="360"/>
        <w:jc w:val="both"/>
      </w:pPr>
      <w:r>
        <w:rPr>
          <w:rFonts w:ascii="Arial" w:eastAsia="Arial" w:hAnsi="Arial" w:cs="Arial"/>
          <w:i/>
        </w:rPr>
        <w:t>Equipo de expertos con perfiles de trabajadores/as sociales, Psicólogos/as y expertos/as en familia para ofertar servicios de atención temprana, asesoramiento, etc.</w:t>
      </w:r>
    </w:p>
    <w:p w:rsidR="00E23B86" w:rsidRDefault="00BA7C13">
      <w:pPr>
        <w:numPr>
          <w:ilvl w:val="4"/>
          <w:numId w:val="142"/>
        </w:numPr>
        <w:spacing w:line="251" w:lineRule="auto"/>
        <w:ind w:right="18" w:hanging="360"/>
        <w:jc w:val="both"/>
      </w:pPr>
      <w:r>
        <w:rPr>
          <w:rFonts w:ascii="Arial" w:eastAsia="Arial" w:hAnsi="Arial" w:cs="Arial"/>
          <w:i/>
        </w:rPr>
        <w:t xml:space="preserve">Experto/a en </w:t>
      </w:r>
      <w:r>
        <w:rPr>
          <w:rFonts w:ascii="Arial" w:eastAsia="Arial" w:hAnsi="Arial" w:cs="Arial"/>
          <w:i/>
        </w:rPr>
        <w:t>redes sociales para gestionar la prevención desde un ámbito virtual.</w:t>
      </w:r>
    </w:p>
    <w:p w:rsidR="00E23B86" w:rsidRDefault="00BA7C13">
      <w:pPr>
        <w:numPr>
          <w:ilvl w:val="4"/>
          <w:numId w:val="142"/>
        </w:numPr>
        <w:spacing w:line="251" w:lineRule="auto"/>
        <w:ind w:right="18" w:hanging="360"/>
        <w:jc w:val="both"/>
      </w:pPr>
      <w:r>
        <w:rPr>
          <w:rFonts w:ascii="Arial" w:eastAsia="Arial" w:hAnsi="Arial" w:cs="Arial"/>
          <w:i/>
        </w:rPr>
        <w:t>Contratación de servicios para asesorar, evaluar e investigar sobre prevención de adicciones.</w:t>
      </w:r>
    </w:p>
    <w:p w:rsidR="00E23B86" w:rsidRDefault="00BA7C13">
      <w:pPr>
        <w:numPr>
          <w:ilvl w:val="4"/>
          <w:numId w:val="142"/>
        </w:numPr>
        <w:spacing w:after="161" w:line="251" w:lineRule="auto"/>
        <w:ind w:right="18" w:hanging="360"/>
        <w:jc w:val="both"/>
      </w:pPr>
      <w:r>
        <w:rPr>
          <w:rFonts w:ascii="Arial" w:eastAsia="Arial" w:hAnsi="Arial" w:cs="Arial"/>
          <w:i/>
        </w:rPr>
        <w:t>Recursos presupuestarios para contratar servicios de publicidad, edición de folletos, cursos,</w:t>
      </w:r>
      <w:r>
        <w:rPr>
          <w:rFonts w:ascii="Arial" w:eastAsia="Arial" w:hAnsi="Arial" w:cs="Arial"/>
          <w:i/>
        </w:rPr>
        <w:t xml:space="preserve"> talleres, charlas, etc. en el ámbito comunitario y educativo.</w:t>
      </w:r>
    </w:p>
    <w:p w:rsidR="00E23B86" w:rsidRDefault="00BA7C13">
      <w:pPr>
        <w:spacing w:after="136"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 xml:space="preserve">El Ayuntamiento de Candelaria cuanta con la aplicación presupuestaria 23100.22616 correspondiente a la Unidad de Prevención, Absentismo y Drogodependencias, así como la aplicación 23100.48002 de Prevención y Reinserción del Plan Concertado de Prestaciones </w:t>
      </w:r>
      <w:r>
        <w:rPr>
          <w:rFonts w:ascii="Arial" w:eastAsia="Arial" w:hAnsi="Arial" w:cs="Arial"/>
          <w:i/>
        </w:rPr>
        <w:t xml:space="preserve">Básicas de los Servicios Sociales Municipales. </w:t>
      </w:r>
    </w:p>
    <w:p w:rsidR="00E23B86" w:rsidRDefault="00BA7C13">
      <w:pPr>
        <w:numPr>
          <w:ilvl w:val="0"/>
          <w:numId w:val="140"/>
        </w:numPr>
        <w:spacing w:after="111" w:line="251" w:lineRule="auto"/>
        <w:ind w:right="1" w:hanging="841"/>
        <w:jc w:val="both"/>
      </w:pPr>
      <w:r>
        <w:rPr>
          <w:rFonts w:ascii="Arial" w:eastAsia="Arial" w:hAnsi="Arial" w:cs="Arial"/>
          <w:i/>
        </w:rPr>
        <w:t xml:space="preserve">Así mismo, deberá dotar de los recursos materiales necesarios para el desarrollo de las actuaciones de dicho Plan. </w:t>
      </w:r>
    </w:p>
    <w:tbl>
      <w:tblPr>
        <w:tblStyle w:val="TableGrid"/>
        <w:tblW w:w="8123" w:type="dxa"/>
        <w:tblInd w:w="9" w:type="dxa"/>
        <w:tblCellMar>
          <w:top w:w="37" w:type="dxa"/>
          <w:left w:w="0" w:type="dxa"/>
          <w:bottom w:w="0" w:type="dxa"/>
          <w:right w:w="115" w:type="dxa"/>
        </w:tblCellMar>
        <w:tblLook w:val="04A0" w:firstRow="1" w:lastRow="0" w:firstColumn="1" w:lastColumn="0" w:noHBand="0" w:noVBand="1"/>
      </w:tblPr>
      <w:tblGrid>
        <w:gridCol w:w="351"/>
        <w:gridCol w:w="7772"/>
      </w:tblGrid>
      <w:tr w:rsidR="00E23B86">
        <w:trPr>
          <w:trHeight w:val="317"/>
        </w:trPr>
        <w:tc>
          <w:tcPr>
            <w:tcW w:w="351" w:type="dxa"/>
            <w:tcBorders>
              <w:top w:val="double" w:sz="2" w:space="0" w:color="00000A"/>
              <w:left w:val="double" w:sz="2" w:space="0" w:color="00000A"/>
              <w:bottom w:val="double" w:sz="2" w:space="0" w:color="00000A"/>
              <w:right w:val="nil"/>
            </w:tcBorders>
          </w:tcPr>
          <w:p w:rsidR="00E23B86" w:rsidRDefault="00BA7C13">
            <w:pPr>
              <w:spacing w:after="0"/>
              <w:ind w:left="93"/>
            </w:pPr>
            <w:r>
              <w:rPr>
                <w:rFonts w:ascii="Segoe UI Symbol" w:eastAsia="Segoe UI Symbol" w:hAnsi="Segoe UI Symbol" w:cs="Segoe UI Symbol"/>
                <w:sz w:val="20"/>
              </w:rPr>
              <w:t></w:t>
            </w:r>
          </w:p>
        </w:tc>
        <w:tc>
          <w:tcPr>
            <w:tcW w:w="7772" w:type="dxa"/>
            <w:tcBorders>
              <w:top w:val="double" w:sz="2" w:space="0" w:color="00000A"/>
              <w:left w:val="nil"/>
              <w:bottom w:val="double" w:sz="2" w:space="0" w:color="00000A"/>
              <w:right w:val="double" w:sz="2" w:space="0" w:color="00000A"/>
            </w:tcBorders>
          </w:tcPr>
          <w:p w:rsidR="00E23B86" w:rsidRDefault="00BA7C13">
            <w:pPr>
              <w:spacing w:after="0"/>
            </w:pPr>
            <w:r>
              <w:rPr>
                <w:rFonts w:ascii="Arial" w:eastAsia="Arial" w:hAnsi="Arial" w:cs="Arial"/>
                <w:i/>
              </w:rPr>
              <w:t xml:space="preserve">EVALUACIÓN Y SEGUIMIENTO DEL PLAN </w:t>
            </w:r>
          </w:p>
        </w:tc>
      </w:tr>
    </w:tbl>
    <w:p w:rsidR="00E23B86" w:rsidRDefault="00BA7C13">
      <w:pPr>
        <w:numPr>
          <w:ilvl w:val="0"/>
          <w:numId w:val="140"/>
        </w:numPr>
        <w:spacing w:after="111" w:line="251" w:lineRule="auto"/>
        <w:ind w:right="1" w:hanging="841"/>
        <w:jc w:val="both"/>
      </w:pPr>
      <w:r>
        <w:rPr>
          <w:rFonts w:ascii="Arial" w:eastAsia="Arial" w:hAnsi="Arial" w:cs="Arial"/>
          <w:i/>
        </w:rPr>
        <w:t>El IV Plan Municipal de Prevención de Drogodependencia</w:t>
      </w:r>
      <w:r>
        <w:rPr>
          <w:rFonts w:ascii="Arial" w:eastAsia="Arial" w:hAnsi="Arial" w:cs="Arial"/>
          <w:i/>
        </w:rPr>
        <w:t xml:space="preserve">s y otras Adicciones (2019-2023) del municipio de Candelaria, precisa de un sistema de evaluación y seguimiento que garantice el logro de los objetivos marcados. </w:t>
      </w:r>
    </w:p>
    <w:p w:rsidR="00E23B86" w:rsidRDefault="00BA7C13">
      <w:pPr>
        <w:numPr>
          <w:ilvl w:val="0"/>
          <w:numId w:val="140"/>
        </w:numPr>
        <w:spacing w:after="111" w:line="251" w:lineRule="auto"/>
        <w:ind w:right="1" w:hanging="841"/>
        <w:jc w:val="both"/>
      </w:pPr>
      <w:r>
        <w:rPr>
          <w:rFonts w:ascii="Arial" w:eastAsia="Arial" w:hAnsi="Arial" w:cs="Arial"/>
          <w:i/>
        </w:rPr>
        <w:t xml:space="preserve">Los objetivos de la evaluación serán: </w:t>
      </w:r>
    </w:p>
    <w:p w:rsidR="00E23B86" w:rsidRDefault="00BA7C13">
      <w:pPr>
        <w:numPr>
          <w:ilvl w:val="0"/>
          <w:numId w:val="140"/>
        </w:numPr>
        <w:spacing w:after="111" w:line="251" w:lineRule="auto"/>
        <w:ind w:right="1" w:hanging="841"/>
        <w:jc w:val="both"/>
      </w:pPr>
      <w:r>
        <w:rPr>
          <w:rFonts w:ascii="Arial" w:eastAsia="Arial" w:hAnsi="Arial" w:cs="Arial"/>
          <w:i/>
        </w:rPr>
        <w:t xml:space="preserve">Evaluar la ejecución de las acciones de las distintas </w:t>
      </w:r>
      <w:r>
        <w:rPr>
          <w:rFonts w:ascii="Arial" w:eastAsia="Arial" w:hAnsi="Arial" w:cs="Arial"/>
          <w:i/>
        </w:rPr>
        <w:t>estrategias del Plan Municipal tanto en su diseño, proceso, resultados e impacto.</w:t>
      </w:r>
    </w:p>
    <w:p w:rsidR="00E23B86" w:rsidRDefault="00BA7C13">
      <w:pPr>
        <w:numPr>
          <w:ilvl w:val="0"/>
          <w:numId w:val="140"/>
        </w:numPr>
        <w:spacing w:after="111" w:line="251" w:lineRule="auto"/>
        <w:ind w:right="1" w:hanging="841"/>
        <w:jc w:val="both"/>
      </w:pPr>
      <w:r>
        <w:rPr>
          <w:rFonts w:ascii="Arial" w:eastAsia="Arial" w:hAnsi="Arial" w:cs="Arial"/>
          <w:i/>
        </w:rPr>
        <w:t>Hacer partícipes del proceso evaluativo a los/as técnicos/as, agentes sociales participantes y a la población.</w:t>
      </w:r>
    </w:p>
    <w:p w:rsidR="00E23B86" w:rsidRDefault="00BA7C13">
      <w:pPr>
        <w:numPr>
          <w:ilvl w:val="0"/>
          <w:numId w:val="140"/>
        </w:numPr>
        <w:spacing w:after="111" w:line="251" w:lineRule="auto"/>
        <w:ind w:right="1" w:hanging="841"/>
        <w:jc w:val="both"/>
      </w:pPr>
      <w:r>
        <w:rPr>
          <w:rFonts w:ascii="Arial" w:eastAsia="Arial" w:hAnsi="Arial" w:cs="Arial"/>
          <w:i/>
        </w:rPr>
        <w:t>Como procedimiento para evaluar y hacer un seguimiento del mism</w:t>
      </w:r>
      <w:r>
        <w:rPr>
          <w:rFonts w:ascii="Arial" w:eastAsia="Arial" w:hAnsi="Arial" w:cs="Arial"/>
          <w:i/>
        </w:rPr>
        <w:t>o se tendrán en cuenta los siguientes aspectos:</w:t>
      </w:r>
    </w:p>
    <w:p w:rsidR="00E23B86" w:rsidRDefault="00BA7C13">
      <w:pPr>
        <w:numPr>
          <w:ilvl w:val="0"/>
          <w:numId w:val="140"/>
        </w:numPr>
        <w:spacing w:after="111" w:line="251" w:lineRule="auto"/>
        <w:ind w:right="1" w:hanging="841"/>
        <w:jc w:val="both"/>
      </w:pPr>
      <w:r>
        <w:rPr>
          <w:rFonts w:ascii="Arial" w:eastAsia="Arial" w:hAnsi="Arial" w:cs="Arial"/>
          <w:i/>
        </w:rPr>
        <w:t>Comprobación de los indicadores de las medidas, acciones y actividades de la Planificación.</w:t>
      </w:r>
    </w:p>
    <w:p w:rsidR="00E23B86" w:rsidRDefault="00BA7C13">
      <w:pPr>
        <w:numPr>
          <w:ilvl w:val="0"/>
          <w:numId w:val="140"/>
        </w:numPr>
        <w:spacing w:after="111" w:line="251" w:lineRule="auto"/>
        <w:ind w:right="1" w:hanging="841"/>
        <w:jc w:val="both"/>
      </w:pPr>
      <w:r>
        <w:rPr>
          <w:rFonts w:ascii="Arial" w:eastAsia="Arial" w:hAnsi="Arial" w:cs="Arial"/>
          <w:i/>
        </w:rPr>
        <w:t>Evaluación externa de los resultados de la evaluación.</w:t>
      </w:r>
    </w:p>
    <w:p w:rsidR="00E23B86" w:rsidRDefault="00BA7C13">
      <w:pPr>
        <w:numPr>
          <w:ilvl w:val="0"/>
          <w:numId w:val="140"/>
        </w:numPr>
        <w:spacing w:after="111" w:line="251" w:lineRule="auto"/>
        <w:ind w:right="1" w:hanging="841"/>
        <w:jc w:val="both"/>
      </w:pPr>
      <w:r>
        <w:rPr>
          <w:rFonts w:ascii="Arial" w:eastAsia="Arial" w:hAnsi="Arial" w:cs="Arial"/>
          <w:i/>
        </w:rPr>
        <w:t>Presentación de informe anual ante la Comisión Municipal y Co</w:t>
      </w:r>
      <w:r>
        <w:rPr>
          <w:rFonts w:ascii="Arial" w:eastAsia="Arial" w:hAnsi="Arial" w:cs="Arial"/>
          <w:i/>
        </w:rPr>
        <w:t>misión Mixta órganos de control y seguimiento del IV Plan Municipal en Drogodependencias y otras Adicciones.</w:t>
      </w:r>
    </w:p>
    <w:p w:rsidR="00E23B86" w:rsidRDefault="00BA7C13">
      <w:pPr>
        <w:numPr>
          <w:ilvl w:val="0"/>
          <w:numId w:val="140"/>
        </w:numPr>
        <w:spacing w:after="111" w:line="251" w:lineRule="auto"/>
        <w:ind w:right="1" w:hanging="841"/>
        <w:jc w:val="both"/>
      </w:pPr>
      <w:r>
        <w:rPr>
          <w:rFonts w:ascii="Arial" w:eastAsia="Arial" w:hAnsi="Arial" w:cs="Arial"/>
          <w:i/>
        </w:rPr>
        <w:t xml:space="preserve">A continuación, se recogen los indicadores de evaluación a tener en cuenta para la evaluación del proceso y resultados del IV Plan Municipal y que concreta en: </w:t>
      </w:r>
    </w:p>
    <w:p w:rsidR="00E23B86" w:rsidRDefault="00BA7C13">
      <w:pPr>
        <w:numPr>
          <w:ilvl w:val="0"/>
          <w:numId w:val="140"/>
        </w:numPr>
        <w:spacing w:after="152" w:line="251" w:lineRule="auto"/>
        <w:ind w:right="1" w:hanging="841"/>
        <w:jc w:val="both"/>
      </w:pPr>
      <w:r>
        <w:rPr>
          <w:rFonts w:ascii="Arial" w:eastAsia="Arial" w:hAnsi="Arial" w:cs="Arial"/>
          <w:i/>
        </w:rPr>
        <w:t xml:space="preserve">Grado de cobertura de población con las acciones preventivas. </w:t>
      </w:r>
    </w:p>
    <w:p w:rsidR="00E23B86" w:rsidRDefault="00BA7C13">
      <w:pPr>
        <w:numPr>
          <w:ilvl w:val="0"/>
          <w:numId w:val="140"/>
        </w:numPr>
        <w:spacing w:after="152" w:line="251" w:lineRule="auto"/>
        <w:ind w:right="1" w:hanging="841"/>
        <w:jc w:val="both"/>
      </w:pPr>
      <w:r>
        <w:rPr>
          <w:noProof/>
        </w:rPr>
        <mc:AlternateContent>
          <mc:Choice Requires="wpg">
            <w:drawing>
              <wp:anchor distT="0" distB="0" distL="114300" distR="114300" simplePos="0" relativeHeight="2519869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1751" name="Group 58175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911" name="Rectangle 5091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w:t>
                              </w:r>
                              <w:r>
                                <w:rPr>
                                  <w:rFonts w:ascii="Arial" w:eastAsia="Arial" w:hAnsi="Arial" w:cs="Arial"/>
                                  <w:sz w:val="12"/>
                                </w:rPr>
                                <w:t xml:space="preserve">9GMGZC2N3FZWC | Verificación: https://candelaria.sedelectronica.es/ </w:t>
                              </w:r>
                            </w:p>
                          </w:txbxContent>
                        </wps:txbx>
                        <wps:bodyPr horzOverflow="overflow" vert="horz" lIns="0" tIns="0" rIns="0" bIns="0" rtlCol="0">
                          <a:noAutofit/>
                        </wps:bodyPr>
                      </wps:wsp>
                      <wps:wsp>
                        <wps:cNvPr id="50912" name="Rectangle 5091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319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1751" style="width:12.7031pt;height:280.35pt;position:absolute;mso-position-horizontal-relative:page;mso-position-horizontal:absolute;margin-left:681.958pt;mso-position-vertical-relative:page;margin-top:531.65pt;" coordsize="1613,35604">
                <v:rect id="Rectangle 5091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91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319 de 391 </w:t>
                        </w:r>
                      </w:p>
                    </w:txbxContent>
                  </v:textbox>
                </v:rect>
                <w10:wrap type="square"/>
              </v:group>
            </w:pict>
          </mc:Fallback>
        </mc:AlternateContent>
      </w:r>
      <w:r>
        <w:rPr>
          <w:rFonts w:ascii="Arial" w:eastAsia="Arial" w:hAnsi="Arial" w:cs="Arial"/>
          <w:i/>
        </w:rPr>
        <w:t xml:space="preserve">Tipología de las acciones preventivas ejecutadas. </w:t>
      </w:r>
    </w:p>
    <w:p w:rsidR="00E23B86" w:rsidRDefault="00BA7C13">
      <w:pPr>
        <w:numPr>
          <w:ilvl w:val="0"/>
          <w:numId w:val="140"/>
        </w:numPr>
        <w:spacing w:after="152" w:line="251" w:lineRule="auto"/>
        <w:ind w:right="1" w:hanging="841"/>
        <w:jc w:val="both"/>
      </w:pPr>
      <w:r>
        <w:rPr>
          <w:rFonts w:ascii="Arial" w:eastAsia="Arial" w:hAnsi="Arial" w:cs="Arial"/>
          <w:i/>
        </w:rPr>
        <w:t>Beneficiarios/as de las acciones (perfi</w:t>
      </w:r>
      <w:r>
        <w:rPr>
          <w:rFonts w:ascii="Arial" w:eastAsia="Arial" w:hAnsi="Arial" w:cs="Arial"/>
          <w:i/>
        </w:rPr>
        <w:t>l).</w:t>
      </w:r>
    </w:p>
    <w:p w:rsidR="00E23B86" w:rsidRDefault="00BA7C13">
      <w:pPr>
        <w:numPr>
          <w:ilvl w:val="0"/>
          <w:numId w:val="140"/>
        </w:numPr>
        <w:spacing w:after="152" w:line="251" w:lineRule="auto"/>
        <w:ind w:right="1" w:hanging="841"/>
        <w:jc w:val="both"/>
      </w:pPr>
      <w:r>
        <w:rPr>
          <w:rFonts w:ascii="Arial" w:eastAsia="Arial" w:hAnsi="Arial" w:cs="Arial"/>
          <w:i/>
        </w:rPr>
        <w:t>Participación, coordinación y diseño de actuaciones conjuntas.</w:t>
      </w:r>
    </w:p>
    <w:p w:rsidR="00E23B86" w:rsidRDefault="00BA7C13">
      <w:pPr>
        <w:numPr>
          <w:ilvl w:val="0"/>
          <w:numId w:val="140"/>
        </w:numPr>
        <w:spacing w:after="152" w:line="251" w:lineRule="auto"/>
        <w:ind w:right="1" w:hanging="841"/>
        <w:jc w:val="both"/>
      </w:pPr>
      <w:r>
        <w:rPr>
          <w:rFonts w:ascii="Arial" w:eastAsia="Arial" w:hAnsi="Arial" w:cs="Arial"/>
          <w:i/>
        </w:rPr>
        <w:t xml:space="preserve">Procesos básicos, de recursos y avanzados de gestión llevados a cabo. </w:t>
      </w:r>
    </w:p>
    <w:p w:rsidR="00E23B86" w:rsidRDefault="00BA7C13">
      <w:pPr>
        <w:numPr>
          <w:ilvl w:val="0"/>
          <w:numId w:val="140"/>
        </w:numPr>
        <w:spacing w:after="152" w:line="251" w:lineRule="auto"/>
        <w:ind w:right="1" w:hanging="841"/>
        <w:jc w:val="both"/>
      </w:pPr>
      <w:r>
        <w:rPr>
          <w:rFonts w:ascii="Arial" w:eastAsia="Arial" w:hAnsi="Arial" w:cs="Arial"/>
          <w:i/>
        </w:rPr>
        <w:t xml:space="preserve">Valoración de las acciones por parte de los/as participantes. </w:t>
      </w:r>
    </w:p>
    <w:p w:rsidR="00E23B86" w:rsidRDefault="00BA7C13">
      <w:pPr>
        <w:numPr>
          <w:ilvl w:val="0"/>
          <w:numId w:val="140"/>
        </w:numPr>
        <w:spacing w:after="152" w:line="251" w:lineRule="auto"/>
        <w:ind w:right="1" w:hanging="841"/>
        <w:jc w:val="both"/>
      </w:pPr>
      <w:r>
        <w:rPr>
          <w:rFonts w:ascii="Arial" w:eastAsia="Arial" w:hAnsi="Arial" w:cs="Arial"/>
          <w:i/>
        </w:rPr>
        <w:t>Nuevas propuestas y acciones y tipología.</w:t>
      </w:r>
    </w:p>
    <w:p w:rsidR="00E23B86" w:rsidRDefault="00BA7C13">
      <w:pPr>
        <w:numPr>
          <w:ilvl w:val="0"/>
          <w:numId w:val="140"/>
        </w:numPr>
        <w:spacing w:after="165" w:line="251" w:lineRule="auto"/>
        <w:ind w:right="1" w:hanging="841"/>
        <w:jc w:val="both"/>
      </w:pPr>
      <w:r>
        <w:rPr>
          <w:rFonts w:ascii="Arial" w:eastAsia="Arial" w:hAnsi="Arial" w:cs="Arial"/>
          <w:i/>
        </w:rPr>
        <w:t xml:space="preserve">Comprobación </w:t>
      </w:r>
      <w:r>
        <w:rPr>
          <w:rFonts w:ascii="Arial" w:eastAsia="Arial" w:hAnsi="Arial" w:cs="Arial"/>
          <w:i/>
        </w:rPr>
        <w:t>de cambios o mejorías de indicadores epidemiológicos en el ámbito municipal.</w:t>
      </w:r>
    </w:p>
    <w:p w:rsidR="00E23B86" w:rsidRDefault="00BA7C13">
      <w:pPr>
        <w:numPr>
          <w:ilvl w:val="0"/>
          <w:numId w:val="140"/>
        </w:numPr>
        <w:spacing w:after="170" w:line="251" w:lineRule="auto"/>
        <w:ind w:right="1" w:hanging="841"/>
        <w:jc w:val="both"/>
      </w:pPr>
      <w:r>
        <w:rPr>
          <w:rFonts w:ascii="Arial" w:eastAsia="Arial" w:hAnsi="Arial" w:cs="Arial"/>
          <w:i/>
        </w:rPr>
        <w:t>Número de acciones diseñadas que han sido ejecutadas.”</w:t>
      </w:r>
    </w:p>
    <w:p w:rsidR="00E23B86" w:rsidRDefault="00BA7C13">
      <w:pPr>
        <w:spacing w:after="14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73" w:line="249" w:lineRule="auto"/>
        <w:ind w:right="1" w:hanging="841"/>
        <w:jc w:val="both"/>
      </w:pPr>
      <w:r>
        <w:rPr>
          <w:rFonts w:ascii="Arial" w:eastAsia="Arial" w:hAnsi="Arial" w:cs="Arial"/>
          <w:b/>
        </w:rPr>
        <w:t xml:space="preserve">Segundo. - Remitir anuncio al Boletín Oficial de la Provincia de Santa Cruz de Tenerife al objeto de la información pública y audiencia a los interesados por el plazo de treinta días hábiles desde el día siguiente a la publicación de dicho anuncio para la </w:t>
      </w:r>
      <w:r>
        <w:rPr>
          <w:rFonts w:ascii="Arial" w:eastAsia="Arial" w:hAnsi="Arial" w:cs="Arial"/>
          <w:b/>
        </w:rPr>
        <w:t>presentación de reclamaciones y sugerencias.</w:t>
      </w:r>
    </w:p>
    <w:p w:rsidR="00E23B86" w:rsidRDefault="00BA7C13">
      <w:pPr>
        <w:spacing w:after="111" w:line="249" w:lineRule="auto"/>
        <w:ind w:left="355" w:right="3" w:hanging="10"/>
        <w:jc w:val="both"/>
      </w:pPr>
      <w:r>
        <w:rPr>
          <w:rFonts w:ascii="Arial" w:eastAsia="Arial" w:hAnsi="Arial" w:cs="Arial"/>
          <w:b/>
        </w:rPr>
        <w:t>En el caso de que no se hubiera presentado ninguna reclamación o sugerencia, se entenderá definitivamente adoptado el presente acuerdo hasta entonces provisional.”</w:t>
      </w:r>
    </w:p>
    <w:p w:rsidR="00E23B86" w:rsidRDefault="00BA7C13">
      <w:pPr>
        <w:spacing w:after="110" w:line="250" w:lineRule="auto"/>
        <w:ind w:left="355" w:hanging="10"/>
        <w:jc w:val="both"/>
      </w:pPr>
      <w:r>
        <w:rPr>
          <w:rFonts w:ascii="Arial" w:eastAsia="Arial" w:hAnsi="Arial" w:cs="Arial"/>
          <w:b/>
          <w:sz w:val="24"/>
        </w:rPr>
        <w:t>7.- Expediente 1015/2020. Propuesta de la Conce</w:t>
      </w:r>
      <w:r>
        <w:rPr>
          <w:rFonts w:ascii="Arial" w:eastAsia="Arial" w:hAnsi="Arial" w:cs="Arial"/>
          <w:b/>
          <w:sz w:val="24"/>
        </w:rPr>
        <w:t>jala delegada de Servicios Sociales, Igualdad y Sanidad, de fecha 17 de febrero de 2020 para solicitar a UNICEF - Comité Español, iniciar los trámites para la obtención del reconocimiento de Candelaria como ciudad amiga de la infancia</w:t>
      </w:r>
    </w:p>
    <w:p w:rsidR="00E23B86" w:rsidRDefault="00BA7C13">
      <w:pPr>
        <w:spacing w:after="86"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49" w:lineRule="auto"/>
        <w:ind w:right="1" w:hanging="841"/>
        <w:jc w:val="both"/>
      </w:pPr>
      <w:r>
        <w:rPr>
          <w:rFonts w:ascii="Arial" w:eastAsia="Arial" w:hAnsi="Arial" w:cs="Arial"/>
          <w:b/>
        </w:rPr>
        <w:t>Consta en el expedi</w:t>
      </w:r>
      <w:r>
        <w:rPr>
          <w:rFonts w:ascii="Arial" w:eastAsia="Arial" w:hAnsi="Arial" w:cs="Arial"/>
          <w:b/>
        </w:rPr>
        <w:t>ente propuesta de la Concejala delegada deServicios Sociales, Igualdad y Sanidad, de fecha 17 de febrero de 2020, que transcrito literalmente dice:</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114"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0" w:line="248" w:lineRule="auto"/>
        <w:ind w:right="1" w:hanging="841"/>
        <w:jc w:val="both"/>
      </w:pPr>
      <w:r>
        <w:rPr>
          <w:rFonts w:ascii="Arial" w:eastAsia="Arial" w:hAnsi="Arial" w:cs="Arial"/>
        </w:rPr>
        <w:t>“Tramitado por esta Concejalía expediente para el reconocimiento del Municipio de Candelaria como Ciudad</w:t>
      </w:r>
      <w:r>
        <w:rPr>
          <w:rFonts w:ascii="Arial" w:eastAsia="Arial" w:hAnsi="Arial" w:cs="Arial"/>
        </w:rPr>
        <w:t xml:space="preserve"> Amiga de la Infancia, consta informe de Doña Corina Marrero Déniz, Técnica Jurista adscrita a los Servicios Sociales, personal laboral del Ayuntamiento, de fecha 17 de febrero de 2020, del tenor literal siguiente:</w:t>
      </w:r>
    </w:p>
    <w:p w:rsidR="00E23B86" w:rsidRDefault="00BA7C13">
      <w:pPr>
        <w:spacing w:after="81"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89"/>
        <w:ind w:right="1" w:hanging="841"/>
        <w:jc w:val="both"/>
      </w:pPr>
      <w:r>
        <w:rPr>
          <w:rFonts w:ascii="Arial" w:eastAsia="Arial" w:hAnsi="Arial" w:cs="Arial"/>
          <w:b/>
          <w:i/>
        </w:rPr>
        <w:t>“INFORME</w:t>
      </w:r>
    </w:p>
    <w:p w:rsidR="00E23B86" w:rsidRDefault="00BA7C13">
      <w:pPr>
        <w:numPr>
          <w:ilvl w:val="0"/>
          <w:numId w:val="140"/>
        </w:numPr>
        <w:spacing w:after="95" w:line="249" w:lineRule="auto"/>
        <w:ind w:right="1" w:hanging="841"/>
        <w:jc w:val="both"/>
      </w:pPr>
      <w:r>
        <w:rPr>
          <w:noProof/>
        </w:rPr>
        <mc:AlternateContent>
          <mc:Choice Requires="wpg">
            <w:drawing>
              <wp:anchor distT="0" distB="0" distL="114300" distR="114300" simplePos="0" relativeHeight="2519879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7224" name="Group 57722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0984" name="Rectangle 5098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0985" name="Rectangle 5098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320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7224" style="width:12.7031pt;height:280.35pt;position:absolute;mso-position-horizontal-relative:page;mso-position-horizontal:absolute;margin-left:681.958pt;mso-position-vertical-relative:page;margin-top:531.65pt;" coordsize="1613,35604">
                <v:rect id="Rectangle 5098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098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320 de 391 </w:t>
                        </w:r>
                      </w:p>
                    </w:txbxContent>
                  </v:textbox>
                </v:rect>
                <w10:wrap type="square"/>
              </v:group>
            </w:pict>
          </mc:Fallback>
        </mc:AlternateContent>
      </w:r>
      <w:r>
        <w:rPr>
          <w:rFonts w:ascii="Arial" w:eastAsia="Arial" w:hAnsi="Arial" w:cs="Arial"/>
          <w:b/>
          <w:i/>
        </w:rPr>
        <w:t>Visto el expediente relativo a la participación en la convoca</w:t>
      </w:r>
      <w:r>
        <w:rPr>
          <w:rFonts w:ascii="Arial" w:eastAsia="Arial" w:hAnsi="Arial" w:cs="Arial"/>
          <w:b/>
          <w:i/>
        </w:rPr>
        <w:t xml:space="preserve">toria al reconocimiento como Ciudad Amiga de la Infancia, se emite el presente informe sobre la base de los siguientes </w:t>
      </w:r>
      <w:r>
        <w:rPr>
          <w:rFonts w:ascii="Segoe UI Symbol" w:eastAsia="Segoe UI Symbol" w:hAnsi="Segoe UI Symbol" w:cs="Segoe UI Symbol"/>
          <w:sz w:val="20"/>
        </w:rPr>
        <w:t></w:t>
      </w:r>
    </w:p>
    <w:p w:rsidR="00E23B86" w:rsidRDefault="00BA7C13">
      <w:pPr>
        <w:numPr>
          <w:ilvl w:val="0"/>
          <w:numId w:val="140"/>
        </w:numPr>
        <w:spacing w:after="89"/>
        <w:ind w:right="1" w:hanging="841"/>
        <w:jc w:val="both"/>
      </w:pPr>
      <w:r>
        <w:rPr>
          <w:rFonts w:ascii="Arial" w:eastAsia="Arial" w:hAnsi="Arial" w:cs="Arial"/>
          <w:b/>
          <w:i/>
        </w:rPr>
        <w:t>ANTECEDENTES DE HECHO</w:t>
      </w:r>
    </w:p>
    <w:p w:rsidR="00E23B86" w:rsidRDefault="00BA7C13">
      <w:pPr>
        <w:numPr>
          <w:ilvl w:val="0"/>
          <w:numId w:val="140"/>
        </w:numPr>
        <w:spacing w:after="111" w:line="251" w:lineRule="auto"/>
        <w:ind w:right="1" w:hanging="841"/>
        <w:jc w:val="both"/>
      </w:pPr>
      <w:r>
        <w:rPr>
          <w:rFonts w:ascii="Arial" w:eastAsia="Arial" w:hAnsi="Arial" w:cs="Arial"/>
          <w:b/>
          <w:i/>
        </w:rPr>
        <w:t xml:space="preserve">Primero.-  </w:t>
      </w:r>
      <w:r>
        <w:rPr>
          <w:rFonts w:ascii="Arial" w:eastAsia="Arial" w:hAnsi="Arial" w:cs="Arial"/>
          <w:i/>
        </w:rPr>
        <w:t>El Pleno Municipal en sesión ordinaria celebrada el día 24 de abril de 2019 acordó iniciar la tramitac</w:t>
      </w:r>
      <w:r>
        <w:rPr>
          <w:rFonts w:ascii="Arial" w:eastAsia="Arial" w:hAnsi="Arial" w:cs="Arial"/>
          <w:i/>
        </w:rPr>
        <w:t>ión de la solicitud de Municipio Aliado para obtener para Candelaria el Sello de Reconocimiento de Ciudad Amiga de la Infancia.</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20" w:line="251" w:lineRule="auto"/>
        <w:ind w:right="1" w:hanging="841"/>
        <w:jc w:val="both"/>
      </w:pPr>
      <w:r>
        <w:rPr>
          <w:rFonts w:ascii="Arial" w:eastAsia="Arial" w:hAnsi="Arial" w:cs="Arial"/>
          <w:b/>
          <w:i/>
        </w:rPr>
        <w:t>Segundo.-</w:t>
      </w:r>
      <w:r>
        <w:rPr>
          <w:rFonts w:ascii="Arial" w:eastAsia="Arial" w:hAnsi="Arial" w:cs="Arial"/>
          <w:i/>
        </w:rPr>
        <w:t xml:space="preserve"> La iniciativa</w:t>
      </w:r>
      <w:r>
        <w:rPr>
          <w:rFonts w:ascii="Arial" w:eastAsia="Arial" w:hAnsi="Arial" w:cs="Arial"/>
          <w:b/>
          <w:i/>
        </w:rPr>
        <w:t xml:space="preserve"> Ciudades Amigas de la Infancia</w:t>
      </w:r>
      <w:r>
        <w:rPr>
          <w:rFonts w:ascii="Arial" w:eastAsia="Arial" w:hAnsi="Arial" w:cs="Arial"/>
          <w:i/>
        </w:rPr>
        <w:t>, liderada por UNICEF Comité Español, tiene como objetivo general promov</w:t>
      </w:r>
      <w:r>
        <w:rPr>
          <w:rFonts w:ascii="Arial" w:eastAsia="Arial" w:hAnsi="Arial" w:cs="Arial"/>
          <w:i/>
        </w:rPr>
        <w:t xml:space="preserve">er la aplicación de la Convención sobre los Derechos del Niño (ONU, 1989), ratificada por nuestro país en 1990, en el ámbito de los Gobiernos Locales. </w:t>
      </w:r>
      <w:r>
        <w:rPr>
          <w:rFonts w:ascii="Segoe UI Symbol" w:eastAsia="Segoe UI Symbol" w:hAnsi="Segoe UI Symbol" w:cs="Segoe UI Symbol"/>
          <w:sz w:val="20"/>
        </w:rPr>
        <w:t></w:t>
      </w:r>
    </w:p>
    <w:p w:rsidR="00E23B86" w:rsidRDefault="00BA7C13">
      <w:pPr>
        <w:numPr>
          <w:ilvl w:val="0"/>
          <w:numId w:val="140"/>
        </w:numPr>
        <w:spacing w:after="22" w:line="251" w:lineRule="auto"/>
        <w:ind w:right="1" w:hanging="841"/>
        <w:jc w:val="both"/>
      </w:pPr>
      <w:r>
        <w:rPr>
          <w:rFonts w:ascii="Arial" w:eastAsia="Arial" w:hAnsi="Arial" w:cs="Arial"/>
          <w:b/>
          <w:i/>
        </w:rPr>
        <w:t>Ciudades Amigas de la Infancia</w:t>
      </w:r>
      <w:r>
        <w:rPr>
          <w:rFonts w:ascii="Arial" w:eastAsia="Arial" w:hAnsi="Arial" w:cs="Arial"/>
          <w:i/>
        </w:rPr>
        <w:t xml:space="preserve"> tiene como visión que todo niño, niña y adolescente disfrute de su infancia y adolescencia y desarrolle todo su potencial a través de la realización igualitaria de sus derechos en sus ciudades y comunidades. Con el fin de hacer realidad esta visión, los g</w:t>
      </w:r>
      <w:r>
        <w:rPr>
          <w:rFonts w:ascii="Arial" w:eastAsia="Arial" w:hAnsi="Arial" w:cs="Arial"/>
          <w:i/>
        </w:rPr>
        <w:t xml:space="preserve">obiernos locales y sus socios identifican sus resultados en las cinco esferas de objetivos generales, que recogen los derechos contenidos en la Convención sobre los Derechos del Niño. De esta forma una ciudad o comunidad cuenta con una gobernanza amiga de </w:t>
      </w:r>
      <w:r>
        <w:rPr>
          <w:rFonts w:ascii="Arial" w:eastAsia="Arial" w:hAnsi="Arial" w:cs="Arial"/>
          <w:i/>
        </w:rPr>
        <w:t>la infancia, al trabajar para alcanzar estos objetivos: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Cada niño, niña y adolescente es valorado, respetado y tratado justamente dentro de sus comunidades;</w:t>
      </w:r>
    </w:p>
    <w:p w:rsidR="00E23B86" w:rsidRDefault="00BA7C13">
      <w:pPr>
        <w:numPr>
          <w:ilvl w:val="0"/>
          <w:numId w:val="140"/>
        </w:numPr>
        <w:spacing w:after="24" w:line="251" w:lineRule="auto"/>
        <w:ind w:right="1" w:hanging="841"/>
        <w:jc w:val="both"/>
      </w:pPr>
      <w:r>
        <w:rPr>
          <w:rFonts w:ascii="Arial" w:eastAsia="Arial" w:hAnsi="Arial" w:cs="Arial"/>
          <w:i/>
        </w:rPr>
        <w:t>Las voces, necesidades y prioridades de cada niño y niña se escuchan y se consideran en las norma</w:t>
      </w:r>
      <w:r>
        <w:rPr>
          <w:rFonts w:ascii="Arial" w:eastAsia="Arial" w:hAnsi="Arial" w:cs="Arial"/>
          <w:i/>
        </w:rPr>
        <w:t>tivas y políticas públicas, en los presupuestos y en todas las decisiones que les afectan;</w:t>
      </w:r>
    </w:p>
    <w:p w:rsidR="00E23B86" w:rsidRDefault="00BA7C13">
      <w:pPr>
        <w:numPr>
          <w:ilvl w:val="0"/>
          <w:numId w:val="140"/>
        </w:numPr>
        <w:spacing w:after="14" w:line="251" w:lineRule="auto"/>
        <w:ind w:right="1" w:hanging="841"/>
        <w:jc w:val="both"/>
      </w:pPr>
      <w:r>
        <w:rPr>
          <w:rFonts w:ascii="Arial" w:eastAsia="Arial" w:hAnsi="Arial" w:cs="Arial"/>
          <w:i/>
        </w:rPr>
        <w:t>Todos los niños y niñas tienen acceso a servicios esenciales de calidad;</w:t>
      </w:r>
    </w:p>
    <w:p w:rsidR="00E23B86" w:rsidRDefault="00BA7C13">
      <w:pPr>
        <w:numPr>
          <w:ilvl w:val="0"/>
          <w:numId w:val="140"/>
        </w:numPr>
        <w:spacing w:after="14" w:line="251" w:lineRule="auto"/>
        <w:ind w:right="1" w:hanging="841"/>
        <w:jc w:val="both"/>
      </w:pPr>
      <w:r>
        <w:rPr>
          <w:rFonts w:ascii="Arial" w:eastAsia="Arial" w:hAnsi="Arial" w:cs="Arial"/>
          <w:i/>
        </w:rPr>
        <w:t>Todos los niños y niñas viven en entornos seguros y limpios;</w:t>
      </w:r>
    </w:p>
    <w:p w:rsidR="00E23B86" w:rsidRDefault="00BA7C13">
      <w:pPr>
        <w:numPr>
          <w:ilvl w:val="0"/>
          <w:numId w:val="140"/>
        </w:numPr>
        <w:spacing w:after="24" w:line="251" w:lineRule="auto"/>
        <w:ind w:right="1" w:hanging="841"/>
        <w:jc w:val="both"/>
      </w:pPr>
      <w:r>
        <w:rPr>
          <w:rFonts w:ascii="Arial" w:eastAsia="Arial" w:hAnsi="Arial" w:cs="Arial"/>
          <w:i/>
        </w:rPr>
        <w:t xml:space="preserve">Todos los niños y niñas tienen </w:t>
      </w:r>
      <w:r>
        <w:rPr>
          <w:rFonts w:ascii="Arial" w:eastAsia="Arial" w:hAnsi="Arial" w:cs="Arial"/>
          <w:i/>
        </w:rPr>
        <w:t xml:space="preserve">la oportunidad de disfrutar de la vida familiar, el juego y el ocio. </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20" w:line="251" w:lineRule="auto"/>
        <w:ind w:right="1" w:hanging="841"/>
        <w:jc w:val="both"/>
      </w:pPr>
      <w:r>
        <w:rPr>
          <w:rFonts w:ascii="Arial" w:eastAsia="Arial" w:hAnsi="Arial" w:cs="Arial"/>
          <w:i/>
        </w:rPr>
        <w:t>Ciudades Amigas de la Infancia se puso en marcha en España en el año 2001 y cuenta con el apoyo del Ministerio de Sanidad, Servicios Sociales e Igualdad, la Federación Española de Municipios y Provincias (FEMP) y el Instituto Universitario UAM-UNICEF de Ne</w:t>
      </w:r>
      <w:r>
        <w:rPr>
          <w:rFonts w:ascii="Arial" w:eastAsia="Arial" w:hAnsi="Arial" w:cs="Arial"/>
          <w:i/>
        </w:rPr>
        <w:t xml:space="preserve">cesidades y Derechos de la Infancia y la Adolescencia (IUNDIA) y UNICEF Comité Español. </w:t>
      </w:r>
      <w:r>
        <w:rPr>
          <w:rFonts w:ascii="Segoe UI Symbol" w:eastAsia="Segoe UI Symbol" w:hAnsi="Segoe UI Symbol" w:cs="Segoe UI Symbol"/>
          <w:sz w:val="20"/>
        </w:rPr>
        <w:t></w:t>
      </w:r>
    </w:p>
    <w:p w:rsidR="00E23B86" w:rsidRDefault="00BA7C13">
      <w:pPr>
        <w:numPr>
          <w:ilvl w:val="0"/>
          <w:numId w:val="140"/>
        </w:numPr>
        <w:spacing w:after="22" w:line="251" w:lineRule="auto"/>
        <w:ind w:right="1" w:hanging="841"/>
        <w:jc w:val="both"/>
      </w:pPr>
      <w:r>
        <w:rPr>
          <w:noProof/>
        </w:rPr>
        <mc:AlternateContent>
          <mc:Choice Requires="wpg">
            <w:drawing>
              <wp:anchor distT="0" distB="0" distL="114300" distR="114300" simplePos="0" relativeHeight="2519889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7646" name="Group 57764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060" name="Rectangle 5106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1061" name="Rectangle 5106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321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7646" style="width:12.7031pt;height:280.35pt;position:absolute;mso-position-horizontal-relative:page;mso-position-horizontal:absolute;margin-left:681.958pt;mso-position-vertical-relative:page;margin-top:531.65pt;" coordsize="1613,35604">
                <v:rect id="Rectangle 5106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06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321 de 391 </w:t>
                        </w:r>
                      </w:p>
                    </w:txbxContent>
                  </v:textbox>
                </v:rect>
                <w10:wrap type="square"/>
              </v:group>
            </w:pict>
          </mc:Fallback>
        </mc:AlternateContent>
      </w:r>
      <w:r>
        <w:rPr>
          <w:rFonts w:ascii="Arial" w:eastAsia="Arial" w:hAnsi="Arial" w:cs="Arial"/>
          <w:i/>
        </w:rPr>
        <w:t>A través del Reconocimiento Ciudad Amiga de la Infancia, UNICEF Comité Español destaca a aquellos gobiernos locales comprometidos con los cinco objetivos de dere</w:t>
      </w:r>
      <w:r>
        <w:rPr>
          <w:rFonts w:ascii="Arial" w:eastAsia="Arial" w:hAnsi="Arial" w:cs="Arial"/>
          <w:i/>
        </w:rPr>
        <w:t>chos anteriores, que aplican a nivel local un modelo de gestión desde un enfoque de derechos del niño, y que lo hacen bajo un sistema de gobernanza que favorezca la coordinación interna y externa, que promueva y genere mecanismos reales de participación in</w:t>
      </w:r>
      <w:r>
        <w:rPr>
          <w:rFonts w:ascii="Arial" w:eastAsia="Arial" w:hAnsi="Arial" w:cs="Arial"/>
          <w:i/>
        </w:rPr>
        <w:t>fantil y adolescente y que cuente con una estrategia a largo plazo para incorporar a la infancia y adolescencia en el centro de las políticas y acciones impulsadas desde los gobiernos locales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24" w:line="251" w:lineRule="auto"/>
        <w:ind w:right="1" w:hanging="841"/>
        <w:jc w:val="both"/>
      </w:pPr>
      <w:r>
        <w:rPr>
          <w:rFonts w:ascii="Arial" w:eastAsia="Arial" w:hAnsi="Arial" w:cs="Arial"/>
          <w:i/>
        </w:rPr>
        <w:t>UNICEF Comité Español determinará el otorgamiento del reconoci</w:t>
      </w:r>
      <w:r>
        <w:rPr>
          <w:rFonts w:ascii="Arial" w:eastAsia="Arial" w:hAnsi="Arial" w:cs="Arial"/>
          <w:i/>
        </w:rPr>
        <w:t xml:space="preserve">miento de acuerdo a lo establecido en las bases del reconocimiento 2019-2020. </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b/>
          <w:i/>
        </w:rPr>
        <w:t>Tercero.-</w:t>
      </w:r>
      <w:r>
        <w:rPr>
          <w:rFonts w:ascii="Arial" w:eastAsia="Arial" w:hAnsi="Arial" w:cs="Arial"/>
          <w:i/>
        </w:rPr>
        <w:t xml:space="preserve"> Las bases y toda la documentación relativa a la convocatoria se encuentra publicada en la página web ciudadesamigas.org/convocatoriaunicef-ciudades-amigas-infancia/.</w:t>
      </w:r>
    </w:p>
    <w:p w:rsidR="00E23B86" w:rsidRDefault="00BA7C13">
      <w:pPr>
        <w:numPr>
          <w:ilvl w:val="0"/>
          <w:numId w:val="140"/>
        </w:numPr>
        <w:spacing w:after="111" w:line="251" w:lineRule="auto"/>
        <w:ind w:right="1" w:hanging="841"/>
        <w:jc w:val="both"/>
      </w:pPr>
      <w:r>
        <w:rPr>
          <w:rFonts w:ascii="Arial" w:eastAsia="Arial" w:hAnsi="Arial" w:cs="Arial"/>
          <w:b/>
          <w:i/>
        </w:rPr>
        <w:t>Cuarto.-</w:t>
      </w:r>
      <w:r>
        <w:rPr>
          <w:rFonts w:ascii="Arial" w:eastAsia="Arial" w:hAnsi="Arial" w:cs="Arial"/>
          <w:i/>
        </w:rPr>
        <w:t xml:space="preserve"> Unicef Comité Español establece como requisitos para obtener el reconocimiento como Ciudad Amiga de la infancia los siguientes:</w:t>
      </w:r>
    </w:p>
    <w:p w:rsidR="00E23B86" w:rsidRDefault="00BA7C13">
      <w:pPr>
        <w:numPr>
          <w:ilvl w:val="0"/>
          <w:numId w:val="140"/>
        </w:numPr>
        <w:spacing w:after="111" w:line="251" w:lineRule="auto"/>
        <w:ind w:right="1" w:hanging="841"/>
        <w:jc w:val="both"/>
      </w:pPr>
      <w:r>
        <w:rPr>
          <w:rFonts w:ascii="Arial" w:eastAsia="Arial" w:hAnsi="Arial" w:cs="Arial"/>
          <w:i/>
        </w:rPr>
        <w:t>Ser un gobierno local, ayuntamiento, mancomunidad, cabildo insular, consejo insular u otro, dentro del sistema de la a</w:t>
      </w:r>
      <w:r>
        <w:rPr>
          <w:rFonts w:ascii="Arial" w:eastAsia="Arial" w:hAnsi="Arial" w:cs="Arial"/>
          <w:i/>
        </w:rPr>
        <w:t>dministración local del Estado Español y solicitar a UNICEF Comité Español la obtención del reconocimiento, realizando un registro para ello.</w:t>
      </w:r>
    </w:p>
    <w:p w:rsidR="00E23B86" w:rsidRDefault="00BA7C13">
      <w:pPr>
        <w:numPr>
          <w:ilvl w:val="0"/>
          <w:numId w:val="140"/>
        </w:numPr>
        <w:spacing w:after="111" w:line="249" w:lineRule="auto"/>
        <w:ind w:right="1" w:hanging="841"/>
        <w:jc w:val="both"/>
      </w:pPr>
      <w:r>
        <w:rPr>
          <w:rFonts w:ascii="Arial" w:eastAsia="Arial" w:hAnsi="Arial" w:cs="Arial"/>
          <w:i/>
        </w:rPr>
        <w:t>Contar con un órgano de participación infantil y adolescente activo, promovido, apoyado y reconocido por el gobier</w:t>
      </w:r>
      <w:r>
        <w:rPr>
          <w:rFonts w:ascii="Arial" w:eastAsia="Arial" w:hAnsi="Arial" w:cs="Arial"/>
          <w:i/>
        </w:rPr>
        <w:t>no local antes del 29 de febrero de 2020.</w:t>
      </w:r>
    </w:p>
    <w:p w:rsidR="00E23B86" w:rsidRDefault="00BA7C13">
      <w:pPr>
        <w:numPr>
          <w:ilvl w:val="0"/>
          <w:numId w:val="140"/>
        </w:numPr>
        <w:spacing w:after="111" w:line="251" w:lineRule="auto"/>
        <w:ind w:right="1" w:hanging="841"/>
        <w:jc w:val="both"/>
      </w:pPr>
      <w:r>
        <w:rPr>
          <w:rFonts w:ascii="Arial" w:eastAsia="Arial" w:hAnsi="Arial" w:cs="Arial"/>
          <w:i/>
        </w:rPr>
        <w:t>Haber llevado a pleno municipal la solicitud de participación en esta convocatoria y haber conseguido la mayoría suficiente para su aprobación. Será necesario aportar este documento de forma telemática antes del 29</w:t>
      </w:r>
      <w:r>
        <w:rPr>
          <w:rFonts w:ascii="Arial" w:eastAsia="Arial" w:hAnsi="Arial" w:cs="Arial"/>
          <w:i/>
        </w:rPr>
        <w:t xml:space="preserve"> de febrero de 2020 </w:t>
      </w:r>
    </w:p>
    <w:p w:rsidR="00E23B86" w:rsidRDefault="00BA7C13">
      <w:pPr>
        <w:spacing w:after="111" w:line="251" w:lineRule="auto"/>
        <w:ind w:left="355" w:right="27" w:hanging="10"/>
        <w:jc w:val="both"/>
      </w:pPr>
      <w:r>
        <w:rPr>
          <w:rFonts w:ascii="Arial" w:eastAsia="Arial" w:hAnsi="Arial" w:cs="Arial"/>
          <w:i/>
        </w:rPr>
        <w:t>Contar con un mecanismo de coordinación interna, que tenga como objetivo transversalizar la política de infancia dentro del gobierno local. Debe estar constituido y en funcionamiento antes del 29 de febrero de 2020.</w:t>
      </w:r>
    </w:p>
    <w:p w:rsidR="00E23B86" w:rsidRDefault="00BA7C13">
      <w:pPr>
        <w:numPr>
          <w:ilvl w:val="0"/>
          <w:numId w:val="140"/>
        </w:numPr>
        <w:spacing w:after="111" w:line="251" w:lineRule="auto"/>
        <w:ind w:right="1" w:hanging="841"/>
        <w:jc w:val="both"/>
      </w:pPr>
      <w:r>
        <w:rPr>
          <w:rFonts w:ascii="Arial" w:eastAsia="Arial" w:hAnsi="Arial" w:cs="Arial"/>
          <w:i/>
        </w:rPr>
        <w:t>Contar con un diagn</w:t>
      </w:r>
      <w:r>
        <w:rPr>
          <w:rFonts w:ascii="Arial" w:eastAsia="Arial" w:hAnsi="Arial" w:cs="Arial"/>
          <w:i/>
        </w:rPr>
        <w:t>óstico, elaborado de forma participativa y basado en datos, de la situación de la infancia y adolescencia que vive en el ámbito geográfico del gobierno local, de los recursos y servicios con los que se cuenta para su atención. El diagnóstico permitirá resa</w:t>
      </w:r>
      <w:r>
        <w:rPr>
          <w:rFonts w:ascii="Arial" w:eastAsia="Arial" w:hAnsi="Arial" w:cs="Arial"/>
          <w:i/>
        </w:rPr>
        <w:t>ltar los principales desafíos en temas de infancia y adolescencia a los que se enfrenta el gobierno local. Las entidades locales solicitantes deberán entregar el documento de su diagnóstico, e informar a través de la herramienta online de gestión de la inf</w:t>
      </w:r>
      <w:r>
        <w:rPr>
          <w:rFonts w:ascii="Arial" w:eastAsia="Arial" w:hAnsi="Arial" w:cs="Arial"/>
          <w:i/>
        </w:rPr>
        <w:t xml:space="preserve">ormación, antes del 30 de junio de 2020. </w:t>
      </w:r>
    </w:p>
    <w:p w:rsidR="00E23B86" w:rsidRDefault="00BA7C13">
      <w:pPr>
        <w:numPr>
          <w:ilvl w:val="0"/>
          <w:numId w:val="140"/>
        </w:numPr>
        <w:spacing w:after="111" w:line="251" w:lineRule="auto"/>
        <w:ind w:right="1" w:hanging="841"/>
        <w:jc w:val="both"/>
      </w:pPr>
      <w:r>
        <w:rPr>
          <w:rFonts w:ascii="Arial" w:eastAsia="Arial" w:hAnsi="Arial" w:cs="Arial"/>
          <w:i/>
        </w:rPr>
        <w:t>Contar con un plan local de infancia y adolescencia con su respectiva previsión presupuestaria. El plan debe incluir indicadores que faciliten el seguimiento de su implementación. La fecha de entrega de información</w:t>
      </w:r>
      <w:r>
        <w:rPr>
          <w:rFonts w:ascii="Arial" w:eastAsia="Arial" w:hAnsi="Arial" w:cs="Arial"/>
          <w:i/>
        </w:rPr>
        <w:t xml:space="preserve"> asociada a este requisito en la plataforma online y subir el plan elaborado como máximo hasta el 30 de junio de 2020.</w:t>
      </w:r>
    </w:p>
    <w:p w:rsidR="00E23B86" w:rsidRDefault="00BA7C13">
      <w:pPr>
        <w:numPr>
          <w:ilvl w:val="0"/>
          <w:numId w:val="140"/>
        </w:numPr>
        <w:spacing w:after="111" w:line="251" w:lineRule="auto"/>
        <w:ind w:right="1" w:hanging="841"/>
        <w:jc w:val="both"/>
      </w:pPr>
      <w:r>
        <w:rPr>
          <w:rFonts w:ascii="Arial" w:eastAsia="Arial" w:hAnsi="Arial" w:cs="Arial"/>
          <w:i/>
        </w:rPr>
        <w:t>Aprobar en el pleno municipal el plan local de infancia y adolescencia del gobierno local. La fecha de entrega es hasta el 30 de septiemb</w:t>
      </w:r>
      <w:r>
        <w:rPr>
          <w:rFonts w:ascii="Arial" w:eastAsia="Arial" w:hAnsi="Arial" w:cs="Arial"/>
          <w:i/>
        </w:rPr>
        <w:t>re de 2020</w:t>
      </w:r>
    </w:p>
    <w:p w:rsidR="00E23B86" w:rsidRDefault="00BA7C13">
      <w:pPr>
        <w:numPr>
          <w:ilvl w:val="0"/>
          <w:numId w:val="140"/>
        </w:numPr>
        <w:spacing w:after="111" w:line="251" w:lineRule="auto"/>
        <w:ind w:right="1" w:hanging="841"/>
        <w:jc w:val="both"/>
      </w:pPr>
      <w:r>
        <w:rPr>
          <w:rFonts w:ascii="Arial" w:eastAsia="Arial" w:hAnsi="Arial" w:cs="Arial"/>
          <w:i/>
        </w:rPr>
        <w:t>Realizar un ejercicio de transparencia y fomentar el buen gobierno y la rendición de cuentas, mediante la publicación permanente en la página web del gobierno local, del diagnóstico y del plan local de infancia y adolescencia. La fecha máxima asociada a es</w:t>
      </w:r>
      <w:r>
        <w:rPr>
          <w:rFonts w:ascii="Arial" w:eastAsia="Arial" w:hAnsi="Arial" w:cs="Arial"/>
          <w:i/>
        </w:rPr>
        <w:t>te requisito es el 30 de septiembre de 2020.</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noProof/>
        </w:rPr>
        <mc:AlternateContent>
          <mc:Choice Requires="wpg">
            <w:drawing>
              <wp:anchor distT="0" distB="0" distL="114300" distR="114300" simplePos="0" relativeHeight="2519900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8334" name="Group 57833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128" name="Rectangle 5112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1129" name="Rectangle 5112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322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8334" style="width:12.7031pt;height:280.35pt;position:absolute;mso-position-horizontal-relative:page;mso-position-horizontal:absolute;margin-left:681.958pt;mso-position-vertical-relative:page;margin-top:531.65pt;" coordsize="1613,35604">
                <v:rect id="Rectangle 5112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12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322 de 391 </w:t>
                        </w:r>
                      </w:p>
                    </w:txbxContent>
                  </v:textbox>
                </v:rect>
                <w10:wrap type="square"/>
              </v:group>
            </w:pict>
          </mc:Fallback>
        </mc:AlternateContent>
      </w:r>
      <w:r>
        <w:rPr>
          <w:rFonts w:ascii="Arial" w:eastAsia="Arial" w:hAnsi="Arial" w:cs="Arial"/>
          <w:b/>
          <w:i/>
        </w:rPr>
        <w:t>Quinto.-</w:t>
      </w:r>
      <w:r>
        <w:rPr>
          <w:rFonts w:ascii="Arial" w:eastAsia="Arial" w:hAnsi="Arial" w:cs="Arial"/>
          <w:i/>
        </w:rPr>
        <w:t xml:space="preserve"> Si</w:t>
      </w:r>
      <w:r>
        <w:rPr>
          <w:rFonts w:ascii="Arial" w:eastAsia="Arial" w:hAnsi="Arial" w:cs="Arial"/>
          <w:i/>
        </w:rPr>
        <w:t xml:space="preserve"> bien no se establece como requisito para el reconocimiento como Ciudad Amiga de la Infancia contar con un Consejo Local de Infancia y Adolescencia (CLIA), este órgano es preciso para dar cumplimiento al resto de los requisitos en cuanto es el mecanismo de</w:t>
      </w:r>
      <w:r>
        <w:rPr>
          <w:rFonts w:ascii="Arial" w:eastAsia="Arial" w:hAnsi="Arial" w:cs="Arial"/>
          <w:i/>
        </w:rPr>
        <w:t xml:space="preserve"> comunicación y participación de los niños, niñas y adolescentes con el gobierno local.</w:t>
      </w:r>
    </w:p>
    <w:p w:rsidR="00E23B86" w:rsidRDefault="00BA7C13">
      <w:pPr>
        <w:numPr>
          <w:ilvl w:val="0"/>
          <w:numId w:val="140"/>
        </w:numPr>
        <w:spacing w:after="111" w:line="251" w:lineRule="auto"/>
        <w:ind w:right="1" w:hanging="841"/>
        <w:jc w:val="both"/>
      </w:pPr>
      <w:r>
        <w:rPr>
          <w:rFonts w:ascii="Arial" w:eastAsia="Arial" w:hAnsi="Arial" w:cs="Arial"/>
          <w:i/>
        </w:rPr>
        <w:t>Las funciones, composición, y organización del Consejo Local deben estar regladas para garantizar su buen funcionamiento.</w:t>
      </w:r>
    </w:p>
    <w:p w:rsidR="00E23B86" w:rsidRDefault="00BA7C13">
      <w:pPr>
        <w:numPr>
          <w:ilvl w:val="0"/>
          <w:numId w:val="140"/>
        </w:numPr>
        <w:spacing w:after="111" w:line="251" w:lineRule="auto"/>
        <w:ind w:right="1" w:hanging="841"/>
        <w:jc w:val="both"/>
      </w:pPr>
      <w:r>
        <w:rPr>
          <w:rFonts w:ascii="Arial" w:eastAsia="Arial" w:hAnsi="Arial" w:cs="Arial"/>
          <w:i/>
        </w:rPr>
        <w:t>El Ayuntamiento ha sometido el borrador del Re</w:t>
      </w:r>
      <w:r>
        <w:rPr>
          <w:rFonts w:ascii="Arial" w:eastAsia="Arial" w:hAnsi="Arial" w:cs="Arial"/>
          <w:i/>
        </w:rPr>
        <w:t>glamento del Consejo Local de Infancia y Adolescencia a consulta pública previa desde el día 5 hasta el día 20 de febrero 2020 para su posterior aprobación.</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88" w:line="251" w:lineRule="auto"/>
        <w:ind w:right="1" w:hanging="841"/>
        <w:jc w:val="both"/>
      </w:pPr>
      <w:r>
        <w:rPr>
          <w:rFonts w:ascii="Arial" w:eastAsia="Arial" w:hAnsi="Arial" w:cs="Arial"/>
          <w:b/>
          <w:i/>
        </w:rPr>
        <w:t>Sexto.-</w:t>
      </w:r>
      <w:r>
        <w:rPr>
          <w:rFonts w:ascii="Arial" w:eastAsia="Arial" w:hAnsi="Arial" w:cs="Arial"/>
          <w:i/>
        </w:rPr>
        <w:t xml:space="preserve">  Consta en el expediente informe de fecha 17 de febrero de 2020 emitido por la Educadora </w:t>
      </w:r>
      <w:r>
        <w:rPr>
          <w:rFonts w:ascii="Arial" w:eastAsia="Arial" w:hAnsi="Arial" w:cs="Arial"/>
          <w:i/>
        </w:rPr>
        <w:t xml:space="preserve">Ana Herrera Morales, del siguiente tenor literal: </w:t>
      </w:r>
      <w:r>
        <w:rPr>
          <w:rFonts w:ascii="Segoe UI Symbol" w:eastAsia="Segoe UI Symbol" w:hAnsi="Segoe UI Symbol" w:cs="Segoe UI Symbol"/>
          <w:sz w:val="20"/>
        </w:rPr>
        <w:t></w:t>
      </w:r>
    </w:p>
    <w:p w:rsidR="00E23B86" w:rsidRDefault="00BA7C13">
      <w:pPr>
        <w:numPr>
          <w:ilvl w:val="0"/>
          <w:numId w:val="140"/>
        </w:numPr>
        <w:spacing w:after="89"/>
        <w:ind w:right="1" w:hanging="841"/>
        <w:jc w:val="both"/>
      </w:pPr>
      <w:r>
        <w:rPr>
          <w:rFonts w:ascii="Arial" w:eastAsia="Arial" w:hAnsi="Arial" w:cs="Arial"/>
          <w:b/>
          <w:i/>
        </w:rPr>
        <w:t>“INFORME TÉCNICO</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23" w:line="251" w:lineRule="auto"/>
        <w:ind w:right="1" w:hanging="841"/>
        <w:jc w:val="both"/>
      </w:pPr>
      <w:r>
        <w:rPr>
          <w:rFonts w:ascii="Arial" w:eastAsia="Arial" w:hAnsi="Arial" w:cs="Arial"/>
          <w:i/>
        </w:rPr>
        <w:t>Los niños/as y adolescentes (NNA) han estado sin voz en los procesos de toma de decisiones, en cuanto a ellos se refiere, hasta la aprobación de la Convención sobre los Derechos del Niño (20 noviembre 1989), donde se acepta como persona con derecho a la pa</w:t>
      </w:r>
      <w:r>
        <w:rPr>
          <w:rFonts w:ascii="Arial" w:eastAsia="Arial" w:hAnsi="Arial" w:cs="Arial"/>
          <w:i/>
        </w:rPr>
        <w:t>rticipación, que se integren como personas activas de la comunidad.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11" w:line="251" w:lineRule="auto"/>
        <w:ind w:right="1" w:hanging="841"/>
        <w:jc w:val="both"/>
      </w:pPr>
      <w:r>
        <w:rPr>
          <w:rFonts w:ascii="Arial" w:eastAsia="Arial" w:hAnsi="Arial" w:cs="Arial"/>
          <w:i/>
        </w:rPr>
        <w:t>La participación ciudadana es uno de los elementos clave para el desarrollo de las políticas públicas. Uno de los colectivos que tiene mayor</w:t>
      </w:r>
    </w:p>
    <w:p w:rsidR="00E23B86" w:rsidRDefault="00E23B86">
      <w:pPr>
        <w:sectPr w:rsidR="00E23B86">
          <w:headerReference w:type="even" r:id="rId71"/>
          <w:headerReference w:type="default" r:id="rId72"/>
          <w:footerReference w:type="even" r:id="rId73"/>
          <w:footerReference w:type="default" r:id="rId74"/>
          <w:headerReference w:type="first" r:id="rId75"/>
          <w:footerReference w:type="first" r:id="rId76"/>
          <w:pgSz w:w="14168" w:h="16840"/>
          <w:pgMar w:top="2005" w:right="2831" w:bottom="1489" w:left="3198" w:header="712" w:footer="712" w:gutter="0"/>
          <w:cols w:space="720"/>
        </w:sectPr>
      </w:pPr>
    </w:p>
    <w:p w:rsidR="00E23B86" w:rsidRDefault="00BA7C13">
      <w:pPr>
        <w:spacing w:after="22" w:line="251" w:lineRule="auto"/>
        <w:ind w:left="355" w:hanging="10"/>
        <w:jc w:val="both"/>
      </w:pPr>
      <w:r>
        <w:rPr>
          <w:rFonts w:ascii="Arial" w:eastAsia="Arial" w:hAnsi="Arial" w:cs="Arial"/>
          <w:i/>
        </w:rPr>
        <w:t>dificultad a la hora de ejercer su derecho a participar e intervenir en la realidad que les rodea, es el de niños/as y adolescentes.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23" w:line="251" w:lineRule="auto"/>
        <w:ind w:right="1" w:hanging="841"/>
        <w:jc w:val="both"/>
      </w:pPr>
      <w:r>
        <w:rPr>
          <w:rFonts w:ascii="Arial" w:eastAsia="Arial" w:hAnsi="Arial" w:cs="Arial"/>
          <w:i/>
        </w:rPr>
        <w:t>El proyecto “Ciudades Amigas de la Infancia y Adolescencia” pretende conseguir la participación social de los más jóvenes</w:t>
      </w:r>
      <w:r>
        <w:rPr>
          <w:rFonts w:ascii="Arial" w:eastAsia="Arial" w:hAnsi="Arial" w:cs="Arial"/>
          <w:i/>
        </w:rPr>
        <w:t xml:space="preserve"> a nivel municipal, teniendo en cuenta como finalidad esencial la definición de todo un conjunto de criterios generales y elementos informadores que ayuden a orientar la puesta en acción de dicho proyecto.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23" w:line="251" w:lineRule="auto"/>
        <w:ind w:right="1" w:hanging="841"/>
        <w:jc w:val="both"/>
      </w:pPr>
      <w:r>
        <w:rPr>
          <w:rFonts w:ascii="Arial" w:eastAsia="Arial" w:hAnsi="Arial" w:cs="Arial"/>
          <w:i/>
        </w:rPr>
        <w:t>El Ayuntamiento de Candelaria quiere reconocer el derecho de los más jóvenes a estar presentes, a decir que piensan, escuchar e incluir su voz, en las decisiones que les afecten en su desarrollo.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23" w:line="251" w:lineRule="auto"/>
        <w:ind w:right="1" w:hanging="841"/>
        <w:jc w:val="both"/>
      </w:pPr>
      <w:r>
        <w:rPr>
          <w:rFonts w:ascii="Arial" w:eastAsia="Arial" w:hAnsi="Arial" w:cs="Arial"/>
          <w:i/>
        </w:rPr>
        <w:t>Se inicia el proceso para ser reconocido como Ciudad Amiga</w:t>
      </w:r>
      <w:r>
        <w:rPr>
          <w:rFonts w:ascii="Arial" w:eastAsia="Arial" w:hAnsi="Arial" w:cs="Arial"/>
          <w:i/>
        </w:rPr>
        <w:t xml:space="preserve"> de la Infancia y la Adolescencia por aprobación plenaria el 04/04/2019. Posteriormente se comienza el cumplimiento de los requisitos establecidos en las bases de la convocatoria 2019-2020.</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24" w:line="251" w:lineRule="auto"/>
        <w:ind w:right="1" w:hanging="841"/>
        <w:jc w:val="both"/>
      </w:pPr>
      <w:r>
        <w:rPr>
          <w:rFonts w:ascii="Arial" w:eastAsia="Arial" w:hAnsi="Arial" w:cs="Arial"/>
          <w:i/>
        </w:rPr>
        <w:t>1.- Se da registro de todos los datos generales en la plataforma</w:t>
      </w:r>
      <w:r>
        <w:rPr>
          <w:rFonts w:ascii="Arial" w:eastAsia="Arial" w:hAnsi="Arial" w:cs="Arial"/>
          <w:i/>
        </w:rPr>
        <w:t xml:space="preserve"> online de UNICEF (09/01/2020).</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2" w:line="251" w:lineRule="auto"/>
        <w:ind w:right="1" w:hanging="841"/>
        <w:jc w:val="both"/>
      </w:pPr>
      <w:r>
        <w:rPr>
          <w:rFonts w:ascii="Arial" w:eastAsia="Arial" w:hAnsi="Arial" w:cs="Arial"/>
          <w:i/>
        </w:rPr>
        <w:t>2.- Órgano de participación infantil y adolescente (OPIA):</w:t>
      </w:r>
    </w:p>
    <w:p w:rsidR="00E23B86" w:rsidRDefault="00BA7C13">
      <w:pPr>
        <w:spacing w:after="3" w:line="265" w:lineRule="auto"/>
        <w:ind w:left="-5" w:right="13" w:hanging="10"/>
      </w:pPr>
      <w:r>
        <w:rPr>
          <w:noProof/>
        </w:rPr>
        <mc:AlternateContent>
          <mc:Choice Requires="wpg">
            <w:drawing>
              <wp:anchor distT="0" distB="0" distL="114300" distR="114300" simplePos="0" relativeHeight="2519910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8887" name="Group 57888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201" name="Rectangle 5120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1202" name="Rectangle 5120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w:t>
                              </w:r>
                              <w:r>
                                <w:rPr>
                                  <w:rFonts w:ascii="Arial" w:eastAsia="Arial" w:hAnsi="Arial" w:cs="Arial"/>
                                  <w:sz w:val="12"/>
                                </w:rPr>
                                <w:t xml:space="preserve">lico Gestiona | Página 323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8887" style="width:12.7031pt;height:280.35pt;position:absolute;mso-position-horizontal-relative:page;mso-position-horizontal:absolute;margin-left:681.958pt;mso-position-vertical-relative:page;margin-top:531.65pt;" coordsize="1613,35604">
                <v:rect id="Rectangle 5120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20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323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numPr>
          <w:ilvl w:val="0"/>
          <w:numId w:val="140"/>
        </w:numPr>
        <w:spacing w:after="14" w:line="251" w:lineRule="auto"/>
        <w:ind w:right="1" w:hanging="841"/>
        <w:jc w:val="both"/>
      </w:pPr>
      <w:r>
        <w:rPr>
          <w:rFonts w:ascii="Arial" w:eastAsia="Arial" w:hAnsi="Arial" w:cs="Arial"/>
          <w:i/>
        </w:rPr>
        <w:t>Los requisitos para formar parte de este grupo son:</w:t>
      </w:r>
    </w:p>
    <w:p w:rsidR="00E23B86" w:rsidRDefault="00BA7C13">
      <w:pPr>
        <w:numPr>
          <w:ilvl w:val="4"/>
          <w:numId w:val="147"/>
        </w:numPr>
        <w:spacing w:after="0" w:line="455" w:lineRule="auto"/>
        <w:ind w:right="5" w:hanging="360"/>
        <w:jc w:val="both"/>
      </w:pPr>
      <w:r>
        <w:rPr>
          <w:rFonts w:ascii="Arial" w:eastAsia="Arial" w:hAnsi="Arial" w:cs="Arial"/>
          <w:i/>
        </w:rPr>
        <w:t xml:space="preserve">Residir en el municipio. </w:t>
      </w:r>
      <w:r>
        <w:rPr>
          <w:rFonts w:ascii="Courier New" w:eastAsia="Courier New" w:hAnsi="Courier New" w:cs="Courier New"/>
          <w:sz w:val="20"/>
        </w:rPr>
        <w:t xml:space="preserve">o </w:t>
      </w:r>
      <w:r>
        <w:rPr>
          <w:rFonts w:ascii="Arial" w:eastAsia="Arial" w:hAnsi="Arial" w:cs="Arial"/>
          <w:i/>
        </w:rPr>
        <w:t xml:space="preserve">Tener menos de 18 años </w:t>
      </w:r>
      <w:r>
        <w:rPr>
          <w:rFonts w:ascii="Courier New" w:eastAsia="Courier New" w:hAnsi="Courier New" w:cs="Courier New"/>
          <w:sz w:val="20"/>
        </w:rPr>
        <w:t xml:space="preserve">o </w:t>
      </w:r>
      <w:r>
        <w:rPr>
          <w:rFonts w:ascii="Arial" w:eastAsia="Arial" w:hAnsi="Arial" w:cs="Arial"/>
          <w:i/>
        </w:rPr>
        <w:t>Participar voluntariamente</w:t>
      </w:r>
    </w:p>
    <w:p w:rsidR="00E23B86" w:rsidRDefault="00BA7C13">
      <w:pPr>
        <w:numPr>
          <w:ilvl w:val="4"/>
          <w:numId w:val="147"/>
        </w:numPr>
        <w:spacing w:after="180" w:line="251" w:lineRule="auto"/>
        <w:ind w:right="5" w:hanging="360"/>
        <w:jc w:val="both"/>
      </w:pPr>
      <w:r>
        <w:rPr>
          <w:rFonts w:ascii="Arial" w:eastAsia="Arial" w:hAnsi="Arial" w:cs="Arial"/>
          <w:i/>
        </w:rPr>
        <w:t>Contar con el consentimiento de quien ostente la guarda y custodia o patria potestad</w:t>
      </w:r>
    </w:p>
    <w:p w:rsidR="00E23B86" w:rsidRDefault="00BA7C13">
      <w:pPr>
        <w:numPr>
          <w:ilvl w:val="4"/>
          <w:numId w:val="147"/>
        </w:numPr>
        <w:spacing w:after="30" w:line="251" w:lineRule="auto"/>
        <w:ind w:right="5" w:hanging="360"/>
        <w:jc w:val="both"/>
      </w:pPr>
      <w:r>
        <w:rPr>
          <w:rFonts w:ascii="Arial" w:eastAsia="Arial" w:hAnsi="Arial" w:cs="Arial"/>
          <w:i/>
        </w:rPr>
        <w:t xml:space="preserve">El OPIA es un espacio conformado por </w:t>
      </w:r>
      <w:r>
        <w:rPr>
          <w:rFonts w:ascii="Arial" w:eastAsia="Arial" w:hAnsi="Arial" w:cs="Arial"/>
          <w:b/>
          <w:i/>
        </w:rPr>
        <w:t>8 niños y 7 niñas</w:t>
      </w:r>
      <w:r>
        <w:rPr>
          <w:rFonts w:ascii="Arial" w:eastAsia="Arial" w:hAnsi="Arial" w:cs="Arial"/>
          <w:i/>
        </w:rPr>
        <w:t xml:space="preserve"> siendo los altavoces de todos los/as niños/as y adolescentes del municipio donde sus propuestas, ideas y necesidades son tenidas en cuenta por el gobierno local.</w:t>
      </w:r>
    </w:p>
    <w:p w:rsidR="00E23B86" w:rsidRDefault="00BA7C13">
      <w:pPr>
        <w:numPr>
          <w:ilvl w:val="4"/>
          <w:numId w:val="147"/>
        </w:numPr>
        <w:spacing w:after="30" w:line="251" w:lineRule="auto"/>
        <w:ind w:right="5" w:hanging="360"/>
        <w:jc w:val="both"/>
      </w:pPr>
      <w:r>
        <w:rPr>
          <w:rFonts w:ascii="Arial" w:eastAsia="Arial" w:hAnsi="Arial" w:cs="Arial"/>
          <w:i/>
        </w:rPr>
        <w:t>Para la elección de los representantes,</w:t>
      </w:r>
      <w:r>
        <w:rPr>
          <w:rFonts w:ascii="Arial" w:eastAsia="Arial" w:hAnsi="Arial" w:cs="Arial"/>
          <w:i/>
        </w:rPr>
        <w:t xml:space="preserve"> en los centros educativos y cívicos, se les informó de cómo participar en el grupo, se presentaron voluntariamente teniendo en cuenta la participación equitativa por géneros e involucrando a los más vulnerables.</w:t>
      </w:r>
    </w:p>
    <w:p w:rsidR="00E23B86" w:rsidRDefault="00BA7C13">
      <w:pPr>
        <w:numPr>
          <w:ilvl w:val="4"/>
          <w:numId w:val="147"/>
        </w:numPr>
        <w:spacing w:after="54" w:line="251" w:lineRule="auto"/>
        <w:ind w:right="5" w:hanging="360"/>
        <w:jc w:val="both"/>
      </w:pPr>
      <w:r>
        <w:rPr>
          <w:rFonts w:ascii="Arial" w:eastAsia="Arial" w:hAnsi="Arial" w:cs="Arial"/>
          <w:i/>
        </w:rPr>
        <w:t>Las edades abarcan desde los nueve hasta lo</w:t>
      </w:r>
      <w:r>
        <w:rPr>
          <w:rFonts w:ascii="Arial" w:eastAsia="Arial" w:hAnsi="Arial" w:cs="Arial"/>
          <w:i/>
        </w:rPr>
        <w:t>s dieciséis años.</w:t>
      </w:r>
    </w:p>
    <w:p w:rsidR="00E23B86" w:rsidRDefault="00BA7C13">
      <w:pPr>
        <w:numPr>
          <w:ilvl w:val="4"/>
          <w:numId w:val="147"/>
        </w:numPr>
        <w:spacing w:after="34" w:line="251" w:lineRule="auto"/>
        <w:ind w:right="5" w:hanging="360"/>
        <w:jc w:val="both"/>
      </w:pPr>
      <w:r>
        <w:rPr>
          <w:rFonts w:ascii="Arial" w:eastAsia="Arial" w:hAnsi="Arial" w:cs="Arial"/>
          <w:i/>
        </w:rPr>
        <w:t xml:space="preserve">Las reuniones tendrán lugar una vez al mes, y el horario será fuera del horario escolar, en función de las actividades extraescolares de los NNA. </w:t>
      </w:r>
      <w:r>
        <w:rPr>
          <w:rFonts w:ascii="Courier New" w:eastAsia="Courier New" w:hAnsi="Courier New" w:cs="Courier New"/>
          <w:sz w:val="20"/>
        </w:rPr>
        <w:t xml:space="preserve">o </w:t>
      </w:r>
      <w:r>
        <w:rPr>
          <w:rFonts w:ascii="Arial" w:eastAsia="Arial" w:hAnsi="Arial" w:cs="Arial"/>
          <w:i/>
        </w:rPr>
        <w:t xml:space="preserve">Los recursos necesarios para su funcionamiento son: recursos humanos, material fungible, instalación específica para las reuniones (Servicios Sociales), equipos y soportes técnicos, transporte (en caso de que la residencia habitual de los participantes se </w:t>
      </w:r>
      <w:r>
        <w:rPr>
          <w:rFonts w:ascii="Arial" w:eastAsia="Arial" w:hAnsi="Arial" w:cs="Arial"/>
          <w:i/>
        </w:rPr>
        <w:t>encuentre alejados de la instalación).</w:t>
      </w:r>
    </w:p>
    <w:p w:rsidR="00E23B86" w:rsidRDefault="00BA7C13">
      <w:pPr>
        <w:numPr>
          <w:ilvl w:val="4"/>
          <w:numId w:val="147"/>
        </w:numPr>
        <w:spacing w:after="34" w:line="251" w:lineRule="auto"/>
        <w:ind w:right="5" w:hanging="360"/>
        <w:jc w:val="both"/>
      </w:pPr>
      <w:r>
        <w:rPr>
          <w:rFonts w:ascii="Arial" w:eastAsia="Arial" w:hAnsi="Arial" w:cs="Arial"/>
          <w:i/>
        </w:rPr>
        <w:t>Las propuestas y conclusiones que se planteen deben de ser tenidas en cuenta por los responsables de gobierno local y a su vez que reciban la información oportuna sean o no factibles.</w:t>
      </w:r>
    </w:p>
    <w:p w:rsidR="00E23B86" w:rsidRDefault="00BA7C13">
      <w:pPr>
        <w:numPr>
          <w:ilvl w:val="4"/>
          <w:numId w:val="147"/>
        </w:numPr>
        <w:spacing w:after="28" w:line="251" w:lineRule="auto"/>
        <w:ind w:right="5" w:hanging="360"/>
        <w:jc w:val="both"/>
      </w:pPr>
      <w:r>
        <w:rPr>
          <w:rFonts w:ascii="Arial" w:eastAsia="Arial" w:hAnsi="Arial" w:cs="Arial"/>
          <w:i/>
        </w:rPr>
        <w:t>En la dinámica del grupo solo par</w:t>
      </w:r>
      <w:r>
        <w:rPr>
          <w:rFonts w:ascii="Arial" w:eastAsia="Arial" w:hAnsi="Arial" w:cs="Arial"/>
          <w:i/>
        </w:rPr>
        <w:t>ticiparán los/as niños/as y adolescentes junto con un técnico de Participación Ciudadana (Concepción Sicilia González) y la educadora de Servicios Sociales (Ana Herrera Morales). Toda la metodología será participativa y activa donde los/as niños/as sean lo</w:t>
      </w:r>
      <w:r>
        <w:rPr>
          <w:rFonts w:ascii="Arial" w:eastAsia="Arial" w:hAnsi="Arial" w:cs="Arial"/>
          <w:i/>
        </w:rPr>
        <w:t>s protagonistas.</w:t>
      </w:r>
    </w:p>
    <w:p w:rsidR="00E23B86" w:rsidRDefault="00BA7C13">
      <w:pPr>
        <w:numPr>
          <w:ilvl w:val="4"/>
          <w:numId w:val="147"/>
        </w:numPr>
        <w:spacing w:after="0" w:line="301" w:lineRule="auto"/>
        <w:ind w:right="5" w:hanging="360"/>
        <w:jc w:val="both"/>
      </w:pPr>
      <w:r>
        <w:rPr>
          <w:rFonts w:ascii="Arial" w:eastAsia="Arial" w:hAnsi="Arial" w:cs="Arial"/>
          <w:i/>
        </w:rPr>
        <w:t>El órgano de participación contará con un reglamento específico elaborado y aprobado por los propios NNA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12" w:line="251" w:lineRule="auto"/>
        <w:ind w:right="1" w:hanging="841"/>
        <w:jc w:val="both"/>
      </w:pPr>
      <w:r>
        <w:rPr>
          <w:rFonts w:ascii="Arial" w:eastAsia="Arial" w:hAnsi="Arial" w:cs="Arial"/>
          <w:i/>
        </w:rPr>
        <w:t>3.- Órgano de coordinación interna:</w:t>
      </w:r>
    </w:p>
    <w:p w:rsidR="00E23B86" w:rsidRDefault="00BA7C13">
      <w:pPr>
        <w:numPr>
          <w:ilvl w:val="0"/>
          <w:numId w:val="140"/>
        </w:numPr>
        <w:spacing w:after="33" w:line="251" w:lineRule="auto"/>
        <w:ind w:right="1" w:hanging="841"/>
        <w:jc w:val="both"/>
      </w:pPr>
      <w:r>
        <w:rPr>
          <w:rFonts w:ascii="Courier New" w:eastAsia="Courier New" w:hAnsi="Courier New" w:cs="Courier New"/>
          <w:sz w:val="20"/>
        </w:rPr>
        <w:t xml:space="preserve">o </w:t>
      </w:r>
      <w:r>
        <w:rPr>
          <w:rFonts w:ascii="Arial" w:eastAsia="Arial" w:hAnsi="Arial" w:cs="Arial"/>
          <w:i/>
        </w:rPr>
        <w:t xml:space="preserve">Es un espacio del gobierno local con representación de diversas áreas, tanto a nivel político como técnico. </w:t>
      </w:r>
    </w:p>
    <w:p w:rsidR="00E23B86" w:rsidRDefault="00BA7C13">
      <w:pPr>
        <w:numPr>
          <w:ilvl w:val="4"/>
          <w:numId w:val="145"/>
        </w:numPr>
        <w:spacing w:after="56" w:line="251" w:lineRule="auto"/>
        <w:ind w:right="573" w:hanging="360"/>
        <w:jc w:val="both"/>
      </w:pPr>
      <w:r>
        <w:rPr>
          <w:rFonts w:ascii="Arial" w:eastAsia="Arial" w:hAnsi="Arial" w:cs="Arial"/>
          <w:i/>
        </w:rPr>
        <w:t>Tiene como objetivo transversalizar la política local de infancia.</w:t>
      </w:r>
    </w:p>
    <w:p w:rsidR="00E23B86" w:rsidRDefault="00BA7C13">
      <w:pPr>
        <w:numPr>
          <w:ilvl w:val="4"/>
          <w:numId w:val="145"/>
        </w:numPr>
        <w:spacing w:after="51" w:line="251" w:lineRule="auto"/>
        <w:ind w:right="573" w:hanging="360"/>
        <w:jc w:val="both"/>
      </w:pPr>
      <w:r>
        <w:rPr>
          <w:rFonts w:ascii="Arial" w:eastAsia="Arial" w:hAnsi="Arial" w:cs="Arial"/>
          <w:i/>
        </w:rPr>
        <w:t>Está formado por:</w:t>
      </w:r>
    </w:p>
    <w:p w:rsidR="00E23B86" w:rsidRDefault="00BA7C13">
      <w:pPr>
        <w:numPr>
          <w:ilvl w:val="6"/>
          <w:numId w:val="146"/>
        </w:numPr>
        <w:spacing w:after="24" w:line="251" w:lineRule="auto"/>
        <w:ind w:right="462" w:hanging="360"/>
        <w:jc w:val="both"/>
      </w:pPr>
      <w:r>
        <w:rPr>
          <w:rFonts w:ascii="Arial" w:eastAsia="Arial" w:hAnsi="Arial" w:cs="Arial"/>
          <w:i/>
        </w:rPr>
        <w:t>Olivia C. Pérez Díaz. Concejala de Servicios Sociales, Igualda</w:t>
      </w:r>
      <w:r>
        <w:rPr>
          <w:rFonts w:ascii="Arial" w:eastAsia="Arial" w:hAnsi="Arial" w:cs="Arial"/>
          <w:i/>
        </w:rPr>
        <w:t>d y Sanidad.</w:t>
      </w:r>
    </w:p>
    <w:p w:rsidR="00E23B86" w:rsidRDefault="00BA7C13">
      <w:pPr>
        <w:numPr>
          <w:ilvl w:val="6"/>
          <w:numId w:val="146"/>
        </w:numPr>
        <w:spacing w:after="24" w:line="251" w:lineRule="auto"/>
        <w:ind w:right="462" w:hanging="360"/>
        <w:jc w:val="both"/>
      </w:pPr>
      <w:r>
        <w:rPr>
          <w:noProof/>
        </w:rPr>
        <mc:AlternateContent>
          <mc:Choice Requires="wpg">
            <w:drawing>
              <wp:anchor distT="0" distB="0" distL="114300" distR="114300" simplePos="0" relativeHeight="2519920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9136" name="Group 57913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292" name="Rectangle 5129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1293" name="Rectangle 5129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324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9136" style="width:12.7031pt;height:280.35pt;position:absolute;mso-position-horizontal-relative:page;mso-position-horizontal:absolute;margin-left:681.958pt;mso-position-vertical-relative:page;margin-top:531.65pt;" coordsize="1613,35604">
                <v:rect id="Rectangle 5129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29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324 de 391 </w:t>
                        </w:r>
                      </w:p>
                    </w:txbxContent>
                  </v:textbox>
                </v:rect>
                <w10:wrap type="square"/>
              </v:group>
            </w:pict>
          </mc:Fallback>
        </mc:AlternateContent>
      </w:r>
      <w:r>
        <w:rPr>
          <w:rFonts w:ascii="Arial" w:eastAsia="Arial" w:hAnsi="Arial" w:cs="Arial"/>
          <w:i/>
        </w:rPr>
        <w:t>Margarita E. Tendero Barroso. Concejala de Ed</w:t>
      </w:r>
      <w:r>
        <w:rPr>
          <w:rFonts w:ascii="Arial" w:eastAsia="Arial" w:hAnsi="Arial" w:cs="Arial"/>
          <w:i/>
        </w:rPr>
        <w:t xml:space="preserve">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Ana Perdomo Castagno. Técnico/a de Educación.</w:t>
      </w:r>
    </w:p>
    <w:p w:rsidR="00E23B86" w:rsidRDefault="00BA7C13">
      <w:pPr>
        <w:numPr>
          <w:ilvl w:val="6"/>
          <w:numId w:val="146"/>
        </w:numPr>
        <w:spacing w:after="27" w:line="251" w:lineRule="auto"/>
        <w:ind w:right="462" w:hanging="360"/>
        <w:jc w:val="both"/>
      </w:pPr>
      <w:r>
        <w:rPr>
          <w:rFonts w:ascii="Arial" w:eastAsia="Arial" w:hAnsi="Arial" w:cs="Arial"/>
          <w:i/>
        </w:rPr>
        <w:t>Juan Ángel Castro. Técnico de Cultura.</w:t>
      </w:r>
    </w:p>
    <w:p w:rsidR="00E23B86" w:rsidRDefault="00BA7C13">
      <w:pPr>
        <w:numPr>
          <w:ilvl w:val="6"/>
          <w:numId w:val="146"/>
        </w:numPr>
        <w:spacing w:after="27" w:line="251" w:lineRule="auto"/>
        <w:ind w:right="462" w:hanging="360"/>
        <w:jc w:val="both"/>
      </w:pPr>
      <w:r>
        <w:rPr>
          <w:rFonts w:ascii="Arial" w:eastAsia="Arial" w:hAnsi="Arial" w:cs="Arial"/>
          <w:i/>
        </w:rPr>
        <w:t>Francisco J. Técnico de Deportes.</w:t>
      </w:r>
    </w:p>
    <w:p w:rsidR="00E23B86" w:rsidRDefault="00BA7C13">
      <w:pPr>
        <w:numPr>
          <w:ilvl w:val="6"/>
          <w:numId w:val="146"/>
        </w:numPr>
        <w:spacing w:after="27" w:line="251" w:lineRule="auto"/>
        <w:ind w:right="462" w:hanging="360"/>
        <w:jc w:val="both"/>
      </w:pPr>
      <w:r>
        <w:rPr>
          <w:rFonts w:ascii="Arial" w:eastAsia="Arial" w:hAnsi="Arial" w:cs="Arial"/>
          <w:i/>
        </w:rPr>
        <w:t>Joana Gómez-Urda Lorenzo . Técnico de Sanidad.</w:t>
      </w:r>
    </w:p>
    <w:p w:rsidR="00E23B86" w:rsidRDefault="00BA7C13">
      <w:pPr>
        <w:numPr>
          <w:ilvl w:val="6"/>
          <w:numId w:val="146"/>
        </w:numPr>
        <w:spacing w:after="24" w:line="251" w:lineRule="auto"/>
        <w:ind w:right="462" w:hanging="360"/>
        <w:jc w:val="both"/>
      </w:pPr>
      <w:r>
        <w:rPr>
          <w:rFonts w:ascii="Arial" w:eastAsia="Arial" w:hAnsi="Arial" w:cs="Arial"/>
          <w:i/>
        </w:rPr>
        <w:t>Fátima León Rodríguez. Técnica de Servicios Sociales (menores).</w:t>
      </w:r>
    </w:p>
    <w:p w:rsidR="00E23B86" w:rsidRDefault="00BA7C13">
      <w:pPr>
        <w:numPr>
          <w:ilvl w:val="6"/>
          <w:numId w:val="146"/>
        </w:numPr>
        <w:spacing w:after="27" w:line="251" w:lineRule="auto"/>
        <w:ind w:right="462" w:hanging="360"/>
        <w:jc w:val="both"/>
      </w:pPr>
      <w:r>
        <w:rPr>
          <w:rFonts w:ascii="Arial" w:eastAsia="Arial" w:hAnsi="Arial" w:cs="Arial"/>
          <w:i/>
        </w:rPr>
        <w:t>Mª Consuelo Fariña González. Técnica de Área Económica.</w:t>
      </w:r>
    </w:p>
    <w:p w:rsidR="00E23B86" w:rsidRDefault="00BA7C13">
      <w:pPr>
        <w:numPr>
          <w:ilvl w:val="6"/>
          <w:numId w:val="146"/>
        </w:numPr>
        <w:spacing w:after="27" w:line="251" w:lineRule="auto"/>
        <w:ind w:right="462" w:hanging="360"/>
        <w:jc w:val="both"/>
      </w:pPr>
      <w:r>
        <w:rPr>
          <w:rFonts w:ascii="Arial" w:eastAsia="Arial" w:hAnsi="Arial" w:cs="Arial"/>
          <w:i/>
        </w:rPr>
        <w:t>Esteban Hernández Martín. Técnico de Accesibilidad.</w:t>
      </w:r>
    </w:p>
    <w:p w:rsidR="00E23B86" w:rsidRDefault="00BA7C13">
      <w:pPr>
        <w:numPr>
          <w:ilvl w:val="6"/>
          <w:numId w:val="146"/>
        </w:numPr>
        <w:spacing w:after="27" w:line="251" w:lineRule="auto"/>
        <w:ind w:right="462" w:hanging="360"/>
        <w:jc w:val="both"/>
      </w:pPr>
      <w:r>
        <w:rPr>
          <w:rFonts w:ascii="Arial" w:eastAsia="Arial" w:hAnsi="Arial" w:cs="Arial"/>
          <w:i/>
        </w:rPr>
        <w:t>Rubén Fernández González. Técnico de Protección Civil.</w:t>
      </w:r>
    </w:p>
    <w:p w:rsidR="00E23B86" w:rsidRDefault="00BA7C13">
      <w:pPr>
        <w:numPr>
          <w:ilvl w:val="6"/>
          <w:numId w:val="146"/>
        </w:numPr>
        <w:spacing w:after="27" w:line="251" w:lineRule="auto"/>
        <w:ind w:right="462" w:hanging="360"/>
        <w:jc w:val="both"/>
      </w:pPr>
      <w:r>
        <w:rPr>
          <w:rFonts w:ascii="Arial" w:eastAsia="Arial" w:hAnsi="Arial" w:cs="Arial"/>
          <w:i/>
        </w:rPr>
        <w:t>Mª del Pilar González. Técnica de ADL</w:t>
      </w:r>
    </w:p>
    <w:p w:rsidR="00E23B86" w:rsidRDefault="00BA7C13">
      <w:pPr>
        <w:numPr>
          <w:ilvl w:val="6"/>
          <w:numId w:val="146"/>
        </w:numPr>
        <w:spacing w:after="24" w:line="251" w:lineRule="auto"/>
        <w:ind w:right="462" w:hanging="360"/>
        <w:jc w:val="both"/>
      </w:pPr>
      <w:r>
        <w:rPr>
          <w:rFonts w:ascii="Arial" w:eastAsia="Arial" w:hAnsi="Arial" w:cs="Arial"/>
          <w:i/>
        </w:rPr>
        <w:t>Concepción Sicilia González. Técnica de Participación C</w:t>
      </w:r>
      <w:r>
        <w:rPr>
          <w:rFonts w:ascii="Arial" w:eastAsia="Arial" w:hAnsi="Arial" w:cs="Arial"/>
          <w:i/>
        </w:rPr>
        <w:t>iudadana</w:t>
      </w:r>
    </w:p>
    <w:p w:rsidR="00E23B86" w:rsidRDefault="00BA7C13">
      <w:pPr>
        <w:numPr>
          <w:ilvl w:val="6"/>
          <w:numId w:val="146"/>
        </w:numPr>
        <w:spacing w:after="27" w:line="251" w:lineRule="auto"/>
        <w:ind w:right="462" w:hanging="360"/>
        <w:jc w:val="both"/>
      </w:pPr>
      <w:r>
        <w:rPr>
          <w:rFonts w:ascii="Arial" w:eastAsia="Arial" w:hAnsi="Arial" w:cs="Arial"/>
          <w:i/>
        </w:rPr>
        <w:t>Javier Barrera Acosta. Policía Local</w:t>
      </w:r>
    </w:p>
    <w:p w:rsidR="00E23B86" w:rsidRDefault="00BA7C13">
      <w:pPr>
        <w:numPr>
          <w:ilvl w:val="6"/>
          <w:numId w:val="146"/>
        </w:numPr>
        <w:spacing w:after="51" w:line="251" w:lineRule="auto"/>
        <w:ind w:right="462" w:hanging="360"/>
        <w:jc w:val="both"/>
      </w:pPr>
      <w:r>
        <w:rPr>
          <w:rFonts w:ascii="Arial" w:eastAsia="Arial" w:hAnsi="Arial" w:cs="Arial"/>
          <w:i/>
        </w:rPr>
        <w:t xml:space="preserve">Mª Candelaria Ibáñez de las Casas. Técnica de Zona Joven </w:t>
      </w:r>
      <w:r>
        <w:rPr>
          <w:rFonts w:ascii="Courier New" w:eastAsia="Courier New" w:hAnsi="Courier New" w:cs="Courier New"/>
          <w:sz w:val="20"/>
        </w:rPr>
        <w:t xml:space="preserve">o </w:t>
      </w:r>
      <w:r>
        <w:rPr>
          <w:rFonts w:ascii="Arial" w:eastAsia="Arial" w:hAnsi="Arial" w:cs="Arial"/>
          <w:i/>
        </w:rPr>
        <w:t>Sus funciones son:</w:t>
      </w:r>
    </w:p>
    <w:p w:rsidR="00E23B86" w:rsidRDefault="00BA7C13">
      <w:pPr>
        <w:numPr>
          <w:ilvl w:val="6"/>
          <w:numId w:val="146"/>
        </w:numPr>
        <w:spacing w:after="24" w:line="251" w:lineRule="auto"/>
        <w:ind w:right="462" w:hanging="360"/>
        <w:jc w:val="both"/>
      </w:pPr>
      <w:r>
        <w:rPr>
          <w:rFonts w:ascii="Arial" w:eastAsia="Arial" w:hAnsi="Arial" w:cs="Arial"/>
          <w:i/>
        </w:rPr>
        <w:t>Elaboración del diagnóstico: recabar información de cada una de las áreas para elaborar el diagnóstico.</w:t>
      </w:r>
    </w:p>
    <w:p w:rsidR="00E23B86" w:rsidRDefault="00BA7C13">
      <w:pPr>
        <w:numPr>
          <w:ilvl w:val="6"/>
          <w:numId w:val="146"/>
        </w:numPr>
        <w:spacing w:after="24" w:line="251" w:lineRule="auto"/>
        <w:ind w:right="462" w:hanging="360"/>
        <w:jc w:val="both"/>
      </w:pPr>
      <w:r>
        <w:rPr>
          <w:rFonts w:ascii="Arial" w:eastAsia="Arial" w:hAnsi="Arial" w:cs="Arial"/>
          <w:i/>
        </w:rPr>
        <w:t>Diseño del plan local de inf</w:t>
      </w:r>
      <w:r>
        <w:rPr>
          <w:rFonts w:ascii="Arial" w:eastAsia="Arial" w:hAnsi="Arial" w:cs="Arial"/>
          <w:i/>
        </w:rPr>
        <w:t>ancia y adolescencia (PLIA): acordar, consensuar y elaborar el informe final.</w:t>
      </w:r>
    </w:p>
    <w:p w:rsidR="00E23B86" w:rsidRDefault="00BA7C13">
      <w:pPr>
        <w:numPr>
          <w:ilvl w:val="6"/>
          <w:numId w:val="146"/>
        </w:numPr>
        <w:spacing w:after="27" w:line="251" w:lineRule="auto"/>
        <w:ind w:right="462" w:hanging="360"/>
        <w:jc w:val="both"/>
      </w:pPr>
      <w:r>
        <w:rPr>
          <w:rFonts w:ascii="Arial" w:eastAsia="Arial" w:hAnsi="Arial" w:cs="Arial"/>
          <w:i/>
        </w:rPr>
        <w:t>Implementación:</w:t>
      </w:r>
    </w:p>
    <w:p w:rsidR="00E23B86" w:rsidRDefault="00BA7C13">
      <w:pPr>
        <w:numPr>
          <w:ilvl w:val="6"/>
          <w:numId w:val="146"/>
        </w:numPr>
        <w:spacing w:after="28" w:line="249" w:lineRule="auto"/>
        <w:ind w:right="462" w:hanging="360"/>
        <w:jc w:val="both"/>
      </w:pPr>
      <w:r>
        <w:rPr>
          <w:rFonts w:ascii="Arial" w:eastAsia="Arial" w:hAnsi="Arial" w:cs="Arial"/>
          <w:i/>
        </w:rPr>
        <w:t>Realizar acciones previstas en el plan.</w:t>
      </w:r>
    </w:p>
    <w:p w:rsidR="00E23B86" w:rsidRDefault="00BA7C13">
      <w:pPr>
        <w:numPr>
          <w:ilvl w:val="6"/>
          <w:numId w:val="146"/>
        </w:numPr>
        <w:spacing w:after="24" w:line="251" w:lineRule="auto"/>
        <w:ind w:right="462" w:hanging="360"/>
        <w:jc w:val="both"/>
      </w:pPr>
      <w:r>
        <w:rPr>
          <w:rFonts w:ascii="Arial" w:eastAsia="Arial" w:hAnsi="Arial" w:cs="Arial"/>
          <w:i/>
        </w:rPr>
        <w:t>Coordinar con otras áreas la realización de las acciones previstas en el plan.</w:t>
      </w:r>
    </w:p>
    <w:p w:rsidR="00E23B86" w:rsidRDefault="00BA7C13">
      <w:pPr>
        <w:numPr>
          <w:ilvl w:val="6"/>
          <w:numId w:val="146"/>
        </w:numPr>
        <w:spacing w:after="27" w:line="251" w:lineRule="auto"/>
        <w:ind w:right="462" w:hanging="360"/>
        <w:jc w:val="both"/>
      </w:pPr>
      <w:r>
        <w:rPr>
          <w:rFonts w:ascii="Arial" w:eastAsia="Arial" w:hAnsi="Arial" w:cs="Arial"/>
          <w:i/>
        </w:rPr>
        <w:t>Asignar recursos a la realización de accion</w:t>
      </w:r>
      <w:r>
        <w:rPr>
          <w:rFonts w:ascii="Arial" w:eastAsia="Arial" w:hAnsi="Arial" w:cs="Arial"/>
          <w:i/>
        </w:rPr>
        <w:t>es.</w:t>
      </w:r>
    </w:p>
    <w:p w:rsidR="00E23B86" w:rsidRDefault="00BA7C13">
      <w:pPr>
        <w:numPr>
          <w:ilvl w:val="6"/>
          <w:numId w:val="146"/>
        </w:numPr>
        <w:spacing w:after="28" w:line="251" w:lineRule="auto"/>
        <w:ind w:right="462" w:hanging="360"/>
        <w:jc w:val="both"/>
      </w:pPr>
      <w:r>
        <w:rPr>
          <w:rFonts w:ascii="Arial" w:eastAsia="Arial" w:hAnsi="Arial" w:cs="Arial"/>
          <w:i/>
        </w:rPr>
        <w:t>Impulsar la formación en derechos de infancia.</w:t>
      </w:r>
    </w:p>
    <w:p w:rsidR="00E23B86" w:rsidRDefault="00BA7C13">
      <w:pPr>
        <w:numPr>
          <w:ilvl w:val="6"/>
          <w:numId w:val="146"/>
        </w:numPr>
        <w:spacing w:after="27" w:line="251" w:lineRule="auto"/>
        <w:ind w:right="462" w:hanging="360"/>
        <w:jc w:val="both"/>
      </w:pPr>
      <w:r>
        <w:rPr>
          <w:rFonts w:ascii="Arial" w:eastAsia="Arial" w:hAnsi="Arial" w:cs="Arial"/>
          <w:i/>
        </w:rPr>
        <w:t xml:space="preserve">Seguimiento: </w:t>
      </w:r>
    </w:p>
    <w:p w:rsidR="00E23B86" w:rsidRDefault="00BA7C13">
      <w:pPr>
        <w:numPr>
          <w:ilvl w:val="6"/>
          <w:numId w:val="146"/>
        </w:numPr>
        <w:spacing w:after="28" w:line="249" w:lineRule="auto"/>
        <w:ind w:right="462" w:hanging="360"/>
        <w:jc w:val="both"/>
      </w:pPr>
      <w:r>
        <w:rPr>
          <w:rFonts w:ascii="Arial" w:eastAsia="Arial" w:hAnsi="Arial" w:cs="Arial"/>
          <w:i/>
        </w:rPr>
        <w:t>Comprobar avance presupuestario.</w:t>
      </w:r>
    </w:p>
    <w:p w:rsidR="00E23B86" w:rsidRDefault="00BA7C13">
      <w:pPr>
        <w:numPr>
          <w:ilvl w:val="6"/>
          <w:numId w:val="146"/>
        </w:numPr>
        <w:spacing w:after="24" w:line="251" w:lineRule="auto"/>
        <w:ind w:right="462" w:hanging="360"/>
        <w:jc w:val="both"/>
      </w:pPr>
      <w:r>
        <w:rPr>
          <w:rFonts w:ascii="Arial" w:eastAsia="Arial" w:hAnsi="Arial" w:cs="Arial"/>
          <w:i/>
        </w:rPr>
        <w:t>Asegurar recolección de datos sobre el desarrollo de las acciones.</w:t>
      </w:r>
    </w:p>
    <w:p w:rsidR="00E23B86" w:rsidRDefault="00BA7C13">
      <w:pPr>
        <w:numPr>
          <w:ilvl w:val="6"/>
          <w:numId w:val="146"/>
        </w:numPr>
        <w:spacing w:after="24" w:line="251" w:lineRule="auto"/>
        <w:ind w:right="462" w:hanging="360"/>
        <w:jc w:val="both"/>
      </w:pPr>
      <w:r>
        <w:rPr>
          <w:rFonts w:ascii="Arial" w:eastAsia="Arial" w:hAnsi="Arial" w:cs="Arial"/>
          <w:i/>
        </w:rPr>
        <w:t>Aportar información de las distintas áreas para la elaboración de informes globales.</w:t>
      </w:r>
    </w:p>
    <w:p w:rsidR="00E23B86" w:rsidRDefault="00BA7C13">
      <w:pPr>
        <w:numPr>
          <w:ilvl w:val="6"/>
          <w:numId w:val="146"/>
        </w:numPr>
        <w:spacing w:after="28" w:line="251" w:lineRule="auto"/>
        <w:ind w:right="462" w:hanging="360"/>
        <w:jc w:val="both"/>
      </w:pPr>
      <w:r>
        <w:rPr>
          <w:rFonts w:ascii="Arial" w:eastAsia="Arial" w:hAnsi="Arial" w:cs="Arial"/>
          <w:i/>
        </w:rPr>
        <w:t>Informar a la ciudadanía sobre los avances PLIA.</w:t>
      </w:r>
    </w:p>
    <w:p w:rsidR="00E23B86" w:rsidRDefault="00BA7C13">
      <w:pPr>
        <w:numPr>
          <w:ilvl w:val="6"/>
          <w:numId w:val="146"/>
        </w:numPr>
        <w:spacing w:after="27" w:line="251" w:lineRule="auto"/>
        <w:ind w:right="462" w:hanging="360"/>
        <w:jc w:val="both"/>
      </w:pPr>
      <w:r>
        <w:rPr>
          <w:rFonts w:ascii="Arial" w:eastAsia="Arial" w:hAnsi="Arial" w:cs="Arial"/>
          <w:i/>
        </w:rPr>
        <w:t>Evaluación:</w:t>
      </w:r>
    </w:p>
    <w:p w:rsidR="00E23B86" w:rsidRDefault="00BA7C13">
      <w:pPr>
        <w:numPr>
          <w:ilvl w:val="6"/>
          <w:numId w:val="146"/>
        </w:numPr>
        <w:spacing w:after="27" w:line="251" w:lineRule="auto"/>
        <w:ind w:right="462" w:hanging="360"/>
        <w:jc w:val="both"/>
      </w:pPr>
      <w:r>
        <w:rPr>
          <w:rFonts w:ascii="Arial" w:eastAsia="Arial" w:hAnsi="Arial" w:cs="Arial"/>
          <w:i/>
        </w:rPr>
        <w:t>Realizar un informe anual de los avances realizados.</w:t>
      </w:r>
    </w:p>
    <w:p w:rsidR="00E23B86" w:rsidRDefault="00BA7C13">
      <w:pPr>
        <w:numPr>
          <w:ilvl w:val="6"/>
          <w:numId w:val="146"/>
        </w:numPr>
        <w:spacing w:after="24" w:line="251" w:lineRule="auto"/>
        <w:ind w:right="462" w:hanging="360"/>
        <w:jc w:val="both"/>
      </w:pPr>
      <w:r>
        <w:rPr>
          <w:rFonts w:ascii="Arial" w:eastAsia="Arial" w:hAnsi="Arial" w:cs="Arial"/>
          <w:i/>
        </w:rPr>
        <w:t>Realizar cuestionarios de evaluación a los miembros, sobre percepción del ambiente de trabajo, metodología…</w:t>
      </w:r>
    </w:p>
    <w:p w:rsidR="00E23B86" w:rsidRDefault="00BA7C13">
      <w:pPr>
        <w:spacing w:after="0" w:line="301" w:lineRule="auto"/>
        <w:ind w:left="1080" w:hanging="360"/>
        <w:jc w:val="both"/>
      </w:pPr>
      <w:r>
        <w:rPr>
          <w:rFonts w:ascii="Courier New" w:eastAsia="Courier New" w:hAnsi="Courier New" w:cs="Courier New"/>
          <w:sz w:val="20"/>
        </w:rPr>
        <w:t xml:space="preserve">o </w:t>
      </w:r>
      <w:r>
        <w:rPr>
          <w:rFonts w:ascii="Arial" w:eastAsia="Arial" w:hAnsi="Arial" w:cs="Arial"/>
          <w:i/>
        </w:rPr>
        <w:t>Las reuniones serán presenciales</w:t>
      </w:r>
      <w:r>
        <w:rPr>
          <w:rFonts w:ascii="Arial" w:eastAsia="Arial" w:hAnsi="Arial" w:cs="Arial"/>
          <w:i/>
        </w:rPr>
        <w:t>, una o dos veces al mes en función de las necesidades.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8" w:line="251" w:lineRule="auto"/>
        <w:ind w:right="1" w:hanging="841"/>
        <w:jc w:val="both"/>
      </w:pPr>
      <w:r>
        <w:rPr>
          <w:rFonts w:ascii="Arial" w:eastAsia="Arial" w:hAnsi="Arial" w:cs="Arial"/>
          <w:i/>
        </w:rPr>
        <w:t>4.- Consejo local de infancia y adolescencia (CLIA):</w:t>
      </w:r>
    </w:p>
    <w:p w:rsidR="00E23B86" w:rsidRDefault="00BA7C13">
      <w:pPr>
        <w:numPr>
          <w:ilvl w:val="0"/>
          <w:numId w:val="140"/>
        </w:numPr>
        <w:spacing w:after="23" w:line="251" w:lineRule="auto"/>
        <w:ind w:right="1" w:hanging="841"/>
        <w:jc w:val="both"/>
      </w:pPr>
      <w:r>
        <w:rPr>
          <w:rFonts w:ascii="Courier New" w:eastAsia="Courier New" w:hAnsi="Courier New" w:cs="Courier New"/>
          <w:sz w:val="20"/>
        </w:rPr>
        <w:t xml:space="preserve">o </w:t>
      </w:r>
      <w:r>
        <w:rPr>
          <w:rFonts w:ascii="Arial" w:eastAsia="Arial" w:hAnsi="Arial" w:cs="Arial"/>
          <w:i/>
        </w:rPr>
        <w:t>Es un órgano de participación, de carácter consultivo e informativo y de representación del conjunto de la infancia dentro del municipio.</w:t>
      </w:r>
    </w:p>
    <w:p w:rsidR="00E23B86" w:rsidRDefault="00BA7C13">
      <w:pPr>
        <w:spacing w:after="49" w:line="251" w:lineRule="auto"/>
        <w:ind w:left="730" w:right="3" w:hanging="10"/>
        <w:jc w:val="both"/>
      </w:pPr>
      <w:r>
        <w:rPr>
          <w:rFonts w:ascii="Courier New" w:eastAsia="Courier New" w:hAnsi="Courier New" w:cs="Courier New"/>
          <w:sz w:val="20"/>
        </w:rPr>
        <w:t xml:space="preserve">o </w:t>
      </w:r>
      <w:r>
        <w:rPr>
          <w:rFonts w:ascii="Arial" w:eastAsia="Arial" w:hAnsi="Arial" w:cs="Arial"/>
          <w:i/>
        </w:rPr>
        <w:t xml:space="preserve">Para el buen funcionamiento y sostenibilidad del grupo se ha elaborado un reglamento (actualmente sometido a consulta pública previa) </w:t>
      </w:r>
      <w:r>
        <w:rPr>
          <w:rFonts w:ascii="Courier New" w:eastAsia="Courier New" w:hAnsi="Courier New" w:cs="Courier New"/>
          <w:sz w:val="20"/>
        </w:rPr>
        <w:t xml:space="preserve">o </w:t>
      </w:r>
      <w:r>
        <w:rPr>
          <w:rFonts w:ascii="Arial" w:eastAsia="Arial" w:hAnsi="Arial" w:cs="Arial"/>
          <w:i/>
        </w:rPr>
        <w:t>Funciones:</w:t>
      </w:r>
    </w:p>
    <w:p w:rsidR="00E23B86" w:rsidRDefault="00BA7C13">
      <w:pPr>
        <w:numPr>
          <w:ilvl w:val="5"/>
          <w:numId w:val="150"/>
        </w:numPr>
        <w:spacing w:after="24" w:line="251" w:lineRule="auto"/>
        <w:ind w:hanging="360"/>
        <w:jc w:val="both"/>
      </w:pPr>
      <w:r>
        <w:rPr>
          <w:noProof/>
        </w:rPr>
        <mc:AlternateContent>
          <mc:Choice Requires="wpg">
            <w:drawing>
              <wp:anchor distT="0" distB="0" distL="114300" distR="114300" simplePos="0" relativeHeight="2519930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9519" name="Group 57951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387" name="Rectangle 5138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1388" name="Rectangle 5138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w:t>
                              </w:r>
                              <w:r>
                                <w:rPr>
                                  <w:rFonts w:ascii="Arial" w:eastAsia="Arial" w:hAnsi="Arial" w:cs="Arial"/>
                                  <w:sz w:val="12"/>
                                </w:rPr>
                                <w:t xml:space="preserve">nto firmado electrónicamente desde la plataforma esPublico Gestiona | Página 325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9519" style="width:12.7031pt;height:280.35pt;position:absolute;mso-position-horizontal-relative:page;mso-position-horizontal:absolute;margin-left:681.958pt;mso-position-vertical-relative:page;margin-top:531.65pt;" coordsize="1613,35604">
                <v:rect id="Rectangle 5138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38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325 de 391 </w:t>
                        </w:r>
                      </w:p>
                    </w:txbxContent>
                  </v:textbox>
                </v:rect>
                <w10:wrap type="square"/>
              </v:group>
            </w:pict>
          </mc:Fallback>
        </mc:AlternateContent>
      </w:r>
      <w:r>
        <w:rPr>
          <w:rFonts w:ascii="Arial" w:eastAsia="Arial" w:hAnsi="Arial" w:cs="Arial"/>
          <w:i/>
        </w:rPr>
        <w:t>Actuar como nexo de comunicación entre los niños/as y adolescentes y el gobierno local.</w:t>
      </w:r>
    </w:p>
    <w:p w:rsidR="00E23B86" w:rsidRDefault="00BA7C13">
      <w:pPr>
        <w:numPr>
          <w:ilvl w:val="5"/>
          <w:numId w:val="150"/>
        </w:numPr>
        <w:spacing w:after="27" w:line="251" w:lineRule="auto"/>
        <w:ind w:hanging="360"/>
        <w:jc w:val="both"/>
      </w:pPr>
      <w:r>
        <w:rPr>
          <w:rFonts w:ascii="Arial" w:eastAsia="Arial" w:hAnsi="Arial" w:cs="Arial"/>
          <w:i/>
        </w:rPr>
        <w:t>Ofrecer a los NNA un cauce de participación institucional</w:t>
      </w:r>
    </w:p>
    <w:p w:rsidR="00E23B86" w:rsidRDefault="00BA7C13">
      <w:pPr>
        <w:numPr>
          <w:ilvl w:val="5"/>
          <w:numId w:val="150"/>
        </w:numPr>
        <w:spacing w:after="24" w:line="251" w:lineRule="auto"/>
        <w:ind w:hanging="360"/>
        <w:jc w:val="both"/>
      </w:pPr>
      <w:r>
        <w:rPr>
          <w:rFonts w:ascii="Arial" w:eastAsia="Arial" w:hAnsi="Arial" w:cs="Arial"/>
          <w:i/>
        </w:rPr>
        <w:t>Promover la participa</w:t>
      </w:r>
      <w:r>
        <w:rPr>
          <w:rFonts w:ascii="Arial" w:eastAsia="Arial" w:hAnsi="Arial" w:cs="Arial"/>
          <w:i/>
        </w:rPr>
        <w:t>ción infantil, en todas aquellas cuestiones relacionadas con la Infancia y la Adolescencia.</w:t>
      </w:r>
    </w:p>
    <w:p w:rsidR="00E23B86" w:rsidRDefault="00BA7C13">
      <w:pPr>
        <w:numPr>
          <w:ilvl w:val="5"/>
          <w:numId w:val="150"/>
        </w:numPr>
        <w:spacing w:after="23" w:line="251" w:lineRule="auto"/>
        <w:ind w:hanging="360"/>
        <w:jc w:val="both"/>
      </w:pPr>
      <w:r>
        <w:rPr>
          <w:rFonts w:ascii="Arial" w:eastAsia="Arial" w:hAnsi="Arial" w:cs="Arial"/>
          <w:i/>
        </w:rPr>
        <w:t>Proponer al gobierno local las medidas oportunas para asegurar el bienestar y el desarrollo de los derechos de los NNA, prestando atención especial a la población m</w:t>
      </w:r>
      <w:r>
        <w:rPr>
          <w:rFonts w:ascii="Arial" w:eastAsia="Arial" w:hAnsi="Arial" w:cs="Arial"/>
          <w:i/>
        </w:rPr>
        <w:t>ás vulnerable.</w:t>
      </w:r>
    </w:p>
    <w:p w:rsidR="00E23B86" w:rsidRDefault="00BA7C13">
      <w:pPr>
        <w:numPr>
          <w:ilvl w:val="5"/>
          <w:numId w:val="150"/>
        </w:numPr>
        <w:spacing w:after="24" w:line="251" w:lineRule="auto"/>
        <w:ind w:hanging="360"/>
        <w:jc w:val="both"/>
      </w:pPr>
      <w:r>
        <w:rPr>
          <w:rFonts w:ascii="Arial" w:eastAsia="Arial" w:hAnsi="Arial" w:cs="Arial"/>
          <w:i/>
        </w:rPr>
        <w:t>Proponer soluciones alternativas a los problemas más característicos de la Infancia y Adolescencia</w:t>
      </w:r>
    </w:p>
    <w:p w:rsidR="00E23B86" w:rsidRDefault="00BA7C13">
      <w:pPr>
        <w:numPr>
          <w:ilvl w:val="5"/>
          <w:numId w:val="150"/>
        </w:numPr>
        <w:spacing w:after="24" w:line="251" w:lineRule="auto"/>
        <w:ind w:hanging="360"/>
        <w:jc w:val="both"/>
      </w:pPr>
      <w:r>
        <w:rPr>
          <w:rFonts w:ascii="Arial" w:eastAsia="Arial" w:hAnsi="Arial" w:cs="Arial"/>
          <w:i/>
        </w:rPr>
        <w:t>Trasladar necesidades, opiniones, mejoras, intereses e inquietudes de la Infancia y Adolescencia al gobierno local.</w:t>
      </w:r>
    </w:p>
    <w:p w:rsidR="00E23B86" w:rsidRDefault="00BA7C13">
      <w:pPr>
        <w:numPr>
          <w:ilvl w:val="5"/>
          <w:numId w:val="150"/>
        </w:numPr>
        <w:spacing w:after="24" w:line="251" w:lineRule="auto"/>
        <w:ind w:hanging="360"/>
        <w:jc w:val="both"/>
      </w:pPr>
      <w:r>
        <w:rPr>
          <w:rFonts w:ascii="Arial" w:eastAsia="Arial" w:hAnsi="Arial" w:cs="Arial"/>
          <w:i/>
        </w:rPr>
        <w:t>Informar al Ayuntamiento s</w:t>
      </w:r>
      <w:r>
        <w:rPr>
          <w:rFonts w:ascii="Arial" w:eastAsia="Arial" w:hAnsi="Arial" w:cs="Arial"/>
          <w:i/>
        </w:rPr>
        <w:t>obre problemas específicos de la Infancia y Adolescencia.</w:t>
      </w:r>
    </w:p>
    <w:p w:rsidR="00E23B86" w:rsidRDefault="00BA7C13">
      <w:pPr>
        <w:numPr>
          <w:ilvl w:val="5"/>
          <w:numId w:val="150"/>
        </w:numPr>
        <w:spacing w:after="24" w:line="251" w:lineRule="auto"/>
        <w:ind w:hanging="360"/>
        <w:jc w:val="both"/>
      </w:pPr>
      <w:r>
        <w:rPr>
          <w:rFonts w:ascii="Arial" w:eastAsia="Arial" w:hAnsi="Arial" w:cs="Arial"/>
          <w:i/>
        </w:rPr>
        <w:t>Realizar un seguimiento de la ejecución de las propuestas realizadas por los NNA y/o administración</w:t>
      </w:r>
    </w:p>
    <w:p w:rsidR="00E23B86" w:rsidRDefault="00BA7C13">
      <w:pPr>
        <w:numPr>
          <w:ilvl w:val="5"/>
          <w:numId w:val="150"/>
        </w:numPr>
        <w:spacing w:after="23" w:line="251" w:lineRule="auto"/>
        <w:ind w:hanging="360"/>
        <w:jc w:val="both"/>
      </w:pPr>
      <w:r>
        <w:rPr>
          <w:rFonts w:ascii="Arial" w:eastAsia="Arial" w:hAnsi="Arial" w:cs="Arial"/>
          <w:i/>
        </w:rPr>
        <w:t xml:space="preserve">Solicitar información y ser informados/as de las propuestas o resoluciones municipales respecto a </w:t>
      </w:r>
      <w:r>
        <w:rPr>
          <w:rFonts w:ascii="Arial" w:eastAsia="Arial" w:hAnsi="Arial" w:cs="Arial"/>
          <w:i/>
        </w:rPr>
        <w:t>temas de interés para la Infancia y la Adolescencia.</w:t>
      </w:r>
    </w:p>
    <w:p w:rsidR="00E23B86" w:rsidRDefault="00BA7C13">
      <w:pPr>
        <w:numPr>
          <w:ilvl w:val="5"/>
          <w:numId w:val="150"/>
        </w:numPr>
        <w:spacing w:after="311" w:line="251" w:lineRule="auto"/>
        <w:ind w:hanging="360"/>
        <w:jc w:val="both"/>
      </w:pPr>
      <w:r>
        <w:rPr>
          <w:rFonts w:ascii="Arial" w:eastAsia="Arial" w:hAnsi="Arial" w:cs="Arial"/>
          <w:i/>
        </w:rPr>
        <w:t>Conocer el programa anual de actuación y los recursos destinados a Infancia y Adolescencia.</w:t>
      </w:r>
    </w:p>
    <w:p w:rsidR="00E23B86" w:rsidRDefault="00BA7C13">
      <w:pPr>
        <w:spacing w:after="111" w:line="251" w:lineRule="auto"/>
        <w:ind w:left="730" w:right="573" w:hanging="10"/>
        <w:jc w:val="both"/>
      </w:pPr>
      <w:r>
        <w:rPr>
          <w:rFonts w:ascii="Courier New" w:eastAsia="Courier New" w:hAnsi="Courier New" w:cs="Courier New"/>
          <w:sz w:val="20"/>
        </w:rPr>
        <w:t xml:space="preserve">o </w:t>
      </w:r>
      <w:r>
        <w:rPr>
          <w:rFonts w:ascii="Arial" w:eastAsia="Arial" w:hAnsi="Arial" w:cs="Arial"/>
          <w:i/>
        </w:rPr>
        <w:t>El CLIA está compuesto por los siguientes miembros:</w:t>
      </w:r>
    </w:p>
    <w:p w:rsidR="00E23B86" w:rsidRDefault="00E23B86">
      <w:pPr>
        <w:sectPr w:rsidR="00E23B86">
          <w:headerReference w:type="even" r:id="rId77"/>
          <w:headerReference w:type="default" r:id="rId78"/>
          <w:footerReference w:type="even" r:id="rId79"/>
          <w:footerReference w:type="default" r:id="rId80"/>
          <w:headerReference w:type="first" r:id="rId81"/>
          <w:footerReference w:type="first" r:id="rId82"/>
          <w:pgSz w:w="14168" w:h="16840"/>
          <w:pgMar w:top="2005" w:right="2847" w:bottom="1443" w:left="3198" w:header="712" w:footer="712" w:gutter="0"/>
          <w:cols w:space="720"/>
          <w:titlePg/>
        </w:sectPr>
      </w:pPr>
    </w:p>
    <w:p w:rsidR="00E23B86" w:rsidRDefault="00BA7C13">
      <w:pPr>
        <w:numPr>
          <w:ilvl w:val="7"/>
          <w:numId w:val="141"/>
        </w:numPr>
        <w:spacing w:after="24" w:line="251" w:lineRule="auto"/>
        <w:ind w:hanging="360"/>
        <w:jc w:val="both"/>
      </w:pPr>
      <w:r>
        <w:rPr>
          <w:rFonts w:ascii="Arial" w:eastAsia="Arial" w:hAnsi="Arial" w:cs="Arial"/>
          <w:i/>
        </w:rPr>
        <w:t>La Presidencia: será ejercida por el Alcaldesa Mª Concepción Brito Núñez, pudiendo delegar el cargo en un/a Concejal/a.</w:t>
      </w:r>
    </w:p>
    <w:p w:rsidR="00E23B86" w:rsidRDefault="00BA7C13">
      <w:pPr>
        <w:numPr>
          <w:ilvl w:val="7"/>
          <w:numId w:val="141"/>
        </w:numPr>
        <w:spacing w:after="24" w:line="251" w:lineRule="auto"/>
        <w:ind w:hanging="360"/>
        <w:jc w:val="both"/>
      </w:pPr>
      <w:r>
        <w:rPr>
          <w:rFonts w:ascii="Arial" w:eastAsia="Arial" w:hAnsi="Arial" w:cs="Arial"/>
          <w:i/>
        </w:rPr>
        <w:t>La Secretaría: será ejercida por el Secretario General del Ayuntamiento Octavio Manuel Fernández Hernández o persona en quien delegue.</w:t>
      </w:r>
    </w:p>
    <w:p w:rsidR="00E23B86" w:rsidRDefault="00BA7C13">
      <w:pPr>
        <w:numPr>
          <w:ilvl w:val="7"/>
          <w:numId w:val="141"/>
        </w:numPr>
        <w:spacing w:after="27" w:line="251" w:lineRule="auto"/>
        <w:ind w:hanging="360"/>
        <w:jc w:val="both"/>
      </w:pPr>
      <w:r>
        <w:rPr>
          <w:rFonts w:ascii="Arial" w:eastAsia="Arial" w:hAnsi="Arial" w:cs="Arial"/>
          <w:i/>
        </w:rPr>
        <w:t>V</w:t>
      </w:r>
      <w:r>
        <w:rPr>
          <w:rFonts w:ascii="Arial" w:eastAsia="Arial" w:hAnsi="Arial" w:cs="Arial"/>
          <w:i/>
        </w:rPr>
        <w:t>ocalías:</w:t>
      </w:r>
    </w:p>
    <w:p w:rsidR="00E23B86" w:rsidRDefault="00BA7C13">
      <w:pPr>
        <w:numPr>
          <w:ilvl w:val="7"/>
          <w:numId w:val="141"/>
        </w:numPr>
        <w:spacing w:after="24" w:line="251" w:lineRule="auto"/>
        <w:ind w:hanging="360"/>
        <w:jc w:val="both"/>
      </w:pPr>
      <w:r>
        <w:rPr>
          <w:rFonts w:ascii="Arial" w:eastAsia="Arial" w:hAnsi="Arial" w:cs="Arial"/>
          <w:i/>
        </w:rPr>
        <w:t>8 niños y 7 niñas representantes del órgano de participación infantil y adolescente.</w:t>
      </w:r>
    </w:p>
    <w:p w:rsidR="00E23B86" w:rsidRDefault="00BA7C13">
      <w:pPr>
        <w:numPr>
          <w:ilvl w:val="7"/>
          <w:numId w:val="141"/>
        </w:numPr>
        <w:spacing w:after="24" w:line="251" w:lineRule="auto"/>
        <w:ind w:hanging="360"/>
        <w:jc w:val="both"/>
      </w:pPr>
      <w:r>
        <w:rPr>
          <w:rFonts w:ascii="Arial" w:eastAsia="Arial" w:hAnsi="Arial" w:cs="Arial"/>
          <w:i/>
        </w:rPr>
        <w:t>Olivia C. Pérez Díaz. Concejala de Servicios Sociales, Igualdad y Sanidad.</w:t>
      </w:r>
    </w:p>
    <w:p w:rsidR="00E23B86" w:rsidRDefault="00BA7C13">
      <w:pPr>
        <w:numPr>
          <w:ilvl w:val="7"/>
          <w:numId w:val="141"/>
        </w:numPr>
        <w:spacing w:after="24" w:line="251" w:lineRule="auto"/>
        <w:ind w:hanging="360"/>
        <w:jc w:val="both"/>
      </w:pPr>
      <w:r>
        <w:rPr>
          <w:rFonts w:ascii="Arial" w:eastAsia="Arial" w:hAnsi="Arial" w:cs="Arial"/>
          <w:i/>
        </w:rPr>
        <w:t xml:space="preserve">Margarita E. Tendero Barroso. Concejala de Educación.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Un representante de cada partid</w:t>
      </w:r>
      <w:r>
        <w:rPr>
          <w:rFonts w:ascii="Arial" w:eastAsia="Arial" w:hAnsi="Arial" w:cs="Arial"/>
          <w:i/>
        </w:rPr>
        <w:t>o político municipal.</w:t>
      </w:r>
    </w:p>
    <w:p w:rsidR="00E23B86" w:rsidRDefault="00BA7C13">
      <w:pPr>
        <w:numPr>
          <w:ilvl w:val="7"/>
          <w:numId w:val="141"/>
        </w:numPr>
        <w:spacing w:after="27" w:line="251" w:lineRule="auto"/>
        <w:ind w:hanging="360"/>
        <w:jc w:val="both"/>
      </w:pPr>
      <w:r>
        <w:rPr>
          <w:rFonts w:ascii="Arial" w:eastAsia="Arial" w:hAnsi="Arial" w:cs="Arial"/>
          <w:i/>
        </w:rPr>
        <w:t xml:space="preserve">Juan Miguel Olivera González. P. Popular </w:t>
      </w:r>
    </w:p>
    <w:p w:rsidR="00E23B86" w:rsidRDefault="00BA7C13">
      <w:pPr>
        <w:numPr>
          <w:ilvl w:val="7"/>
          <w:numId w:val="141"/>
        </w:numPr>
        <w:spacing w:after="27" w:line="251" w:lineRule="auto"/>
        <w:ind w:hanging="360"/>
        <w:jc w:val="both"/>
      </w:pPr>
      <w:r>
        <w:rPr>
          <w:rFonts w:ascii="Arial" w:eastAsia="Arial" w:hAnsi="Arial" w:cs="Arial"/>
          <w:i/>
        </w:rPr>
        <w:t>Pedro M. Pérez Viña. Ciudadanos</w:t>
      </w:r>
    </w:p>
    <w:p w:rsidR="00E23B86" w:rsidRDefault="00BA7C13">
      <w:pPr>
        <w:numPr>
          <w:ilvl w:val="7"/>
          <w:numId w:val="141"/>
        </w:numPr>
        <w:spacing w:after="27" w:line="251" w:lineRule="auto"/>
        <w:ind w:hanging="360"/>
        <w:jc w:val="both"/>
      </w:pPr>
      <w:r>
        <w:rPr>
          <w:rFonts w:ascii="Arial" w:eastAsia="Arial" w:hAnsi="Arial" w:cs="Arial"/>
          <w:i/>
        </w:rPr>
        <w:t>Mª del Carmen Coello González. Si Se Puede</w:t>
      </w:r>
    </w:p>
    <w:p w:rsidR="00E23B86" w:rsidRDefault="00BA7C13">
      <w:pPr>
        <w:numPr>
          <w:ilvl w:val="7"/>
          <w:numId w:val="141"/>
        </w:numPr>
        <w:spacing w:after="27" w:line="251" w:lineRule="auto"/>
        <w:ind w:hanging="360"/>
        <w:jc w:val="both"/>
      </w:pPr>
      <w:r>
        <w:rPr>
          <w:rFonts w:ascii="Arial" w:eastAsia="Arial" w:hAnsi="Arial" w:cs="Arial"/>
          <w:i/>
        </w:rPr>
        <w:t>Ángela Cruz Perera. Coalición Canaria</w:t>
      </w:r>
    </w:p>
    <w:p w:rsidR="00E23B86" w:rsidRDefault="00BA7C13">
      <w:pPr>
        <w:numPr>
          <w:ilvl w:val="7"/>
          <w:numId w:val="141"/>
        </w:numPr>
        <w:spacing w:after="27" w:line="251" w:lineRule="auto"/>
        <w:ind w:hanging="360"/>
        <w:jc w:val="both"/>
      </w:pPr>
      <w:r>
        <w:rPr>
          <w:rFonts w:ascii="Arial" w:eastAsia="Arial" w:hAnsi="Arial" w:cs="Arial"/>
          <w:i/>
        </w:rPr>
        <w:t>José Fernando Gómez. Vecinos por Candelaria</w:t>
      </w:r>
    </w:p>
    <w:p w:rsidR="00E23B86" w:rsidRDefault="00BA7C13">
      <w:pPr>
        <w:numPr>
          <w:ilvl w:val="7"/>
          <w:numId w:val="141"/>
        </w:numPr>
        <w:spacing w:after="24" w:line="251" w:lineRule="auto"/>
        <w:ind w:hanging="360"/>
        <w:jc w:val="both"/>
      </w:pPr>
      <w:r>
        <w:rPr>
          <w:rFonts w:ascii="Arial" w:eastAsia="Arial" w:hAnsi="Arial" w:cs="Arial"/>
          <w:i/>
        </w:rPr>
        <w:t>Mª Dolores Melián Ramos. Representante de la asociación infantil municipal.</w:t>
      </w:r>
    </w:p>
    <w:p w:rsidR="00E23B86" w:rsidRDefault="00BA7C13">
      <w:pPr>
        <w:numPr>
          <w:ilvl w:val="7"/>
          <w:numId w:val="141"/>
        </w:numPr>
        <w:spacing w:after="24" w:line="251" w:lineRule="auto"/>
        <w:ind w:hanging="360"/>
        <w:jc w:val="both"/>
      </w:pPr>
      <w:r>
        <w:rPr>
          <w:rFonts w:ascii="Arial" w:eastAsia="Arial" w:hAnsi="Arial" w:cs="Arial"/>
          <w:i/>
        </w:rPr>
        <w:t>Ana Herrera Morales. Técnico de Servicios Sociales, Igualdad y Sanidad.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24" w:line="251" w:lineRule="auto"/>
        <w:ind w:right="1" w:hanging="841"/>
        <w:jc w:val="both"/>
      </w:pPr>
      <w:r>
        <w:rPr>
          <w:noProof/>
        </w:rPr>
        <mc:AlternateContent>
          <mc:Choice Requires="wpg">
            <w:drawing>
              <wp:anchor distT="0" distB="0" distL="114300" distR="114300" simplePos="0" relativeHeight="2519941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79937" name="Group 57993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479" name="Rectangle 5147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1480" name="Rectangle 5148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w:t>
                              </w:r>
                              <w:r>
                                <w:rPr>
                                  <w:rFonts w:ascii="Arial" w:eastAsia="Arial" w:hAnsi="Arial" w:cs="Arial"/>
                                  <w:sz w:val="12"/>
                                </w:rPr>
                                <w:t xml:space="preserve">umento firmado electrónicamente desde la plataforma esPublico Gestiona | Página 326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79937" style="width:12.7031pt;height:280.35pt;position:absolute;mso-position-horizontal-relative:page;mso-position-horizontal:absolute;margin-left:681.958pt;mso-position-vertical-relative:page;margin-top:531.65pt;" coordsize="1613,35604">
                <v:rect id="Rectangle 5147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48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326 de 391 </w:t>
                        </w:r>
                      </w:p>
                    </w:txbxContent>
                  </v:textbox>
                </v:rect>
                <w10:wrap type="square"/>
              </v:group>
            </w:pict>
          </mc:Fallback>
        </mc:AlternateContent>
      </w:r>
      <w:r>
        <w:rPr>
          <w:rFonts w:ascii="Arial" w:eastAsia="Arial" w:hAnsi="Arial" w:cs="Arial"/>
          <w:i/>
        </w:rPr>
        <w:t>Las funciones de la presidencia, secretaría y vocales están recogidas en el borrador del reglamento, al igual que la elección y renovación de los representantes, fu</w:t>
      </w:r>
      <w:r>
        <w:rPr>
          <w:rFonts w:ascii="Arial" w:eastAsia="Arial" w:hAnsi="Arial" w:cs="Arial"/>
          <w:i/>
        </w:rPr>
        <w:t>ncionamiento, acuerdos</w:t>
      </w:r>
    </w:p>
    <w:p w:rsidR="00E23B86" w:rsidRDefault="00BA7C13">
      <w:pPr>
        <w:numPr>
          <w:ilvl w:val="0"/>
          <w:numId w:val="140"/>
        </w:numPr>
        <w:spacing w:after="24" w:line="251" w:lineRule="auto"/>
        <w:ind w:right="1" w:hanging="841"/>
        <w:jc w:val="both"/>
      </w:pPr>
      <w:r>
        <w:rPr>
          <w:rFonts w:ascii="Arial" w:eastAsia="Arial" w:hAnsi="Arial" w:cs="Arial"/>
          <w:i/>
        </w:rPr>
        <w:t>Cada representante tendrá un/a suplente elegido/a con el mismo procedimiento que la persona titular”</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89"/>
        <w:ind w:right="1" w:hanging="841"/>
        <w:jc w:val="both"/>
      </w:pPr>
      <w:r>
        <w:rPr>
          <w:rFonts w:ascii="Arial" w:eastAsia="Arial" w:hAnsi="Arial" w:cs="Arial"/>
          <w:b/>
          <w:i/>
        </w:rPr>
        <w:t xml:space="preserve">FUNDAMENTOS DE DERECHO </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98" w:line="249" w:lineRule="auto"/>
        <w:ind w:right="1" w:hanging="841"/>
        <w:jc w:val="both"/>
      </w:pPr>
      <w:r>
        <w:rPr>
          <w:rFonts w:ascii="Arial" w:eastAsia="Arial" w:hAnsi="Arial" w:cs="Arial"/>
          <w:b/>
          <w:i/>
        </w:rPr>
        <w:t>I.- La Convención sobre los Derechos del Niño</w:t>
      </w:r>
    </w:p>
    <w:p w:rsidR="00E23B86" w:rsidRDefault="00BA7C13">
      <w:pPr>
        <w:numPr>
          <w:ilvl w:val="0"/>
          <w:numId w:val="140"/>
        </w:numPr>
        <w:spacing w:after="353" w:line="251" w:lineRule="auto"/>
        <w:ind w:right="1" w:hanging="841"/>
        <w:jc w:val="both"/>
      </w:pPr>
      <w:r>
        <w:rPr>
          <w:rFonts w:ascii="Arial" w:eastAsia="Arial" w:hAnsi="Arial" w:cs="Arial"/>
          <w:i/>
        </w:rPr>
        <w:t xml:space="preserve">La </w:t>
      </w:r>
      <w:r>
        <w:rPr>
          <w:rFonts w:ascii="Arial" w:eastAsia="Arial" w:hAnsi="Arial" w:cs="Arial"/>
          <w:b/>
          <w:i/>
        </w:rPr>
        <w:t>Convención sobre los derechos del niño</w:t>
      </w:r>
      <w:r>
        <w:rPr>
          <w:rFonts w:ascii="Arial" w:eastAsia="Arial" w:hAnsi="Arial" w:cs="Arial"/>
          <w:i/>
        </w:rPr>
        <w:t xml:space="preserve"> </w:t>
      </w:r>
      <w:r>
        <w:rPr>
          <w:rFonts w:ascii="Arial" w:eastAsia="Arial" w:hAnsi="Arial" w:cs="Arial"/>
          <w:i/>
        </w:rPr>
        <w:t>fue proclamada y adoptada por la Asamblea General de la ONU el 20 de noviembre de 1989. En ella se establecen los derechos inalienables de todos los niños y las niñas, pero también las obligaciones de los Estados, los poderes públicos, los padres, las madr</w:t>
      </w:r>
      <w:r>
        <w:rPr>
          <w:rFonts w:ascii="Arial" w:eastAsia="Arial" w:hAnsi="Arial" w:cs="Arial"/>
          <w:i/>
        </w:rPr>
        <w:t>es y la sociedad en su conjunto, incluidos los propios niños y niñas, para garantizar el respeto de esos derechos y su disfrute por todos los niños sin distinción de ningún tipo.</w:t>
      </w:r>
    </w:p>
    <w:p w:rsidR="00E23B86" w:rsidRDefault="00BA7C13">
      <w:pPr>
        <w:numPr>
          <w:ilvl w:val="0"/>
          <w:numId w:val="140"/>
        </w:numPr>
        <w:spacing w:after="362" w:line="241" w:lineRule="auto"/>
        <w:ind w:right="1" w:hanging="841"/>
        <w:jc w:val="both"/>
      </w:pPr>
      <w:r>
        <w:rPr>
          <w:rFonts w:ascii="Arial" w:eastAsia="Arial" w:hAnsi="Arial" w:cs="Arial"/>
          <w:i/>
          <w:color w:val="777777"/>
        </w:rPr>
        <w:t>La Convención ha puesto a los niños en el centro de las políticas, las leyes,</w:t>
      </w:r>
      <w:r>
        <w:rPr>
          <w:rFonts w:ascii="Arial" w:eastAsia="Arial" w:hAnsi="Arial" w:cs="Arial"/>
          <w:i/>
          <w:color w:val="777777"/>
        </w:rPr>
        <w:t xml:space="preserve"> los programas y los presupuestos</w:t>
      </w:r>
    </w:p>
    <w:p w:rsidR="00E23B86" w:rsidRDefault="00BA7C13">
      <w:pPr>
        <w:numPr>
          <w:ilvl w:val="0"/>
          <w:numId w:val="140"/>
        </w:numPr>
        <w:spacing w:after="351" w:line="251" w:lineRule="auto"/>
        <w:ind w:right="1" w:hanging="841"/>
        <w:jc w:val="both"/>
      </w:pPr>
      <w:r>
        <w:rPr>
          <w:rFonts w:ascii="Arial" w:eastAsia="Arial" w:hAnsi="Arial" w:cs="Arial"/>
          <w:i/>
        </w:rPr>
        <w:t xml:space="preserve">España ratificó la Convención un año después de su aprobación. De acuerdo con la Constitución española, la Convención es parte integrante del ordenamiento jurídico, de aplicación directa en España y el estándar mínimo que </w:t>
      </w:r>
      <w:r>
        <w:rPr>
          <w:rFonts w:ascii="Arial" w:eastAsia="Arial" w:hAnsi="Arial" w:cs="Arial"/>
          <w:i/>
        </w:rPr>
        <w:t>debe respetarse a la hora de legislar y desarrollar políticas públicas que afecten a la infancia.</w:t>
      </w:r>
    </w:p>
    <w:p w:rsidR="00E23B86" w:rsidRDefault="00BA7C13">
      <w:pPr>
        <w:numPr>
          <w:ilvl w:val="0"/>
          <w:numId w:val="140"/>
        </w:numPr>
        <w:spacing w:after="353" w:line="251" w:lineRule="auto"/>
        <w:ind w:right="1" w:hanging="841"/>
        <w:jc w:val="both"/>
      </w:pPr>
      <w:r>
        <w:rPr>
          <w:rFonts w:ascii="Arial" w:eastAsia="Arial" w:hAnsi="Arial" w:cs="Arial"/>
          <w:i/>
        </w:rPr>
        <w:t>Sin embargo, y a pesar del gran consenso en torno a la autoridad de la Convención, los derechos de los niños se siguen vulnerando en todo el mundo. También en</w:t>
      </w:r>
      <w:r>
        <w:rPr>
          <w:rFonts w:ascii="Arial" w:eastAsia="Arial" w:hAnsi="Arial" w:cs="Arial"/>
          <w:i/>
        </w:rPr>
        <w:t xml:space="preserve"> España. Hay que trabajar sin descanso para que esto no sea así y para que todos los niños disfruten de la mayor garantía para un presente cargado de futuro: sus derechos. </w:t>
      </w:r>
    </w:p>
    <w:p w:rsidR="00E23B86" w:rsidRDefault="00BA7C13">
      <w:pPr>
        <w:numPr>
          <w:ilvl w:val="0"/>
          <w:numId w:val="140"/>
        </w:numPr>
        <w:spacing w:after="351" w:line="251" w:lineRule="auto"/>
        <w:ind w:right="1" w:hanging="841"/>
        <w:jc w:val="both"/>
      </w:pPr>
      <w:r>
        <w:rPr>
          <w:rFonts w:ascii="Arial" w:eastAsia="Arial" w:hAnsi="Arial" w:cs="Arial"/>
          <w:i/>
        </w:rPr>
        <w:t>Los cuatro principios sobre los que se establece la Convención son la no discrimina</w:t>
      </w:r>
      <w:r>
        <w:rPr>
          <w:rFonts w:ascii="Arial" w:eastAsia="Arial" w:hAnsi="Arial" w:cs="Arial"/>
          <w:i/>
        </w:rPr>
        <w:t>ción, la primacía del interés superior del menor, la garantía de la supervivencia y el pleno desarrollo, y la participación infantil.</w:t>
      </w:r>
    </w:p>
    <w:p w:rsidR="00E23B86" w:rsidRDefault="00BA7C13">
      <w:pPr>
        <w:numPr>
          <w:ilvl w:val="0"/>
          <w:numId w:val="140"/>
        </w:numPr>
        <w:spacing w:after="353" w:line="251" w:lineRule="auto"/>
        <w:ind w:right="1" w:hanging="841"/>
        <w:jc w:val="both"/>
      </w:pPr>
      <w:r>
        <w:rPr>
          <w:rFonts w:ascii="Arial" w:eastAsia="Arial" w:hAnsi="Arial" w:cs="Arial"/>
          <w:i/>
        </w:rPr>
        <w:t>La Convención tiene 54 artículos en los que desarrolla, entre otros, el derecho de los niños y niñas a la protección contra todo tipo de violencia y explotación, a la educación, al más alto nivel posible de salud, y a beneficiarse de políticas sociales que</w:t>
      </w:r>
      <w:r>
        <w:rPr>
          <w:rFonts w:ascii="Arial" w:eastAsia="Arial" w:hAnsi="Arial" w:cs="Arial"/>
          <w:i/>
        </w:rPr>
        <w:t xml:space="preserve"> garanticen un nivel de vida adecuado para su desarrollo físico, mental, espiritual, moral y social.</w:t>
      </w:r>
    </w:p>
    <w:p w:rsidR="00E23B86" w:rsidRDefault="00BA7C13">
      <w:pPr>
        <w:numPr>
          <w:ilvl w:val="0"/>
          <w:numId w:val="140"/>
        </w:numPr>
        <w:spacing w:after="353" w:line="251" w:lineRule="auto"/>
        <w:ind w:right="1" w:hanging="841"/>
        <w:jc w:val="both"/>
      </w:pPr>
      <w:r>
        <w:rPr>
          <w:rFonts w:ascii="Arial" w:eastAsia="Arial" w:hAnsi="Arial" w:cs="Arial"/>
          <w:i/>
        </w:rPr>
        <w:t>El Comité de los derechos del niño es un órgano establecido por la propia Convención para hacer seguimiento y evaluar el cumplimiento de la misma por parte</w:t>
      </w:r>
      <w:r>
        <w:rPr>
          <w:rFonts w:ascii="Arial" w:eastAsia="Arial" w:hAnsi="Arial" w:cs="Arial"/>
          <w:i/>
        </w:rPr>
        <w:t xml:space="preserve"> de los Estados. Está formado por 18 expertos independientes de distintas nacionalidades.</w:t>
      </w:r>
    </w:p>
    <w:p w:rsidR="00E23B86" w:rsidRDefault="00BA7C13">
      <w:pPr>
        <w:numPr>
          <w:ilvl w:val="0"/>
          <w:numId w:val="140"/>
        </w:numPr>
        <w:spacing w:after="353" w:line="251" w:lineRule="auto"/>
        <w:ind w:right="1" w:hanging="841"/>
        <w:jc w:val="both"/>
      </w:pPr>
      <w:r>
        <w:rPr>
          <w:noProof/>
        </w:rPr>
        <mc:AlternateContent>
          <mc:Choice Requires="wpg">
            <w:drawing>
              <wp:anchor distT="0" distB="0" distL="114300" distR="114300" simplePos="0" relativeHeight="2519951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0197" name="Group 58019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566" name="Rectangle 5156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1567" name="Rectangle 5156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w:t>
                              </w:r>
                              <w:r>
                                <w:rPr>
                                  <w:rFonts w:ascii="Arial" w:eastAsia="Arial" w:hAnsi="Arial" w:cs="Arial"/>
                                  <w:sz w:val="12"/>
                                </w:rPr>
                                <w:t xml:space="preserve">o Gestiona | Página 327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0197" style="width:12.7031pt;height:280.35pt;position:absolute;mso-position-horizontal-relative:page;mso-position-horizontal:absolute;margin-left:681.958pt;mso-position-vertical-relative:page;margin-top:531.65pt;" coordsize="1613,35604">
                <v:rect id="Rectangle 5156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56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327 de 391 </w:t>
                        </w:r>
                      </w:p>
                    </w:txbxContent>
                  </v:textbox>
                </v:rect>
                <w10:wrap type="square"/>
              </v:group>
            </w:pict>
          </mc:Fallback>
        </mc:AlternateContent>
      </w:r>
      <w:r>
        <w:rPr>
          <w:rFonts w:ascii="Arial" w:eastAsia="Arial" w:hAnsi="Arial" w:cs="Arial"/>
          <w:i/>
        </w:rPr>
        <w:t>Cada cinco años los distintos gobiernos de todos los países que han ratificado la Convención deben presentar un informe al Comité donde explican la situación de los derechos de los niños y las niñas en su país y describen la</w:t>
      </w:r>
      <w:r>
        <w:rPr>
          <w:rFonts w:ascii="Arial" w:eastAsia="Arial" w:hAnsi="Arial" w:cs="Arial"/>
          <w:i/>
        </w:rPr>
        <w:t>s medidas que han adoptado para hacer que se cumplan sus derechos. El Comité analiza estos informes y elabora unas recomendaciones para que cada país mejore su forma de proteger a los niños y las niñas.</w:t>
      </w:r>
    </w:p>
    <w:p w:rsidR="00E23B86" w:rsidRDefault="00BA7C13">
      <w:pPr>
        <w:numPr>
          <w:ilvl w:val="0"/>
          <w:numId w:val="140"/>
        </w:numPr>
        <w:spacing w:after="96" w:line="249" w:lineRule="auto"/>
        <w:ind w:right="1" w:hanging="841"/>
        <w:jc w:val="both"/>
      </w:pPr>
      <w:r>
        <w:rPr>
          <w:rFonts w:ascii="Arial" w:eastAsia="Arial" w:hAnsi="Arial" w:cs="Arial"/>
          <w:b/>
          <w:i/>
        </w:rPr>
        <w:t>II.- La Constitución Española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40"/>
        </w:numPr>
        <w:spacing w:after="3" w:line="248" w:lineRule="auto"/>
        <w:ind w:right="1" w:hanging="841"/>
        <w:jc w:val="both"/>
      </w:pPr>
      <w:r>
        <w:rPr>
          <w:rFonts w:ascii="Arial" w:eastAsia="Arial" w:hAnsi="Arial" w:cs="Arial"/>
          <w:i/>
        </w:rPr>
        <w:t>La Constitución Española prevé en su artículo 9.2 que “</w:t>
      </w:r>
      <w:r>
        <w:rPr>
          <w:rFonts w:ascii="Arial" w:eastAsia="Arial" w:hAnsi="Arial" w:cs="Arial"/>
          <w:i/>
          <w:color w:val="222222"/>
        </w:rPr>
        <w:t>Corresponde a los poderes públicos promover las condiciones para que la libertad y la igualdad del individuo y de los grupos en que se integra sean reales y efectivas; remover los obstáculos que impida</w:t>
      </w:r>
      <w:r>
        <w:rPr>
          <w:rFonts w:ascii="Arial" w:eastAsia="Arial" w:hAnsi="Arial" w:cs="Arial"/>
          <w:i/>
          <w:color w:val="222222"/>
        </w:rPr>
        <w:t>n o dificulten su plenitud y facilitar la participación de todos los ciudadanos en la vida política, económica, cultural y social.”</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color w:val="000000"/>
          <w:sz w:val="20"/>
        </w:rPr>
        <w:t xml:space="preserve"> </w:t>
      </w:r>
      <w:r>
        <w:t>Artículo 15</w:t>
      </w:r>
    </w:p>
    <w:p w:rsidR="00E23B86" w:rsidRDefault="00BA7C13">
      <w:pPr>
        <w:spacing w:after="3" w:line="248" w:lineRule="auto"/>
        <w:ind w:left="-15" w:right="14"/>
        <w:jc w:val="both"/>
      </w:pPr>
      <w:r>
        <w:rPr>
          <w:rFonts w:ascii="Segoe UI Symbol" w:eastAsia="Segoe UI Symbol" w:hAnsi="Segoe UI Symbol" w:cs="Segoe UI Symbol"/>
          <w:color w:val="222222"/>
          <w:sz w:val="20"/>
        </w:rPr>
        <w:t xml:space="preserve"> </w:t>
      </w:r>
      <w:r>
        <w:rPr>
          <w:rFonts w:ascii="Arial" w:eastAsia="Arial" w:hAnsi="Arial" w:cs="Arial"/>
          <w:i/>
          <w:color w:val="222222"/>
        </w:rPr>
        <w:t>“Todos tienen derecho a la vida y a la integridad física y moral, sin que, en ningún caso, puedan ser some</w:t>
      </w:r>
      <w:r>
        <w:rPr>
          <w:rFonts w:ascii="Arial" w:eastAsia="Arial" w:hAnsi="Arial" w:cs="Arial"/>
          <w:i/>
          <w:color w:val="222222"/>
        </w:rPr>
        <w:t xml:space="preserve">tidos a tortura ni a penas o tratos inhumanos o degradantes. Queda abolida la pena de muerte, salvo lo que puedan disponer las leyes penales militares para tiempos de guerra.” </w:t>
      </w: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color w:val="000000"/>
          <w:sz w:val="20"/>
        </w:rPr>
        <w:t xml:space="preserve"> </w:t>
      </w:r>
      <w:r>
        <w:t>Artículo 17</w:t>
      </w:r>
    </w:p>
    <w:p w:rsidR="00E23B86" w:rsidRDefault="00BA7C13">
      <w:pPr>
        <w:spacing w:after="3" w:line="248" w:lineRule="auto"/>
        <w:ind w:left="360" w:right="14"/>
        <w:jc w:val="both"/>
      </w:pPr>
      <w:r>
        <w:rPr>
          <w:rFonts w:ascii="Arial" w:eastAsia="Arial" w:hAnsi="Arial" w:cs="Arial"/>
          <w:b/>
          <w:i/>
          <w:color w:val="222222"/>
        </w:rPr>
        <w:t xml:space="preserve">“1. </w:t>
      </w:r>
      <w:r>
        <w:rPr>
          <w:rFonts w:ascii="Arial" w:eastAsia="Arial" w:hAnsi="Arial" w:cs="Arial"/>
          <w:i/>
          <w:color w:val="222222"/>
        </w:rPr>
        <w:t>Toda persona tiene derecho a la libertad y a la seguridad. N</w:t>
      </w:r>
      <w:r>
        <w:rPr>
          <w:rFonts w:ascii="Arial" w:eastAsia="Arial" w:hAnsi="Arial" w:cs="Arial"/>
          <w:i/>
          <w:color w:val="222222"/>
        </w:rPr>
        <w:t>adie puede ser privado de su libertad, sino con la observancia de lo establecido en este artículo y en los casos y en la forma previstos en la ley.”</w:t>
      </w:r>
    </w:p>
    <w:p w:rsidR="00E23B86" w:rsidRDefault="00BA7C13">
      <w:pPr>
        <w:pStyle w:val="Ttulo3"/>
        <w:ind w:left="-5" w:right="1093"/>
      </w:pPr>
      <w:r>
        <w:rPr>
          <w:rFonts w:ascii="Segoe UI Symbol" w:eastAsia="Segoe UI Symbol" w:hAnsi="Segoe UI Symbol" w:cs="Segoe UI Symbol"/>
          <w:b w:val="0"/>
          <w:i w:val="0"/>
          <w:color w:val="000000"/>
          <w:sz w:val="20"/>
        </w:rPr>
        <w:t xml:space="preserve"> </w:t>
      </w:r>
      <w:r>
        <w:t>Artículo 18</w:t>
      </w:r>
    </w:p>
    <w:p w:rsidR="00E23B86" w:rsidRDefault="00BA7C13">
      <w:pPr>
        <w:spacing w:after="3" w:line="248" w:lineRule="auto"/>
        <w:ind w:left="355" w:right="14" w:hanging="370"/>
        <w:jc w:val="both"/>
      </w:pPr>
      <w:r>
        <w:rPr>
          <w:rFonts w:ascii="Segoe UI Symbol" w:eastAsia="Segoe UI Symbol" w:hAnsi="Segoe UI Symbol" w:cs="Segoe UI Symbol"/>
          <w:sz w:val="20"/>
        </w:rPr>
        <w:t xml:space="preserve"> </w:t>
      </w:r>
      <w:r>
        <w:rPr>
          <w:rFonts w:ascii="Arial" w:eastAsia="Arial" w:hAnsi="Arial" w:cs="Arial"/>
          <w:b/>
          <w:i/>
          <w:color w:val="222222"/>
        </w:rPr>
        <w:t xml:space="preserve">“1. </w:t>
      </w:r>
      <w:r>
        <w:rPr>
          <w:rFonts w:ascii="Arial" w:eastAsia="Arial" w:hAnsi="Arial" w:cs="Arial"/>
          <w:i/>
          <w:color w:val="222222"/>
        </w:rPr>
        <w:t>Se garantiza el derecho al honor, a la intimidad personal y familiar y a la propia imag</w:t>
      </w:r>
      <w:r>
        <w:rPr>
          <w:rFonts w:ascii="Arial" w:eastAsia="Arial" w:hAnsi="Arial" w:cs="Arial"/>
          <w:i/>
          <w:color w:val="222222"/>
        </w:rPr>
        <w:t>en”</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ind w:left="-5" w:right="1093"/>
      </w:pPr>
      <w:r>
        <w:rPr>
          <w:rFonts w:ascii="Segoe UI Symbol" w:eastAsia="Segoe UI Symbol" w:hAnsi="Segoe UI Symbol" w:cs="Segoe UI Symbol"/>
          <w:b w:val="0"/>
          <w:i w:val="0"/>
          <w:color w:val="000000"/>
          <w:sz w:val="20"/>
        </w:rPr>
        <w:t xml:space="preserve"> </w:t>
      </w:r>
      <w:r>
        <w:t>Artículo 27</w:t>
      </w:r>
    </w:p>
    <w:p w:rsidR="00E23B86" w:rsidRDefault="00BA7C13">
      <w:pPr>
        <w:numPr>
          <w:ilvl w:val="0"/>
          <w:numId w:val="151"/>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Todos tienen el derecho a la educación. Se reconoce la libertad de enseñanza.</w:t>
      </w:r>
    </w:p>
    <w:p w:rsidR="00E23B86" w:rsidRDefault="00BA7C13">
      <w:pPr>
        <w:numPr>
          <w:ilvl w:val="0"/>
          <w:numId w:val="151"/>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La educación tendrá por objeto el pleno desarrollo de la personalidad humana en el respeto a los principios democráticos de convivencia y a los derechos y libertades fundamentales.</w:t>
      </w:r>
    </w:p>
    <w:p w:rsidR="00E23B86" w:rsidRDefault="00BA7C13">
      <w:pPr>
        <w:numPr>
          <w:ilvl w:val="0"/>
          <w:numId w:val="151"/>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 xml:space="preserve">Los poderes públicos garantizan el derecho que asiste a los padres para </w:t>
      </w:r>
      <w:r>
        <w:rPr>
          <w:rFonts w:ascii="Arial" w:eastAsia="Arial" w:hAnsi="Arial" w:cs="Arial"/>
          <w:i/>
          <w:color w:val="222222"/>
        </w:rPr>
        <w:t>que sus hijos reciban la formación religiosa y moral que esté de acuerdo con sus propias convicciones.</w:t>
      </w:r>
    </w:p>
    <w:p w:rsidR="00E23B86" w:rsidRDefault="00BA7C13">
      <w:pPr>
        <w:numPr>
          <w:ilvl w:val="0"/>
          <w:numId w:val="151"/>
        </w:numPr>
        <w:spacing w:after="3" w:line="248" w:lineRule="auto"/>
        <w:ind w:right="14" w:hanging="360"/>
        <w:jc w:val="both"/>
      </w:pPr>
      <w:r>
        <w:rPr>
          <w:rFonts w:ascii="Arial" w:eastAsia="Arial" w:hAnsi="Arial" w:cs="Arial"/>
          <w:b/>
          <w:i/>
          <w:color w:val="222222"/>
        </w:rPr>
        <w:t xml:space="preserve">4. </w:t>
      </w:r>
      <w:r>
        <w:rPr>
          <w:rFonts w:ascii="Arial" w:eastAsia="Arial" w:hAnsi="Arial" w:cs="Arial"/>
          <w:i/>
          <w:color w:val="222222"/>
        </w:rPr>
        <w:t>La enseñanza básica es obligatoria y gratuita.</w:t>
      </w:r>
    </w:p>
    <w:p w:rsidR="00E23B86" w:rsidRDefault="00BA7C13">
      <w:pPr>
        <w:numPr>
          <w:ilvl w:val="0"/>
          <w:numId w:val="151"/>
        </w:numPr>
        <w:spacing w:after="3" w:line="248" w:lineRule="auto"/>
        <w:ind w:right="14" w:hanging="360"/>
        <w:jc w:val="both"/>
      </w:pPr>
      <w:r>
        <w:rPr>
          <w:rFonts w:ascii="Arial" w:eastAsia="Arial" w:hAnsi="Arial" w:cs="Arial"/>
          <w:b/>
          <w:i/>
          <w:color w:val="222222"/>
        </w:rPr>
        <w:t xml:space="preserve">5. </w:t>
      </w:r>
      <w:r>
        <w:rPr>
          <w:rFonts w:ascii="Arial" w:eastAsia="Arial" w:hAnsi="Arial" w:cs="Arial"/>
          <w:i/>
          <w:color w:val="222222"/>
        </w:rPr>
        <w:t>Los poderes públicos garantizan el derecho de todos a la educación, mediante una programación genera</w:t>
      </w:r>
      <w:r>
        <w:rPr>
          <w:rFonts w:ascii="Arial" w:eastAsia="Arial" w:hAnsi="Arial" w:cs="Arial"/>
          <w:i/>
          <w:color w:val="222222"/>
        </w:rPr>
        <w:t>l de la enseñanza, con participación efectiva de todos los sectores afectados y la creación de centros docentes.</w:t>
      </w:r>
    </w:p>
    <w:p w:rsidR="00E23B86" w:rsidRDefault="00BA7C13">
      <w:pPr>
        <w:numPr>
          <w:ilvl w:val="0"/>
          <w:numId w:val="151"/>
        </w:numPr>
        <w:spacing w:after="3" w:line="248" w:lineRule="auto"/>
        <w:ind w:right="14" w:hanging="360"/>
        <w:jc w:val="both"/>
      </w:pPr>
      <w:r>
        <w:rPr>
          <w:rFonts w:ascii="Arial" w:eastAsia="Arial" w:hAnsi="Arial" w:cs="Arial"/>
          <w:b/>
          <w:i/>
          <w:color w:val="222222"/>
        </w:rPr>
        <w:t xml:space="preserve">6. </w:t>
      </w:r>
      <w:r>
        <w:rPr>
          <w:rFonts w:ascii="Arial" w:eastAsia="Arial" w:hAnsi="Arial" w:cs="Arial"/>
          <w:i/>
          <w:color w:val="222222"/>
        </w:rPr>
        <w:t>Se reconoce a las personas físicas y jurídicas la libertad de creación de centros docentes, dentro del respeto a los principios constitucion</w:t>
      </w:r>
      <w:r>
        <w:rPr>
          <w:rFonts w:ascii="Arial" w:eastAsia="Arial" w:hAnsi="Arial" w:cs="Arial"/>
          <w:i/>
          <w:color w:val="222222"/>
        </w:rPr>
        <w:t>ales.</w:t>
      </w:r>
    </w:p>
    <w:p w:rsidR="00E23B86" w:rsidRDefault="00BA7C13">
      <w:pPr>
        <w:numPr>
          <w:ilvl w:val="0"/>
          <w:numId w:val="151"/>
        </w:numPr>
        <w:spacing w:after="3" w:line="248" w:lineRule="auto"/>
        <w:ind w:right="14" w:hanging="360"/>
        <w:jc w:val="both"/>
      </w:pPr>
      <w:r>
        <w:rPr>
          <w:rFonts w:ascii="Arial" w:eastAsia="Arial" w:hAnsi="Arial" w:cs="Arial"/>
          <w:b/>
          <w:i/>
          <w:color w:val="222222"/>
        </w:rPr>
        <w:t xml:space="preserve">7. </w:t>
      </w:r>
      <w:r>
        <w:rPr>
          <w:rFonts w:ascii="Arial" w:eastAsia="Arial" w:hAnsi="Arial" w:cs="Arial"/>
          <w:i/>
          <w:color w:val="222222"/>
        </w:rPr>
        <w:t>Los profesores, los padres y, en su caso, los alumnos intervendrán en el control y gestión de todos los centros sostenidos por la Administración con fondos públicos, en los términos que la ley establezca.</w:t>
      </w:r>
    </w:p>
    <w:p w:rsidR="00E23B86" w:rsidRDefault="00BA7C13">
      <w:pPr>
        <w:numPr>
          <w:ilvl w:val="0"/>
          <w:numId w:val="151"/>
        </w:numPr>
        <w:spacing w:after="3" w:line="248" w:lineRule="auto"/>
        <w:ind w:right="14" w:hanging="360"/>
        <w:jc w:val="both"/>
      </w:pPr>
      <w:r>
        <w:rPr>
          <w:rFonts w:ascii="Arial" w:eastAsia="Arial" w:hAnsi="Arial" w:cs="Arial"/>
          <w:b/>
          <w:i/>
          <w:color w:val="222222"/>
        </w:rPr>
        <w:t xml:space="preserve">8. </w:t>
      </w:r>
      <w:r>
        <w:rPr>
          <w:rFonts w:ascii="Arial" w:eastAsia="Arial" w:hAnsi="Arial" w:cs="Arial"/>
          <w:i/>
          <w:color w:val="222222"/>
        </w:rPr>
        <w:t>Los poderes públicos inspeccionarán y h</w:t>
      </w:r>
      <w:r>
        <w:rPr>
          <w:rFonts w:ascii="Arial" w:eastAsia="Arial" w:hAnsi="Arial" w:cs="Arial"/>
          <w:i/>
          <w:color w:val="222222"/>
        </w:rPr>
        <w:t>omologarán el sistema educativo para garantizar el cumplimiento de las leyes.</w:t>
      </w:r>
    </w:p>
    <w:p w:rsidR="00E23B86" w:rsidRDefault="00BA7C13">
      <w:pPr>
        <w:numPr>
          <w:ilvl w:val="0"/>
          <w:numId w:val="151"/>
        </w:numPr>
        <w:spacing w:after="3" w:line="248" w:lineRule="auto"/>
        <w:ind w:right="14" w:hanging="360"/>
        <w:jc w:val="both"/>
      </w:pPr>
      <w:r>
        <w:rPr>
          <w:noProof/>
        </w:rPr>
        <mc:AlternateContent>
          <mc:Choice Requires="wpg">
            <w:drawing>
              <wp:anchor distT="0" distB="0" distL="114300" distR="114300" simplePos="0" relativeHeight="2519961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1266" name="Group 58126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710" name="Rectangle 5171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1711" name="Rectangle 5171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w:t>
                              </w:r>
                              <w:r>
                                <w:rPr>
                                  <w:rFonts w:ascii="Arial" w:eastAsia="Arial" w:hAnsi="Arial" w:cs="Arial"/>
                                  <w:sz w:val="12"/>
                                </w:rPr>
                                <w:t xml:space="preserve"> Página 328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1266" style="width:12.7031pt;height:280.35pt;position:absolute;mso-position-horizontal-relative:page;mso-position-horizontal:absolute;margin-left:681.958pt;mso-position-vertical-relative:page;margin-top:531.65pt;" coordsize="1613,35604">
                <v:rect id="Rectangle 5171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71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328 de 391 </w:t>
                        </w:r>
                      </w:p>
                    </w:txbxContent>
                  </v:textbox>
                </v:rect>
                <w10:wrap type="square"/>
              </v:group>
            </w:pict>
          </mc:Fallback>
        </mc:AlternateContent>
      </w:r>
      <w:r>
        <w:rPr>
          <w:rFonts w:ascii="Arial" w:eastAsia="Arial" w:hAnsi="Arial" w:cs="Arial"/>
          <w:b/>
          <w:i/>
          <w:color w:val="222222"/>
        </w:rPr>
        <w:t xml:space="preserve">9. </w:t>
      </w:r>
      <w:r>
        <w:rPr>
          <w:rFonts w:ascii="Arial" w:eastAsia="Arial" w:hAnsi="Arial" w:cs="Arial"/>
          <w:i/>
          <w:color w:val="222222"/>
        </w:rPr>
        <w:t>Los poderes públicos ayudarán a los centros docentes que reúnan los requisitos que la ley establezca.</w:t>
      </w:r>
    </w:p>
    <w:p w:rsidR="00E23B86" w:rsidRDefault="00BA7C13">
      <w:pPr>
        <w:numPr>
          <w:ilvl w:val="0"/>
          <w:numId w:val="151"/>
        </w:numPr>
        <w:spacing w:after="3" w:line="248" w:lineRule="auto"/>
        <w:ind w:right="14" w:hanging="360"/>
        <w:jc w:val="both"/>
      </w:pPr>
      <w:r>
        <w:rPr>
          <w:rFonts w:ascii="Arial" w:eastAsia="Arial" w:hAnsi="Arial" w:cs="Arial"/>
          <w:b/>
          <w:i/>
          <w:color w:val="222222"/>
        </w:rPr>
        <w:t xml:space="preserve">10. </w:t>
      </w:r>
      <w:r>
        <w:rPr>
          <w:rFonts w:ascii="Arial" w:eastAsia="Arial" w:hAnsi="Arial" w:cs="Arial"/>
          <w:i/>
          <w:color w:val="222222"/>
        </w:rPr>
        <w:t>Se reconoce la autonomía de las Universidades, en los términos que la ley establezca.”</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color w:val="000000"/>
          <w:sz w:val="20"/>
        </w:rPr>
        <w:t xml:space="preserve"> </w:t>
      </w:r>
      <w:r>
        <w:t>Artículo 39</w:t>
      </w:r>
    </w:p>
    <w:p w:rsidR="00E23B86" w:rsidRDefault="00BA7C13">
      <w:pPr>
        <w:numPr>
          <w:ilvl w:val="0"/>
          <w:numId w:val="152"/>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Los poderes públicos</w:t>
      </w:r>
      <w:r>
        <w:rPr>
          <w:rFonts w:ascii="Arial" w:eastAsia="Arial" w:hAnsi="Arial" w:cs="Arial"/>
          <w:i/>
          <w:color w:val="222222"/>
        </w:rPr>
        <w:t xml:space="preserve"> aseguran la protección social, económica y jurídica de la familia.</w:t>
      </w:r>
    </w:p>
    <w:p w:rsidR="00E23B86" w:rsidRDefault="00BA7C13">
      <w:pPr>
        <w:numPr>
          <w:ilvl w:val="0"/>
          <w:numId w:val="152"/>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 xml:space="preserve">Los poderes públicos aseguran, asimismo, la protección integral de los hijos, iguales éstos ante la ley con independencia de su filiación, y de las madres, cualquiera que sea su estado </w:t>
      </w:r>
      <w:r>
        <w:rPr>
          <w:rFonts w:ascii="Arial" w:eastAsia="Arial" w:hAnsi="Arial" w:cs="Arial"/>
          <w:i/>
          <w:color w:val="222222"/>
        </w:rPr>
        <w:t>civil. La ley posibilitará la investigación de la paternidad.</w:t>
      </w:r>
    </w:p>
    <w:p w:rsidR="00E23B86" w:rsidRDefault="00BA7C13">
      <w:pPr>
        <w:numPr>
          <w:ilvl w:val="0"/>
          <w:numId w:val="152"/>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Los padres deben prestar asistencia de todo orden a los hijos habidos dentro o fuera del matrimonio, durante su minoría de edad y en los demás casos en que legalmente proceda.</w:t>
      </w:r>
    </w:p>
    <w:p w:rsidR="00E23B86" w:rsidRDefault="00BA7C13">
      <w:pPr>
        <w:numPr>
          <w:ilvl w:val="0"/>
          <w:numId w:val="152"/>
        </w:numPr>
        <w:spacing w:after="3" w:line="248" w:lineRule="auto"/>
        <w:ind w:right="14" w:hanging="360"/>
        <w:jc w:val="both"/>
      </w:pPr>
      <w:r>
        <w:rPr>
          <w:rFonts w:ascii="Arial" w:eastAsia="Arial" w:hAnsi="Arial" w:cs="Arial"/>
          <w:b/>
          <w:i/>
          <w:color w:val="222222"/>
        </w:rPr>
        <w:t xml:space="preserve">4. </w:t>
      </w:r>
      <w:r>
        <w:rPr>
          <w:rFonts w:ascii="Arial" w:eastAsia="Arial" w:hAnsi="Arial" w:cs="Arial"/>
          <w:i/>
          <w:color w:val="222222"/>
        </w:rPr>
        <w:t>Los niños go</w:t>
      </w:r>
      <w:r>
        <w:rPr>
          <w:rFonts w:ascii="Arial" w:eastAsia="Arial" w:hAnsi="Arial" w:cs="Arial"/>
          <w:i/>
          <w:color w:val="222222"/>
        </w:rPr>
        <w:t>zarán de la protección prevista en los acuerdos internacionales que velan por sus derechos.”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52"/>
        </w:numPr>
        <w:spacing w:after="0" w:line="249" w:lineRule="auto"/>
        <w:ind w:right="14" w:hanging="360"/>
        <w:jc w:val="both"/>
      </w:pPr>
      <w:r>
        <w:rPr>
          <w:rFonts w:ascii="Arial" w:eastAsia="Arial" w:hAnsi="Arial" w:cs="Arial"/>
          <w:b/>
          <w:i/>
        </w:rPr>
        <w:t xml:space="preserve">III. Ley Orgánica 1/1996, de 15 de enero, de protección jurídica del menor, de modificación del Código Civil y de la Ley de Enjuiciamiento Civil </w:t>
      </w:r>
      <w:r>
        <w:rPr>
          <w:rFonts w:ascii="Segoe UI Symbol" w:eastAsia="Segoe UI Symbol" w:hAnsi="Segoe UI Symbol" w:cs="Segoe UI Symbol"/>
          <w:color w:val="3C587E"/>
          <w:sz w:val="20"/>
        </w:rPr>
        <w:t></w:t>
      </w:r>
    </w:p>
    <w:p w:rsidR="00E23B86" w:rsidRDefault="00BA7C13">
      <w:pPr>
        <w:numPr>
          <w:ilvl w:val="0"/>
          <w:numId w:val="152"/>
        </w:numPr>
        <w:spacing w:after="0"/>
        <w:ind w:right="14" w:hanging="360"/>
        <w:jc w:val="both"/>
      </w:pPr>
      <w:r>
        <w:rPr>
          <w:rFonts w:ascii="Arial" w:eastAsia="Arial" w:hAnsi="Arial" w:cs="Arial"/>
          <w:b/>
          <w:i/>
          <w:color w:val="3C587E"/>
        </w:rPr>
        <w:t>Derechos del menor</w:t>
      </w:r>
    </w:p>
    <w:p w:rsidR="00E23B86" w:rsidRDefault="00BA7C13">
      <w:pPr>
        <w:spacing w:after="0"/>
        <w:ind w:left="-5" w:hanging="10"/>
      </w:pPr>
      <w:r>
        <w:rPr>
          <w:rFonts w:ascii="Segoe UI Symbol" w:eastAsia="Segoe UI Symbol" w:hAnsi="Segoe UI Symbol" w:cs="Segoe UI Symbol"/>
          <w:color w:val="3C587E"/>
          <w:sz w:val="20"/>
        </w:rPr>
        <w:t></w:t>
      </w:r>
    </w:p>
    <w:p w:rsidR="00E23B86" w:rsidRDefault="00BA7C13">
      <w:pPr>
        <w:spacing w:after="1"/>
        <w:ind w:left="-5" w:hanging="10"/>
      </w:pPr>
      <w:r>
        <w:rPr>
          <w:rFonts w:ascii="Segoe UI Symbol" w:eastAsia="Segoe UI Symbol" w:hAnsi="Segoe UI Symbol" w:cs="Segoe UI Symbol"/>
          <w:color w:val="4C6F99"/>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3 Referencia a Instrumentos Internacionales</w:t>
      </w:r>
    </w:p>
    <w:p w:rsidR="00E23B86" w:rsidRDefault="00E23B86">
      <w:pPr>
        <w:sectPr w:rsidR="00E23B86">
          <w:headerReference w:type="even" r:id="rId83"/>
          <w:headerReference w:type="default" r:id="rId84"/>
          <w:footerReference w:type="even" r:id="rId85"/>
          <w:footerReference w:type="default" r:id="rId86"/>
          <w:headerReference w:type="first" r:id="rId87"/>
          <w:footerReference w:type="first" r:id="rId88"/>
          <w:pgSz w:w="14168" w:h="16840"/>
          <w:pgMar w:top="2005" w:right="2849" w:bottom="1429" w:left="3198" w:header="712" w:footer="712" w:gutter="0"/>
          <w:cols w:space="720"/>
        </w:sectPr>
      </w:pPr>
    </w:p>
    <w:p w:rsidR="00E23B86" w:rsidRDefault="00BA7C13">
      <w:pPr>
        <w:spacing w:after="3" w:line="248" w:lineRule="auto"/>
        <w:ind w:left="360" w:right="14"/>
        <w:jc w:val="both"/>
      </w:pPr>
      <w:r>
        <w:rPr>
          <w:rFonts w:ascii="Arial" w:eastAsia="Arial" w:hAnsi="Arial" w:cs="Arial"/>
          <w:i/>
          <w:color w:val="222222"/>
        </w:rPr>
        <w:t>“Los menores gozarán de los derechos que les reconoce la Constitución y los Tratados Internacionales de los que España sea parte, especialmente la Convención de Derechos del Niño de Naciones Unidas y la Convención de Derechos de las Personas con Discapacid</w:t>
      </w:r>
      <w:r>
        <w:rPr>
          <w:rFonts w:ascii="Arial" w:eastAsia="Arial" w:hAnsi="Arial" w:cs="Arial"/>
          <w:i/>
          <w:color w:val="222222"/>
        </w:rPr>
        <w:t>ad, y de los demás derechos garantizados en el ordenamiento jurídico, sin discriminación alguna por razón de nacimiento, nacionalidad, raza, sexo, discapacidad o enfermedad, religión, lengua, cultura, opinión o cualquier otra circunstancia personal, famili</w:t>
      </w:r>
      <w:r>
        <w:rPr>
          <w:rFonts w:ascii="Arial" w:eastAsia="Arial" w:hAnsi="Arial" w:cs="Arial"/>
          <w:i/>
          <w:color w:val="222222"/>
        </w:rPr>
        <w:t>ar o social.</w:t>
      </w:r>
    </w:p>
    <w:p w:rsidR="00E23B86" w:rsidRDefault="00BA7C13">
      <w:pPr>
        <w:numPr>
          <w:ilvl w:val="0"/>
          <w:numId w:val="153"/>
        </w:numPr>
        <w:spacing w:after="3" w:line="248" w:lineRule="auto"/>
        <w:ind w:right="14" w:hanging="360"/>
        <w:jc w:val="both"/>
      </w:pPr>
      <w:r>
        <w:rPr>
          <w:rFonts w:ascii="Arial" w:eastAsia="Arial" w:hAnsi="Arial" w:cs="Arial"/>
          <w:i/>
          <w:color w:val="222222"/>
        </w:rPr>
        <w:t xml:space="preserve">La presente ley, sus normas de desarrollo y demás disposiciones legales relativas a las personas menores de edad, se interpretarán de conformidad con los Tratados Internacionales de los que España sea parte y, especialmente, de acuerdo con la </w:t>
      </w:r>
      <w:r>
        <w:rPr>
          <w:rFonts w:ascii="Arial" w:eastAsia="Arial" w:hAnsi="Arial" w:cs="Arial"/>
          <w:i/>
          <w:color w:val="222222"/>
        </w:rPr>
        <w:t>Convención de los Derechos del Niño de Naciones Unidas y la Convención de Derechos de las Personas con Discapacidad.</w:t>
      </w:r>
    </w:p>
    <w:p w:rsidR="00E23B86" w:rsidRDefault="00BA7C13">
      <w:pPr>
        <w:numPr>
          <w:ilvl w:val="0"/>
          <w:numId w:val="153"/>
        </w:numPr>
        <w:spacing w:after="3" w:line="248" w:lineRule="auto"/>
        <w:ind w:right="14" w:hanging="360"/>
        <w:jc w:val="both"/>
      </w:pPr>
      <w:r>
        <w:rPr>
          <w:rFonts w:ascii="Arial" w:eastAsia="Arial" w:hAnsi="Arial" w:cs="Arial"/>
          <w:i/>
          <w:color w:val="222222"/>
        </w:rPr>
        <w:t>Los poderes públicos garantizarán el respeto de los derechos de los menores y adecuarán sus actuaciones a la presente ley y a la mencionada</w:t>
      </w:r>
      <w:r>
        <w:rPr>
          <w:rFonts w:ascii="Arial" w:eastAsia="Arial" w:hAnsi="Arial" w:cs="Arial"/>
          <w:i/>
          <w:color w:val="222222"/>
        </w:rPr>
        <w:t xml:space="preserve"> normativa internacional.”</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 xml:space="preserve">Artículo 4 Derecho al honor, a la intimidad y a la propia imagen </w:t>
      </w:r>
      <w:r>
        <w:rPr>
          <w:rFonts w:ascii="Segoe UI Symbol" w:eastAsia="Segoe UI Symbol" w:hAnsi="Segoe UI Symbol" w:cs="Segoe UI Symbol"/>
          <w:b w:val="0"/>
          <w:i w:val="0"/>
          <w:color w:val="222222"/>
          <w:sz w:val="20"/>
        </w:rPr>
        <w:t></w:t>
      </w:r>
    </w:p>
    <w:p w:rsidR="00E23B86" w:rsidRDefault="00BA7C13">
      <w:pPr>
        <w:numPr>
          <w:ilvl w:val="0"/>
          <w:numId w:val="154"/>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Los menores tienen derecho al honor, a la intimidad personal y familiar y a la propia imagen. Este derecho comprende también la inviolabilidad del domicilio familiar y de la correspondencia, así como del secreto de las comunicaciones.</w:t>
      </w:r>
    </w:p>
    <w:p w:rsidR="00E23B86" w:rsidRDefault="00BA7C13">
      <w:pPr>
        <w:numPr>
          <w:ilvl w:val="0"/>
          <w:numId w:val="154"/>
        </w:numPr>
        <w:spacing w:after="3" w:line="248" w:lineRule="auto"/>
        <w:ind w:right="14" w:hanging="360"/>
        <w:jc w:val="both"/>
      </w:pPr>
      <w:r>
        <w:rPr>
          <w:noProof/>
        </w:rPr>
        <mc:AlternateContent>
          <mc:Choice Requires="wpg">
            <w:drawing>
              <wp:anchor distT="0" distB="0" distL="114300" distR="114300" simplePos="0" relativeHeight="2519971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1439" name="Group 58143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821" name="Rectangle 5182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w:t>
                              </w:r>
                              <w:r>
                                <w:rPr>
                                  <w:rFonts w:ascii="Arial" w:eastAsia="Arial" w:hAnsi="Arial" w:cs="Arial"/>
                                  <w:sz w:val="12"/>
                                </w:rPr>
                                <w:t xml:space="preserve">AJ7C4GAAK3P9GMGZC2N3FZWC | Verificación: https://candelaria.sedelectronica.es/ </w:t>
                              </w:r>
                            </w:p>
                          </w:txbxContent>
                        </wps:txbx>
                        <wps:bodyPr horzOverflow="overflow" vert="horz" lIns="0" tIns="0" rIns="0" bIns="0" rtlCol="0">
                          <a:noAutofit/>
                        </wps:bodyPr>
                      </wps:wsp>
                      <wps:wsp>
                        <wps:cNvPr id="51822" name="Rectangle 5182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329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1439" style="width:12.7031pt;height:280.35pt;position:absolute;mso-position-horizontal-relative:page;mso-position-horizontal:absolute;margin-left:681.958pt;mso-position-vertical-relative:page;margin-top:531.65pt;" coordsize="1613,35604">
                <v:rect id="Rectangle 5182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82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329 de 391 </w:t>
                        </w:r>
                      </w:p>
                    </w:txbxContent>
                  </v:textbox>
                </v:rect>
                <w10:wrap type="square"/>
              </v:group>
            </w:pict>
          </mc:Fallback>
        </mc:AlternateContent>
      </w:r>
      <w:r>
        <w:rPr>
          <w:rFonts w:ascii="Arial" w:eastAsia="Arial" w:hAnsi="Arial" w:cs="Arial"/>
          <w:b/>
          <w:i/>
          <w:color w:val="222222"/>
        </w:rPr>
        <w:t xml:space="preserve">2. </w:t>
      </w:r>
      <w:r>
        <w:rPr>
          <w:rFonts w:ascii="Arial" w:eastAsia="Arial" w:hAnsi="Arial" w:cs="Arial"/>
          <w:i/>
          <w:color w:val="222222"/>
        </w:rPr>
        <w:t>La difusión de información o la utilización de imágenes o nombre de los meno</w:t>
      </w:r>
      <w:r>
        <w:rPr>
          <w:rFonts w:ascii="Arial" w:eastAsia="Arial" w:hAnsi="Arial" w:cs="Arial"/>
          <w:i/>
          <w:color w:val="222222"/>
        </w:rPr>
        <w:t>res en los medios de comunicación que puedan implicar una intromisión ilegítima en su intimidad, honra o reputación, o que sea contraria a sus intereses, determinará la intervención del Ministerio Fiscal, que instará de inmediato las medidas cautelares y d</w:t>
      </w:r>
      <w:r>
        <w:rPr>
          <w:rFonts w:ascii="Arial" w:eastAsia="Arial" w:hAnsi="Arial" w:cs="Arial"/>
          <w:i/>
          <w:color w:val="222222"/>
        </w:rPr>
        <w:t>e protección previstas en la Ley y solicitará las indemnizaciones que correspondan por los perjuicios causados.</w:t>
      </w:r>
    </w:p>
    <w:p w:rsidR="00E23B86" w:rsidRDefault="00BA7C13">
      <w:pPr>
        <w:numPr>
          <w:ilvl w:val="0"/>
          <w:numId w:val="154"/>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Se considera intromisión ilegítima en el derecho al honor, a la intimidad personal y familiar y a la propia imagen del menor, cualquier utilización de su imagen o su nombre en los medios de comunicación que pueda implicar menoscabo de su honra o reputación</w:t>
      </w:r>
      <w:r>
        <w:rPr>
          <w:rFonts w:ascii="Arial" w:eastAsia="Arial" w:hAnsi="Arial" w:cs="Arial"/>
          <w:i/>
          <w:color w:val="222222"/>
        </w:rPr>
        <w:t>, o que sea contraria a sus intereses incluso si consta el consentimiento del menor o de sus representantes legales.</w:t>
      </w:r>
    </w:p>
    <w:p w:rsidR="00E23B86" w:rsidRDefault="00BA7C13">
      <w:pPr>
        <w:numPr>
          <w:ilvl w:val="0"/>
          <w:numId w:val="154"/>
        </w:numPr>
        <w:spacing w:after="3" w:line="248" w:lineRule="auto"/>
        <w:ind w:right="14" w:hanging="360"/>
        <w:jc w:val="both"/>
      </w:pPr>
      <w:r>
        <w:rPr>
          <w:rFonts w:ascii="Arial" w:eastAsia="Arial" w:hAnsi="Arial" w:cs="Arial"/>
          <w:b/>
          <w:i/>
          <w:color w:val="222222"/>
        </w:rPr>
        <w:t xml:space="preserve">4. </w:t>
      </w:r>
      <w:r>
        <w:rPr>
          <w:rFonts w:ascii="Arial" w:eastAsia="Arial" w:hAnsi="Arial" w:cs="Arial"/>
          <w:i/>
          <w:color w:val="222222"/>
        </w:rPr>
        <w:t>Sin perjuicio de las acciones de las que sean titulares los representantes legales del menor, corresponde en todo caso al Ministerio Fis</w:t>
      </w:r>
      <w:r>
        <w:rPr>
          <w:rFonts w:ascii="Arial" w:eastAsia="Arial" w:hAnsi="Arial" w:cs="Arial"/>
          <w:i/>
          <w:color w:val="222222"/>
        </w:rPr>
        <w:t>cal su ejercicio, que podrá actuar de oficio o a instancia del propio menor o de cualquier persona interesada, física, jurídica o entidad pública.</w:t>
      </w:r>
    </w:p>
    <w:p w:rsidR="00E23B86" w:rsidRDefault="00BA7C13">
      <w:pPr>
        <w:numPr>
          <w:ilvl w:val="0"/>
          <w:numId w:val="154"/>
        </w:numPr>
        <w:spacing w:after="3" w:line="248" w:lineRule="auto"/>
        <w:ind w:right="14" w:hanging="360"/>
        <w:jc w:val="both"/>
      </w:pPr>
      <w:r>
        <w:rPr>
          <w:rFonts w:ascii="Arial" w:eastAsia="Arial" w:hAnsi="Arial" w:cs="Arial"/>
          <w:b/>
          <w:i/>
          <w:color w:val="222222"/>
        </w:rPr>
        <w:t xml:space="preserve">5. </w:t>
      </w:r>
      <w:r>
        <w:rPr>
          <w:rFonts w:ascii="Arial" w:eastAsia="Arial" w:hAnsi="Arial" w:cs="Arial"/>
          <w:i/>
          <w:color w:val="222222"/>
        </w:rPr>
        <w:t>Los padres o tutores y los poderes públicos respetarán estos derechos y los protegerán frente a posibles a</w:t>
      </w:r>
      <w:r>
        <w:rPr>
          <w:rFonts w:ascii="Arial" w:eastAsia="Arial" w:hAnsi="Arial" w:cs="Arial"/>
          <w:i/>
          <w:color w:val="222222"/>
        </w:rPr>
        <w:t xml:space="preserve">taques de terceros.” </w:t>
      </w:r>
      <w:r>
        <w:rPr>
          <w:rFonts w:ascii="Segoe UI Symbol" w:eastAsia="Segoe UI Symbol" w:hAnsi="Segoe UI Symbol" w:cs="Segoe UI Symbol"/>
          <w:color w:val="4C6F99"/>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5 Derecho a la información</w:t>
      </w:r>
    </w:p>
    <w:p w:rsidR="00E23B86" w:rsidRDefault="00BA7C13">
      <w:pPr>
        <w:numPr>
          <w:ilvl w:val="0"/>
          <w:numId w:val="155"/>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Los menores tienen derecho a buscar, recibir y utilizar la información adecuada a su desarrollo.</w:t>
      </w:r>
    </w:p>
    <w:p w:rsidR="00E23B86" w:rsidRDefault="00BA7C13">
      <w:pPr>
        <w:numPr>
          <w:ilvl w:val="0"/>
          <w:numId w:val="155"/>
        </w:numPr>
        <w:spacing w:after="3" w:line="248" w:lineRule="auto"/>
        <w:ind w:right="14" w:hanging="360"/>
        <w:jc w:val="both"/>
      </w:pPr>
      <w:r>
        <w:rPr>
          <w:rFonts w:ascii="Arial" w:eastAsia="Arial" w:hAnsi="Arial" w:cs="Arial"/>
          <w:i/>
          <w:color w:val="222222"/>
        </w:rPr>
        <w:t>Se prestará especial atención a la alfabetización digital y mediática, de forma adaptada a cad</w:t>
      </w:r>
      <w:r>
        <w:rPr>
          <w:rFonts w:ascii="Arial" w:eastAsia="Arial" w:hAnsi="Arial" w:cs="Arial"/>
          <w:i/>
          <w:color w:val="222222"/>
        </w:rPr>
        <w:t>a etapa evolutiva, que permita a los menores actuar en línea con seguridad y responsabilidad y, en particular, identificar situaciones de riesgo derivadas de la utilización de las nuevas tecnologías de la información y la comunicación, así como las herrami</w:t>
      </w:r>
      <w:r>
        <w:rPr>
          <w:rFonts w:ascii="Arial" w:eastAsia="Arial" w:hAnsi="Arial" w:cs="Arial"/>
          <w:i/>
          <w:color w:val="222222"/>
        </w:rPr>
        <w:t>entas y estrategias para afrontar dichos riesgos y protegerse de ellos.</w:t>
      </w:r>
    </w:p>
    <w:p w:rsidR="00E23B86" w:rsidRDefault="00BA7C13">
      <w:pPr>
        <w:numPr>
          <w:ilvl w:val="1"/>
          <w:numId w:val="155"/>
        </w:numPr>
        <w:spacing w:after="3" w:line="248" w:lineRule="auto"/>
        <w:ind w:right="14"/>
        <w:jc w:val="both"/>
      </w:pPr>
      <w:r>
        <w:rPr>
          <w:rFonts w:ascii="Arial" w:eastAsia="Arial" w:hAnsi="Arial" w:cs="Arial"/>
          <w:i/>
          <w:color w:val="222222"/>
        </w:rPr>
        <w:t>Los padres o tutores y los poderes públicos velarán porque la información que reciban los menores sea veraz, plural y respetuosa con los principios constitucionales.</w:t>
      </w:r>
    </w:p>
    <w:p w:rsidR="00E23B86" w:rsidRDefault="00BA7C13">
      <w:pPr>
        <w:numPr>
          <w:ilvl w:val="1"/>
          <w:numId w:val="155"/>
        </w:numPr>
        <w:spacing w:after="3" w:line="248" w:lineRule="auto"/>
        <w:ind w:right="14"/>
        <w:jc w:val="both"/>
      </w:pPr>
      <w:r>
        <w:rPr>
          <w:rFonts w:ascii="Arial" w:eastAsia="Arial" w:hAnsi="Arial" w:cs="Arial"/>
          <w:i/>
          <w:color w:val="222222"/>
        </w:rPr>
        <w:t>Las Administracion</w:t>
      </w:r>
      <w:r>
        <w:rPr>
          <w:rFonts w:ascii="Arial" w:eastAsia="Arial" w:hAnsi="Arial" w:cs="Arial"/>
          <w:i/>
          <w:color w:val="222222"/>
        </w:rPr>
        <w:t>es Públicas incentivarán la producción y difusión de materiales informativos y otros destinados a los menores, que respeten los criterios enunciados, al mismo tiempo que facilitarán el acceso de los menores a los servicios de información, documentación, bi</w:t>
      </w:r>
      <w:r>
        <w:rPr>
          <w:rFonts w:ascii="Arial" w:eastAsia="Arial" w:hAnsi="Arial" w:cs="Arial"/>
          <w:i/>
          <w:color w:val="222222"/>
        </w:rPr>
        <w:t>bliotecas y demás servicios culturales incluyendo una adecuada sensibilización sobre la oferta legal de ocio y cultura en Internet y sobre la defensa de los derechos de propiedad intelectual.</w:t>
      </w:r>
    </w:p>
    <w:p w:rsidR="00E23B86" w:rsidRDefault="00BA7C13">
      <w:pPr>
        <w:numPr>
          <w:ilvl w:val="0"/>
          <w:numId w:val="155"/>
        </w:numPr>
        <w:spacing w:after="3" w:line="248" w:lineRule="auto"/>
        <w:ind w:right="14" w:hanging="360"/>
        <w:jc w:val="both"/>
      </w:pPr>
      <w:r>
        <w:rPr>
          <w:rFonts w:ascii="Arial" w:eastAsia="Arial" w:hAnsi="Arial" w:cs="Arial"/>
          <w:i/>
          <w:color w:val="222222"/>
        </w:rPr>
        <w:t xml:space="preserve">En particular, velarán porque los medios de comunicación en sus </w:t>
      </w:r>
      <w:r>
        <w:rPr>
          <w:rFonts w:ascii="Arial" w:eastAsia="Arial" w:hAnsi="Arial" w:cs="Arial"/>
          <w:i/>
          <w:color w:val="222222"/>
        </w:rPr>
        <w:t>mensajes dirigidos a menores promuevan los valores de igualdad, solidaridad, diversidad y respeto a los demás, eviten imágenes de violencia, explotación en las relaciones interpersonales, o que reflejen un trato degradante o sexista, o un trato discriminat</w:t>
      </w:r>
      <w:r>
        <w:rPr>
          <w:rFonts w:ascii="Arial" w:eastAsia="Arial" w:hAnsi="Arial" w:cs="Arial"/>
          <w:i/>
          <w:color w:val="222222"/>
        </w:rPr>
        <w:t>orio hacia las personas con discapacidad. En el ámbito de la autorregulación, las autoridades y organismos competentes impulsarán entre los medios de comunicación, la generación y supervisión del cumplimiento de códigos de conducta destinados a salvaguarda</w:t>
      </w:r>
      <w:r>
        <w:rPr>
          <w:rFonts w:ascii="Arial" w:eastAsia="Arial" w:hAnsi="Arial" w:cs="Arial"/>
          <w:i/>
          <w:color w:val="222222"/>
        </w:rPr>
        <w:t>r la promoción de los valores anteriormente descritos, limitando el acceso a imágenes y contenidos digitales lesivos para los menores, a tenor de lo contemplado en los códigos de autorregulación de contenidos aprobados. Se garantizará la accesibilidad, con</w:t>
      </w:r>
      <w:r>
        <w:rPr>
          <w:rFonts w:ascii="Arial" w:eastAsia="Arial" w:hAnsi="Arial" w:cs="Arial"/>
          <w:i/>
          <w:color w:val="222222"/>
        </w:rPr>
        <w:t xml:space="preserve"> los ajustes razonables precisos, de dichos materiales y servicios, incluidos los de tipo tecnológico, para los menores con discapacidad.</w:t>
      </w:r>
    </w:p>
    <w:p w:rsidR="00E23B86" w:rsidRDefault="00BA7C13">
      <w:pPr>
        <w:numPr>
          <w:ilvl w:val="0"/>
          <w:numId w:val="155"/>
        </w:numPr>
        <w:spacing w:after="3" w:line="248" w:lineRule="auto"/>
        <w:ind w:right="14" w:hanging="360"/>
        <w:jc w:val="both"/>
      </w:pPr>
      <w:r>
        <w:rPr>
          <w:rFonts w:ascii="Arial" w:eastAsia="Arial" w:hAnsi="Arial" w:cs="Arial"/>
          <w:i/>
          <w:color w:val="222222"/>
        </w:rPr>
        <w:t>Los poderes públicos y los prestadores fomentarán el disfrute pleno de la comunicación audiovisual para los menores co</w:t>
      </w:r>
      <w:r>
        <w:rPr>
          <w:rFonts w:ascii="Arial" w:eastAsia="Arial" w:hAnsi="Arial" w:cs="Arial"/>
          <w:i/>
          <w:color w:val="222222"/>
        </w:rPr>
        <w:t>n discapacidad y el uso de buenas prácticas que evite cualquier discriminación o repercusión negativa hacia dichas personas.</w:t>
      </w:r>
    </w:p>
    <w:p w:rsidR="00E23B86" w:rsidRDefault="00BA7C13">
      <w:pPr>
        <w:numPr>
          <w:ilvl w:val="0"/>
          <w:numId w:val="155"/>
        </w:numPr>
        <w:spacing w:after="3" w:line="248" w:lineRule="auto"/>
        <w:ind w:right="14" w:hanging="360"/>
        <w:jc w:val="both"/>
      </w:pPr>
      <w:r>
        <w:rPr>
          <w:noProof/>
        </w:rPr>
        <mc:AlternateContent>
          <mc:Choice Requires="wpg">
            <w:drawing>
              <wp:anchor distT="0" distB="0" distL="114300" distR="114300" simplePos="0" relativeHeight="2519982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2280" name="Group 58228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1940" name="Rectangle 5194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1941" name="Rectangle 5194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w:t>
                              </w:r>
                              <w:r>
                                <w:rPr>
                                  <w:rFonts w:ascii="Arial" w:eastAsia="Arial" w:hAnsi="Arial" w:cs="Arial"/>
                                  <w:sz w:val="12"/>
                                </w:rPr>
                                <w:t xml:space="preserve">amente desde la plataforma esPublico Gestiona | Página 330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2280" style="width:12.7031pt;height:280.35pt;position:absolute;mso-position-horizontal-relative:page;mso-position-horizontal:absolute;margin-left:681.958pt;mso-position-vertical-relative:page;margin-top:531.65pt;" coordsize="1613,35604">
                <v:rect id="Rectangle 5194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194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330 de 391 </w:t>
                        </w:r>
                      </w:p>
                    </w:txbxContent>
                  </v:textbox>
                </v:rect>
                <w10:wrap type="square"/>
              </v:group>
            </w:pict>
          </mc:Fallback>
        </mc:AlternateContent>
      </w:r>
      <w:r>
        <w:rPr>
          <w:rFonts w:ascii="Arial" w:eastAsia="Arial" w:hAnsi="Arial" w:cs="Arial"/>
          <w:b/>
          <w:i/>
          <w:color w:val="222222"/>
        </w:rPr>
        <w:t xml:space="preserve">4. </w:t>
      </w:r>
      <w:r>
        <w:rPr>
          <w:rFonts w:ascii="Arial" w:eastAsia="Arial" w:hAnsi="Arial" w:cs="Arial"/>
          <w:i/>
          <w:color w:val="222222"/>
        </w:rPr>
        <w:t>Para garantizar que la publicidad o mensajes dirigidos a menores o emitidos en la programación dirigida a éstos, no les perjudique moral o físicamente, podrá ser regulada por normas espe</w:t>
      </w:r>
      <w:r>
        <w:rPr>
          <w:rFonts w:ascii="Arial" w:eastAsia="Arial" w:hAnsi="Arial" w:cs="Arial"/>
          <w:i/>
          <w:color w:val="222222"/>
        </w:rPr>
        <w:t>ciales.</w:t>
      </w:r>
    </w:p>
    <w:p w:rsidR="00E23B86" w:rsidRDefault="00BA7C13">
      <w:pPr>
        <w:numPr>
          <w:ilvl w:val="0"/>
          <w:numId w:val="155"/>
        </w:numPr>
        <w:spacing w:after="3" w:line="248" w:lineRule="auto"/>
        <w:ind w:right="14" w:hanging="360"/>
        <w:jc w:val="both"/>
      </w:pPr>
      <w:r>
        <w:rPr>
          <w:rFonts w:ascii="Arial" w:eastAsia="Arial" w:hAnsi="Arial" w:cs="Arial"/>
          <w:b/>
          <w:i/>
          <w:color w:val="222222"/>
        </w:rPr>
        <w:t xml:space="preserve">5. </w:t>
      </w:r>
      <w:r>
        <w:rPr>
          <w:rFonts w:ascii="Arial" w:eastAsia="Arial" w:hAnsi="Arial" w:cs="Arial"/>
          <w:i/>
          <w:color w:val="222222"/>
        </w:rPr>
        <w:t>Sin perjuicio de otros sujetos legitimados, corresponde en todo caso al Ministerio Fiscal y a las Administraciones públicas competentes en materia de protección de menores el ejercicio de las acciones de cese y rectificación de publicidad ilícit</w:t>
      </w:r>
      <w:r>
        <w:rPr>
          <w:rFonts w:ascii="Arial" w:eastAsia="Arial" w:hAnsi="Arial" w:cs="Arial"/>
          <w:i/>
          <w:color w:val="222222"/>
        </w:rPr>
        <w:t>a.”</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6 Libertad ideológica</w:t>
      </w:r>
    </w:p>
    <w:p w:rsidR="00E23B86" w:rsidRDefault="00BA7C13">
      <w:pPr>
        <w:numPr>
          <w:ilvl w:val="0"/>
          <w:numId w:val="156"/>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El menor tiene derecho a la libertad de ideología, conciencia y religión.</w:t>
      </w:r>
    </w:p>
    <w:p w:rsidR="00E23B86" w:rsidRDefault="00BA7C13">
      <w:pPr>
        <w:numPr>
          <w:ilvl w:val="0"/>
          <w:numId w:val="156"/>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El ejercicio de los derechos dimanantes de esta libertad tiene únicamente las limitaciones prescritas por la Ley y el respeto de los derechos y libertades fundamentales de los demás.</w:t>
      </w:r>
    </w:p>
    <w:p w:rsidR="00E23B86" w:rsidRDefault="00BA7C13">
      <w:pPr>
        <w:numPr>
          <w:ilvl w:val="0"/>
          <w:numId w:val="156"/>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Los padres o tutores tienen el derecho y el deber de cooperar para que</w:t>
      </w:r>
      <w:r>
        <w:rPr>
          <w:rFonts w:ascii="Arial" w:eastAsia="Arial" w:hAnsi="Arial" w:cs="Arial"/>
          <w:i/>
          <w:color w:val="222222"/>
        </w:rPr>
        <w:t xml:space="preserve"> el menor ejerza esta libertad de modo que contribuya a su desarrollo integral.” </w:t>
      </w: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7 Derecho de participación, asociación y reunión</w:t>
      </w:r>
    </w:p>
    <w:p w:rsidR="00E23B86" w:rsidRDefault="00BA7C13">
      <w:pPr>
        <w:numPr>
          <w:ilvl w:val="0"/>
          <w:numId w:val="157"/>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 xml:space="preserve">Los menores tienen derecho a participar plenamente en la vida social, cultural, artística y recreativa de su </w:t>
      </w:r>
      <w:r>
        <w:rPr>
          <w:rFonts w:ascii="Arial" w:eastAsia="Arial" w:hAnsi="Arial" w:cs="Arial"/>
          <w:i/>
          <w:color w:val="222222"/>
        </w:rPr>
        <w:t>entorno, así como a una incorporación progresiva a la ciudadanía activa.</w:t>
      </w:r>
    </w:p>
    <w:p w:rsidR="00E23B86" w:rsidRDefault="00BA7C13">
      <w:pPr>
        <w:numPr>
          <w:ilvl w:val="0"/>
          <w:numId w:val="157"/>
        </w:numPr>
        <w:spacing w:after="3" w:line="248" w:lineRule="auto"/>
        <w:ind w:right="14" w:hanging="360"/>
        <w:jc w:val="both"/>
      </w:pPr>
      <w:r>
        <w:rPr>
          <w:rFonts w:ascii="Arial" w:eastAsia="Arial" w:hAnsi="Arial" w:cs="Arial"/>
          <w:i/>
          <w:color w:val="222222"/>
        </w:rPr>
        <w:t>Los poderes públicos promoverán la constitución de órganos de participación de los menores y de las organizaciones sociales de infancia y adolescencia.</w:t>
      </w:r>
    </w:p>
    <w:p w:rsidR="00E23B86" w:rsidRDefault="00BA7C13">
      <w:pPr>
        <w:numPr>
          <w:ilvl w:val="0"/>
          <w:numId w:val="157"/>
        </w:numPr>
        <w:spacing w:after="3" w:line="248" w:lineRule="auto"/>
        <w:ind w:right="14" w:hanging="360"/>
        <w:jc w:val="both"/>
      </w:pPr>
      <w:r>
        <w:rPr>
          <w:rFonts w:ascii="Arial" w:eastAsia="Arial" w:hAnsi="Arial" w:cs="Arial"/>
          <w:i/>
          <w:color w:val="222222"/>
        </w:rPr>
        <w:t>Se garantizará la accesibilidad</w:t>
      </w:r>
      <w:r>
        <w:rPr>
          <w:rFonts w:ascii="Arial" w:eastAsia="Arial" w:hAnsi="Arial" w:cs="Arial"/>
          <w:i/>
          <w:color w:val="222222"/>
        </w:rPr>
        <w:t xml:space="preserve"> de los entornos y la provisión de ajustes razonables para que los menores con discapacidad puedan desarrollar su vida social, cultural, artística y recreativa.</w:t>
      </w:r>
      <w:r>
        <w:rPr>
          <w:noProof/>
        </w:rPr>
        <w:drawing>
          <wp:inline distT="0" distB="0" distL="0" distR="0">
            <wp:extent cx="13970" cy="13970"/>
            <wp:effectExtent l="0" t="0" r="0" b="0"/>
            <wp:docPr id="51926" name="Picture 51926"/>
            <wp:cNvGraphicFramePr/>
            <a:graphic xmlns:a="http://schemas.openxmlformats.org/drawingml/2006/main">
              <a:graphicData uri="http://schemas.openxmlformats.org/drawingml/2006/picture">
                <pic:pic xmlns:pic="http://schemas.openxmlformats.org/drawingml/2006/picture">
                  <pic:nvPicPr>
                    <pic:cNvPr id="51926" name="Picture 51926"/>
                    <pic:cNvPicPr/>
                  </pic:nvPicPr>
                  <pic:blipFill>
                    <a:blip r:embed="rId89"/>
                    <a:stretch>
                      <a:fillRect/>
                    </a:stretch>
                  </pic:blipFill>
                  <pic:spPr>
                    <a:xfrm>
                      <a:off x="0" y="0"/>
                      <a:ext cx="13970" cy="13970"/>
                    </a:xfrm>
                    <a:prstGeom prst="rect">
                      <a:avLst/>
                    </a:prstGeom>
                  </pic:spPr>
                </pic:pic>
              </a:graphicData>
            </a:graphic>
          </wp:inline>
        </w:drawing>
      </w:r>
    </w:p>
    <w:p w:rsidR="00E23B86" w:rsidRDefault="00BA7C13">
      <w:pPr>
        <w:numPr>
          <w:ilvl w:val="0"/>
          <w:numId w:val="157"/>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Los menores tienen el derecho de asociación que, en especial, comprende:</w:t>
      </w:r>
    </w:p>
    <w:p w:rsidR="00E23B86" w:rsidRDefault="00BA7C13">
      <w:pPr>
        <w:numPr>
          <w:ilvl w:val="0"/>
          <w:numId w:val="157"/>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El derecho a fo</w:t>
      </w:r>
      <w:r>
        <w:rPr>
          <w:rFonts w:ascii="Arial" w:eastAsia="Arial" w:hAnsi="Arial" w:cs="Arial"/>
          <w:i/>
          <w:color w:val="222222"/>
        </w:rPr>
        <w:t>rmar parte de asociaciones y organizaciones juveniles de los partidos políticos y sindicatos, de acuerdo con la Ley y los Estatutos.</w:t>
      </w:r>
    </w:p>
    <w:p w:rsidR="00E23B86" w:rsidRDefault="00BA7C13">
      <w:pPr>
        <w:spacing w:after="3" w:line="248" w:lineRule="auto"/>
        <w:ind w:left="360" w:right="14"/>
        <w:jc w:val="both"/>
      </w:pPr>
      <w:r>
        <w:rPr>
          <w:rFonts w:ascii="Arial" w:eastAsia="Arial" w:hAnsi="Arial" w:cs="Arial"/>
          <w:b/>
          <w:i/>
          <w:color w:val="222222"/>
        </w:rPr>
        <w:t xml:space="preserve">b) </w:t>
      </w:r>
      <w:r>
        <w:rPr>
          <w:rFonts w:ascii="Arial" w:eastAsia="Arial" w:hAnsi="Arial" w:cs="Arial"/>
          <w:i/>
          <w:color w:val="222222"/>
        </w:rPr>
        <w:t>El derecho a promover asociaciones infantiles y juveniles e inscribirlas de conformidad con la Ley. Los menores podrán f</w:t>
      </w:r>
      <w:r>
        <w:rPr>
          <w:rFonts w:ascii="Arial" w:eastAsia="Arial" w:hAnsi="Arial" w:cs="Arial"/>
          <w:i/>
          <w:color w:val="222222"/>
        </w:rPr>
        <w:t>ormar parte de los órganos directivos de estas asociaciones.</w:t>
      </w:r>
    </w:p>
    <w:p w:rsidR="00E23B86" w:rsidRDefault="00BA7C13">
      <w:pPr>
        <w:numPr>
          <w:ilvl w:val="0"/>
          <w:numId w:val="157"/>
        </w:numPr>
        <w:spacing w:after="3" w:line="248" w:lineRule="auto"/>
        <w:ind w:right="14" w:hanging="360"/>
        <w:jc w:val="both"/>
      </w:pPr>
      <w:r>
        <w:rPr>
          <w:rFonts w:ascii="Arial" w:eastAsia="Arial" w:hAnsi="Arial" w:cs="Arial"/>
          <w:i/>
          <w:color w:val="222222"/>
        </w:rPr>
        <w:t>Para que las asociaciones infantiles y juveniles puedan obligarse civilmente, deberán haber nombrado, de acuerdo con sus Estatutos, un representante legal con plena capacidad.</w:t>
      </w:r>
    </w:p>
    <w:p w:rsidR="00E23B86" w:rsidRDefault="00BA7C13">
      <w:pPr>
        <w:numPr>
          <w:ilvl w:val="0"/>
          <w:numId w:val="157"/>
        </w:numPr>
        <w:spacing w:after="3" w:line="248" w:lineRule="auto"/>
        <w:ind w:right="14" w:hanging="360"/>
        <w:jc w:val="both"/>
      </w:pPr>
      <w:r>
        <w:rPr>
          <w:rFonts w:ascii="Arial" w:eastAsia="Arial" w:hAnsi="Arial" w:cs="Arial"/>
          <w:i/>
          <w:color w:val="222222"/>
        </w:rPr>
        <w:t>Cuando la pertenenc</w:t>
      </w:r>
      <w:r>
        <w:rPr>
          <w:rFonts w:ascii="Arial" w:eastAsia="Arial" w:hAnsi="Arial" w:cs="Arial"/>
          <w:i/>
          <w:color w:val="222222"/>
        </w:rPr>
        <w:t>ia de un menor o de sus padres a una asociación impida o perjudique al desarrollo integral del menor, cualquier interesado, persona física o jurídica, o entidad pública, podrá dirigirse al Ministerio Fiscal para que promueva las medidas jurídicas de protec</w:t>
      </w:r>
      <w:r>
        <w:rPr>
          <w:rFonts w:ascii="Arial" w:eastAsia="Arial" w:hAnsi="Arial" w:cs="Arial"/>
          <w:i/>
          <w:color w:val="222222"/>
        </w:rPr>
        <w:t>ción que estime necesarias.</w:t>
      </w:r>
    </w:p>
    <w:p w:rsidR="00E23B86" w:rsidRDefault="00BA7C13">
      <w:pPr>
        <w:numPr>
          <w:ilvl w:val="0"/>
          <w:numId w:val="157"/>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Los menores tienen derecho a participar en reuniones públicas y manifestaciones pacíficas, convocadas en los términos establecidos por la Ley.</w:t>
      </w:r>
    </w:p>
    <w:p w:rsidR="00E23B86" w:rsidRDefault="00BA7C13">
      <w:pPr>
        <w:numPr>
          <w:ilvl w:val="0"/>
          <w:numId w:val="157"/>
        </w:numPr>
        <w:spacing w:after="3" w:line="248" w:lineRule="auto"/>
        <w:ind w:right="14" w:hanging="360"/>
        <w:jc w:val="both"/>
      </w:pPr>
      <w:r>
        <w:rPr>
          <w:rFonts w:ascii="Arial" w:eastAsia="Arial" w:hAnsi="Arial" w:cs="Arial"/>
          <w:i/>
          <w:color w:val="222222"/>
        </w:rPr>
        <w:t>En iguales términos, tienen también derecho a promoverlas y convocarlas con el con</w:t>
      </w:r>
      <w:r>
        <w:rPr>
          <w:rFonts w:ascii="Arial" w:eastAsia="Arial" w:hAnsi="Arial" w:cs="Arial"/>
          <w:i/>
          <w:color w:val="222222"/>
        </w:rPr>
        <w:t xml:space="preserve">sentimiento expreso de sus padres, tutores o guardadores.” </w:t>
      </w:r>
      <w:r>
        <w:rPr>
          <w:rFonts w:ascii="Segoe UI Symbol" w:eastAsia="Segoe UI Symbol" w:hAnsi="Segoe UI Symbol" w:cs="Segoe UI Symbol"/>
          <w:color w:val="4C6F99"/>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8 Derecho a la libertad de expresión</w:t>
      </w:r>
    </w:p>
    <w:p w:rsidR="00E23B86" w:rsidRDefault="00BA7C13">
      <w:pPr>
        <w:numPr>
          <w:ilvl w:val="0"/>
          <w:numId w:val="158"/>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Los menores gozan del derecho a la libertad de expresión en los términos constitucionalmente previstos. Esta libertad de expresión tiene tambié</w:t>
      </w:r>
      <w:r>
        <w:rPr>
          <w:rFonts w:ascii="Arial" w:eastAsia="Arial" w:hAnsi="Arial" w:cs="Arial"/>
          <w:i/>
          <w:color w:val="222222"/>
        </w:rPr>
        <w:t>n su límite en la protección de la intimidad y la imagen del propio menor recogida en el artículo 4 de esta Ley.</w:t>
      </w:r>
    </w:p>
    <w:p w:rsidR="00E23B86" w:rsidRDefault="00BA7C13">
      <w:pPr>
        <w:numPr>
          <w:ilvl w:val="0"/>
          <w:numId w:val="158"/>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En especial, el derecho a la libertad de expresión de los menores se extiende:</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158"/>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A la publicación y difusión de sus opiniones.</w:t>
      </w:r>
    </w:p>
    <w:p w:rsidR="00E23B86" w:rsidRDefault="00BA7C13">
      <w:pPr>
        <w:numPr>
          <w:ilvl w:val="0"/>
          <w:numId w:val="158"/>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A la edición y producción de medios de difusión.</w:t>
      </w:r>
    </w:p>
    <w:p w:rsidR="00E23B86" w:rsidRDefault="00BA7C13">
      <w:pPr>
        <w:numPr>
          <w:ilvl w:val="0"/>
          <w:numId w:val="158"/>
        </w:numPr>
        <w:spacing w:after="3" w:line="248" w:lineRule="auto"/>
        <w:ind w:right="14" w:hanging="360"/>
        <w:jc w:val="both"/>
      </w:pPr>
      <w:r>
        <w:rPr>
          <w:noProof/>
        </w:rPr>
        <mc:AlternateContent>
          <mc:Choice Requires="wpg">
            <w:drawing>
              <wp:anchor distT="0" distB="0" distL="114300" distR="114300" simplePos="0" relativeHeight="2519992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2388" name="Group 58238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2063" name="Rectangle 5206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2064" name="Rectangle 5206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331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2388" style="width:12.7031pt;height:280.35pt;position:absolute;mso-position-horizontal-relative:page;mso-position-horizontal:absolute;margin-left:681.958pt;mso-position-vertical-relative:page;margin-top:531.65pt;" coordsize="1613,35604">
                <v:rect id="Rectangle 5206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206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331 de 391 </w:t>
                        </w:r>
                      </w:p>
                    </w:txbxContent>
                  </v:textbox>
                </v:rect>
                <w10:wrap type="square"/>
              </v:group>
            </w:pict>
          </mc:Fallback>
        </mc:AlternateContent>
      </w:r>
      <w:r>
        <w:rPr>
          <w:rFonts w:ascii="Arial" w:eastAsia="Arial" w:hAnsi="Arial" w:cs="Arial"/>
          <w:b/>
          <w:i/>
          <w:color w:val="222222"/>
        </w:rPr>
        <w:t xml:space="preserve">c) </w:t>
      </w:r>
      <w:r>
        <w:rPr>
          <w:rFonts w:ascii="Arial" w:eastAsia="Arial" w:hAnsi="Arial" w:cs="Arial"/>
          <w:i/>
          <w:color w:val="222222"/>
        </w:rPr>
        <w:t>Al acceso a las ayudas que las Administraciones públicas establezcan con tal fin.</w:t>
      </w:r>
    </w:p>
    <w:p w:rsidR="00E23B86" w:rsidRDefault="00BA7C13">
      <w:pPr>
        <w:numPr>
          <w:ilvl w:val="0"/>
          <w:numId w:val="158"/>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El ejercicio de este derecho podrá estar sujeto a las restricciones que prevea la Ley para garantizar el respeto de los derechos de los demás o la protección de la segurid</w:t>
      </w:r>
      <w:r>
        <w:rPr>
          <w:rFonts w:ascii="Arial" w:eastAsia="Arial" w:hAnsi="Arial" w:cs="Arial"/>
          <w:i/>
          <w:color w:val="222222"/>
        </w:rPr>
        <w:t>ad, salud, moral u orden público.”</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9 Derecho a ser oído y escuchado</w:t>
      </w:r>
    </w:p>
    <w:p w:rsidR="00E23B86" w:rsidRDefault="00BA7C13">
      <w:pPr>
        <w:numPr>
          <w:ilvl w:val="0"/>
          <w:numId w:val="159"/>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El menor tiene derecho a ser oído y escuchado sin discriminación alguna por edad, discapacidad o cualquier otra circunstancia, tanto en el ámbito familiar como en cualquie</w:t>
      </w:r>
      <w:r>
        <w:rPr>
          <w:rFonts w:ascii="Arial" w:eastAsia="Arial" w:hAnsi="Arial" w:cs="Arial"/>
          <w:i/>
          <w:color w:val="222222"/>
        </w:rPr>
        <w:t>r procedimiento administrativo, judicial o de mediación en que esté afectado y que conduzca a una decisión que incida en su esfera personal, familiar o social, teniéndose debidamente en cuenta sus opiniones, en función de su edad y madurez. Para ello, el m</w:t>
      </w:r>
      <w:r>
        <w:rPr>
          <w:rFonts w:ascii="Arial" w:eastAsia="Arial" w:hAnsi="Arial" w:cs="Arial"/>
          <w:i/>
          <w:color w:val="222222"/>
        </w:rPr>
        <w:t>enor deberá recibir la información que le permita el ejercicio de este derecho en un lenguaje comprensible, en formatos accesibles y adaptados a sus circunstancias.</w:t>
      </w:r>
    </w:p>
    <w:p w:rsidR="00E23B86" w:rsidRDefault="00BA7C13">
      <w:pPr>
        <w:numPr>
          <w:ilvl w:val="0"/>
          <w:numId w:val="159"/>
        </w:numPr>
        <w:spacing w:after="3" w:line="248" w:lineRule="auto"/>
        <w:ind w:right="14" w:hanging="360"/>
        <w:jc w:val="both"/>
      </w:pPr>
      <w:r>
        <w:rPr>
          <w:rFonts w:ascii="Arial" w:eastAsia="Arial" w:hAnsi="Arial" w:cs="Arial"/>
          <w:i/>
          <w:color w:val="222222"/>
        </w:rPr>
        <w:t>En los procedimientos judiciales o administrativos, las comparecencias o audiencias del men</w:t>
      </w:r>
      <w:r>
        <w:rPr>
          <w:rFonts w:ascii="Arial" w:eastAsia="Arial" w:hAnsi="Arial" w:cs="Arial"/>
          <w:i/>
          <w:color w:val="222222"/>
        </w:rPr>
        <w:t>or tendrán carácter preferente, y se realizarán de forma adecuada a su situación y desarrollo evolutivo, con la asistencia, si fuera necesario, de profesionales cualificados o expertos, cuidando preservar su intimidad y utilizando un lenguaje que sea compr</w:t>
      </w:r>
      <w:r>
        <w:rPr>
          <w:rFonts w:ascii="Arial" w:eastAsia="Arial" w:hAnsi="Arial" w:cs="Arial"/>
          <w:i/>
          <w:color w:val="222222"/>
        </w:rPr>
        <w:t>ensible para él, en formatos accesibles y adaptados a sus circunstancias informándole tanto de lo que se le pregunta como de las consecuencias de su opinión, con pleno respeto a todas las garantías del procedimiento.</w:t>
      </w:r>
    </w:p>
    <w:p w:rsidR="00E23B86" w:rsidRDefault="00BA7C13">
      <w:pPr>
        <w:numPr>
          <w:ilvl w:val="0"/>
          <w:numId w:val="159"/>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 xml:space="preserve">Se garantizará que el menor, cuando </w:t>
      </w:r>
      <w:r>
        <w:rPr>
          <w:rFonts w:ascii="Arial" w:eastAsia="Arial" w:hAnsi="Arial" w:cs="Arial"/>
          <w:i/>
          <w:color w:val="222222"/>
        </w:rPr>
        <w:t>tenga suficiente madurez, pueda ejercitar este derecho por sí mismo o a través de la persona que designe para que le represente. La madurez habrá de valorarse por personal especializado, teniendo en cuenta tanto el desarrollo evolutivo del menor como su ca</w:t>
      </w:r>
      <w:r>
        <w:rPr>
          <w:rFonts w:ascii="Arial" w:eastAsia="Arial" w:hAnsi="Arial" w:cs="Arial"/>
          <w:i/>
          <w:color w:val="222222"/>
        </w:rPr>
        <w:t>pacidad para comprender y evaluar el asunto concreto a tratar en cada caso. Se</w:t>
      </w:r>
    </w:p>
    <w:p w:rsidR="00E23B86" w:rsidRDefault="00E23B86">
      <w:pPr>
        <w:sectPr w:rsidR="00E23B86">
          <w:headerReference w:type="even" r:id="rId90"/>
          <w:headerReference w:type="default" r:id="rId91"/>
          <w:footerReference w:type="even" r:id="rId92"/>
          <w:footerReference w:type="default" r:id="rId93"/>
          <w:headerReference w:type="first" r:id="rId94"/>
          <w:footerReference w:type="first" r:id="rId95"/>
          <w:pgSz w:w="14168" w:h="16840"/>
          <w:pgMar w:top="2005" w:right="2850" w:bottom="1433" w:left="3198" w:header="712" w:footer="712" w:gutter="0"/>
          <w:cols w:space="720"/>
          <w:titlePg/>
        </w:sectPr>
      </w:pPr>
    </w:p>
    <w:p w:rsidR="00E23B86" w:rsidRDefault="00BA7C13">
      <w:pPr>
        <w:spacing w:after="3" w:line="248" w:lineRule="auto"/>
        <w:ind w:left="360" w:right="14"/>
        <w:jc w:val="both"/>
      </w:pPr>
      <w:r>
        <w:rPr>
          <w:rFonts w:ascii="Arial" w:eastAsia="Arial" w:hAnsi="Arial" w:cs="Arial"/>
          <w:i/>
          <w:color w:val="222222"/>
        </w:rPr>
        <w:t>considera, en todo caso, que tiene suficiente madurez cuando tenga doce años cumplidos.</w:t>
      </w:r>
    </w:p>
    <w:p w:rsidR="00E23B86" w:rsidRDefault="00BA7C13">
      <w:pPr>
        <w:numPr>
          <w:ilvl w:val="0"/>
          <w:numId w:val="159"/>
        </w:numPr>
        <w:spacing w:after="3" w:line="248" w:lineRule="auto"/>
        <w:ind w:right="14" w:hanging="360"/>
        <w:jc w:val="both"/>
      </w:pPr>
      <w:r>
        <w:rPr>
          <w:rFonts w:ascii="Arial" w:eastAsia="Arial" w:hAnsi="Arial" w:cs="Arial"/>
          <w:i/>
          <w:color w:val="222222"/>
        </w:rPr>
        <w:t>Para garantizar que el menor pueda ejercitar este derecho por sí mismo será asistido, en su caso, por intérpretes. El menor podrá expresar su opinión verbalmente o a través de formas no verbales de comunicación.</w:t>
      </w:r>
    </w:p>
    <w:p w:rsidR="00E23B86" w:rsidRDefault="00BA7C13">
      <w:pPr>
        <w:numPr>
          <w:ilvl w:val="0"/>
          <w:numId w:val="159"/>
        </w:numPr>
        <w:spacing w:after="3" w:line="248" w:lineRule="auto"/>
        <w:ind w:right="14" w:hanging="360"/>
        <w:jc w:val="both"/>
      </w:pPr>
      <w:r>
        <w:rPr>
          <w:rFonts w:ascii="Arial" w:eastAsia="Arial" w:hAnsi="Arial" w:cs="Arial"/>
          <w:i/>
          <w:color w:val="222222"/>
        </w:rPr>
        <w:t>No obstante, cuando ello no sea posible o no</w:t>
      </w:r>
      <w:r>
        <w:rPr>
          <w:rFonts w:ascii="Arial" w:eastAsia="Arial" w:hAnsi="Arial" w:cs="Arial"/>
          <w:i/>
          <w:color w:val="222222"/>
        </w:rPr>
        <w:t xml:space="preserve"> convenga al interés del menor se podrá conocer la opinión del menor por medio de sus representantes legales, siempre que no tengan intereses contrapuestos a los suyos, o a través de otras personas que, por su profesión o relación de especial confianza con</w:t>
      </w:r>
      <w:r>
        <w:rPr>
          <w:rFonts w:ascii="Arial" w:eastAsia="Arial" w:hAnsi="Arial" w:cs="Arial"/>
          <w:i/>
          <w:color w:val="222222"/>
        </w:rPr>
        <w:t xml:space="preserve"> él, puedan transmitirla objetivamente.</w:t>
      </w:r>
    </w:p>
    <w:p w:rsidR="00E23B86" w:rsidRDefault="00BA7C13">
      <w:pPr>
        <w:numPr>
          <w:ilvl w:val="0"/>
          <w:numId w:val="159"/>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Siempre que en vía administrativa o judicial se deniegue la comparecencia o audiencia de los menores directamente o por medio de persona que le represente, la resolución será motivada en el interés superior del me</w:t>
      </w:r>
      <w:r>
        <w:rPr>
          <w:rFonts w:ascii="Arial" w:eastAsia="Arial" w:hAnsi="Arial" w:cs="Arial"/>
          <w:i/>
          <w:color w:val="222222"/>
        </w:rPr>
        <w:t>nor y comunicada al Ministerio Fiscal, al menor y, en su caso, a su representante, indicando explícitamente los recursos existentes contra tal decisión. En las resoluciones sobre el fondo habrá de hacerse constar, en su caso, el resultado de la audiencia a</w:t>
      </w:r>
      <w:r>
        <w:rPr>
          <w:rFonts w:ascii="Arial" w:eastAsia="Arial" w:hAnsi="Arial" w:cs="Arial"/>
          <w:i/>
          <w:color w:val="222222"/>
        </w:rPr>
        <w:t>l menor, así como su valoración.”</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10 Medidas para facilitar el ejercicio de los derechos</w:t>
      </w:r>
    </w:p>
    <w:p w:rsidR="00E23B86" w:rsidRDefault="00BA7C13">
      <w:pPr>
        <w:numPr>
          <w:ilvl w:val="0"/>
          <w:numId w:val="160"/>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Los menores tienen derecho a recibir de las Administraciones Públicas, o a través de sus entidades colaboradoras, la información en formato accesible y asistencia adecuada para el efectivo ejercicio de sus derechos, así como a que se garantice su respeto.</w:t>
      </w:r>
    </w:p>
    <w:p w:rsidR="00E23B86" w:rsidRDefault="00BA7C13">
      <w:pPr>
        <w:numPr>
          <w:ilvl w:val="0"/>
          <w:numId w:val="160"/>
        </w:numPr>
        <w:spacing w:after="3" w:line="248" w:lineRule="auto"/>
        <w:ind w:right="14" w:hanging="360"/>
        <w:jc w:val="both"/>
      </w:pPr>
      <w:r>
        <w:rPr>
          <w:noProof/>
        </w:rPr>
        <mc:AlternateContent>
          <mc:Choice Requires="wpg">
            <w:drawing>
              <wp:anchor distT="0" distB="0" distL="114300" distR="114300" simplePos="0" relativeHeight="2520002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2729" name="Group 58272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2179" name="Rectangle 5217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2180" name="Rectangle 5218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332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2729" style="width:12.7031pt;height:280.35pt;position:absolute;mso-position-horizontal-relative:page;mso-position-horizontal:absolute;margin-left:681.958pt;mso-position-vertical-relative:page;margin-top:531.65pt;" coordsize="1613,35604">
                <v:rect id="Rectangle 5217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218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332 de 391 </w:t>
                        </w:r>
                      </w:p>
                    </w:txbxContent>
                  </v:textbox>
                </v:rect>
                <w10:wrap type="square"/>
              </v:group>
            </w:pict>
          </mc:Fallback>
        </mc:AlternateContent>
      </w:r>
      <w:r>
        <w:rPr>
          <w:rFonts w:ascii="Arial" w:eastAsia="Arial" w:hAnsi="Arial" w:cs="Arial"/>
          <w:b/>
          <w:i/>
          <w:color w:val="222222"/>
        </w:rPr>
        <w:t xml:space="preserve">2. </w:t>
      </w:r>
      <w:r>
        <w:rPr>
          <w:rFonts w:ascii="Arial" w:eastAsia="Arial" w:hAnsi="Arial" w:cs="Arial"/>
          <w:i/>
          <w:color w:val="222222"/>
        </w:rPr>
        <w:t>Para la defensa y garantía de sus derechos el menor pue</w:t>
      </w:r>
      <w:r>
        <w:rPr>
          <w:rFonts w:ascii="Arial" w:eastAsia="Arial" w:hAnsi="Arial" w:cs="Arial"/>
          <w:i/>
          <w:color w:val="222222"/>
        </w:rPr>
        <w:t>de:</w:t>
      </w:r>
    </w:p>
    <w:p w:rsidR="00E23B86" w:rsidRDefault="00BA7C13">
      <w:pPr>
        <w:numPr>
          <w:ilvl w:val="0"/>
          <w:numId w:val="160"/>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Solicitar la protección y tutela de la entidad pública competente.</w:t>
      </w:r>
    </w:p>
    <w:p w:rsidR="00E23B86" w:rsidRDefault="00BA7C13">
      <w:pPr>
        <w:numPr>
          <w:ilvl w:val="0"/>
          <w:numId w:val="160"/>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Poner en conocimiento del Ministerio Fiscal las situaciones que considere que atentan contra sus derechos con el fin de que éste promueva las acciones oportunas.</w:t>
      </w:r>
    </w:p>
    <w:p w:rsidR="00E23B86" w:rsidRDefault="00BA7C13">
      <w:pPr>
        <w:numPr>
          <w:ilvl w:val="0"/>
          <w:numId w:val="160"/>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Plantear sus q</w:t>
      </w:r>
      <w:r>
        <w:rPr>
          <w:rFonts w:ascii="Arial" w:eastAsia="Arial" w:hAnsi="Arial" w:cs="Arial"/>
          <w:i/>
          <w:color w:val="222222"/>
        </w:rPr>
        <w:t>uejas ante el Defensor del Pueblo o ante las instituciones autonómicas homólogas. A tal fin, uno de los Adjuntos del Defensor del Pueblo se hará cargo de modo permanente de los asuntos relacionados con los menores facilitándoles el acceso a mecanismos adec</w:t>
      </w:r>
      <w:r>
        <w:rPr>
          <w:rFonts w:ascii="Arial" w:eastAsia="Arial" w:hAnsi="Arial" w:cs="Arial"/>
          <w:i/>
          <w:color w:val="222222"/>
        </w:rPr>
        <w:t>uados y adaptados a sus necesidades y garantizándoles la confidencialidad.</w:t>
      </w:r>
    </w:p>
    <w:p w:rsidR="00E23B86" w:rsidRDefault="00BA7C13">
      <w:pPr>
        <w:numPr>
          <w:ilvl w:val="0"/>
          <w:numId w:val="160"/>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Solicitar los recursos sociales disponibles de las Administraciones públicas.</w:t>
      </w:r>
    </w:p>
    <w:p w:rsidR="00E23B86" w:rsidRDefault="00BA7C13">
      <w:pPr>
        <w:numPr>
          <w:ilvl w:val="0"/>
          <w:numId w:val="160"/>
        </w:numPr>
        <w:spacing w:after="3" w:line="248" w:lineRule="auto"/>
        <w:ind w:right="14" w:hanging="360"/>
        <w:jc w:val="both"/>
      </w:pPr>
      <w:r>
        <w:rPr>
          <w:rFonts w:ascii="Arial" w:eastAsia="Arial" w:hAnsi="Arial" w:cs="Arial"/>
          <w:b/>
          <w:i/>
          <w:color w:val="222222"/>
        </w:rPr>
        <w:t xml:space="preserve">e) </w:t>
      </w:r>
      <w:r>
        <w:rPr>
          <w:rFonts w:ascii="Arial" w:eastAsia="Arial" w:hAnsi="Arial" w:cs="Arial"/>
          <w:i/>
          <w:color w:val="222222"/>
        </w:rPr>
        <w:t xml:space="preserve">Solicitar asistencia legal y el nombramiento de un defensor judicial, en su caso, para emprender </w:t>
      </w:r>
      <w:r>
        <w:rPr>
          <w:rFonts w:ascii="Arial" w:eastAsia="Arial" w:hAnsi="Arial" w:cs="Arial"/>
          <w:i/>
          <w:color w:val="222222"/>
        </w:rPr>
        <w:t>las acciones judiciales y administrativas necesarias encaminadas a la protección y defensa de sus derechos e intereses. En todo caso el Ministerio Fiscal podrá actuar en defensa de los derechos de los menores.</w:t>
      </w:r>
    </w:p>
    <w:p w:rsidR="00E23B86" w:rsidRDefault="00BA7C13">
      <w:pPr>
        <w:numPr>
          <w:ilvl w:val="0"/>
          <w:numId w:val="160"/>
        </w:numPr>
        <w:spacing w:after="3" w:line="248" w:lineRule="auto"/>
        <w:ind w:right="14" w:hanging="360"/>
        <w:jc w:val="both"/>
      </w:pPr>
      <w:r>
        <w:rPr>
          <w:rFonts w:ascii="Arial" w:eastAsia="Arial" w:hAnsi="Arial" w:cs="Arial"/>
          <w:b/>
          <w:i/>
          <w:color w:val="222222"/>
        </w:rPr>
        <w:t xml:space="preserve">f) </w:t>
      </w:r>
      <w:r>
        <w:rPr>
          <w:rFonts w:ascii="Arial" w:eastAsia="Arial" w:hAnsi="Arial" w:cs="Arial"/>
          <w:i/>
          <w:color w:val="222222"/>
        </w:rPr>
        <w:t xml:space="preserve">Presentar denuncias individuales al Comité </w:t>
      </w:r>
      <w:r>
        <w:rPr>
          <w:rFonts w:ascii="Arial" w:eastAsia="Arial" w:hAnsi="Arial" w:cs="Arial"/>
          <w:i/>
          <w:color w:val="222222"/>
        </w:rPr>
        <w:t>de Derechos del Niño, en los términos de la Convención sobre los Derechos del Niño y de la normativa que la desarrolle.</w:t>
      </w:r>
      <w:r>
        <w:rPr>
          <w:rFonts w:ascii="Arial" w:eastAsia="Arial" w:hAnsi="Arial" w:cs="Arial"/>
          <w:b/>
          <w:i/>
          <w:color w:val="222222"/>
        </w:rPr>
        <w:t xml:space="preserve"> 3. </w:t>
      </w:r>
      <w:r>
        <w:rPr>
          <w:rFonts w:ascii="Arial" w:eastAsia="Arial" w:hAnsi="Arial" w:cs="Arial"/>
          <w:i/>
          <w:color w:val="222222"/>
        </w:rPr>
        <w:t>Los menores extranjeros que se encuentren en España tienen derecho a la educación, asistencia sanitaria y servicios y prestaciones so</w:t>
      </w:r>
      <w:r>
        <w:rPr>
          <w:rFonts w:ascii="Arial" w:eastAsia="Arial" w:hAnsi="Arial" w:cs="Arial"/>
          <w:i/>
          <w:color w:val="222222"/>
        </w:rPr>
        <w:t xml:space="preserve">ciales básicas, en las mismas condiciones que los menores españoles. Las Administraciones Públicas velarán por los grupos especialmente vulnerables como los menores extranjeros no acompañados, los que presenten necesidades de protección internacional, los </w:t>
      </w:r>
      <w:r>
        <w:rPr>
          <w:rFonts w:ascii="Arial" w:eastAsia="Arial" w:hAnsi="Arial" w:cs="Arial"/>
          <w:i/>
          <w:color w:val="222222"/>
        </w:rPr>
        <w:t>menores con discapacidad y los que sean víctimas de abusos sexuales, explotación sexual, pornografía infantil, de trata o de tráfico de seres humanos, garantizando el cumplimiento de los derechos previstos en la ley.</w:t>
      </w:r>
    </w:p>
    <w:p w:rsidR="00E23B86" w:rsidRDefault="00BA7C13">
      <w:pPr>
        <w:numPr>
          <w:ilvl w:val="0"/>
          <w:numId w:val="160"/>
        </w:numPr>
        <w:spacing w:after="3" w:line="248" w:lineRule="auto"/>
        <w:ind w:right="14" w:hanging="360"/>
        <w:jc w:val="both"/>
      </w:pPr>
      <w:r>
        <w:rPr>
          <w:rFonts w:ascii="Arial" w:eastAsia="Arial" w:hAnsi="Arial" w:cs="Arial"/>
          <w:i/>
          <w:color w:val="222222"/>
        </w:rPr>
        <w:t>Los poderes públicos, en el diseño y el</w:t>
      </w:r>
      <w:r>
        <w:rPr>
          <w:rFonts w:ascii="Arial" w:eastAsia="Arial" w:hAnsi="Arial" w:cs="Arial"/>
          <w:i/>
          <w:color w:val="222222"/>
        </w:rPr>
        <w:t>aboración de las políticas públicas, tendrán como objetivo lograr la plena integración de los menores extranjeros en la sociedad española, mientras permanezcan en el territorio del Estado</w:t>
      </w:r>
    </w:p>
    <w:p w:rsidR="00E23B86" w:rsidRDefault="00BA7C13">
      <w:pPr>
        <w:spacing w:after="3" w:line="248" w:lineRule="auto"/>
        <w:ind w:left="360" w:right="14"/>
        <w:jc w:val="both"/>
      </w:pPr>
      <w:r>
        <w:rPr>
          <w:rFonts w:ascii="Arial" w:eastAsia="Arial" w:hAnsi="Arial" w:cs="Arial"/>
          <w:i/>
          <w:color w:val="222222"/>
        </w:rPr>
        <w:t xml:space="preserve">español, en los términos establecidos en la </w:t>
      </w:r>
    </w:p>
    <w:p w:rsidR="00E23B86" w:rsidRDefault="00BA7C13">
      <w:pPr>
        <w:numPr>
          <w:ilvl w:val="0"/>
          <w:numId w:val="160"/>
        </w:numPr>
        <w:spacing w:after="3" w:line="248" w:lineRule="auto"/>
        <w:ind w:right="14" w:hanging="360"/>
        <w:jc w:val="both"/>
      </w:pPr>
      <w:r>
        <w:rPr>
          <w:rFonts w:ascii="Arial" w:eastAsia="Arial" w:hAnsi="Arial" w:cs="Arial"/>
          <w:b/>
          <w:i/>
          <w:color w:val="222222"/>
        </w:rPr>
        <w:t xml:space="preserve">4. </w:t>
      </w:r>
      <w:r>
        <w:rPr>
          <w:rFonts w:ascii="Arial" w:eastAsia="Arial" w:hAnsi="Arial" w:cs="Arial"/>
          <w:i/>
          <w:color w:val="222222"/>
        </w:rPr>
        <w:t>Cuando la Entidad Pú</w:t>
      </w:r>
      <w:r>
        <w:rPr>
          <w:rFonts w:ascii="Arial" w:eastAsia="Arial" w:hAnsi="Arial" w:cs="Arial"/>
          <w:i/>
          <w:color w:val="222222"/>
        </w:rPr>
        <w:t>blica asuma la tutela de un menor extranjero que se encuentre en España, la Administración General del Estado le facilitará, si no la tuviere, a la mayor celeridad, y junto con la presentación del certificado de tutela expedido por dicha Entidad Pública, l</w:t>
      </w:r>
      <w:r>
        <w:rPr>
          <w:rFonts w:ascii="Arial" w:eastAsia="Arial" w:hAnsi="Arial" w:cs="Arial"/>
          <w:i/>
          <w:color w:val="222222"/>
        </w:rPr>
        <w:t>a documentación acreditativa de su situación y la autorización de residencia, una vez que haya quedado acreditada la imposibilidad de retorno con su familia o al país de origen, y según lo dispuesto en la normativa vigente en materia de extranjería e inmig</w:t>
      </w:r>
      <w:r>
        <w:rPr>
          <w:rFonts w:ascii="Arial" w:eastAsia="Arial" w:hAnsi="Arial" w:cs="Arial"/>
          <w:i/>
          <w:color w:val="222222"/>
        </w:rPr>
        <w:t>ración.</w:t>
      </w:r>
    </w:p>
    <w:p w:rsidR="00E23B86" w:rsidRDefault="00BA7C13">
      <w:pPr>
        <w:numPr>
          <w:ilvl w:val="0"/>
          <w:numId w:val="160"/>
        </w:numPr>
        <w:spacing w:after="3" w:line="248" w:lineRule="auto"/>
        <w:ind w:right="14" w:hanging="360"/>
        <w:jc w:val="both"/>
      </w:pPr>
      <w:r>
        <w:rPr>
          <w:rFonts w:ascii="Arial" w:eastAsia="Arial" w:hAnsi="Arial" w:cs="Arial"/>
          <w:b/>
          <w:i/>
          <w:color w:val="222222"/>
        </w:rPr>
        <w:t xml:space="preserve">5. </w:t>
      </w:r>
      <w:r>
        <w:rPr>
          <w:rFonts w:ascii="Arial" w:eastAsia="Arial" w:hAnsi="Arial" w:cs="Arial"/>
          <w:i/>
          <w:color w:val="222222"/>
        </w:rPr>
        <w:t>Respecto de los menores tutelados o guardados por las Entidades Públicas, el reconocimiento de su condición de asegurado en relación con la asistencia sanitaria se realizará de oficio, previa presentación de la certificación de su tutela o guard</w:t>
      </w:r>
      <w:r>
        <w:rPr>
          <w:rFonts w:ascii="Arial" w:eastAsia="Arial" w:hAnsi="Arial" w:cs="Arial"/>
          <w:i/>
          <w:color w:val="222222"/>
        </w:rPr>
        <w:t>a expedida por la Entidad Pública, durante el periodo de duración de las mismas.”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11 Principios rectores de la acción administrativa</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Las Administraciones Públicas facilitarán a los menores la asistencia adecuada para el ejercicio de sus derechos, incluyendo los recursos de apoyo que precisen.</w:t>
      </w:r>
    </w:p>
    <w:p w:rsidR="00E23B86" w:rsidRDefault="00BA7C13">
      <w:pPr>
        <w:numPr>
          <w:ilvl w:val="0"/>
          <w:numId w:val="161"/>
        </w:numPr>
        <w:spacing w:after="3" w:line="248" w:lineRule="auto"/>
        <w:ind w:right="14" w:hanging="360"/>
        <w:jc w:val="both"/>
      </w:pPr>
      <w:r>
        <w:rPr>
          <w:noProof/>
        </w:rPr>
        <mc:AlternateContent>
          <mc:Choice Requires="wpg">
            <w:drawing>
              <wp:anchor distT="0" distB="0" distL="114300" distR="114300" simplePos="0" relativeHeight="2520012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2882" name="Group 58288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2286" name="Rectangle 5228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2287" name="Rectangle 5228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333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2882" style="width:12.7031pt;height:280.35pt;position:absolute;mso-position-horizontal-relative:page;mso-position-horizontal:absolute;margin-left:681.958pt;mso-position-vertical-relative:page;margin-top:531.65pt;" coordsize="1613,35604">
                <v:rect id="Rectangle 5228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228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333 de 391 </w:t>
                        </w:r>
                      </w:p>
                    </w:txbxContent>
                  </v:textbox>
                </v:rect>
                <w10:wrap type="square"/>
              </v:group>
            </w:pict>
          </mc:Fallback>
        </mc:AlternateContent>
      </w:r>
      <w:r>
        <w:rPr>
          <w:rFonts w:ascii="Arial" w:eastAsia="Arial" w:hAnsi="Arial" w:cs="Arial"/>
          <w:i/>
          <w:color w:val="222222"/>
        </w:rPr>
        <w:t>Las Administraciones Públicas, en los ámbitos que les son pro</w:t>
      </w:r>
      <w:r>
        <w:rPr>
          <w:rFonts w:ascii="Arial" w:eastAsia="Arial" w:hAnsi="Arial" w:cs="Arial"/>
          <w:i/>
          <w:color w:val="222222"/>
        </w:rPr>
        <w:t xml:space="preserve">pios, articularán políticas integrales encaminadas al desarrollo de la infancia y la adolescencia y, de modo especial, las referidas a los derechos enumerados en esta ley. Los menores tendrán derecho a acceder a tales servicios por sí mismos o a través de </w:t>
      </w:r>
      <w:r>
        <w:rPr>
          <w:rFonts w:ascii="Arial" w:eastAsia="Arial" w:hAnsi="Arial" w:cs="Arial"/>
          <w:i/>
          <w:color w:val="222222"/>
        </w:rPr>
        <w:t>sus progenitores, tutores, guardadores o acogedores, quienes a su vez tendrán el deber de utilizarlos en interés de los menores.</w:t>
      </w:r>
    </w:p>
    <w:p w:rsidR="00E23B86" w:rsidRDefault="00BA7C13">
      <w:pPr>
        <w:numPr>
          <w:ilvl w:val="0"/>
          <w:numId w:val="161"/>
        </w:numPr>
        <w:spacing w:after="3" w:line="248" w:lineRule="auto"/>
        <w:ind w:right="14" w:hanging="360"/>
        <w:jc w:val="both"/>
      </w:pPr>
      <w:r>
        <w:rPr>
          <w:rFonts w:ascii="Arial" w:eastAsia="Arial" w:hAnsi="Arial" w:cs="Arial"/>
          <w:i/>
          <w:color w:val="222222"/>
        </w:rPr>
        <w:t xml:space="preserve">Se impulsarán políticas compensatorias dirigidas a corregir las desigualdades sociales. En todo caso, el contenido esencial de </w:t>
      </w:r>
      <w:r>
        <w:rPr>
          <w:rFonts w:ascii="Arial" w:eastAsia="Arial" w:hAnsi="Arial" w:cs="Arial"/>
          <w:i/>
          <w:color w:val="222222"/>
        </w:rPr>
        <w:t>los derechos del menor no podrá quedar afectado por falta de recursos sociales básicos. Se garantizará a los menores con discapacidad y a sus familias los servicios sociales especializados que su discapacidad precise.</w:t>
      </w:r>
    </w:p>
    <w:p w:rsidR="00E23B86" w:rsidRDefault="00BA7C13">
      <w:pPr>
        <w:numPr>
          <w:ilvl w:val="0"/>
          <w:numId w:val="161"/>
        </w:numPr>
        <w:spacing w:after="3" w:line="248" w:lineRule="auto"/>
        <w:ind w:right="14" w:hanging="360"/>
        <w:jc w:val="both"/>
      </w:pPr>
      <w:r>
        <w:rPr>
          <w:rFonts w:ascii="Arial" w:eastAsia="Arial" w:hAnsi="Arial" w:cs="Arial"/>
          <w:i/>
          <w:color w:val="222222"/>
        </w:rPr>
        <w:t xml:space="preserve">Las Administraciones Públicas deberán </w:t>
      </w:r>
      <w:r>
        <w:rPr>
          <w:rFonts w:ascii="Arial" w:eastAsia="Arial" w:hAnsi="Arial" w:cs="Arial"/>
          <w:i/>
          <w:color w:val="222222"/>
        </w:rPr>
        <w:t>tener en cuenta las necesidades de los menores al ejercer sus competencias, especialmente en materia de control sobre productos alimenticios, consumo, vivienda, educación, sanidad, servicios sociales, cultura, deporte, espectáculos, medios de comunicación,</w:t>
      </w:r>
      <w:r>
        <w:rPr>
          <w:rFonts w:ascii="Arial" w:eastAsia="Arial" w:hAnsi="Arial" w:cs="Arial"/>
          <w:i/>
          <w:color w:val="222222"/>
        </w:rPr>
        <w:t xml:space="preserve"> transportes, tiempo libre, juego, espacios libres y nuevas tecnologías (TICs).</w:t>
      </w:r>
    </w:p>
    <w:p w:rsidR="00E23B86" w:rsidRDefault="00BA7C13">
      <w:pPr>
        <w:numPr>
          <w:ilvl w:val="0"/>
          <w:numId w:val="161"/>
        </w:numPr>
        <w:spacing w:after="3" w:line="248" w:lineRule="auto"/>
        <w:ind w:right="14" w:hanging="360"/>
        <w:jc w:val="both"/>
      </w:pPr>
      <w:r>
        <w:rPr>
          <w:rFonts w:ascii="Arial" w:eastAsia="Arial" w:hAnsi="Arial" w:cs="Arial"/>
          <w:i/>
          <w:color w:val="222222"/>
        </w:rPr>
        <w:t>Las Administraciones Públicas tendrán particularmente en consideración la adecuada regulación y supervisión de aquellos espacios, centros y servicios en los que permanezcan hab</w:t>
      </w:r>
      <w:r>
        <w:rPr>
          <w:rFonts w:ascii="Arial" w:eastAsia="Arial" w:hAnsi="Arial" w:cs="Arial"/>
          <w:i/>
          <w:color w:val="222222"/>
        </w:rPr>
        <w:t xml:space="preserve">itualmente menores, en lo que se refiere a sus condiciones físico-ambientales, higiénico-sanitarias, de accesibilidad y diseño universal y de recursos humanos, así como a sus proyectos educativos inclusivos, a la participación de los menores y a las demás </w:t>
      </w:r>
      <w:r>
        <w:rPr>
          <w:rFonts w:ascii="Arial" w:eastAsia="Arial" w:hAnsi="Arial" w:cs="Arial"/>
          <w:i/>
          <w:color w:val="222222"/>
        </w:rPr>
        <w:t>condiciones que contribuyan a asegurar sus derechos.</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Serán principios rectores de la actuación de los poderes públicos en relación con los menores:</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La supremacía de su interés superior.</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El mantenimiento en su familia de origen, salvo que no sea co</w:t>
      </w:r>
      <w:r>
        <w:rPr>
          <w:rFonts w:ascii="Arial" w:eastAsia="Arial" w:hAnsi="Arial" w:cs="Arial"/>
          <w:i/>
          <w:color w:val="222222"/>
        </w:rPr>
        <w:t>nveniente para su interés, en cuyo caso se garantizará la adopción de medidas de protección familiares y estables priorizando, en estos supuestos, el acogimiento familiar frente al institucional.</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Su integración familiar y social.</w:t>
      </w:r>
    </w:p>
    <w:p w:rsidR="00E23B86" w:rsidRDefault="00BA7C13">
      <w:pPr>
        <w:spacing w:after="3" w:line="248" w:lineRule="auto"/>
        <w:ind w:left="360" w:right="14"/>
        <w:jc w:val="both"/>
      </w:pPr>
      <w:r>
        <w:rPr>
          <w:rFonts w:ascii="Arial" w:eastAsia="Arial" w:hAnsi="Arial" w:cs="Arial"/>
          <w:b/>
          <w:i/>
          <w:color w:val="222222"/>
        </w:rPr>
        <w:t xml:space="preserve">d) </w:t>
      </w:r>
      <w:r>
        <w:rPr>
          <w:rFonts w:ascii="Arial" w:eastAsia="Arial" w:hAnsi="Arial" w:cs="Arial"/>
          <w:i/>
          <w:color w:val="222222"/>
        </w:rPr>
        <w:t>La prevención y la d</w:t>
      </w:r>
      <w:r>
        <w:rPr>
          <w:rFonts w:ascii="Arial" w:eastAsia="Arial" w:hAnsi="Arial" w:cs="Arial"/>
          <w:i/>
          <w:color w:val="222222"/>
        </w:rPr>
        <w:t>etección precoz de todas aquellas situaciones que puedan perjudicar su desarrollo personal.</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e) </w:t>
      </w:r>
      <w:r>
        <w:rPr>
          <w:rFonts w:ascii="Arial" w:eastAsia="Arial" w:hAnsi="Arial" w:cs="Arial"/>
          <w:i/>
          <w:color w:val="222222"/>
        </w:rPr>
        <w:t>La sensibilización de la población ante situaciones de desprotección.</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f) </w:t>
      </w:r>
      <w:r>
        <w:rPr>
          <w:rFonts w:ascii="Arial" w:eastAsia="Arial" w:hAnsi="Arial" w:cs="Arial"/>
          <w:i/>
          <w:color w:val="222222"/>
        </w:rPr>
        <w:t>El carácter educativo de todas las medidas que se adopten.</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g) </w:t>
      </w:r>
      <w:r>
        <w:rPr>
          <w:rFonts w:ascii="Arial" w:eastAsia="Arial" w:hAnsi="Arial" w:cs="Arial"/>
          <w:i/>
          <w:color w:val="222222"/>
        </w:rPr>
        <w:t>La promoción de la partici</w:t>
      </w:r>
      <w:r>
        <w:rPr>
          <w:rFonts w:ascii="Arial" w:eastAsia="Arial" w:hAnsi="Arial" w:cs="Arial"/>
          <w:i/>
          <w:color w:val="222222"/>
        </w:rPr>
        <w:t>pación, voluntariado y solidaridad social.</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h) </w:t>
      </w:r>
      <w:r>
        <w:rPr>
          <w:rFonts w:ascii="Arial" w:eastAsia="Arial" w:hAnsi="Arial" w:cs="Arial"/>
          <w:i/>
          <w:color w:val="222222"/>
        </w:rPr>
        <w:t>La objetividad, imparcialidad y seguridad jurídica en la actuación protectora, garantizando el carácter colegiado e interdisciplinar en la adopción de medidas que les afecten.</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i) </w:t>
      </w:r>
      <w:r>
        <w:rPr>
          <w:rFonts w:ascii="Arial" w:eastAsia="Arial" w:hAnsi="Arial" w:cs="Arial"/>
          <w:i/>
          <w:color w:val="222222"/>
        </w:rPr>
        <w:t>La protección contra toda forma</w:t>
      </w:r>
      <w:r>
        <w:rPr>
          <w:rFonts w:ascii="Arial" w:eastAsia="Arial" w:hAnsi="Arial" w:cs="Arial"/>
          <w:i/>
          <w:color w:val="222222"/>
        </w:rPr>
        <w:t xml:space="preserve"> de violencia, incluido el maltrato físico o psicológico, los castigos físicos humillantes y denigrantes, el descuido o trato negligente, la explotación, la realizada a través de las nuevas tecnologías, los abusos sexuales, la corrupción, la violencia de g</w:t>
      </w:r>
      <w:r>
        <w:rPr>
          <w:rFonts w:ascii="Arial" w:eastAsia="Arial" w:hAnsi="Arial" w:cs="Arial"/>
          <w:i/>
          <w:color w:val="222222"/>
        </w:rPr>
        <w:t>énero o en el ámbito familiar, sanitario, social o educativo, incluyendo el acoso escolar, así como la trata y el tráfico de seres humanos, la mutilación genital femenina y cualquier otra forma de abuso.</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j) </w:t>
      </w:r>
      <w:r>
        <w:rPr>
          <w:rFonts w:ascii="Arial" w:eastAsia="Arial" w:hAnsi="Arial" w:cs="Arial"/>
          <w:i/>
          <w:color w:val="222222"/>
        </w:rPr>
        <w:t xml:space="preserve">La igualdad de oportunidades y no discriminación </w:t>
      </w:r>
      <w:r>
        <w:rPr>
          <w:rFonts w:ascii="Arial" w:eastAsia="Arial" w:hAnsi="Arial" w:cs="Arial"/>
          <w:i/>
          <w:color w:val="222222"/>
        </w:rPr>
        <w:t>por cualquier circunstancia.</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k) </w:t>
      </w:r>
      <w:r>
        <w:rPr>
          <w:rFonts w:ascii="Arial" w:eastAsia="Arial" w:hAnsi="Arial" w:cs="Arial"/>
          <w:i/>
          <w:color w:val="222222"/>
        </w:rPr>
        <w:t>La accesibilidad universal de los menores con discapacidad y los ajustes razonables, así como su inclusión y participación plenas y efectivas.</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l) </w:t>
      </w:r>
      <w:r>
        <w:rPr>
          <w:rFonts w:ascii="Arial" w:eastAsia="Arial" w:hAnsi="Arial" w:cs="Arial"/>
          <w:i/>
          <w:color w:val="222222"/>
        </w:rPr>
        <w:t>El libre desarrollo de su personalidad conforme a su orientación e identidad s</w:t>
      </w:r>
      <w:r>
        <w:rPr>
          <w:rFonts w:ascii="Arial" w:eastAsia="Arial" w:hAnsi="Arial" w:cs="Arial"/>
          <w:i/>
          <w:color w:val="222222"/>
        </w:rPr>
        <w:t>exual.</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m) </w:t>
      </w:r>
      <w:r>
        <w:rPr>
          <w:rFonts w:ascii="Arial" w:eastAsia="Arial" w:hAnsi="Arial" w:cs="Arial"/>
          <w:i/>
          <w:color w:val="222222"/>
        </w:rPr>
        <w:t>El respeto y la valoración de la diversidad étnica y cultural.</w:t>
      </w:r>
    </w:p>
    <w:p w:rsidR="00E23B86" w:rsidRDefault="00BA7C13">
      <w:pPr>
        <w:numPr>
          <w:ilvl w:val="0"/>
          <w:numId w:val="161"/>
        </w:numPr>
        <w:spacing w:after="3" w:line="248" w:lineRule="auto"/>
        <w:ind w:right="14" w:hanging="360"/>
        <w:jc w:val="both"/>
      </w:pPr>
      <w:r>
        <w:rPr>
          <w:noProof/>
        </w:rPr>
        <mc:AlternateContent>
          <mc:Choice Requires="wpg">
            <w:drawing>
              <wp:anchor distT="0" distB="0" distL="114300" distR="114300" simplePos="0" relativeHeight="2520023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3304" name="Group 58330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2431" name="Rectangle 5243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2432" name="Rectangle 5243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334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3304" style="width:12.7031pt;height:280.35pt;position:absolute;mso-position-horizontal-relative:page;mso-position-horizontal:absolute;margin-left:681.958pt;mso-position-vertical-relative:page;margin-top:531.65pt;" coordsize="1613,35604">
                <v:rect id="Rectangle 5243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243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334 de 391 </w:t>
                        </w:r>
                      </w:p>
                    </w:txbxContent>
                  </v:textbox>
                </v:rect>
                <w10:wrap type="square"/>
              </v:group>
            </w:pict>
          </mc:Fallback>
        </mc:AlternateContent>
      </w:r>
      <w:r>
        <w:rPr>
          <w:rFonts w:ascii="Arial" w:eastAsia="Arial" w:hAnsi="Arial" w:cs="Arial"/>
          <w:b/>
          <w:i/>
          <w:color w:val="222222"/>
        </w:rPr>
        <w:t xml:space="preserve">3. </w:t>
      </w:r>
      <w:r>
        <w:rPr>
          <w:rFonts w:ascii="Arial" w:eastAsia="Arial" w:hAnsi="Arial" w:cs="Arial"/>
          <w:i/>
          <w:color w:val="222222"/>
        </w:rPr>
        <w:t>Los poderes públicos desarrollarán actuaciones encaminadas a la sensibilización, prevención, detección, notificación, asistencia y protección de cualquier for</w:t>
      </w:r>
      <w:r>
        <w:rPr>
          <w:rFonts w:ascii="Arial" w:eastAsia="Arial" w:hAnsi="Arial" w:cs="Arial"/>
          <w:i/>
          <w:color w:val="222222"/>
        </w:rPr>
        <w:t>ma de violencia contra la infancia y la adolescencia mediante procedimientos que aseguren la coordinación y la colaboración entre las distintas Administraciones, entidades colaboradoras y servicios competentes, tanto públicos como privados, para garantizar</w:t>
      </w:r>
      <w:r>
        <w:rPr>
          <w:rFonts w:ascii="Arial" w:eastAsia="Arial" w:hAnsi="Arial" w:cs="Arial"/>
          <w:i/>
          <w:color w:val="222222"/>
        </w:rPr>
        <w:t xml:space="preserve"> una actuación integral.</w:t>
      </w:r>
    </w:p>
    <w:p w:rsidR="00E23B86" w:rsidRDefault="00BA7C13">
      <w:pPr>
        <w:numPr>
          <w:ilvl w:val="0"/>
          <w:numId w:val="161"/>
        </w:numPr>
        <w:spacing w:after="3" w:line="248" w:lineRule="auto"/>
        <w:ind w:right="14" w:hanging="360"/>
        <w:jc w:val="both"/>
      </w:pPr>
      <w:r>
        <w:rPr>
          <w:rFonts w:ascii="Arial" w:eastAsia="Arial" w:hAnsi="Arial" w:cs="Arial"/>
          <w:b/>
          <w:i/>
          <w:color w:val="222222"/>
        </w:rPr>
        <w:t xml:space="preserve">4. </w:t>
      </w:r>
      <w:r>
        <w:rPr>
          <w:rFonts w:ascii="Arial" w:eastAsia="Arial" w:hAnsi="Arial" w:cs="Arial"/>
          <w:i/>
          <w:color w:val="222222"/>
        </w:rPr>
        <w:t>Las Entidades Públicas dispondrán de programas y recursos destinados al apoyo y orientación de quienes, estando en acogimiento, alcancen la mayoría de edad y queden fuera del sistema de protección, con especial atención a los qu</w:t>
      </w:r>
      <w:r>
        <w:rPr>
          <w:rFonts w:ascii="Arial" w:eastAsia="Arial" w:hAnsi="Arial" w:cs="Arial"/>
          <w:i/>
          <w:color w:val="222222"/>
        </w:rPr>
        <w:t>e presentan discapacidad.”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61"/>
        </w:numPr>
        <w:spacing w:after="0" w:line="249" w:lineRule="auto"/>
        <w:ind w:right="14" w:hanging="360"/>
        <w:jc w:val="both"/>
      </w:pPr>
      <w:r>
        <w:rPr>
          <w:rFonts w:ascii="Arial" w:eastAsia="Arial" w:hAnsi="Arial" w:cs="Arial"/>
          <w:b/>
          <w:i/>
        </w:rPr>
        <w:t xml:space="preserve">IV.- Ley 1/1997, de 7 de febrero, de atención integral a los menores </w:t>
      </w:r>
      <w:r>
        <w:rPr>
          <w:rFonts w:ascii="Segoe UI Symbol" w:eastAsia="Segoe UI Symbol" w:hAnsi="Segoe UI Symbol" w:cs="Segoe UI Symbol"/>
          <w:color w:val="3C587E"/>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3 Derechos de los menores</w:t>
      </w:r>
    </w:p>
    <w:p w:rsidR="00E23B86" w:rsidRDefault="00BA7C13">
      <w:pPr>
        <w:numPr>
          <w:ilvl w:val="0"/>
          <w:numId w:val="162"/>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 xml:space="preserve">Los menores gozarán de los derechos individuales y colectivos que les reconoce la Constitución, los tratados, convenios y pactos internacionales ratificados por el Estado español, especialmente la </w:t>
      </w:r>
      <w:r>
        <w:rPr>
          <w:rFonts w:ascii="Arial" w:eastAsia="Arial" w:hAnsi="Arial" w:cs="Arial"/>
          <w:i/>
          <w:color w:val="4C6F99"/>
          <w:u w:val="single" w:color="4C6F99"/>
        </w:rPr>
        <w:t>Convención sobre los Derechos del Niño</w:t>
      </w:r>
      <w:r>
        <w:rPr>
          <w:rFonts w:ascii="Arial" w:eastAsia="Arial" w:hAnsi="Arial" w:cs="Arial"/>
          <w:i/>
          <w:color w:val="222222"/>
        </w:rPr>
        <w:t xml:space="preserve"> de las Naciones Unid</w:t>
      </w:r>
      <w:r>
        <w:rPr>
          <w:rFonts w:ascii="Arial" w:eastAsia="Arial" w:hAnsi="Arial" w:cs="Arial"/>
          <w:i/>
          <w:color w:val="222222"/>
        </w:rPr>
        <w:t>as, de 20 de noviembre de 1989, y la Carta Europea de los Derechos del Niño, así como en las restantes normas del ordenamiento jurídico.</w:t>
      </w:r>
    </w:p>
    <w:p w:rsidR="00E23B86" w:rsidRDefault="00BA7C13">
      <w:pPr>
        <w:numPr>
          <w:ilvl w:val="0"/>
          <w:numId w:val="162"/>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El contenido, regulación y efectos de los derechos reconocidos a los menores se regirán por su normativa específica,</w:t>
      </w:r>
      <w:r>
        <w:rPr>
          <w:rFonts w:ascii="Arial" w:eastAsia="Arial" w:hAnsi="Arial" w:cs="Arial"/>
          <w:i/>
          <w:color w:val="222222"/>
        </w:rPr>
        <w:t xml:space="preserve"> sin perjuicio de las medidas complementarias que se establecen en la presente ley para contribuir a su efectividad.”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20 Principios generales</w:t>
      </w:r>
    </w:p>
    <w:p w:rsidR="00E23B86" w:rsidRDefault="00BA7C13">
      <w:pPr>
        <w:numPr>
          <w:ilvl w:val="0"/>
          <w:numId w:val="163"/>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 xml:space="preserve">Las Administraciones Públicas Canarias desarrollarán y promoverán las acciones de divulgación de los derechos de los menores reconocidos en la Constitución, en los tratados internacionales ratificados por España, especialmente la </w:t>
      </w:r>
      <w:r>
        <w:rPr>
          <w:rFonts w:ascii="Arial" w:eastAsia="Arial" w:hAnsi="Arial" w:cs="Arial"/>
          <w:i/>
          <w:color w:val="4C6F99"/>
          <w:u w:val="single" w:color="4C6F99"/>
        </w:rPr>
        <w:t>Convención sobre los Derec</w:t>
      </w:r>
      <w:r>
        <w:rPr>
          <w:rFonts w:ascii="Arial" w:eastAsia="Arial" w:hAnsi="Arial" w:cs="Arial"/>
          <w:i/>
          <w:color w:val="4C6F99"/>
          <w:u w:val="single" w:color="4C6F99"/>
        </w:rPr>
        <w:t>hos del Niño</w:t>
      </w:r>
      <w:r>
        <w:rPr>
          <w:rFonts w:ascii="Arial" w:eastAsia="Arial" w:hAnsi="Arial" w:cs="Arial"/>
          <w:i/>
          <w:color w:val="222222"/>
        </w:rPr>
        <w:t xml:space="preserve"> de las Naciones Unidas, de 20 de noviembre de 1989, y la Carta Europea de Derechos del Niño, así como en el resto del ordenamiento jurídico.</w:t>
      </w:r>
    </w:p>
    <w:p w:rsidR="00E23B86" w:rsidRDefault="00BA7C13">
      <w:pPr>
        <w:numPr>
          <w:ilvl w:val="0"/>
          <w:numId w:val="163"/>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Asimismo, ejecutarán las acciones de información y divulgación precisas para el conocimiento y fome</w:t>
      </w:r>
      <w:r>
        <w:rPr>
          <w:rFonts w:ascii="Arial" w:eastAsia="Arial" w:hAnsi="Arial" w:cs="Arial"/>
          <w:i/>
          <w:color w:val="222222"/>
        </w:rPr>
        <w:t xml:space="preserve">nto de los medios y recursos destinados a la atención integral a los menores en el ámbito de la Comunidad Autónoma de Canarias, con independencia de la titularidad de los mismos.” </w:t>
      </w: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21 Formación e información de los padres</w:t>
      </w:r>
    </w:p>
    <w:p w:rsidR="00E23B86" w:rsidRDefault="00BA7C13">
      <w:pPr>
        <w:spacing w:after="3" w:line="248" w:lineRule="auto"/>
        <w:ind w:left="355" w:right="14" w:hanging="370"/>
        <w:jc w:val="both"/>
      </w:pPr>
      <w:r>
        <w:rPr>
          <w:rFonts w:ascii="Segoe UI Symbol" w:eastAsia="Segoe UI Symbol" w:hAnsi="Segoe UI Symbol" w:cs="Segoe UI Symbol"/>
          <w:color w:val="222222"/>
          <w:sz w:val="20"/>
        </w:rPr>
        <w:t xml:space="preserve"> </w:t>
      </w:r>
      <w:r>
        <w:rPr>
          <w:rFonts w:ascii="Arial" w:eastAsia="Arial" w:hAnsi="Arial" w:cs="Arial"/>
          <w:i/>
          <w:color w:val="222222"/>
        </w:rPr>
        <w:t>“Las Administracione</w:t>
      </w:r>
      <w:r>
        <w:rPr>
          <w:rFonts w:ascii="Arial" w:eastAsia="Arial" w:hAnsi="Arial" w:cs="Arial"/>
          <w:i/>
          <w:color w:val="222222"/>
        </w:rPr>
        <w:t>s Públicas Canarias facilitarán a quienes ejerzan o puedan ejercer funciones parentales los medios de formación e información precisos para el adecuado cumplimiento de sus responsabilidades y el efectivo respeto a los derechos de los menores.”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w:t>
      </w:r>
      <w:r>
        <w:t xml:space="preserve"> 22 Participación social de los menores</w:t>
      </w:r>
    </w:p>
    <w:p w:rsidR="00E23B86" w:rsidRDefault="00BA7C13">
      <w:pPr>
        <w:numPr>
          <w:ilvl w:val="0"/>
          <w:numId w:val="164"/>
        </w:numPr>
        <w:spacing w:after="3" w:line="248" w:lineRule="auto"/>
        <w:ind w:right="14" w:hanging="360"/>
        <w:jc w:val="both"/>
      </w:pPr>
      <w:r>
        <w:rPr>
          <w:rFonts w:ascii="Arial" w:eastAsia="Arial" w:hAnsi="Arial" w:cs="Arial"/>
          <w:i/>
          <w:color w:val="222222"/>
        </w:rPr>
        <w:t>“Las Administraciones Públicas Canarias, en su respectivo ámbito competencial, propiciarán:</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164"/>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La participación de los menores en los núcleos de convivencia más inmediatos, de acuerdo con su desarrollo personal.</w:t>
      </w:r>
    </w:p>
    <w:p w:rsidR="00E23B86" w:rsidRDefault="00BA7C13">
      <w:pPr>
        <w:numPr>
          <w:ilvl w:val="0"/>
          <w:numId w:val="164"/>
        </w:numPr>
        <w:spacing w:after="3" w:line="248" w:lineRule="auto"/>
        <w:ind w:right="14" w:hanging="360"/>
        <w:jc w:val="both"/>
      </w:pPr>
      <w:r>
        <w:rPr>
          <w:rFonts w:ascii="Arial" w:eastAsia="Arial" w:hAnsi="Arial" w:cs="Arial"/>
          <w:b/>
          <w:i/>
          <w:color w:val="222222"/>
        </w:rPr>
        <w:t>b)</w:t>
      </w:r>
      <w:r>
        <w:rPr>
          <w:rFonts w:ascii="Arial" w:eastAsia="Arial" w:hAnsi="Arial" w:cs="Arial"/>
          <w:b/>
          <w:i/>
          <w:color w:val="222222"/>
        </w:rPr>
        <w:t xml:space="preserve"> </w:t>
      </w:r>
      <w:r>
        <w:rPr>
          <w:rFonts w:ascii="Arial" w:eastAsia="Arial" w:hAnsi="Arial" w:cs="Arial"/>
          <w:i/>
          <w:color w:val="222222"/>
        </w:rPr>
        <w:t>El derecho a la participación social de los menores, arbitrando fórmulas y servicios específicos.</w:t>
      </w:r>
    </w:p>
    <w:p w:rsidR="00E23B86" w:rsidRDefault="00BA7C13">
      <w:pPr>
        <w:numPr>
          <w:ilvl w:val="0"/>
          <w:numId w:val="164"/>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La constitución de asociaciones, fundaciones y otras fórmulas de autoorganización que posibiliten un aprendizaje de los modos y prácticas democráticas y t</w:t>
      </w:r>
      <w:r>
        <w:rPr>
          <w:rFonts w:ascii="Arial" w:eastAsia="Arial" w:hAnsi="Arial" w:cs="Arial"/>
          <w:i/>
          <w:color w:val="222222"/>
        </w:rPr>
        <w:t>olerantes de convivencia”</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3"/>
        <w:ind w:left="-5" w:right="1093"/>
      </w:pPr>
      <w:r>
        <w:rPr>
          <w:noProof/>
        </w:rPr>
        <mc:AlternateContent>
          <mc:Choice Requires="wpg">
            <w:drawing>
              <wp:anchor distT="0" distB="0" distL="114300" distR="114300" simplePos="0" relativeHeight="2520033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3176" name="Group 58317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2563" name="Rectangle 5256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2564" name="Rectangle 5256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335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3176" style="width:12.7031pt;height:280.35pt;position:absolute;mso-position-horizontal-relative:page;mso-position-horizontal:absolute;margin-left:681.958pt;mso-position-vertical-relative:page;margin-top:531.65pt;" coordsize="1613,35604">
                <v:rect id="Rectangle 5256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256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335 de 391 </w:t>
                        </w:r>
                      </w:p>
                    </w:txbxContent>
                  </v:textbox>
                </v:rect>
                <w10:wrap type="square"/>
              </v:group>
            </w:pict>
          </mc:Fallback>
        </mc:AlternateContent>
      </w:r>
      <w:r>
        <w:rPr>
          <w:rFonts w:ascii="Segoe UI Symbol" w:eastAsia="Segoe UI Symbol" w:hAnsi="Segoe UI Symbol" w:cs="Segoe UI Symbol"/>
          <w:b w:val="0"/>
          <w:i w:val="0"/>
          <w:sz w:val="20"/>
        </w:rPr>
        <w:t xml:space="preserve"> </w:t>
      </w:r>
      <w:r>
        <w:t xml:space="preserve">Artículo 23 </w:t>
      </w:r>
      <w:r>
        <w:t>Integración social de los menores</w:t>
      </w:r>
    </w:p>
    <w:p w:rsidR="00E23B86" w:rsidRDefault="00BA7C13">
      <w:pPr>
        <w:numPr>
          <w:ilvl w:val="0"/>
          <w:numId w:val="165"/>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Las Administraciones Públicas Canarias velarán por el derecho de los menores con minusvalías a que se les facilite el mayor grado de integración en la sociedad que permitan sus condiciones.</w:t>
      </w:r>
    </w:p>
    <w:p w:rsidR="00E23B86" w:rsidRDefault="00BA7C13">
      <w:pPr>
        <w:numPr>
          <w:ilvl w:val="0"/>
          <w:numId w:val="165"/>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Los menores extranjeros que se encuentren en el territorio de la Comunidad Autónoma de Canarias podrán recibir ayudas públicas que faciliten su integración social, especialmente para salvar las dificultades de idioma y el conocimiento de los usos sociales.</w:t>
      </w:r>
      <w:r>
        <w:rPr>
          <w:rFonts w:ascii="Arial" w:eastAsia="Arial" w:hAnsi="Arial" w:cs="Arial"/>
          <w:i/>
          <w:color w:val="222222"/>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24 Prevención frente a grupos nocivos</w:t>
      </w:r>
    </w:p>
    <w:p w:rsidR="00E23B86" w:rsidRDefault="00BA7C13">
      <w:pPr>
        <w:numPr>
          <w:ilvl w:val="0"/>
          <w:numId w:val="166"/>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Las Administraciones Públicas Canarias desarrollarán y fomentarán las acciones de información necesarias en los ámbitos educativo, cultural y social para advertir de los efectos perjudiciales de la a</w:t>
      </w:r>
      <w:r>
        <w:rPr>
          <w:rFonts w:ascii="Arial" w:eastAsia="Arial" w:hAnsi="Arial" w:cs="Arial"/>
          <w:i/>
          <w:color w:val="222222"/>
        </w:rPr>
        <w:t>ctividad de las sectas.</w:t>
      </w:r>
    </w:p>
    <w:p w:rsidR="00E23B86" w:rsidRDefault="00BA7C13">
      <w:pPr>
        <w:numPr>
          <w:ilvl w:val="0"/>
          <w:numId w:val="166"/>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Asimismo, emprenderán y promoverán las actuaciones precisas para informar de los efectos nocivos para los menores de las actividades de grupos que tengan finalidades que puedan alterar el equilibrio psíquico o utilicen medios par</w:t>
      </w:r>
      <w:r>
        <w:rPr>
          <w:rFonts w:ascii="Arial" w:eastAsia="Arial" w:hAnsi="Arial" w:cs="Arial"/>
          <w:i/>
          <w:color w:val="222222"/>
        </w:rPr>
        <w:t>a alterarlo.</w:t>
      </w:r>
    </w:p>
    <w:p w:rsidR="00E23B86" w:rsidRDefault="00BA7C13">
      <w:pPr>
        <w:numPr>
          <w:ilvl w:val="0"/>
          <w:numId w:val="166"/>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Las Administraciones Públicas Canarias velarán especialmente para que las entidades y grupos a que se refieren los números anteriores no tengan acceso a los servicios, prestaciones y actividades de cualquier naturaleza que se presten o real</w:t>
      </w:r>
      <w:r>
        <w:rPr>
          <w:rFonts w:ascii="Arial" w:eastAsia="Arial" w:hAnsi="Arial" w:cs="Arial"/>
          <w:i/>
          <w:color w:val="222222"/>
        </w:rPr>
        <w:t xml:space="preserve">icen con financiación pública, total o parcial, ni puedan obtener el reconocimiento como entidades colaboradoras para la ejecución de servicios, prestaciones o actividades que sean de responsabilidad pública.” </w:t>
      </w:r>
      <w:r>
        <w:rPr>
          <w:rFonts w:ascii="Segoe UI Symbol" w:eastAsia="Segoe UI Symbol" w:hAnsi="Segoe UI Symbol" w:cs="Segoe UI Symbol"/>
          <w:color w:val="4C6F99"/>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25 Promoción de la educación de l</w:t>
      </w:r>
      <w:r>
        <w:t>os menores</w:t>
      </w:r>
    </w:p>
    <w:p w:rsidR="00E23B86" w:rsidRDefault="00BA7C13">
      <w:pPr>
        <w:numPr>
          <w:ilvl w:val="0"/>
          <w:numId w:val="167"/>
        </w:numPr>
        <w:spacing w:after="3" w:line="248" w:lineRule="auto"/>
        <w:ind w:right="14" w:hanging="360"/>
        <w:jc w:val="both"/>
      </w:pPr>
      <w:r>
        <w:rPr>
          <w:rFonts w:ascii="Arial" w:eastAsia="Arial" w:hAnsi="Arial" w:cs="Arial"/>
          <w:i/>
          <w:color w:val="222222"/>
        </w:rPr>
        <w:t>“Sin perjuicio del derecho a la educación reglada prevista en la legislación general, las Administraciones Públicas Canarias propiciarán:</w:t>
      </w:r>
    </w:p>
    <w:p w:rsidR="00E23B86" w:rsidRDefault="00BA7C13">
      <w:pPr>
        <w:spacing w:after="3" w:line="248" w:lineRule="auto"/>
        <w:ind w:left="360" w:right="14"/>
        <w:jc w:val="both"/>
      </w:pPr>
      <w:r>
        <w:rPr>
          <w:rFonts w:ascii="Arial" w:eastAsia="Arial" w:hAnsi="Arial" w:cs="Arial"/>
          <w:b/>
          <w:i/>
          <w:color w:val="222222"/>
        </w:rPr>
        <w:t xml:space="preserve">a) </w:t>
      </w:r>
      <w:r>
        <w:rPr>
          <w:rFonts w:ascii="Arial" w:eastAsia="Arial" w:hAnsi="Arial" w:cs="Arial"/>
          <w:i/>
          <w:color w:val="222222"/>
        </w:rPr>
        <w:t xml:space="preserve">La realización y fomento de actividades que desarrollen la capacidad crítica y de libre decisión de los </w:t>
      </w:r>
      <w:r>
        <w:rPr>
          <w:rFonts w:ascii="Arial" w:eastAsia="Arial" w:hAnsi="Arial" w:cs="Arial"/>
          <w:i/>
          <w:color w:val="222222"/>
        </w:rPr>
        <w:t>menores, así como el sentido de la propia responsabilidad.</w:t>
      </w:r>
    </w:p>
    <w:p w:rsidR="00E23B86" w:rsidRDefault="00BA7C13">
      <w:pPr>
        <w:numPr>
          <w:ilvl w:val="0"/>
          <w:numId w:val="167"/>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La ejecución y promoción de actividades que favorezcan su capacidad de participación en la vida familiar, social, cultural, política y económica.</w:t>
      </w:r>
    </w:p>
    <w:p w:rsidR="00E23B86" w:rsidRDefault="00BA7C13">
      <w:pPr>
        <w:numPr>
          <w:ilvl w:val="0"/>
          <w:numId w:val="167"/>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La creación de recursos fijos o ambulantes en</w:t>
      </w:r>
      <w:r>
        <w:rPr>
          <w:rFonts w:ascii="Arial" w:eastAsia="Arial" w:hAnsi="Arial" w:cs="Arial"/>
          <w:i/>
          <w:color w:val="222222"/>
        </w:rPr>
        <w:t xml:space="preserve"> el entorno relacional del menor, como el barrio o el municipio, donde puedan desarrollar su destreza intelectual y habilidad manual o de razonamiento, como complemento al aprendizaje en los centros escolares.</w:t>
      </w:r>
    </w:p>
    <w:p w:rsidR="00E23B86" w:rsidRDefault="00BA7C13">
      <w:pPr>
        <w:numPr>
          <w:ilvl w:val="0"/>
          <w:numId w:val="167"/>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 xml:space="preserve">Las actividades basadas en el principio de </w:t>
      </w:r>
      <w:r>
        <w:rPr>
          <w:rFonts w:ascii="Arial" w:eastAsia="Arial" w:hAnsi="Arial" w:cs="Arial"/>
          <w:i/>
          <w:color w:val="222222"/>
        </w:rPr>
        <w:t>la coeducación, la no discriminación y la igualdad de oportunidades.”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26 Promoción cultural de los menores</w:t>
      </w:r>
    </w:p>
    <w:p w:rsidR="00E23B86" w:rsidRDefault="00BA7C13">
      <w:pPr>
        <w:numPr>
          <w:ilvl w:val="0"/>
          <w:numId w:val="168"/>
        </w:numPr>
        <w:spacing w:after="3" w:line="248" w:lineRule="auto"/>
        <w:ind w:right="14" w:hanging="360"/>
        <w:jc w:val="both"/>
      </w:pPr>
      <w:r>
        <w:rPr>
          <w:rFonts w:ascii="Arial" w:eastAsia="Arial" w:hAnsi="Arial" w:cs="Arial"/>
          <w:i/>
          <w:color w:val="222222"/>
        </w:rPr>
        <w:t xml:space="preserve">“Las Administraciones Públicas Canarias fomentarán y potenciarán: </w:t>
      </w:r>
      <w:r>
        <w:rPr>
          <w:rFonts w:ascii="Segoe UI Symbol" w:eastAsia="Segoe UI Symbol" w:hAnsi="Segoe UI Symbol" w:cs="Segoe UI Symbol"/>
          <w:color w:val="222222"/>
          <w:sz w:val="20"/>
        </w:rPr>
        <w:t></w:t>
      </w:r>
    </w:p>
    <w:p w:rsidR="00E23B86" w:rsidRDefault="00BA7C13">
      <w:pPr>
        <w:numPr>
          <w:ilvl w:val="0"/>
          <w:numId w:val="168"/>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Las iniciativas sociales relativas a manifestaciones culturales y artísticas dirigidas al menor.</w:t>
      </w:r>
    </w:p>
    <w:p w:rsidR="00E23B86" w:rsidRDefault="00BA7C13">
      <w:pPr>
        <w:numPr>
          <w:ilvl w:val="0"/>
          <w:numId w:val="168"/>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El acceso a los bienes y medios culturales de la Comunidad, promoviendo el conocimiento de sus valores, historia y tradiciones.</w:t>
      </w:r>
    </w:p>
    <w:p w:rsidR="00E23B86" w:rsidRDefault="00BA7C13">
      <w:pPr>
        <w:numPr>
          <w:ilvl w:val="0"/>
          <w:numId w:val="168"/>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El conocimiento y la participación del menor, en la cultura y las artes, propiciando su acercamiento y la adaptación de las mismas a las diferentes etapas evolutivas de aquél.</w:t>
      </w:r>
    </w:p>
    <w:p w:rsidR="00E23B86" w:rsidRDefault="00BA7C13">
      <w:pPr>
        <w:numPr>
          <w:ilvl w:val="0"/>
          <w:numId w:val="168"/>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La creación de secciones pedagógicas con recursos didácticos adecuados en tod</w:t>
      </w:r>
      <w:r>
        <w:rPr>
          <w:rFonts w:ascii="Arial" w:eastAsia="Arial" w:hAnsi="Arial" w:cs="Arial"/>
          <w:i/>
          <w:color w:val="222222"/>
        </w:rPr>
        <w:t>os los museos, bibliotecas, medios y bienes culturales de titularidad autonómica, insular y municipal.”</w:t>
      </w:r>
    </w:p>
    <w:p w:rsidR="00E23B86" w:rsidRDefault="00BA7C13">
      <w:pPr>
        <w:spacing w:after="1"/>
        <w:ind w:left="-5" w:hanging="10"/>
      </w:pPr>
      <w:r>
        <w:rPr>
          <w:rFonts w:ascii="Segoe UI Symbol" w:eastAsia="Segoe UI Symbol" w:hAnsi="Segoe UI Symbol" w:cs="Segoe UI Symbol"/>
          <w:color w:val="4C6F99"/>
          <w:sz w:val="20"/>
        </w:rPr>
        <w:t></w:t>
      </w:r>
    </w:p>
    <w:p w:rsidR="00E23B86" w:rsidRDefault="00BA7C13">
      <w:pPr>
        <w:pStyle w:val="Ttulo3"/>
        <w:ind w:left="-5" w:right="1093"/>
      </w:pPr>
      <w:r>
        <w:rPr>
          <w:noProof/>
        </w:rPr>
        <mc:AlternateContent>
          <mc:Choice Requires="wpg">
            <w:drawing>
              <wp:anchor distT="0" distB="0" distL="114300" distR="114300" simplePos="0" relativeHeight="2520043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3305" name="Group 58330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2712" name="Rectangle 5271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2713" name="Rectangle 5271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w:t>
                              </w:r>
                              <w:r>
                                <w:rPr>
                                  <w:rFonts w:ascii="Arial" w:eastAsia="Arial" w:hAnsi="Arial" w:cs="Arial"/>
                                  <w:sz w:val="12"/>
                                </w:rPr>
                                <w:t xml:space="preserve">taforma esPublico Gestiona | Página 336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3305" style="width:12.7031pt;height:280.35pt;position:absolute;mso-position-horizontal-relative:page;mso-position-horizontal:absolute;margin-left:681.958pt;mso-position-vertical-relative:page;margin-top:531.65pt;" coordsize="1613,35604">
                <v:rect id="Rectangle 5271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271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336 de 391 </w:t>
                        </w:r>
                      </w:p>
                    </w:txbxContent>
                  </v:textbox>
                </v:rect>
                <w10:wrap type="square"/>
              </v:group>
            </w:pict>
          </mc:Fallback>
        </mc:AlternateContent>
      </w:r>
      <w:r>
        <w:rPr>
          <w:rFonts w:ascii="Segoe UI Symbol" w:eastAsia="Segoe UI Symbol" w:hAnsi="Segoe UI Symbol" w:cs="Segoe UI Symbol"/>
          <w:b w:val="0"/>
          <w:i w:val="0"/>
          <w:sz w:val="20"/>
        </w:rPr>
        <w:t xml:space="preserve"> </w:t>
      </w:r>
      <w:r>
        <w:t>Artículo 27 Promoción del adecuado aprovechamiento del ocio</w:t>
      </w:r>
    </w:p>
    <w:p w:rsidR="00E23B86" w:rsidRDefault="00BA7C13">
      <w:pPr>
        <w:numPr>
          <w:ilvl w:val="0"/>
          <w:numId w:val="169"/>
        </w:numPr>
        <w:spacing w:after="3" w:line="248" w:lineRule="auto"/>
        <w:ind w:right="14" w:hanging="360"/>
        <w:jc w:val="both"/>
      </w:pPr>
      <w:r>
        <w:rPr>
          <w:rFonts w:ascii="Arial" w:eastAsia="Arial" w:hAnsi="Arial" w:cs="Arial"/>
          <w:i/>
          <w:color w:val="222222"/>
        </w:rPr>
        <w:t xml:space="preserve">“Las Administraciones Públicas Canarias, como elemento esencial del desarrollo y proceso de maduración de los menores, fomentarán: </w:t>
      </w:r>
      <w:r>
        <w:rPr>
          <w:rFonts w:ascii="Segoe UI Symbol" w:eastAsia="Segoe UI Symbol" w:hAnsi="Segoe UI Symbol" w:cs="Segoe UI Symbol"/>
          <w:color w:val="222222"/>
          <w:sz w:val="20"/>
        </w:rPr>
        <w:t></w:t>
      </w:r>
    </w:p>
    <w:p w:rsidR="00E23B86" w:rsidRDefault="00BA7C13">
      <w:pPr>
        <w:numPr>
          <w:ilvl w:val="0"/>
          <w:numId w:val="169"/>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El juego c</w:t>
      </w:r>
      <w:r>
        <w:rPr>
          <w:rFonts w:ascii="Arial" w:eastAsia="Arial" w:hAnsi="Arial" w:cs="Arial"/>
          <w:i/>
          <w:color w:val="222222"/>
        </w:rPr>
        <w:t>omo parte de la actividad cotidiana, así como que los juguetes se adapten a las necesidades de los menores a que vayan destinados y al desarrollo psicomotor de cada etapa evolutiva.</w:t>
      </w:r>
    </w:p>
    <w:p w:rsidR="00E23B86" w:rsidRDefault="00BA7C13">
      <w:pPr>
        <w:numPr>
          <w:ilvl w:val="0"/>
          <w:numId w:val="169"/>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El deporte y las actividades de tiempo libre, tanto en el medio escolar</w:t>
      </w:r>
      <w:r>
        <w:rPr>
          <w:rFonts w:ascii="Arial" w:eastAsia="Arial" w:hAnsi="Arial" w:cs="Arial"/>
          <w:i/>
          <w:color w:val="222222"/>
        </w:rPr>
        <w:t xml:space="preserve"> como a través de la acción comunitaria.</w:t>
      </w:r>
    </w:p>
    <w:p w:rsidR="00E23B86" w:rsidRDefault="00BA7C13">
      <w:pPr>
        <w:numPr>
          <w:ilvl w:val="0"/>
          <w:numId w:val="169"/>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Las actividades de ocio en los barrios y municipios, gestionadas por entidades vecinales o asociativas.</w:t>
      </w:r>
    </w:p>
    <w:p w:rsidR="00E23B86" w:rsidRDefault="00BA7C13">
      <w:pPr>
        <w:numPr>
          <w:ilvl w:val="0"/>
          <w:numId w:val="169"/>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Las medidas que faciliten el turismo de los menores dentro de la Comunidad Autónoma, tanto con grupos esc</w:t>
      </w:r>
      <w:r>
        <w:rPr>
          <w:rFonts w:ascii="Arial" w:eastAsia="Arial" w:hAnsi="Arial" w:cs="Arial"/>
          <w:i/>
          <w:color w:val="222222"/>
        </w:rPr>
        <w:t xml:space="preserve">olares o asociativos como con su familia.” </w:t>
      </w:r>
      <w:r>
        <w:rPr>
          <w:rFonts w:ascii="Segoe UI Symbol" w:eastAsia="Segoe UI Symbol" w:hAnsi="Segoe UI Symbol" w:cs="Segoe UI Symbol"/>
          <w:color w:val="4C6F99"/>
          <w:sz w:val="20"/>
        </w:rPr>
        <w:t></w:t>
      </w:r>
    </w:p>
    <w:p w:rsidR="00E23B86" w:rsidRDefault="00BA7C13">
      <w:pPr>
        <w:pStyle w:val="Ttulo3"/>
        <w:ind w:left="-5" w:right="1093"/>
      </w:pPr>
      <w:r>
        <w:rPr>
          <w:rFonts w:ascii="Segoe UI Symbol" w:eastAsia="Segoe UI Symbol" w:hAnsi="Segoe UI Symbol" w:cs="Segoe UI Symbol"/>
          <w:b w:val="0"/>
          <w:i w:val="0"/>
          <w:sz w:val="20"/>
        </w:rPr>
        <w:t xml:space="preserve"> </w:t>
      </w:r>
      <w:r>
        <w:t>Artículo 28 Promoción en relación con los recursos naturales</w:t>
      </w:r>
    </w:p>
    <w:p w:rsidR="00E23B86" w:rsidRDefault="00BA7C13">
      <w:pPr>
        <w:numPr>
          <w:ilvl w:val="0"/>
          <w:numId w:val="170"/>
        </w:numPr>
        <w:spacing w:after="3" w:line="248" w:lineRule="auto"/>
        <w:ind w:right="14" w:hanging="360"/>
        <w:jc w:val="both"/>
      </w:pPr>
      <w:r>
        <w:rPr>
          <w:rFonts w:ascii="Arial" w:eastAsia="Arial" w:hAnsi="Arial" w:cs="Arial"/>
          <w:i/>
          <w:color w:val="222222"/>
        </w:rPr>
        <w:t xml:space="preserve">“Las Administraciones Públicas Canarias, en desarrollo del derecho de los menores a conocer y disfrutar del medio ambiente, promoverán: </w:t>
      </w:r>
      <w:r>
        <w:rPr>
          <w:rFonts w:ascii="Segoe UI Symbol" w:eastAsia="Segoe UI Symbol" w:hAnsi="Segoe UI Symbol" w:cs="Segoe UI Symbol"/>
          <w:color w:val="222222"/>
          <w:sz w:val="20"/>
        </w:rPr>
        <w:t></w:t>
      </w:r>
    </w:p>
    <w:p w:rsidR="00E23B86" w:rsidRDefault="00BA7C13">
      <w:pPr>
        <w:numPr>
          <w:ilvl w:val="0"/>
          <w:numId w:val="170"/>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El respeto y conocimiento de la naturaleza por los menores, informándoles sobre la importancia de un medio ambiente saludable y capacitándoles para su uso positivo.</w:t>
      </w:r>
    </w:p>
    <w:p w:rsidR="00E23B86" w:rsidRDefault="00BA7C13">
      <w:pPr>
        <w:numPr>
          <w:ilvl w:val="0"/>
          <w:numId w:val="170"/>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Las visitas y rutas programadas por los diversos entornos naturales.</w:t>
      </w:r>
    </w:p>
    <w:p w:rsidR="00E23B86" w:rsidRDefault="00BA7C13">
      <w:pPr>
        <w:numPr>
          <w:ilvl w:val="0"/>
          <w:numId w:val="170"/>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Los programas fo</w:t>
      </w:r>
      <w:r>
        <w:rPr>
          <w:rFonts w:ascii="Arial" w:eastAsia="Arial" w:hAnsi="Arial" w:cs="Arial"/>
          <w:i/>
          <w:color w:val="222222"/>
        </w:rPr>
        <w:t>rmativos, divulgativos y de concienciación sobre el reciclaje de residuos, el uso responsable de los recursos naturales y, en general, sobre la necesidad de adquirir unos hábitos adecuados para la conservación del medio ambiente.”</w:t>
      </w:r>
    </w:p>
    <w:p w:rsidR="00E23B86" w:rsidRDefault="00BA7C13">
      <w:pPr>
        <w:spacing w:after="1"/>
        <w:ind w:left="-5" w:hanging="10"/>
      </w:pPr>
      <w:r>
        <w:rPr>
          <w:rFonts w:ascii="Segoe UI Symbol" w:eastAsia="Segoe UI Symbol" w:hAnsi="Segoe UI Symbol" w:cs="Segoe UI Symbol"/>
          <w:color w:val="4C6F99"/>
          <w:sz w:val="20"/>
        </w:rPr>
        <w:t></w:t>
      </w:r>
    </w:p>
    <w:p w:rsidR="00E23B86" w:rsidRDefault="00E23B86">
      <w:pPr>
        <w:sectPr w:rsidR="00E23B86">
          <w:headerReference w:type="even" r:id="rId96"/>
          <w:headerReference w:type="default" r:id="rId97"/>
          <w:footerReference w:type="even" r:id="rId98"/>
          <w:footerReference w:type="default" r:id="rId99"/>
          <w:headerReference w:type="first" r:id="rId100"/>
          <w:footerReference w:type="first" r:id="rId101"/>
          <w:pgSz w:w="14168" w:h="16840"/>
          <w:pgMar w:top="2005" w:right="2848" w:bottom="1433" w:left="3198" w:header="712" w:footer="712" w:gutter="0"/>
          <w:cols w:space="720"/>
          <w:titlePg/>
        </w:sectPr>
      </w:pPr>
    </w:p>
    <w:p w:rsidR="00E23B86" w:rsidRDefault="00BA7C13">
      <w:pPr>
        <w:spacing w:after="0"/>
        <w:ind w:right="33"/>
        <w:jc w:val="center"/>
      </w:pPr>
      <w:r>
        <w:rPr>
          <w:rFonts w:ascii="Arial" w:eastAsia="Arial" w:hAnsi="Arial" w:cs="Arial"/>
          <w:b/>
          <w:i/>
          <w:color w:val="4C6F99"/>
        </w:rPr>
        <w:t>Artículo 29 Promoción de la adecuada distribución del espacio urbano</w:t>
      </w:r>
    </w:p>
    <w:p w:rsidR="00E23B86" w:rsidRDefault="00BA7C13">
      <w:pPr>
        <w:numPr>
          <w:ilvl w:val="0"/>
          <w:numId w:val="170"/>
        </w:numPr>
        <w:spacing w:after="3" w:line="248" w:lineRule="auto"/>
        <w:ind w:right="14" w:hanging="360"/>
        <w:jc w:val="both"/>
      </w:pPr>
      <w:r>
        <w:rPr>
          <w:rFonts w:ascii="Arial" w:eastAsia="Arial" w:hAnsi="Arial" w:cs="Arial"/>
          <w:i/>
          <w:color w:val="222222"/>
        </w:rPr>
        <w:t>“Las Administraciones Públicas Canarias, en los espacios urbanos, propiciarán:</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170"/>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La reserva de suelo para uso de los menores y su equipamiento en los instrumentos de planeamiento urbanístico, teniendo en cuenta sus necesidades específicas en la concepción del espacio urbano.</w:t>
      </w:r>
    </w:p>
    <w:p w:rsidR="00E23B86" w:rsidRDefault="00BA7C13">
      <w:pPr>
        <w:numPr>
          <w:ilvl w:val="0"/>
          <w:numId w:val="170"/>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La peatonalización de los espacios circundantes a los cent</w:t>
      </w:r>
      <w:r>
        <w:rPr>
          <w:rFonts w:ascii="Arial" w:eastAsia="Arial" w:hAnsi="Arial" w:cs="Arial"/>
          <w:i/>
          <w:color w:val="222222"/>
        </w:rPr>
        <w:t>ros escolares y de aquellos otros de uso frecuente por los menores, garantizándose el acceso a los mismos sin peligro.</w:t>
      </w:r>
    </w:p>
    <w:p w:rsidR="00E23B86" w:rsidRDefault="00BA7C13">
      <w:pPr>
        <w:numPr>
          <w:ilvl w:val="0"/>
          <w:numId w:val="170"/>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La creación y disposición de espacios diferenciados para el uso de los menores, dotándoles del mobiliario urbano adecuado, con garantí</w:t>
      </w:r>
      <w:r>
        <w:rPr>
          <w:rFonts w:ascii="Arial" w:eastAsia="Arial" w:hAnsi="Arial" w:cs="Arial"/>
          <w:i/>
          <w:color w:val="222222"/>
        </w:rPr>
        <w:t>a de las condiciones de seguridad y considerando especialmente las dificultades de movilidad de los menores discapacitados.”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170"/>
        </w:numPr>
        <w:spacing w:after="0" w:line="249" w:lineRule="auto"/>
        <w:ind w:right="14" w:hanging="360"/>
        <w:jc w:val="both"/>
      </w:pPr>
      <w:r>
        <w:rPr>
          <w:rFonts w:ascii="Arial" w:eastAsia="Arial" w:hAnsi="Arial" w:cs="Arial"/>
          <w:b/>
          <w:i/>
        </w:rPr>
        <w:t>V.- Ley Orgánica 3/2018, de 5 de diciembre, de Protección de Datos Personales y garantía de los derechos digitales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ind w:left="-5" w:right="1093"/>
      </w:pPr>
      <w:r>
        <w:rPr>
          <w:rFonts w:ascii="Segoe UI Symbol" w:eastAsia="Segoe UI Symbol" w:hAnsi="Segoe UI Symbol" w:cs="Segoe UI Symbol"/>
          <w:b w:val="0"/>
          <w:i w:val="0"/>
          <w:color w:val="000000"/>
          <w:sz w:val="20"/>
        </w:rPr>
        <w:t xml:space="preserve"> </w:t>
      </w:r>
      <w:r>
        <w:t>Artículo</w:t>
      </w:r>
      <w:r>
        <w:t xml:space="preserve"> 7 Consentimiento de los menores de edad</w:t>
      </w:r>
    </w:p>
    <w:p w:rsidR="00E23B86" w:rsidRDefault="00BA7C13">
      <w:pPr>
        <w:numPr>
          <w:ilvl w:val="0"/>
          <w:numId w:val="171"/>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El tratamiento de los datos personales de un menor de edad únicamente podrá fundarse en su consentimiento cuando sea mayor de catorce años.</w:t>
      </w:r>
    </w:p>
    <w:p w:rsidR="00E23B86" w:rsidRDefault="00BA7C13">
      <w:pPr>
        <w:numPr>
          <w:ilvl w:val="0"/>
          <w:numId w:val="171"/>
        </w:numPr>
        <w:spacing w:after="3" w:line="248" w:lineRule="auto"/>
        <w:ind w:right="14" w:hanging="360"/>
        <w:jc w:val="both"/>
      </w:pPr>
      <w:r>
        <w:rPr>
          <w:rFonts w:ascii="Arial" w:eastAsia="Arial" w:hAnsi="Arial" w:cs="Arial"/>
          <w:i/>
          <w:color w:val="222222"/>
        </w:rPr>
        <w:t>Se exceptúan los supuestos en que la ley exija la asistencia de los tit</w:t>
      </w:r>
      <w:r>
        <w:rPr>
          <w:rFonts w:ascii="Arial" w:eastAsia="Arial" w:hAnsi="Arial" w:cs="Arial"/>
          <w:i/>
          <w:color w:val="222222"/>
        </w:rPr>
        <w:t>ulares de la patria potestad o tutela para la celebración del acto o negocio jurídico en cuyo contexto se recaba el consentimiento para el tratamiento.</w:t>
      </w:r>
    </w:p>
    <w:p w:rsidR="00E23B86" w:rsidRDefault="00BA7C13">
      <w:pPr>
        <w:numPr>
          <w:ilvl w:val="0"/>
          <w:numId w:val="171"/>
        </w:numPr>
        <w:spacing w:after="3" w:line="248" w:lineRule="auto"/>
        <w:ind w:right="14" w:hanging="360"/>
        <w:jc w:val="both"/>
      </w:pPr>
      <w:r>
        <w:rPr>
          <w:noProof/>
        </w:rPr>
        <mc:AlternateContent>
          <mc:Choice Requires="wpg">
            <w:drawing>
              <wp:anchor distT="0" distB="0" distL="114300" distR="114300" simplePos="0" relativeHeight="2520053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4018" name="Group 58401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2829" name="Rectangle 5282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2830" name="Rectangle 5283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337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4018" style="width:12.7031pt;height:280.35pt;position:absolute;mso-position-horizontal-relative:page;mso-position-horizontal:absolute;margin-left:681.958pt;mso-position-vertical-relative:page;margin-top:531.65pt;" coordsize="1613,35604">
                <v:rect id="Rectangle 5282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283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337 de 391 </w:t>
                        </w:r>
                      </w:p>
                    </w:txbxContent>
                  </v:textbox>
                </v:rect>
                <w10:wrap type="square"/>
              </v:group>
            </w:pict>
          </mc:Fallback>
        </mc:AlternateContent>
      </w:r>
      <w:r>
        <w:rPr>
          <w:rFonts w:ascii="Arial" w:eastAsia="Arial" w:hAnsi="Arial" w:cs="Arial"/>
          <w:b/>
          <w:i/>
          <w:color w:val="222222"/>
        </w:rPr>
        <w:t xml:space="preserve">2. </w:t>
      </w:r>
      <w:r>
        <w:rPr>
          <w:rFonts w:ascii="Arial" w:eastAsia="Arial" w:hAnsi="Arial" w:cs="Arial"/>
          <w:i/>
          <w:color w:val="222222"/>
        </w:rPr>
        <w:t>El tratamiento de los datos de los menores de catorce años, fundado en el consentimiento, solo será lícito si consta el del titular de la patria potestad o tu</w:t>
      </w:r>
      <w:r>
        <w:rPr>
          <w:rFonts w:ascii="Arial" w:eastAsia="Arial" w:hAnsi="Arial" w:cs="Arial"/>
          <w:i/>
          <w:color w:val="222222"/>
        </w:rPr>
        <w:t>tela, con el alcance que determinen los titulares de la patria potestad o tutela.”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ind w:left="-5" w:right="1093"/>
      </w:pPr>
      <w:r>
        <w:rPr>
          <w:rFonts w:ascii="Segoe UI Symbol" w:eastAsia="Segoe UI Symbol" w:hAnsi="Segoe UI Symbol" w:cs="Segoe UI Symbol"/>
          <w:b w:val="0"/>
          <w:i w:val="0"/>
          <w:color w:val="000000"/>
          <w:sz w:val="20"/>
        </w:rPr>
        <w:t xml:space="preserve"> </w:t>
      </w:r>
      <w:r>
        <w:t>Artículo 92 Protección de datos de los menores en Internet</w:t>
      </w:r>
    </w:p>
    <w:p w:rsidR="00E23B86" w:rsidRDefault="00BA7C13">
      <w:pPr>
        <w:numPr>
          <w:ilvl w:val="0"/>
          <w:numId w:val="172"/>
        </w:numPr>
        <w:spacing w:after="3" w:line="248" w:lineRule="auto"/>
        <w:ind w:right="290" w:hanging="360"/>
        <w:jc w:val="both"/>
      </w:pPr>
      <w:r>
        <w:rPr>
          <w:rFonts w:ascii="Arial" w:eastAsia="Arial" w:hAnsi="Arial" w:cs="Arial"/>
          <w:i/>
          <w:color w:val="222222"/>
        </w:rPr>
        <w:t>“Los centros educativos y cualesquiera personas físicas o jurídicas que desarrollen actividades en las que par</w:t>
      </w:r>
      <w:r>
        <w:rPr>
          <w:rFonts w:ascii="Arial" w:eastAsia="Arial" w:hAnsi="Arial" w:cs="Arial"/>
          <w:i/>
          <w:color w:val="222222"/>
        </w:rPr>
        <w:t>ticipen menores de edad garantizarán la protección del interés superior del menor y sus derechos fundamentales, especialmente el derecho a la protección de datos personales, en la publicación o difusión de sus datos personales a través de servicios de la s</w:t>
      </w:r>
      <w:r>
        <w:rPr>
          <w:rFonts w:ascii="Arial" w:eastAsia="Arial" w:hAnsi="Arial" w:cs="Arial"/>
          <w:i/>
          <w:color w:val="222222"/>
        </w:rPr>
        <w:t>ociedad de la información.</w:t>
      </w:r>
    </w:p>
    <w:p w:rsidR="00E23B86" w:rsidRDefault="00BA7C13">
      <w:pPr>
        <w:numPr>
          <w:ilvl w:val="0"/>
          <w:numId w:val="172"/>
        </w:numPr>
        <w:spacing w:after="3" w:line="248" w:lineRule="auto"/>
        <w:ind w:right="290" w:hanging="360"/>
        <w:jc w:val="both"/>
      </w:pPr>
      <w:r>
        <w:rPr>
          <w:rFonts w:ascii="Arial" w:eastAsia="Arial" w:hAnsi="Arial" w:cs="Arial"/>
          <w:i/>
          <w:color w:val="222222"/>
        </w:rPr>
        <w:t>Cuando dicha publicación o difusión fuera a tener lugar a través de servicios de redes sociales o servicios equivalentes deberán contar con el consentimiento del menor o sus representantes legales, conforme a lo prescrito en el a</w:t>
      </w:r>
      <w:r>
        <w:rPr>
          <w:rFonts w:ascii="Arial" w:eastAsia="Arial" w:hAnsi="Arial" w:cs="Arial"/>
          <w:i/>
          <w:color w:val="222222"/>
        </w:rPr>
        <w:t>rtículo 7 de esta ley orgánica.”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72"/>
        </w:numPr>
        <w:spacing w:after="296" w:line="249" w:lineRule="auto"/>
        <w:ind w:right="290" w:hanging="360"/>
        <w:jc w:val="both"/>
      </w:pPr>
      <w:r>
        <w:rPr>
          <w:rFonts w:ascii="Arial" w:eastAsia="Arial" w:hAnsi="Arial" w:cs="Arial"/>
          <w:b/>
          <w:i/>
        </w:rPr>
        <w:t>VI. Competencia municipal</w:t>
      </w:r>
    </w:p>
    <w:p w:rsidR="00E23B86" w:rsidRDefault="00BA7C13">
      <w:pPr>
        <w:numPr>
          <w:ilvl w:val="0"/>
          <w:numId w:val="172"/>
        </w:numPr>
        <w:spacing w:after="204" w:line="249" w:lineRule="auto"/>
        <w:ind w:right="290" w:hanging="360"/>
        <w:jc w:val="both"/>
      </w:pPr>
      <w:r>
        <w:rPr>
          <w:rFonts w:ascii="Arial" w:eastAsia="Arial" w:hAnsi="Arial" w:cs="Arial"/>
          <w:b/>
          <w:i/>
        </w:rPr>
        <w:t>Ley 7/1985, de 2 de abril, reguladora de las Bases del Régimen Local</w:t>
      </w:r>
    </w:p>
    <w:p w:rsidR="00E23B86" w:rsidRDefault="00BA7C13">
      <w:pPr>
        <w:pStyle w:val="Ttulo3"/>
        <w:ind w:left="-5" w:right="1093"/>
      </w:pPr>
      <w:r>
        <w:rPr>
          <w:rFonts w:ascii="Segoe UI Symbol" w:eastAsia="Segoe UI Symbol" w:hAnsi="Segoe UI Symbol" w:cs="Segoe UI Symbol"/>
          <w:b w:val="0"/>
          <w:i w:val="0"/>
          <w:color w:val="000000"/>
          <w:sz w:val="20"/>
        </w:rPr>
        <w:t xml:space="preserve"> </w:t>
      </w:r>
      <w:r>
        <w:t>Artículo 25</w:t>
      </w:r>
    </w:p>
    <w:p w:rsidR="00E23B86" w:rsidRDefault="00BA7C13">
      <w:pPr>
        <w:numPr>
          <w:ilvl w:val="0"/>
          <w:numId w:val="173"/>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El Municipio, para la gestión de sus intereses y en el ámbito de sus competencias, puede promover activi</w:t>
      </w:r>
      <w:r>
        <w:rPr>
          <w:rFonts w:ascii="Arial" w:eastAsia="Arial" w:hAnsi="Arial" w:cs="Arial"/>
          <w:i/>
          <w:color w:val="222222"/>
        </w:rPr>
        <w:t>dades y prestar los servicios públicos que contribuyan a satisfacer las necesidades y aspiraciones de la comunidad vecinal en los términos previstos en este artículo.</w:t>
      </w:r>
    </w:p>
    <w:p w:rsidR="00E23B86" w:rsidRDefault="00BA7C13">
      <w:pPr>
        <w:spacing w:after="3" w:line="248" w:lineRule="auto"/>
        <w:ind w:left="360" w:right="14"/>
        <w:jc w:val="both"/>
      </w:pPr>
      <w:r>
        <w:rPr>
          <w:rFonts w:ascii="Arial" w:eastAsia="Arial" w:hAnsi="Arial" w:cs="Arial"/>
          <w:b/>
          <w:i/>
          <w:color w:val="222222"/>
        </w:rPr>
        <w:t xml:space="preserve">2. </w:t>
      </w:r>
      <w:r>
        <w:rPr>
          <w:rFonts w:ascii="Arial" w:eastAsia="Arial" w:hAnsi="Arial" w:cs="Arial"/>
          <w:i/>
          <w:color w:val="222222"/>
        </w:rPr>
        <w:t>El Municipio ejercerá en todo caso como competencias propias, en los términos de la le</w:t>
      </w:r>
      <w:r>
        <w:rPr>
          <w:rFonts w:ascii="Arial" w:eastAsia="Arial" w:hAnsi="Arial" w:cs="Arial"/>
          <w:i/>
          <w:color w:val="222222"/>
        </w:rPr>
        <w:t>gislación del Estado y de las Comunidades Autónomas, en las siguientes materias: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173"/>
        </w:numPr>
        <w:spacing w:after="3" w:line="248" w:lineRule="auto"/>
        <w:ind w:right="14" w:hanging="360"/>
        <w:jc w:val="both"/>
      </w:pPr>
      <w:r>
        <w:rPr>
          <w:rFonts w:ascii="Arial" w:eastAsia="Arial" w:hAnsi="Arial" w:cs="Arial"/>
          <w:b/>
          <w:i/>
          <w:color w:val="222222"/>
        </w:rPr>
        <w:t xml:space="preserve">l) </w:t>
      </w:r>
      <w:r>
        <w:rPr>
          <w:rFonts w:ascii="Arial" w:eastAsia="Arial" w:hAnsi="Arial" w:cs="Arial"/>
          <w:i/>
          <w:color w:val="222222"/>
        </w:rPr>
        <w:t>Promoción del deporte e instalaciones deportivas y de ocupación del tiempo libre.</w:t>
      </w:r>
    </w:p>
    <w:p w:rsidR="00E23B86" w:rsidRDefault="00BA7C13">
      <w:pPr>
        <w:numPr>
          <w:ilvl w:val="0"/>
          <w:numId w:val="173"/>
        </w:numPr>
        <w:spacing w:after="3" w:line="248" w:lineRule="auto"/>
        <w:ind w:right="14" w:hanging="360"/>
        <w:jc w:val="both"/>
      </w:pPr>
      <w:r>
        <w:rPr>
          <w:rFonts w:ascii="Arial" w:eastAsia="Arial" w:hAnsi="Arial" w:cs="Arial"/>
          <w:b/>
          <w:i/>
          <w:color w:val="222222"/>
        </w:rPr>
        <w:t xml:space="preserve">m) </w:t>
      </w:r>
      <w:r>
        <w:rPr>
          <w:rFonts w:ascii="Arial" w:eastAsia="Arial" w:hAnsi="Arial" w:cs="Arial"/>
          <w:i/>
          <w:color w:val="222222"/>
        </w:rPr>
        <w:t>Promoción de la cultura y equipamientos culturales.</w:t>
      </w:r>
    </w:p>
    <w:p w:rsidR="00E23B86" w:rsidRDefault="00BA7C13">
      <w:pPr>
        <w:numPr>
          <w:ilvl w:val="0"/>
          <w:numId w:val="173"/>
        </w:numPr>
        <w:spacing w:after="3" w:line="248" w:lineRule="auto"/>
        <w:ind w:right="14" w:hanging="360"/>
        <w:jc w:val="both"/>
      </w:pPr>
      <w:r>
        <w:rPr>
          <w:rFonts w:ascii="Arial" w:eastAsia="Arial" w:hAnsi="Arial" w:cs="Arial"/>
          <w:b/>
          <w:i/>
          <w:color w:val="222222"/>
        </w:rPr>
        <w:t xml:space="preserve">n) </w:t>
      </w:r>
      <w:r>
        <w:rPr>
          <w:rFonts w:ascii="Arial" w:eastAsia="Arial" w:hAnsi="Arial" w:cs="Arial"/>
          <w:i/>
          <w:color w:val="222222"/>
        </w:rPr>
        <w:t>Participar en la vigilancia del cumplimiento de la escolaridad obligatoria y cooperar con las Administraciones educativas correspondientes en la obtención de los solares necesarios para la construcción de nuevos centros docentes. La conservación, mantenimi</w:t>
      </w:r>
      <w:r>
        <w:rPr>
          <w:rFonts w:ascii="Arial" w:eastAsia="Arial" w:hAnsi="Arial" w:cs="Arial"/>
          <w:i/>
          <w:color w:val="222222"/>
        </w:rPr>
        <w:t>ento y vigilancia de los edificios de titularidad local destinados a centros públicos de educación infantil, de educación primaria o de educación especial.</w:t>
      </w:r>
    </w:p>
    <w:p w:rsidR="00E23B86" w:rsidRDefault="00BA7C13">
      <w:pPr>
        <w:numPr>
          <w:ilvl w:val="0"/>
          <w:numId w:val="173"/>
        </w:numPr>
        <w:spacing w:after="3" w:line="248" w:lineRule="auto"/>
        <w:ind w:right="14" w:hanging="360"/>
        <w:jc w:val="both"/>
      </w:pPr>
      <w:r>
        <w:rPr>
          <w:rFonts w:ascii="Arial" w:eastAsia="Arial" w:hAnsi="Arial" w:cs="Arial"/>
          <w:b/>
          <w:i/>
          <w:color w:val="222222"/>
        </w:rPr>
        <w:t xml:space="preserve">ñ) </w:t>
      </w:r>
      <w:r>
        <w:rPr>
          <w:rFonts w:ascii="Arial" w:eastAsia="Arial" w:hAnsi="Arial" w:cs="Arial"/>
          <w:i/>
          <w:color w:val="222222"/>
        </w:rPr>
        <w:t>Promoción en su término municipal de la participación de los ciudadanos en el uso eficiente y sos</w:t>
      </w:r>
      <w:r>
        <w:rPr>
          <w:rFonts w:ascii="Arial" w:eastAsia="Arial" w:hAnsi="Arial" w:cs="Arial"/>
          <w:i/>
          <w:color w:val="222222"/>
        </w:rPr>
        <w:t>tenible de las tecnologías de la información y las comunicaciones.”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73"/>
        </w:numPr>
        <w:spacing w:after="0" w:line="249" w:lineRule="auto"/>
        <w:ind w:right="14" w:hanging="360"/>
        <w:jc w:val="both"/>
      </w:pPr>
      <w:r>
        <w:rPr>
          <w:rFonts w:ascii="Arial" w:eastAsia="Arial" w:hAnsi="Arial" w:cs="Arial"/>
          <w:b/>
          <w:i/>
        </w:rPr>
        <w:t xml:space="preserve">Ley 7/2015, de 1 de abril, de los municipios de Canarias </w:t>
      </w:r>
      <w:r>
        <w:rPr>
          <w:rFonts w:ascii="Segoe UI Symbol" w:eastAsia="Segoe UI Symbol" w:hAnsi="Segoe UI Symbol" w:cs="Segoe UI Symbol"/>
          <w:sz w:val="20"/>
        </w:rPr>
        <w:t></w:t>
      </w:r>
    </w:p>
    <w:p w:rsidR="00E23B86" w:rsidRDefault="00BA7C13">
      <w:pPr>
        <w:pStyle w:val="Ttulo3"/>
        <w:ind w:left="-5" w:right="1093"/>
      </w:pPr>
      <w:r>
        <w:rPr>
          <w:rFonts w:ascii="Segoe UI Symbol" w:eastAsia="Segoe UI Symbol" w:hAnsi="Segoe UI Symbol" w:cs="Segoe UI Symbol"/>
          <w:b w:val="0"/>
          <w:i w:val="0"/>
          <w:color w:val="000000"/>
          <w:sz w:val="20"/>
        </w:rPr>
        <w:t xml:space="preserve"> </w:t>
      </w:r>
      <w:r>
        <w:t>Artículo 11 Atribución de competencias propias</w:t>
      </w:r>
    </w:p>
    <w:p w:rsidR="00E23B86" w:rsidRDefault="00BA7C13">
      <w:pPr>
        <w:numPr>
          <w:ilvl w:val="0"/>
          <w:numId w:val="174"/>
        </w:numPr>
        <w:spacing w:after="0" w:line="238" w:lineRule="auto"/>
        <w:ind w:right="14" w:hanging="360"/>
        <w:jc w:val="both"/>
      </w:pPr>
      <w:r>
        <w:rPr>
          <w:noProof/>
        </w:rPr>
        <mc:AlternateContent>
          <mc:Choice Requires="wpg">
            <w:drawing>
              <wp:anchor distT="0" distB="0" distL="114300" distR="114300" simplePos="0" relativeHeight="2520064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4126" name="Group 58412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2968" name="Rectangle 5296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2969" name="Rectangle 5296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338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4126" style="width:12.7031pt;height:280.35pt;position:absolute;mso-position-horizontal-relative:page;mso-position-horizontal:absolute;margin-left:681.958pt;mso-position-vertical-relative:page;margin-top:531.65pt;" coordsize="1613,35604">
                <v:rect id="Rectangle 5296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296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338 de 391 </w:t>
                        </w:r>
                      </w:p>
                    </w:txbxContent>
                  </v:textbox>
                </v:rect>
                <w10:wrap type="square"/>
              </v:group>
            </w:pict>
          </mc:Fallback>
        </mc:AlternateContent>
      </w:r>
      <w:r>
        <w:rPr>
          <w:rFonts w:ascii="Arial" w:eastAsia="Arial" w:hAnsi="Arial" w:cs="Arial"/>
          <w:i/>
          <w:color w:val="222222"/>
        </w:rPr>
        <w:t>“Sin perjuicio de lo previsto en la legislación básica, los m</w:t>
      </w:r>
      <w:r>
        <w:rPr>
          <w:rFonts w:ascii="Arial" w:eastAsia="Arial" w:hAnsi="Arial" w:cs="Arial"/>
          <w:i/>
          <w:color w:val="222222"/>
        </w:rPr>
        <w:t xml:space="preserve">unicipios canarios asumirán, en todo caso, las competencias que les asignen como propias las leyes sectoriales de la Comunidad Autónoma de Canarias sobre las siguientes materias: </w:t>
      </w:r>
      <w:r>
        <w:rPr>
          <w:rFonts w:ascii="Segoe UI Symbol" w:eastAsia="Segoe UI Symbol" w:hAnsi="Segoe UI Symbol" w:cs="Segoe UI Symbol"/>
          <w:color w:val="222222"/>
          <w:sz w:val="20"/>
        </w:rPr>
        <w:t xml:space="preserve"> </w:t>
      </w:r>
      <w:r>
        <w:rPr>
          <w:rFonts w:ascii="Segoe UI Symbol" w:eastAsia="Segoe UI Symbol" w:hAnsi="Segoe UI Symbol" w:cs="Segoe UI Symbol"/>
          <w:sz w:val="20"/>
        </w:rPr>
        <w:t xml:space="preserve"> </w:t>
      </w:r>
      <w:r>
        <w:rPr>
          <w:rFonts w:ascii="Arial" w:eastAsia="Arial" w:hAnsi="Arial" w:cs="Arial"/>
          <w:b/>
          <w:i/>
          <w:color w:val="222222"/>
        </w:rPr>
        <w:t xml:space="preserve">c) </w:t>
      </w:r>
      <w:r>
        <w:rPr>
          <w:rFonts w:ascii="Arial" w:eastAsia="Arial" w:hAnsi="Arial" w:cs="Arial"/>
          <w:i/>
          <w:color w:val="222222"/>
        </w:rPr>
        <w:t>Cultura.</w:t>
      </w:r>
    </w:p>
    <w:p w:rsidR="00E23B86" w:rsidRDefault="00BA7C13">
      <w:pPr>
        <w:numPr>
          <w:ilvl w:val="0"/>
          <w:numId w:val="174"/>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Deportes.</w:t>
      </w:r>
    </w:p>
    <w:p w:rsidR="00E23B86" w:rsidRDefault="00BA7C13">
      <w:pPr>
        <w:numPr>
          <w:ilvl w:val="0"/>
          <w:numId w:val="174"/>
        </w:numPr>
        <w:spacing w:after="3" w:line="248" w:lineRule="auto"/>
        <w:ind w:right="14" w:hanging="360"/>
        <w:jc w:val="both"/>
      </w:pPr>
      <w:r>
        <w:rPr>
          <w:rFonts w:ascii="Arial" w:eastAsia="Arial" w:hAnsi="Arial" w:cs="Arial"/>
          <w:b/>
          <w:i/>
          <w:color w:val="222222"/>
        </w:rPr>
        <w:t xml:space="preserve">e) </w:t>
      </w:r>
      <w:r>
        <w:rPr>
          <w:rFonts w:ascii="Arial" w:eastAsia="Arial" w:hAnsi="Arial" w:cs="Arial"/>
          <w:i/>
          <w:color w:val="222222"/>
        </w:rPr>
        <w:t>Educación.</w:t>
      </w:r>
    </w:p>
    <w:p w:rsidR="00E23B86" w:rsidRDefault="00BA7C13">
      <w:pPr>
        <w:numPr>
          <w:ilvl w:val="0"/>
          <w:numId w:val="174"/>
        </w:numPr>
        <w:spacing w:after="0" w:line="238" w:lineRule="auto"/>
        <w:ind w:right="14" w:hanging="360"/>
        <w:jc w:val="both"/>
      </w:pPr>
      <w:r>
        <w:rPr>
          <w:rFonts w:ascii="Arial" w:eastAsia="Arial" w:hAnsi="Arial" w:cs="Arial"/>
          <w:b/>
          <w:i/>
          <w:color w:val="222222"/>
        </w:rPr>
        <w:t xml:space="preserve">g) </w:t>
      </w:r>
      <w:r>
        <w:rPr>
          <w:rFonts w:ascii="Arial" w:eastAsia="Arial" w:hAnsi="Arial" w:cs="Arial"/>
          <w:i/>
          <w:color w:val="222222"/>
        </w:rPr>
        <w:t xml:space="preserve">Fomento y promoción del desarrollo económico y social municipal en el marco de la planificación autonómica </w:t>
      </w:r>
      <w:r>
        <w:rPr>
          <w:rFonts w:ascii="Segoe UI Symbol" w:eastAsia="Segoe UI Symbol" w:hAnsi="Segoe UI Symbol" w:cs="Segoe UI Symbol"/>
          <w:sz w:val="20"/>
        </w:rPr>
        <w:t xml:space="preserve"> </w:t>
      </w:r>
      <w:r>
        <w:rPr>
          <w:rFonts w:ascii="Arial" w:eastAsia="Arial" w:hAnsi="Arial" w:cs="Arial"/>
          <w:b/>
          <w:i/>
          <w:color w:val="222222"/>
        </w:rPr>
        <w:t xml:space="preserve">i) </w:t>
      </w:r>
      <w:r>
        <w:rPr>
          <w:rFonts w:ascii="Arial" w:eastAsia="Arial" w:hAnsi="Arial" w:cs="Arial"/>
          <w:i/>
          <w:color w:val="222222"/>
        </w:rPr>
        <w:t>Juventud.</w:t>
      </w:r>
    </w:p>
    <w:p w:rsidR="00E23B86" w:rsidRDefault="00BA7C13">
      <w:pPr>
        <w:numPr>
          <w:ilvl w:val="0"/>
          <w:numId w:val="174"/>
        </w:numPr>
        <w:spacing w:after="3" w:line="248" w:lineRule="auto"/>
        <w:ind w:right="14" w:hanging="360"/>
        <w:jc w:val="both"/>
      </w:pPr>
      <w:r>
        <w:rPr>
          <w:rFonts w:ascii="Arial" w:eastAsia="Arial" w:hAnsi="Arial" w:cs="Arial"/>
          <w:b/>
          <w:i/>
          <w:color w:val="222222"/>
        </w:rPr>
        <w:t xml:space="preserve">j) </w:t>
      </w:r>
      <w:r>
        <w:rPr>
          <w:rFonts w:ascii="Arial" w:eastAsia="Arial" w:hAnsi="Arial" w:cs="Arial"/>
          <w:i/>
          <w:color w:val="222222"/>
        </w:rPr>
        <w:t>Medio ambiente.”</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74"/>
        </w:numPr>
        <w:spacing w:after="0" w:line="249" w:lineRule="auto"/>
        <w:ind w:right="14" w:hanging="360"/>
        <w:jc w:val="both"/>
      </w:pPr>
      <w:r>
        <w:rPr>
          <w:rFonts w:ascii="Arial" w:eastAsia="Arial" w:hAnsi="Arial" w:cs="Arial"/>
          <w:b/>
          <w:i/>
        </w:rPr>
        <w:t>Ley 1/1997, de 7 de febrero, de atención integral a los menores</w:t>
      </w:r>
      <w:r>
        <w:rPr>
          <w:rFonts w:ascii="Segoe UI Symbol" w:eastAsia="Segoe UI Symbol" w:hAnsi="Segoe UI Symbol" w:cs="Segoe UI Symbol"/>
          <w:sz w:val="20"/>
        </w:rPr>
        <w:t></w:t>
      </w:r>
    </w:p>
    <w:p w:rsidR="00E23B86" w:rsidRDefault="00BA7C13">
      <w:pPr>
        <w:pStyle w:val="Ttulo3"/>
        <w:spacing w:after="127"/>
        <w:ind w:left="-5" w:right="1093"/>
      </w:pPr>
      <w:r>
        <w:rPr>
          <w:rFonts w:ascii="Segoe UI Symbol" w:eastAsia="Segoe UI Symbol" w:hAnsi="Segoe UI Symbol" w:cs="Segoe UI Symbol"/>
          <w:b w:val="0"/>
          <w:i w:val="0"/>
          <w:color w:val="000000"/>
          <w:sz w:val="20"/>
        </w:rPr>
        <w:t xml:space="preserve"> </w:t>
      </w:r>
      <w:r>
        <w:t>Artículo 12 Competencias de los ayuntamient</w:t>
      </w:r>
      <w:r>
        <w:t>os</w:t>
      </w:r>
    </w:p>
    <w:p w:rsidR="00E23B86" w:rsidRDefault="00BA7C13">
      <w:pPr>
        <w:numPr>
          <w:ilvl w:val="0"/>
          <w:numId w:val="175"/>
        </w:numPr>
        <w:spacing w:after="154"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Las entidades municipales de Canarias ejercerán las competencias que integran funciones de información, promoción, detección, prevención e integración socio-familiar de los menores, en los términos previstos en esta ley.</w:t>
      </w:r>
    </w:p>
    <w:p w:rsidR="00E23B86" w:rsidRDefault="00BA7C13">
      <w:pPr>
        <w:numPr>
          <w:ilvl w:val="0"/>
          <w:numId w:val="175"/>
        </w:numPr>
        <w:spacing w:after="154"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En particular, correspond</w:t>
      </w:r>
      <w:r>
        <w:rPr>
          <w:rFonts w:ascii="Arial" w:eastAsia="Arial" w:hAnsi="Arial" w:cs="Arial"/>
          <w:i/>
          <w:color w:val="222222"/>
        </w:rPr>
        <w:t>en a los ayuntamientos canarios, a través de los servicios básicos de asistencia social o de los órganos y unidades administrativas que se determinen en sus normas orgánicas, las competencias siguientes:</w:t>
      </w:r>
    </w:p>
    <w:p w:rsidR="00E23B86" w:rsidRDefault="00BA7C13">
      <w:pPr>
        <w:numPr>
          <w:ilvl w:val="0"/>
          <w:numId w:val="175"/>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La recogida de datos y la realización de estudios</w:t>
      </w:r>
      <w:r>
        <w:rPr>
          <w:rFonts w:ascii="Arial" w:eastAsia="Arial" w:hAnsi="Arial" w:cs="Arial"/>
          <w:i/>
          <w:color w:val="222222"/>
        </w:rPr>
        <w:t xml:space="preserve"> y estadísticas sobre las necesidades de los menores y familias del término municipal, sin perjuicio de las competencias de otras Administraciones Públicas.</w:t>
      </w:r>
    </w:p>
    <w:p w:rsidR="00E23B86" w:rsidRDefault="00BA7C13">
      <w:pPr>
        <w:numPr>
          <w:ilvl w:val="0"/>
          <w:numId w:val="175"/>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La promoción de las actividades y actuaciones que redunden en la formación de los menores, facil</w:t>
      </w:r>
      <w:r>
        <w:rPr>
          <w:rFonts w:ascii="Arial" w:eastAsia="Arial" w:hAnsi="Arial" w:cs="Arial"/>
          <w:i/>
          <w:color w:val="222222"/>
        </w:rPr>
        <w:t>itando el conocimiento y ejercicio de los derechos que les reconoce y garantiza el ordenamiento jurídico.</w:t>
      </w:r>
    </w:p>
    <w:p w:rsidR="00E23B86" w:rsidRDefault="00BA7C13">
      <w:pPr>
        <w:spacing w:after="3" w:line="248" w:lineRule="auto"/>
        <w:ind w:left="360" w:right="14"/>
        <w:jc w:val="both"/>
      </w:pPr>
      <w:r>
        <w:rPr>
          <w:rFonts w:ascii="Arial" w:eastAsia="Arial" w:hAnsi="Arial" w:cs="Arial"/>
          <w:b/>
          <w:i/>
          <w:color w:val="222222"/>
        </w:rPr>
        <w:t xml:space="preserve">l) </w:t>
      </w:r>
      <w:r>
        <w:rPr>
          <w:rFonts w:ascii="Arial" w:eastAsia="Arial" w:hAnsi="Arial" w:cs="Arial"/>
          <w:i/>
          <w:color w:val="222222"/>
        </w:rPr>
        <w:t>Las que deriven o se relacionen con las anteriores que dimanen de las funciones de información, promoción, detección, prevención e integración sociofamiliar de los menores, aun cuando no estén específicamente previstas en esta ley.</w:t>
      </w:r>
    </w:p>
    <w:p w:rsidR="00E23B86" w:rsidRDefault="00BA7C13">
      <w:pPr>
        <w:numPr>
          <w:ilvl w:val="0"/>
          <w:numId w:val="175"/>
        </w:numPr>
        <w:spacing w:after="3" w:line="248" w:lineRule="auto"/>
        <w:ind w:right="14" w:hanging="360"/>
        <w:jc w:val="both"/>
      </w:pPr>
      <w:r>
        <w:rPr>
          <w:rFonts w:ascii="Arial" w:eastAsia="Arial" w:hAnsi="Arial" w:cs="Arial"/>
          <w:b/>
          <w:i/>
          <w:color w:val="222222"/>
        </w:rPr>
        <w:t xml:space="preserve">m) </w:t>
      </w:r>
      <w:r>
        <w:rPr>
          <w:rFonts w:ascii="Arial" w:eastAsia="Arial" w:hAnsi="Arial" w:cs="Arial"/>
          <w:i/>
          <w:color w:val="222222"/>
        </w:rPr>
        <w:t>Cualesquiera otras qu</w:t>
      </w:r>
      <w:r>
        <w:rPr>
          <w:rFonts w:ascii="Arial" w:eastAsia="Arial" w:hAnsi="Arial" w:cs="Arial"/>
          <w:i/>
          <w:color w:val="222222"/>
        </w:rPr>
        <w:t>e se contemplan en esta ley o se les atribuyan por el ordenamiento jurídico.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75"/>
        </w:numPr>
        <w:spacing w:after="9" w:line="249" w:lineRule="auto"/>
        <w:ind w:right="14" w:hanging="360"/>
        <w:jc w:val="both"/>
      </w:pPr>
      <w:r>
        <w:rPr>
          <w:rFonts w:ascii="Arial" w:eastAsia="Arial" w:hAnsi="Arial" w:cs="Arial"/>
          <w:b/>
          <w:i/>
        </w:rPr>
        <w:t>VII. Organización municipal</w:t>
      </w:r>
    </w:p>
    <w:p w:rsidR="00E23B86" w:rsidRDefault="00BA7C13">
      <w:pPr>
        <w:spacing w:after="280" w:line="265" w:lineRule="auto"/>
        <w:ind w:left="-5" w:right="13" w:hanging="10"/>
      </w:pPr>
      <w:r>
        <w:rPr>
          <w:rFonts w:ascii="Segoe UI Symbol" w:eastAsia="Segoe UI Symbol" w:hAnsi="Segoe UI Symbol" w:cs="Segoe UI Symbol"/>
          <w:sz w:val="20"/>
        </w:rPr>
        <w:t></w:t>
      </w:r>
    </w:p>
    <w:p w:rsidR="00E23B86" w:rsidRDefault="00BA7C13">
      <w:pPr>
        <w:numPr>
          <w:ilvl w:val="0"/>
          <w:numId w:val="175"/>
        </w:numPr>
        <w:spacing w:after="204" w:line="249" w:lineRule="auto"/>
        <w:ind w:right="14" w:hanging="360"/>
        <w:jc w:val="both"/>
      </w:pPr>
      <w:r>
        <w:rPr>
          <w:rFonts w:ascii="Arial" w:eastAsia="Arial" w:hAnsi="Arial" w:cs="Arial"/>
          <w:b/>
          <w:i/>
        </w:rPr>
        <w:t>Ley 7/1985, de 2 de abril, reguladora de las Bases del Régimen Local</w:t>
      </w:r>
    </w:p>
    <w:p w:rsidR="00E23B86" w:rsidRDefault="00BA7C13">
      <w:pPr>
        <w:pStyle w:val="Ttulo3"/>
        <w:spacing w:after="127"/>
        <w:ind w:left="-5" w:right="1093"/>
      </w:pPr>
      <w:r>
        <w:rPr>
          <w:rFonts w:ascii="Segoe UI Symbol" w:eastAsia="Segoe UI Symbol" w:hAnsi="Segoe UI Symbol" w:cs="Segoe UI Symbol"/>
          <w:b w:val="0"/>
          <w:i w:val="0"/>
          <w:color w:val="000000"/>
          <w:sz w:val="20"/>
        </w:rPr>
        <w:t xml:space="preserve"> </w:t>
      </w:r>
      <w:r>
        <w:t>Artículo 4</w:t>
      </w:r>
    </w:p>
    <w:p w:rsidR="00E23B86" w:rsidRDefault="00BA7C13">
      <w:pPr>
        <w:numPr>
          <w:ilvl w:val="0"/>
          <w:numId w:val="176"/>
        </w:numPr>
        <w:spacing w:after="154" w:line="248" w:lineRule="auto"/>
        <w:ind w:right="566" w:hanging="360"/>
        <w:jc w:val="both"/>
      </w:pPr>
      <w:r>
        <w:rPr>
          <w:rFonts w:ascii="Arial" w:eastAsia="Arial" w:hAnsi="Arial" w:cs="Arial"/>
          <w:b/>
          <w:i/>
          <w:color w:val="222222"/>
        </w:rPr>
        <w:t xml:space="preserve">“1. </w:t>
      </w:r>
      <w:r>
        <w:rPr>
          <w:rFonts w:ascii="Arial" w:eastAsia="Arial" w:hAnsi="Arial" w:cs="Arial"/>
          <w:i/>
          <w:color w:val="222222"/>
        </w:rPr>
        <w:t>En su calidad de Administraciones públicas de carácter terr</w:t>
      </w:r>
      <w:r>
        <w:rPr>
          <w:rFonts w:ascii="Arial" w:eastAsia="Arial" w:hAnsi="Arial" w:cs="Arial"/>
          <w:i/>
          <w:color w:val="222222"/>
        </w:rPr>
        <w:t>itorial, y dentro de la esfera de sus competencias, corresponden en todo caso a los municipios, las provincias y las islas:</w:t>
      </w:r>
    </w:p>
    <w:p w:rsidR="00E23B86" w:rsidRDefault="00BA7C13">
      <w:pPr>
        <w:numPr>
          <w:ilvl w:val="0"/>
          <w:numId w:val="176"/>
        </w:numPr>
        <w:spacing w:after="301" w:line="248" w:lineRule="auto"/>
        <w:ind w:right="566" w:hanging="360"/>
        <w:jc w:val="both"/>
      </w:pPr>
      <w:r>
        <w:rPr>
          <w:rFonts w:ascii="Arial" w:eastAsia="Arial" w:hAnsi="Arial" w:cs="Arial"/>
          <w:b/>
          <w:i/>
          <w:color w:val="222222"/>
        </w:rPr>
        <w:t>a)</w:t>
      </w:r>
      <w:r>
        <w:rPr>
          <w:rFonts w:ascii="Arial" w:eastAsia="Arial" w:hAnsi="Arial" w:cs="Arial"/>
          <w:i/>
          <w:color w:val="222222"/>
        </w:rPr>
        <w:t xml:space="preserve"> Las potestades reglamentarias y de autoorganización.” </w:t>
      </w:r>
      <w:r>
        <w:rPr>
          <w:rFonts w:ascii="Segoe UI Symbol" w:eastAsia="Segoe UI Symbol" w:hAnsi="Segoe UI Symbol" w:cs="Segoe UI Symbol"/>
          <w:sz w:val="20"/>
        </w:rPr>
        <w:t></w:t>
      </w:r>
    </w:p>
    <w:p w:rsidR="00E23B86" w:rsidRDefault="00BA7C13">
      <w:pPr>
        <w:numPr>
          <w:ilvl w:val="0"/>
          <w:numId w:val="176"/>
        </w:numPr>
        <w:spacing w:after="204" w:line="249" w:lineRule="auto"/>
        <w:ind w:right="566" w:hanging="360"/>
        <w:jc w:val="both"/>
      </w:pPr>
      <w:r>
        <w:rPr>
          <w:rFonts w:ascii="Arial" w:eastAsia="Arial" w:hAnsi="Arial" w:cs="Arial"/>
          <w:b/>
          <w:i/>
        </w:rPr>
        <w:t>Ley 7/2015, de 1 de abril, de los municipios de Canarias</w:t>
      </w:r>
    </w:p>
    <w:p w:rsidR="00E23B86" w:rsidRDefault="00BA7C13">
      <w:pPr>
        <w:pStyle w:val="Ttulo3"/>
        <w:spacing w:after="129"/>
        <w:ind w:left="-5" w:right="1093"/>
      </w:pPr>
      <w:r>
        <w:rPr>
          <w:rFonts w:ascii="Segoe UI Symbol" w:eastAsia="Segoe UI Symbol" w:hAnsi="Segoe UI Symbol" w:cs="Segoe UI Symbol"/>
          <w:b w:val="0"/>
          <w:i w:val="0"/>
          <w:color w:val="000000"/>
          <w:sz w:val="20"/>
        </w:rPr>
        <w:t xml:space="preserve"> </w:t>
      </w:r>
      <w:r>
        <w:t xml:space="preserve">Artículo 4 </w:t>
      </w:r>
      <w:r>
        <w:t>Expresión de la autonomía municipal</w:t>
      </w:r>
    </w:p>
    <w:p w:rsidR="00E23B86" w:rsidRDefault="00BA7C13">
      <w:pPr>
        <w:numPr>
          <w:ilvl w:val="0"/>
          <w:numId w:val="177"/>
        </w:numPr>
        <w:spacing w:after="154" w:line="248" w:lineRule="auto"/>
        <w:ind w:right="14" w:hanging="360"/>
        <w:jc w:val="both"/>
      </w:pPr>
      <w:r>
        <w:rPr>
          <w:noProof/>
        </w:rPr>
        <mc:AlternateContent>
          <mc:Choice Requires="wpg">
            <w:drawing>
              <wp:anchor distT="0" distB="0" distL="114300" distR="114300" simplePos="0" relativeHeight="2520074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4867" name="Group 58486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089" name="Rectangle 5308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3090" name="Rectangle 5309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339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4867" style="width:12.7031pt;height:280.35pt;position:absolute;mso-position-horizontal-relative:page;mso-position-horizontal:absolute;margin-left:681.958pt;mso-position-vertical-relative:page;margin-top:531.65pt;" coordsize="1613,35604">
                <v:rect id="Rectangle 5308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09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339 de 391 </w:t>
                        </w:r>
                      </w:p>
                    </w:txbxContent>
                  </v:textbox>
                </v:rect>
                <w10:wrap type="square"/>
              </v:group>
            </w:pict>
          </mc:Fallback>
        </mc:AlternateContent>
      </w:r>
      <w:r>
        <w:rPr>
          <w:rFonts w:ascii="Arial" w:eastAsia="Arial" w:hAnsi="Arial" w:cs="Arial"/>
          <w:i/>
          <w:color w:val="222222"/>
        </w:rPr>
        <w:t xml:space="preserve">“Como manifestaciones </w:t>
      </w:r>
      <w:r>
        <w:rPr>
          <w:rFonts w:ascii="Arial" w:eastAsia="Arial" w:hAnsi="Arial" w:cs="Arial"/>
          <w:i/>
          <w:color w:val="222222"/>
        </w:rPr>
        <w:t>de la autonomía constitucional y legalmente reconocida a los municipios, la presente ley garantiza:</w:t>
      </w:r>
    </w:p>
    <w:p w:rsidR="00E23B86" w:rsidRDefault="00BA7C13">
      <w:pPr>
        <w:numPr>
          <w:ilvl w:val="0"/>
          <w:numId w:val="177"/>
        </w:numPr>
        <w:spacing w:after="3" w:line="248" w:lineRule="auto"/>
        <w:ind w:right="14" w:hanging="360"/>
        <w:jc w:val="both"/>
      </w:pPr>
      <w:r>
        <w:rPr>
          <w:rFonts w:ascii="Arial" w:eastAsia="Arial" w:hAnsi="Arial" w:cs="Arial"/>
          <w:b/>
          <w:i/>
          <w:color w:val="222222"/>
        </w:rPr>
        <w:t xml:space="preserve">f) </w:t>
      </w:r>
      <w:r>
        <w:rPr>
          <w:rFonts w:ascii="Arial" w:eastAsia="Arial" w:hAnsi="Arial" w:cs="Arial"/>
          <w:i/>
          <w:color w:val="222222"/>
        </w:rPr>
        <w:t>La organización de sus estructuras administrativas internas para adaptarse a sus necesidades específicas y permitir una gestión eficaz y eficiente.”</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120" w:line="265" w:lineRule="auto"/>
        <w:ind w:left="-5" w:right="13" w:hanging="10"/>
      </w:pPr>
      <w:r>
        <w:rPr>
          <w:rFonts w:ascii="Segoe UI Symbol" w:eastAsia="Segoe UI Symbol" w:hAnsi="Segoe UI Symbol" w:cs="Segoe UI Symbol"/>
          <w:sz w:val="20"/>
        </w:rPr>
        <w:t></w:t>
      </w:r>
    </w:p>
    <w:p w:rsidR="00E23B86" w:rsidRDefault="00BA7C13">
      <w:pPr>
        <w:spacing w:after="120" w:line="265" w:lineRule="auto"/>
        <w:ind w:left="-5" w:right="13" w:hanging="10"/>
      </w:pPr>
      <w:r>
        <w:rPr>
          <w:rFonts w:ascii="Segoe UI Symbol" w:eastAsia="Segoe UI Symbol" w:hAnsi="Segoe UI Symbol" w:cs="Segoe UI Symbol"/>
          <w:sz w:val="20"/>
        </w:rPr>
        <w:t></w:t>
      </w:r>
    </w:p>
    <w:p w:rsidR="00E23B86" w:rsidRDefault="00BA7C13">
      <w:pPr>
        <w:pStyle w:val="Ttulo3"/>
        <w:spacing w:after="129"/>
        <w:ind w:left="-5" w:right="1093"/>
      </w:pPr>
      <w:r>
        <w:rPr>
          <w:rFonts w:ascii="Segoe UI Symbol" w:eastAsia="Segoe UI Symbol" w:hAnsi="Segoe UI Symbol" w:cs="Segoe UI Symbol"/>
          <w:b w:val="0"/>
          <w:i w:val="0"/>
          <w:color w:val="000000"/>
          <w:sz w:val="20"/>
        </w:rPr>
        <w:t xml:space="preserve"> </w:t>
      </w:r>
      <w:r>
        <w:t>Artículo 44 Órganos complementarios</w:t>
      </w:r>
    </w:p>
    <w:p w:rsidR="00E23B86" w:rsidRDefault="00BA7C13">
      <w:pPr>
        <w:numPr>
          <w:ilvl w:val="0"/>
          <w:numId w:val="178"/>
        </w:numPr>
        <w:spacing w:after="152"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Son órganos complementarios de los establecidos por la legislación básica de régimen local, de existencia preceptiva conforme a las previsiones de esta sección:</w:t>
      </w:r>
    </w:p>
    <w:p w:rsidR="00E23B86" w:rsidRDefault="00BA7C13">
      <w:pPr>
        <w:numPr>
          <w:ilvl w:val="0"/>
          <w:numId w:val="178"/>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En todos los municipios:</w:t>
      </w:r>
    </w:p>
    <w:p w:rsidR="00E23B86" w:rsidRDefault="00BA7C13">
      <w:pPr>
        <w:numPr>
          <w:ilvl w:val="0"/>
          <w:numId w:val="178"/>
        </w:numPr>
        <w:spacing w:after="3" w:line="248" w:lineRule="auto"/>
        <w:ind w:right="14" w:hanging="360"/>
        <w:jc w:val="both"/>
      </w:pPr>
      <w:r>
        <w:rPr>
          <w:rFonts w:ascii="Arial" w:eastAsia="Arial" w:hAnsi="Arial" w:cs="Arial"/>
          <w:b/>
          <w:i/>
          <w:color w:val="222222"/>
        </w:rPr>
        <w:t xml:space="preserve">- </w:t>
      </w:r>
      <w:r>
        <w:rPr>
          <w:rFonts w:ascii="Arial" w:eastAsia="Arial" w:hAnsi="Arial" w:cs="Arial"/>
          <w:i/>
          <w:color w:val="222222"/>
        </w:rPr>
        <w:t>Consejos de participa</w:t>
      </w:r>
      <w:r>
        <w:rPr>
          <w:rFonts w:ascii="Arial" w:eastAsia="Arial" w:hAnsi="Arial" w:cs="Arial"/>
          <w:i/>
          <w:color w:val="222222"/>
        </w:rPr>
        <w:t>ción ciudadana, regulados en el título segundo de esta ley.</w:t>
      </w:r>
    </w:p>
    <w:p w:rsidR="00E23B86" w:rsidRDefault="00BA7C13">
      <w:pPr>
        <w:numPr>
          <w:ilvl w:val="0"/>
          <w:numId w:val="178"/>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En los municipios de más de 50.000 habitantes que no estén sujetos al régimen de municipios de gran población:</w:t>
      </w:r>
    </w:p>
    <w:p w:rsidR="00E23B86" w:rsidRDefault="00BA7C13">
      <w:pPr>
        <w:spacing w:after="41" w:line="248" w:lineRule="auto"/>
        <w:ind w:left="720" w:right="4881"/>
        <w:jc w:val="both"/>
      </w:pPr>
      <w:r>
        <w:rPr>
          <w:rFonts w:ascii="Courier New" w:eastAsia="Courier New" w:hAnsi="Courier New" w:cs="Courier New"/>
          <w:sz w:val="20"/>
        </w:rPr>
        <w:t xml:space="preserve">o </w:t>
      </w:r>
      <w:r>
        <w:rPr>
          <w:rFonts w:ascii="Arial" w:eastAsia="Arial" w:hAnsi="Arial" w:cs="Arial"/>
          <w:b/>
          <w:i/>
          <w:color w:val="222222"/>
        </w:rPr>
        <w:t xml:space="preserve">- </w:t>
      </w:r>
      <w:r>
        <w:rPr>
          <w:rFonts w:ascii="Arial" w:eastAsia="Arial" w:hAnsi="Arial" w:cs="Arial"/>
          <w:i/>
          <w:color w:val="222222"/>
        </w:rPr>
        <w:t xml:space="preserve">Consejos de barrio. </w:t>
      </w:r>
      <w:r>
        <w:rPr>
          <w:rFonts w:ascii="Courier New" w:eastAsia="Courier New" w:hAnsi="Courier New" w:cs="Courier New"/>
          <w:sz w:val="20"/>
        </w:rPr>
        <w:t xml:space="preserve">o </w:t>
      </w:r>
      <w:r>
        <w:rPr>
          <w:rFonts w:ascii="Arial" w:eastAsia="Arial" w:hAnsi="Arial" w:cs="Arial"/>
          <w:b/>
          <w:i/>
          <w:color w:val="222222"/>
        </w:rPr>
        <w:t xml:space="preserve">- </w:t>
      </w:r>
      <w:r>
        <w:rPr>
          <w:rFonts w:ascii="Arial" w:eastAsia="Arial" w:hAnsi="Arial" w:cs="Arial"/>
          <w:i/>
          <w:color w:val="222222"/>
        </w:rPr>
        <w:t>Consejos de sector.</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178"/>
        </w:numPr>
        <w:spacing w:after="150"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Asimismo, serán obligatorios los órganos complementarios que creen los municipios en ejercicio de su potestad reglamentaria.”</w:t>
      </w:r>
    </w:p>
    <w:p w:rsidR="00E23B86" w:rsidRDefault="00BA7C13">
      <w:pPr>
        <w:spacing w:after="3" w:line="265" w:lineRule="auto"/>
        <w:ind w:left="-5" w:right="13" w:hanging="10"/>
      </w:pPr>
      <w:r>
        <w:rPr>
          <w:rFonts w:ascii="Segoe UI Symbol" w:eastAsia="Segoe UI Symbol" w:hAnsi="Segoe UI Symbol" w:cs="Segoe UI Symbol"/>
          <w:sz w:val="20"/>
        </w:rPr>
        <w:t></w:t>
      </w:r>
      <w:r>
        <w:rPr>
          <w:rFonts w:ascii="Arial" w:eastAsia="Arial" w:hAnsi="Arial" w:cs="Arial"/>
          <w:i/>
        </w:rPr>
        <w:t xml:space="preserve"> </w:t>
      </w:r>
    </w:p>
    <w:p w:rsidR="00E23B86" w:rsidRDefault="00E23B86">
      <w:pPr>
        <w:sectPr w:rsidR="00E23B86">
          <w:headerReference w:type="even" r:id="rId102"/>
          <w:headerReference w:type="default" r:id="rId103"/>
          <w:footerReference w:type="even" r:id="rId104"/>
          <w:footerReference w:type="default" r:id="rId105"/>
          <w:headerReference w:type="first" r:id="rId106"/>
          <w:footerReference w:type="first" r:id="rId107"/>
          <w:pgSz w:w="14168" w:h="16840"/>
          <w:pgMar w:top="2005" w:right="2849" w:bottom="1437" w:left="3198" w:header="712" w:footer="712" w:gutter="0"/>
          <w:cols w:space="720"/>
        </w:sectPr>
      </w:pPr>
    </w:p>
    <w:p w:rsidR="00E23B86" w:rsidRDefault="00BA7C13">
      <w:pPr>
        <w:numPr>
          <w:ilvl w:val="0"/>
          <w:numId w:val="178"/>
        </w:numPr>
        <w:spacing w:after="89"/>
        <w:ind w:right="14" w:hanging="360"/>
        <w:jc w:val="both"/>
      </w:pPr>
      <w:r>
        <w:rPr>
          <w:rFonts w:ascii="Arial" w:eastAsia="Arial" w:hAnsi="Arial" w:cs="Arial"/>
          <w:b/>
          <w:i/>
        </w:rPr>
        <w:t>PROPUESTA DE RESOLUCIÓN</w:t>
      </w:r>
      <w:r>
        <w:rPr>
          <w:rFonts w:ascii="Arial" w:eastAsia="Arial" w:hAnsi="Arial" w:cs="Arial"/>
          <w:i/>
        </w:rPr>
        <w:t xml:space="preserve"> </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78"/>
        </w:numPr>
        <w:spacing w:after="0" w:line="251" w:lineRule="auto"/>
        <w:ind w:right="14" w:hanging="360"/>
        <w:jc w:val="both"/>
      </w:pPr>
      <w:r>
        <w:rPr>
          <w:rFonts w:ascii="Arial" w:eastAsia="Arial" w:hAnsi="Arial" w:cs="Arial"/>
          <w:b/>
          <w:i/>
        </w:rPr>
        <w:t xml:space="preserve">Primero.- </w:t>
      </w:r>
      <w:r>
        <w:rPr>
          <w:rFonts w:ascii="Arial" w:eastAsia="Arial" w:hAnsi="Arial" w:cs="Arial"/>
          <w:i/>
        </w:rPr>
        <w:t>Solicitar a UNICEF Comité Español iniciar los trámites para la obtención del Reconocimiento Ciudad Amiga de la Infancia; así como contar con su posterior apoyo y colaboración para el desarrollo, la mejora continua y la innovación de las políticas de infanc</w:t>
      </w:r>
      <w:r>
        <w:rPr>
          <w:rFonts w:ascii="Arial" w:eastAsia="Arial" w:hAnsi="Arial" w:cs="Arial"/>
          <w:i/>
        </w:rPr>
        <w:t>ia y adolescencia en el Ayuntamiento de Candelaria.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78"/>
        </w:numPr>
        <w:spacing w:after="23" w:line="251" w:lineRule="auto"/>
        <w:ind w:right="14" w:hanging="360"/>
        <w:jc w:val="both"/>
      </w:pPr>
      <w:r>
        <w:rPr>
          <w:rFonts w:ascii="Arial" w:eastAsia="Arial" w:hAnsi="Arial" w:cs="Arial"/>
          <w:b/>
          <w:i/>
        </w:rPr>
        <w:t xml:space="preserve">Segundo.-  </w:t>
      </w:r>
      <w:r>
        <w:rPr>
          <w:rFonts w:ascii="Arial" w:eastAsia="Arial" w:hAnsi="Arial" w:cs="Arial"/>
          <w:i/>
        </w:rPr>
        <w:t xml:space="preserve">Reconocer el órgano de participación infantil y adolescente (OPIA integrado por </w:t>
      </w:r>
      <w:r>
        <w:rPr>
          <w:rFonts w:ascii="Arial" w:eastAsia="Arial" w:hAnsi="Arial" w:cs="Arial"/>
          <w:b/>
          <w:i/>
        </w:rPr>
        <w:t>8 niños y 7 niñas</w:t>
      </w:r>
      <w:r>
        <w:rPr>
          <w:rFonts w:ascii="Arial" w:eastAsia="Arial" w:hAnsi="Arial" w:cs="Arial"/>
          <w:i/>
        </w:rPr>
        <w:t xml:space="preserve"> siendo los altavoces de todos los/as niños/as y adolescentes del municipio.</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78"/>
        </w:numPr>
        <w:spacing w:after="111" w:line="251" w:lineRule="auto"/>
        <w:ind w:right="14" w:hanging="360"/>
        <w:jc w:val="both"/>
      </w:pPr>
      <w:r>
        <w:rPr>
          <w:rFonts w:ascii="Arial" w:eastAsia="Arial" w:hAnsi="Arial" w:cs="Arial"/>
          <w:b/>
          <w:i/>
        </w:rPr>
        <w:t>Tercero.-</w:t>
      </w:r>
      <w:r>
        <w:rPr>
          <w:rFonts w:ascii="Arial" w:eastAsia="Arial" w:hAnsi="Arial" w:cs="Arial"/>
          <w:i/>
        </w:rPr>
        <w:t xml:space="preserve"> Crear el órgano de coordinación interna que estará integrado por los siguientes miembros:</w:t>
      </w:r>
    </w:p>
    <w:p w:rsidR="00E23B86" w:rsidRDefault="00BA7C13">
      <w:pPr>
        <w:numPr>
          <w:ilvl w:val="1"/>
          <w:numId w:val="179"/>
        </w:numPr>
        <w:spacing w:after="24" w:line="251" w:lineRule="auto"/>
        <w:ind w:right="573" w:hanging="360"/>
        <w:jc w:val="both"/>
      </w:pPr>
      <w:r>
        <w:rPr>
          <w:rFonts w:ascii="Arial" w:eastAsia="Arial" w:hAnsi="Arial" w:cs="Arial"/>
          <w:i/>
        </w:rPr>
        <w:t>Olivia C. Pérez Díaz. Concejala de Servicios Sociales, Igualdad y Sanidad.</w:t>
      </w:r>
    </w:p>
    <w:p w:rsidR="00E23B86" w:rsidRDefault="00BA7C13">
      <w:pPr>
        <w:numPr>
          <w:ilvl w:val="1"/>
          <w:numId w:val="179"/>
        </w:numPr>
        <w:spacing w:after="24" w:line="251" w:lineRule="auto"/>
        <w:ind w:right="573" w:hanging="360"/>
        <w:jc w:val="both"/>
      </w:pPr>
      <w:r>
        <w:rPr>
          <w:rFonts w:ascii="Arial" w:eastAsia="Arial" w:hAnsi="Arial" w:cs="Arial"/>
          <w:i/>
        </w:rPr>
        <w:t xml:space="preserve">Margarita E. Tendero Barroso. Concejala de Educación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 xml:space="preserve">Ana Perdomo Castagno. Técnico/a de </w:t>
      </w:r>
      <w:r>
        <w:rPr>
          <w:rFonts w:ascii="Arial" w:eastAsia="Arial" w:hAnsi="Arial" w:cs="Arial"/>
          <w:i/>
        </w:rPr>
        <w:t>Educación.</w:t>
      </w:r>
    </w:p>
    <w:p w:rsidR="00E23B86" w:rsidRDefault="00BA7C13">
      <w:pPr>
        <w:numPr>
          <w:ilvl w:val="1"/>
          <w:numId w:val="179"/>
        </w:numPr>
        <w:spacing w:after="27" w:line="251" w:lineRule="auto"/>
        <w:ind w:right="573" w:hanging="360"/>
        <w:jc w:val="both"/>
      </w:pPr>
      <w:r>
        <w:rPr>
          <w:rFonts w:ascii="Arial" w:eastAsia="Arial" w:hAnsi="Arial" w:cs="Arial"/>
          <w:i/>
        </w:rPr>
        <w:t>Juan Ángel Castro. Técnico de Cultura.</w:t>
      </w:r>
    </w:p>
    <w:p w:rsidR="00E23B86" w:rsidRDefault="00BA7C13">
      <w:pPr>
        <w:numPr>
          <w:ilvl w:val="1"/>
          <w:numId w:val="179"/>
        </w:numPr>
        <w:spacing w:after="27" w:line="251" w:lineRule="auto"/>
        <w:ind w:right="573" w:hanging="360"/>
        <w:jc w:val="both"/>
      </w:pPr>
      <w:r>
        <w:rPr>
          <w:rFonts w:ascii="Arial" w:eastAsia="Arial" w:hAnsi="Arial" w:cs="Arial"/>
          <w:i/>
        </w:rPr>
        <w:t>Francisco J. Técnico de Deportes.</w:t>
      </w:r>
    </w:p>
    <w:p w:rsidR="00E23B86" w:rsidRDefault="00BA7C13">
      <w:pPr>
        <w:numPr>
          <w:ilvl w:val="1"/>
          <w:numId w:val="179"/>
        </w:numPr>
        <w:spacing w:after="27" w:line="251" w:lineRule="auto"/>
        <w:ind w:right="573" w:hanging="360"/>
        <w:jc w:val="both"/>
      </w:pPr>
      <w:r>
        <w:rPr>
          <w:rFonts w:ascii="Arial" w:eastAsia="Arial" w:hAnsi="Arial" w:cs="Arial"/>
          <w:i/>
        </w:rPr>
        <w:t>Joana Gómez-Urda Lorenzo . Técnico de Sanidad.</w:t>
      </w:r>
    </w:p>
    <w:p w:rsidR="00E23B86" w:rsidRDefault="00BA7C13">
      <w:pPr>
        <w:numPr>
          <w:ilvl w:val="1"/>
          <w:numId w:val="179"/>
        </w:numPr>
        <w:spacing w:after="24" w:line="251" w:lineRule="auto"/>
        <w:ind w:right="573" w:hanging="360"/>
        <w:jc w:val="both"/>
      </w:pPr>
      <w:r>
        <w:rPr>
          <w:noProof/>
        </w:rPr>
        <mc:AlternateContent>
          <mc:Choice Requires="wpg">
            <w:drawing>
              <wp:anchor distT="0" distB="0" distL="114300" distR="114300" simplePos="0" relativeHeight="2520084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5116" name="Group 58511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178" name="Rectangle 5317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3179" name="Rectangle 5317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w:t>
                              </w:r>
                              <w:r>
                                <w:rPr>
                                  <w:rFonts w:ascii="Arial" w:eastAsia="Arial" w:hAnsi="Arial" w:cs="Arial"/>
                                  <w:sz w:val="12"/>
                                </w:rPr>
                                <w:t xml:space="preserve">trónicamente desde la plataforma esPublico Gestiona | Página 340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5116" style="width:12.7031pt;height:280.35pt;position:absolute;mso-position-horizontal-relative:page;mso-position-horizontal:absolute;margin-left:681.958pt;mso-position-vertical-relative:page;margin-top:531.65pt;" coordsize="1613,35604">
                <v:rect id="Rectangle 5317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17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340 de 391 </w:t>
                        </w:r>
                      </w:p>
                    </w:txbxContent>
                  </v:textbox>
                </v:rect>
                <w10:wrap type="square"/>
              </v:group>
            </w:pict>
          </mc:Fallback>
        </mc:AlternateContent>
      </w:r>
      <w:r>
        <w:rPr>
          <w:rFonts w:ascii="Arial" w:eastAsia="Arial" w:hAnsi="Arial" w:cs="Arial"/>
          <w:i/>
        </w:rPr>
        <w:t>Fátima León Rodríguez. Técnica de Servicios Sociales (menores).</w:t>
      </w:r>
    </w:p>
    <w:p w:rsidR="00E23B86" w:rsidRDefault="00BA7C13">
      <w:pPr>
        <w:numPr>
          <w:ilvl w:val="1"/>
          <w:numId w:val="179"/>
        </w:numPr>
        <w:spacing w:after="27" w:line="251" w:lineRule="auto"/>
        <w:ind w:right="573" w:hanging="360"/>
        <w:jc w:val="both"/>
      </w:pPr>
      <w:r>
        <w:rPr>
          <w:rFonts w:ascii="Arial" w:eastAsia="Arial" w:hAnsi="Arial" w:cs="Arial"/>
          <w:i/>
        </w:rPr>
        <w:t>Mª Consuelo Fariña González. Técnica de Área Económica.</w:t>
      </w:r>
    </w:p>
    <w:p w:rsidR="00E23B86" w:rsidRDefault="00BA7C13">
      <w:pPr>
        <w:numPr>
          <w:ilvl w:val="1"/>
          <w:numId w:val="179"/>
        </w:numPr>
        <w:spacing w:after="27" w:line="251" w:lineRule="auto"/>
        <w:ind w:right="573" w:hanging="360"/>
        <w:jc w:val="both"/>
      </w:pPr>
      <w:r>
        <w:rPr>
          <w:rFonts w:ascii="Arial" w:eastAsia="Arial" w:hAnsi="Arial" w:cs="Arial"/>
          <w:i/>
        </w:rPr>
        <w:t>Esteban Hernández Martín. Técnico de Accesibilidad.</w:t>
      </w:r>
    </w:p>
    <w:p w:rsidR="00E23B86" w:rsidRDefault="00BA7C13">
      <w:pPr>
        <w:numPr>
          <w:ilvl w:val="1"/>
          <w:numId w:val="179"/>
        </w:numPr>
        <w:spacing w:after="27" w:line="251" w:lineRule="auto"/>
        <w:ind w:right="573" w:hanging="360"/>
        <w:jc w:val="both"/>
      </w:pPr>
      <w:r>
        <w:rPr>
          <w:rFonts w:ascii="Arial" w:eastAsia="Arial" w:hAnsi="Arial" w:cs="Arial"/>
          <w:i/>
        </w:rPr>
        <w:t>Rubén Fernández González. Técnico de Protección Civil.</w:t>
      </w:r>
    </w:p>
    <w:p w:rsidR="00E23B86" w:rsidRDefault="00BA7C13">
      <w:pPr>
        <w:numPr>
          <w:ilvl w:val="1"/>
          <w:numId w:val="179"/>
        </w:numPr>
        <w:spacing w:after="27" w:line="251" w:lineRule="auto"/>
        <w:ind w:right="573" w:hanging="360"/>
        <w:jc w:val="both"/>
      </w:pPr>
      <w:r>
        <w:rPr>
          <w:rFonts w:ascii="Arial" w:eastAsia="Arial" w:hAnsi="Arial" w:cs="Arial"/>
          <w:i/>
        </w:rPr>
        <w:t>Mª del Pilar González. Técnica de ADL</w:t>
      </w:r>
    </w:p>
    <w:p w:rsidR="00E23B86" w:rsidRDefault="00BA7C13">
      <w:pPr>
        <w:numPr>
          <w:ilvl w:val="1"/>
          <w:numId w:val="179"/>
        </w:numPr>
        <w:spacing w:after="24" w:line="251" w:lineRule="auto"/>
        <w:ind w:right="573" w:hanging="360"/>
        <w:jc w:val="both"/>
      </w:pPr>
      <w:r>
        <w:rPr>
          <w:rFonts w:ascii="Arial" w:eastAsia="Arial" w:hAnsi="Arial" w:cs="Arial"/>
          <w:i/>
        </w:rPr>
        <w:t>Concepción Sicilia González. Técnica de Participación Ciudadana</w:t>
      </w:r>
    </w:p>
    <w:p w:rsidR="00E23B86" w:rsidRDefault="00BA7C13">
      <w:pPr>
        <w:numPr>
          <w:ilvl w:val="1"/>
          <w:numId w:val="179"/>
        </w:numPr>
        <w:spacing w:after="27" w:line="251" w:lineRule="auto"/>
        <w:ind w:right="573" w:hanging="360"/>
        <w:jc w:val="both"/>
      </w:pPr>
      <w:r>
        <w:rPr>
          <w:rFonts w:ascii="Arial" w:eastAsia="Arial" w:hAnsi="Arial" w:cs="Arial"/>
          <w:i/>
        </w:rPr>
        <w:t>Javier Barrera Acosta. Policía Local</w:t>
      </w:r>
    </w:p>
    <w:p w:rsidR="00E23B86" w:rsidRDefault="00BA7C13">
      <w:pPr>
        <w:numPr>
          <w:ilvl w:val="1"/>
          <w:numId w:val="179"/>
        </w:numPr>
        <w:spacing w:after="26" w:line="251" w:lineRule="auto"/>
        <w:ind w:right="573" w:hanging="360"/>
        <w:jc w:val="both"/>
      </w:pPr>
      <w:r>
        <w:rPr>
          <w:rFonts w:ascii="Arial" w:eastAsia="Arial" w:hAnsi="Arial" w:cs="Arial"/>
          <w:i/>
        </w:rPr>
        <w:t>Mª Candelaria Ibáñez de las Casas. Técnica de Zona Joven.</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78"/>
        </w:numPr>
        <w:spacing w:after="111" w:line="251" w:lineRule="auto"/>
        <w:ind w:right="14" w:hanging="360"/>
        <w:jc w:val="both"/>
      </w:pPr>
      <w:r>
        <w:rPr>
          <w:rFonts w:ascii="Arial" w:eastAsia="Arial" w:hAnsi="Arial" w:cs="Arial"/>
          <w:b/>
          <w:i/>
        </w:rPr>
        <w:t>Cu</w:t>
      </w:r>
      <w:r>
        <w:rPr>
          <w:rFonts w:ascii="Arial" w:eastAsia="Arial" w:hAnsi="Arial" w:cs="Arial"/>
          <w:b/>
          <w:i/>
        </w:rPr>
        <w:t>arto</w:t>
      </w:r>
      <w:r>
        <w:rPr>
          <w:rFonts w:ascii="Arial" w:eastAsia="Arial" w:hAnsi="Arial" w:cs="Arial"/>
          <w:i/>
        </w:rPr>
        <w:t>.- Crear el Consejo Local de Infancia y Adolescencia constituido por las siguientes personas: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2"/>
          <w:numId w:val="180"/>
        </w:numPr>
        <w:spacing w:after="24" w:line="251" w:lineRule="auto"/>
        <w:ind w:hanging="360"/>
        <w:jc w:val="both"/>
      </w:pPr>
      <w:r>
        <w:rPr>
          <w:rFonts w:ascii="Arial" w:eastAsia="Arial" w:hAnsi="Arial" w:cs="Arial"/>
          <w:i/>
        </w:rPr>
        <w:t>La Presidencia: será ejercida por el Alcaldesa Mª Concepción Brito Núñez, pudiendo delegar el cargo en un/a Concejal/a.</w:t>
      </w:r>
    </w:p>
    <w:p w:rsidR="00E23B86" w:rsidRDefault="00BA7C13">
      <w:pPr>
        <w:numPr>
          <w:ilvl w:val="2"/>
          <w:numId w:val="180"/>
        </w:numPr>
        <w:spacing w:after="24" w:line="251" w:lineRule="auto"/>
        <w:ind w:hanging="360"/>
        <w:jc w:val="both"/>
      </w:pPr>
      <w:r>
        <w:rPr>
          <w:rFonts w:ascii="Arial" w:eastAsia="Arial" w:hAnsi="Arial" w:cs="Arial"/>
          <w:i/>
        </w:rPr>
        <w:t xml:space="preserve">La Secretaría: será ejercida por el </w:t>
      </w:r>
      <w:r>
        <w:rPr>
          <w:rFonts w:ascii="Arial" w:eastAsia="Arial" w:hAnsi="Arial" w:cs="Arial"/>
          <w:i/>
        </w:rPr>
        <w:t>Secretario General del Ayuntamiento Octavio Manuel Fernández Hernández o persona en quien delegue.</w:t>
      </w:r>
    </w:p>
    <w:p w:rsidR="00E23B86" w:rsidRDefault="00BA7C13">
      <w:pPr>
        <w:numPr>
          <w:ilvl w:val="2"/>
          <w:numId w:val="180"/>
        </w:numPr>
        <w:spacing w:after="27" w:line="251" w:lineRule="auto"/>
        <w:ind w:hanging="360"/>
        <w:jc w:val="both"/>
      </w:pPr>
      <w:r>
        <w:rPr>
          <w:rFonts w:ascii="Arial" w:eastAsia="Arial" w:hAnsi="Arial" w:cs="Arial"/>
          <w:i/>
        </w:rPr>
        <w:t>Vocalías:</w:t>
      </w:r>
    </w:p>
    <w:p w:rsidR="00E23B86" w:rsidRDefault="00BA7C13">
      <w:pPr>
        <w:numPr>
          <w:ilvl w:val="2"/>
          <w:numId w:val="180"/>
        </w:numPr>
        <w:spacing w:after="24" w:line="251" w:lineRule="auto"/>
        <w:ind w:hanging="360"/>
        <w:jc w:val="both"/>
      </w:pPr>
      <w:r>
        <w:rPr>
          <w:rFonts w:ascii="Arial" w:eastAsia="Arial" w:hAnsi="Arial" w:cs="Arial"/>
          <w:i/>
        </w:rPr>
        <w:t>8 niños y 7 niñas representantes del órgano de participación infantil y adolescente.</w:t>
      </w:r>
    </w:p>
    <w:p w:rsidR="00E23B86" w:rsidRDefault="00BA7C13">
      <w:pPr>
        <w:numPr>
          <w:ilvl w:val="2"/>
          <w:numId w:val="180"/>
        </w:numPr>
        <w:spacing w:after="111" w:line="251" w:lineRule="auto"/>
        <w:ind w:hanging="360"/>
        <w:jc w:val="both"/>
      </w:pPr>
      <w:r>
        <w:rPr>
          <w:rFonts w:ascii="Arial" w:eastAsia="Arial" w:hAnsi="Arial" w:cs="Arial"/>
          <w:i/>
        </w:rPr>
        <w:t>Olivia C. Pérez Díaz. Concejala de Servicios Sociales, Igualdad y Sanidad.</w:t>
      </w:r>
    </w:p>
    <w:p w:rsidR="00E23B86" w:rsidRDefault="00BA7C13">
      <w:pPr>
        <w:numPr>
          <w:ilvl w:val="2"/>
          <w:numId w:val="180"/>
        </w:numPr>
        <w:spacing w:after="24" w:line="251" w:lineRule="auto"/>
        <w:ind w:hanging="360"/>
        <w:jc w:val="both"/>
      </w:pPr>
      <w:r>
        <w:rPr>
          <w:rFonts w:ascii="Arial" w:eastAsia="Arial" w:hAnsi="Arial" w:cs="Arial"/>
          <w:i/>
        </w:rPr>
        <w:t xml:space="preserve">Margarita E. Tendero Barroso. Concejala de Educación.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Un representante de cada partido político municipal.</w:t>
      </w:r>
    </w:p>
    <w:p w:rsidR="00E23B86" w:rsidRDefault="00BA7C13">
      <w:pPr>
        <w:numPr>
          <w:ilvl w:val="2"/>
          <w:numId w:val="180"/>
        </w:numPr>
        <w:spacing w:after="27" w:line="251" w:lineRule="auto"/>
        <w:ind w:hanging="360"/>
        <w:jc w:val="both"/>
      </w:pPr>
      <w:r>
        <w:rPr>
          <w:rFonts w:ascii="Arial" w:eastAsia="Arial" w:hAnsi="Arial" w:cs="Arial"/>
          <w:i/>
        </w:rPr>
        <w:t xml:space="preserve">Juan Miguel Olivera González. P. Popular </w:t>
      </w:r>
    </w:p>
    <w:p w:rsidR="00E23B86" w:rsidRDefault="00BA7C13">
      <w:pPr>
        <w:numPr>
          <w:ilvl w:val="2"/>
          <w:numId w:val="180"/>
        </w:numPr>
        <w:spacing w:after="27" w:line="251" w:lineRule="auto"/>
        <w:ind w:hanging="360"/>
        <w:jc w:val="both"/>
      </w:pPr>
      <w:r>
        <w:rPr>
          <w:rFonts w:ascii="Arial" w:eastAsia="Arial" w:hAnsi="Arial" w:cs="Arial"/>
          <w:i/>
        </w:rPr>
        <w:t>Pedro M. Pérez Viña. Ciudadano</w:t>
      </w:r>
      <w:r>
        <w:rPr>
          <w:rFonts w:ascii="Arial" w:eastAsia="Arial" w:hAnsi="Arial" w:cs="Arial"/>
          <w:i/>
        </w:rPr>
        <w:t>s</w:t>
      </w:r>
    </w:p>
    <w:p w:rsidR="00E23B86" w:rsidRDefault="00BA7C13">
      <w:pPr>
        <w:numPr>
          <w:ilvl w:val="2"/>
          <w:numId w:val="180"/>
        </w:numPr>
        <w:spacing w:after="27" w:line="251" w:lineRule="auto"/>
        <w:ind w:hanging="360"/>
        <w:jc w:val="both"/>
      </w:pPr>
      <w:r>
        <w:rPr>
          <w:rFonts w:ascii="Arial" w:eastAsia="Arial" w:hAnsi="Arial" w:cs="Arial"/>
          <w:i/>
        </w:rPr>
        <w:t>Mª del Carmen Coello González. Si Se Puede</w:t>
      </w:r>
    </w:p>
    <w:p w:rsidR="00E23B86" w:rsidRDefault="00BA7C13">
      <w:pPr>
        <w:numPr>
          <w:ilvl w:val="2"/>
          <w:numId w:val="180"/>
        </w:numPr>
        <w:spacing w:after="27" w:line="251" w:lineRule="auto"/>
        <w:ind w:hanging="360"/>
        <w:jc w:val="both"/>
      </w:pPr>
      <w:r>
        <w:rPr>
          <w:rFonts w:ascii="Arial" w:eastAsia="Arial" w:hAnsi="Arial" w:cs="Arial"/>
          <w:i/>
        </w:rPr>
        <w:t>Ángela Cruz Perera. Coalición Canaria</w:t>
      </w:r>
    </w:p>
    <w:p w:rsidR="00E23B86" w:rsidRDefault="00BA7C13">
      <w:pPr>
        <w:numPr>
          <w:ilvl w:val="2"/>
          <w:numId w:val="180"/>
        </w:numPr>
        <w:spacing w:after="27" w:line="251" w:lineRule="auto"/>
        <w:ind w:hanging="360"/>
        <w:jc w:val="both"/>
      </w:pPr>
      <w:r>
        <w:rPr>
          <w:rFonts w:ascii="Arial" w:eastAsia="Arial" w:hAnsi="Arial" w:cs="Arial"/>
          <w:i/>
        </w:rPr>
        <w:t>José Fernándo Gómez. Vecinos por Candelaria</w:t>
      </w:r>
    </w:p>
    <w:p w:rsidR="00E23B86" w:rsidRDefault="00BA7C13">
      <w:pPr>
        <w:numPr>
          <w:ilvl w:val="2"/>
          <w:numId w:val="180"/>
        </w:numPr>
        <w:spacing w:after="24" w:line="251" w:lineRule="auto"/>
        <w:ind w:hanging="360"/>
        <w:jc w:val="both"/>
      </w:pPr>
      <w:r>
        <w:rPr>
          <w:rFonts w:ascii="Arial" w:eastAsia="Arial" w:hAnsi="Arial" w:cs="Arial"/>
          <w:i/>
        </w:rPr>
        <w:t>Mª Dolores Melián Ramos. Representante de la asociación infantil municipal.</w:t>
      </w:r>
    </w:p>
    <w:p w:rsidR="00E23B86" w:rsidRDefault="00BA7C13">
      <w:pPr>
        <w:numPr>
          <w:ilvl w:val="2"/>
          <w:numId w:val="180"/>
        </w:numPr>
        <w:spacing w:after="24" w:line="251" w:lineRule="auto"/>
        <w:ind w:hanging="360"/>
        <w:jc w:val="both"/>
      </w:pPr>
      <w:r>
        <w:rPr>
          <w:rFonts w:ascii="Arial" w:eastAsia="Arial" w:hAnsi="Arial" w:cs="Arial"/>
          <w:i/>
        </w:rPr>
        <w:t>Ana Herrera Morales. Técnico de Servicios Sociales, Igualdad y Sanidad.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78"/>
        </w:numPr>
        <w:spacing w:after="111" w:line="251" w:lineRule="auto"/>
        <w:ind w:right="14" w:hanging="360"/>
        <w:jc w:val="both"/>
      </w:pPr>
      <w:r>
        <w:rPr>
          <w:rFonts w:ascii="Arial" w:eastAsia="Arial" w:hAnsi="Arial" w:cs="Arial"/>
          <w:b/>
          <w:i/>
        </w:rPr>
        <w:t>Quinto</w:t>
      </w:r>
      <w:r>
        <w:rPr>
          <w:rFonts w:ascii="Arial" w:eastAsia="Arial" w:hAnsi="Arial" w:cs="Arial"/>
          <w:i/>
        </w:rPr>
        <w:t>.- Iniciar los trámites para incorporar al Reglamento Orgánico Municipal el Consejo Local de Infancia y Adolescencia.”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78"/>
        </w:numPr>
        <w:spacing w:after="0" w:line="249" w:lineRule="auto"/>
        <w:ind w:right="14" w:hanging="360"/>
        <w:jc w:val="both"/>
      </w:pPr>
      <w:r>
        <w:rPr>
          <w:rFonts w:ascii="Arial" w:eastAsia="Arial" w:hAnsi="Arial" w:cs="Arial"/>
          <w:b/>
        </w:rPr>
        <w:t>Vista la propuesta anterior, esta Concejalía formula pr</w:t>
      </w:r>
      <w:r>
        <w:rPr>
          <w:rFonts w:ascii="Arial" w:eastAsia="Arial" w:hAnsi="Arial" w:cs="Arial"/>
          <w:b/>
        </w:rPr>
        <w:t>opuesta de acuerdo a adoptar por el Ayuntamiento Pleno en iguales términos.”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78"/>
        </w:numPr>
        <w:spacing w:after="111" w:line="249" w:lineRule="auto"/>
        <w:ind w:right="14" w:hanging="360"/>
        <w:jc w:val="both"/>
      </w:pPr>
      <w:r>
        <w:rPr>
          <w:noProof/>
        </w:rPr>
        <mc:AlternateContent>
          <mc:Choice Requires="wpg">
            <w:drawing>
              <wp:anchor distT="0" distB="0" distL="114300" distR="114300" simplePos="0" relativeHeight="2520094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5541" name="Group 58554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299" name="Rectangle 5329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3300" name="Rectangle 5330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5541" style="width:12.7031pt;height:280.35pt;position:absolute;mso-position-horizontal-relative:page;mso-position-horizontal:absolute;margin-left:681.958pt;mso-position-vertical-relative:page;margin-top:531.65pt;" coordsize="1613,35604">
                <v:rect id="Rectangle 5329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30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341 de 391 </w:t>
                        </w:r>
                      </w:p>
                    </w:txbxContent>
                  </v:textbox>
                </v:rect>
                <w10:wrap type="square"/>
              </v:group>
            </w:pict>
          </mc:Fallback>
        </mc:AlternateContent>
      </w:r>
      <w:r>
        <w:rPr>
          <w:rFonts w:ascii="Arial" w:eastAsia="Arial" w:hAnsi="Arial" w:cs="Arial"/>
          <w:b/>
        </w:rPr>
        <w:t>Consta en el expediente informe jurídico emitido por Doña Corina Marrero Déniz, que desempeña el puesto de trabajo de Jurista, de 17 de febrero de 2020, del sigu</w:t>
      </w:r>
      <w:r>
        <w:rPr>
          <w:rFonts w:ascii="Arial" w:eastAsia="Arial" w:hAnsi="Arial" w:cs="Arial"/>
          <w:b/>
        </w:rPr>
        <w:t>iente tenor literal:</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spacing w:after="84" w:line="265" w:lineRule="auto"/>
        <w:ind w:left="682" w:right="2379"/>
        <w:jc w:val="center"/>
      </w:pPr>
      <w:r>
        <w:rPr>
          <w:rFonts w:ascii="Segoe UI Symbol" w:eastAsia="Segoe UI Symbol" w:hAnsi="Segoe UI Symbol" w:cs="Segoe UI Symbol"/>
          <w:b w:val="0"/>
          <w:i w:val="0"/>
          <w:color w:val="000000"/>
          <w:sz w:val="20"/>
        </w:rPr>
        <w:t xml:space="preserve"> </w:t>
      </w:r>
      <w:r>
        <w:rPr>
          <w:i w:val="0"/>
          <w:color w:val="000000"/>
        </w:rPr>
        <w:t xml:space="preserve">“INFORME                            </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spacing w:after="111" w:line="249" w:lineRule="auto"/>
        <w:ind w:left="10" w:right="11" w:hanging="10"/>
        <w:jc w:val="both"/>
      </w:pPr>
      <w:r>
        <w:rPr>
          <w:rFonts w:ascii="Segoe UI Symbol" w:eastAsia="Segoe UI Symbol" w:hAnsi="Segoe UI Symbol" w:cs="Segoe UI Symbol"/>
          <w:sz w:val="20"/>
        </w:rPr>
        <w:t xml:space="preserve"> </w:t>
      </w:r>
      <w:r>
        <w:rPr>
          <w:rFonts w:ascii="Arial" w:eastAsia="Arial" w:hAnsi="Arial" w:cs="Arial"/>
          <w:b/>
        </w:rPr>
        <w:t xml:space="preserve">Visto el expediente relativo a la participación en la convocatoria al reconocimiento como Ciudad Amiga de la Infancia, se emite el presente informe sobre la base de los siguientes </w:t>
      </w:r>
      <w:r>
        <w:rPr>
          <w:rFonts w:ascii="Segoe UI Symbol" w:eastAsia="Segoe UI Symbol" w:hAnsi="Segoe UI Symbol" w:cs="Segoe UI Symbol"/>
          <w:sz w:val="20"/>
        </w:rPr>
        <w:t></w:t>
      </w:r>
    </w:p>
    <w:p w:rsidR="00E23B86" w:rsidRDefault="00BA7C13">
      <w:pPr>
        <w:pStyle w:val="Ttulo3"/>
        <w:spacing w:after="84" w:line="265" w:lineRule="auto"/>
        <w:ind w:left="682" w:right="675"/>
        <w:jc w:val="center"/>
      </w:pPr>
      <w:r>
        <w:rPr>
          <w:rFonts w:ascii="Segoe UI Symbol" w:eastAsia="Segoe UI Symbol" w:hAnsi="Segoe UI Symbol" w:cs="Segoe UI Symbol"/>
          <w:b w:val="0"/>
          <w:i w:val="0"/>
          <w:color w:val="000000"/>
          <w:sz w:val="20"/>
        </w:rPr>
        <w:t xml:space="preserve"> </w:t>
      </w:r>
      <w:r>
        <w:rPr>
          <w:i w:val="0"/>
          <w:color w:val="000000"/>
        </w:rPr>
        <w:t>ANTECEDENTES DE HECHO</w:t>
      </w:r>
    </w:p>
    <w:p w:rsidR="00E23B86" w:rsidRDefault="00BA7C13">
      <w:pPr>
        <w:numPr>
          <w:ilvl w:val="0"/>
          <w:numId w:val="181"/>
        </w:numPr>
        <w:spacing w:after="110" w:line="248" w:lineRule="auto"/>
        <w:ind w:right="5" w:hanging="360"/>
        <w:jc w:val="both"/>
      </w:pPr>
      <w:r>
        <w:rPr>
          <w:rFonts w:ascii="Arial" w:eastAsia="Arial" w:hAnsi="Arial" w:cs="Arial"/>
          <w:b/>
        </w:rPr>
        <w:t xml:space="preserve">Primero.-  </w:t>
      </w:r>
      <w:r>
        <w:rPr>
          <w:rFonts w:ascii="Arial" w:eastAsia="Arial" w:hAnsi="Arial" w:cs="Arial"/>
        </w:rPr>
        <w:t>El Pleno Municipal en sesión ordinaria celebrada el día 24 de abril de 2019 acordó iniciar la tramitación de la solicitud de Municipio Aliado para obtener para Candelaria el Sello de Reconocimiento de Ciudad Amiga de la Inf</w:t>
      </w:r>
      <w:r>
        <w:rPr>
          <w:rFonts w:ascii="Arial" w:eastAsia="Arial" w:hAnsi="Arial" w:cs="Arial"/>
        </w:rPr>
        <w:t>ancia.</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5" w:line="248" w:lineRule="auto"/>
        <w:ind w:right="5" w:hanging="360"/>
        <w:jc w:val="both"/>
      </w:pPr>
      <w:r>
        <w:rPr>
          <w:rFonts w:ascii="Arial" w:eastAsia="Arial" w:hAnsi="Arial" w:cs="Arial"/>
          <w:b/>
        </w:rPr>
        <w:t>Segundo.-</w:t>
      </w:r>
      <w:r>
        <w:rPr>
          <w:rFonts w:ascii="Arial" w:eastAsia="Arial" w:hAnsi="Arial" w:cs="Arial"/>
        </w:rPr>
        <w:t xml:space="preserve"> La iniciativa</w:t>
      </w:r>
      <w:r>
        <w:rPr>
          <w:rFonts w:ascii="Arial" w:eastAsia="Arial" w:hAnsi="Arial" w:cs="Arial"/>
          <w:b/>
        </w:rPr>
        <w:t xml:space="preserve"> Ciudades Amigas de la Infancia</w:t>
      </w:r>
      <w:r>
        <w:rPr>
          <w:rFonts w:ascii="Arial" w:eastAsia="Arial" w:hAnsi="Arial" w:cs="Arial"/>
        </w:rPr>
        <w:t>, liderada por UNICEF Comité Español, tiene como objetivo general promover la aplicación de la Convención sobre los Derechos del Niño (ONU, 1989), ratificada por nuestro país en 1990, en el ámbito de los Gobiernos Locales.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5" w:line="248" w:lineRule="auto"/>
        <w:ind w:right="5" w:hanging="360"/>
        <w:jc w:val="both"/>
      </w:pPr>
      <w:r>
        <w:rPr>
          <w:rFonts w:ascii="Arial" w:eastAsia="Arial" w:hAnsi="Arial" w:cs="Arial"/>
          <w:b/>
        </w:rPr>
        <w:t>Ciudades Amigas de la Infancia</w:t>
      </w:r>
      <w:r>
        <w:rPr>
          <w:rFonts w:ascii="Arial" w:eastAsia="Arial" w:hAnsi="Arial" w:cs="Arial"/>
        </w:rPr>
        <w:t xml:space="preserve"> </w:t>
      </w:r>
      <w:r>
        <w:rPr>
          <w:rFonts w:ascii="Arial" w:eastAsia="Arial" w:hAnsi="Arial" w:cs="Arial"/>
        </w:rPr>
        <w:t>tiene como visión que todo niño, niña y adolescente disfrute de su infancia y adolescencia y desarrolle todo su potencial a través de la realización igualitaria de sus derechos en sus ciudades y comunidades. Con el fin de hacer realidad esta visión, los go</w:t>
      </w:r>
      <w:r>
        <w:rPr>
          <w:rFonts w:ascii="Arial" w:eastAsia="Arial" w:hAnsi="Arial" w:cs="Arial"/>
        </w:rPr>
        <w:t>biernos locales y sus socios identifican sus resultados en las cinco esferas de objetivos generales, que recogen los derechos contenidos en la Convención sobre los Derechos del Niño. De esta forma una ciudad o comunidad cuenta con una gobernanza amiga de l</w:t>
      </w:r>
      <w:r>
        <w:rPr>
          <w:rFonts w:ascii="Arial" w:eastAsia="Arial" w:hAnsi="Arial" w:cs="Arial"/>
        </w:rPr>
        <w:t>a infancia, al trabajar para alcanzar estos objetivos: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6" w:line="248" w:lineRule="auto"/>
        <w:ind w:right="5" w:hanging="360"/>
        <w:jc w:val="both"/>
      </w:pPr>
      <w:r>
        <w:rPr>
          <w:rFonts w:ascii="Arial" w:eastAsia="Arial" w:hAnsi="Arial" w:cs="Arial"/>
        </w:rPr>
        <w:t>Cada niño, niña y adolescente es valorado, respetado y tratado justamente dentro de sus comunidades;</w:t>
      </w:r>
    </w:p>
    <w:p w:rsidR="00E23B86" w:rsidRDefault="00BA7C13">
      <w:pPr>
        <w:numPr>
          <w:ilvl w:val="0"/>
          <w:numId w:val="181"/>
        </w:numPr>
        <w:spacing w:after="26" w:line="248" w:lineRule="auto"/>
        <w:ind w:right="5" w:hanging="360"/>
        <w:jc w:val="both"/>
      </w:pPr>
      <w:r>
        <w:rPr>
          <w:rFonts w:ascii="Arial" w:eastAsia="Arial" w:hAnsi="Arial" w:cs="Arial"/>
        </w:rPr>
        <w:t>Las voces, necesidades y prioridades de cada niño y niña se escuchan y se consideran en las normat</w:t>
      </w:r>
      <w:r>
        <w:rPr>
          <w:rFonts w:ascii="Arial" w:eastAsia="Arial" w:hAnsi="Arial" w:cs="Arial"/>
        </w:rPr>
        <w:t>ivas y políticas públicas, en los presupuestos y en todas las decisiones que les afectan;</w:t>
      </w:r>
    </w:p>
    <w:p w:rsidR="00E23B86" w:rsidRDefault="00BA7C13">
      <w:pPr>
        <w:numPr>
          <w:ilvl w:val="0"/>
          <w:numId w:val="181"/>
        </w:numPr>
        <w:spacing w:after="16" w:line="248" w:lineRule="auto"/>
        <w:ind w:right="5" w:hanging="360"/>
        <w:jc w:val="both"/>
      </w:pPr>
      <w:r>
        <w:rPr>
          <w:rFonts w:ascii="Arial" w:eastAsia="Arial" w:hAnsi="Arial" w:cs="Arial"/>
        </w:rPr>
        <w:t>Todos los niños y niñas tienen acceso a servicios esenciales de calidad;</w:t>
      </w:r>
    </w:p>
    <w:p w:rsidR="00E23B86" w:rsidRDefault="00BA7C13">
      <w:pPr>
        <w:numPr>
          <w:ilvl w:val="0"/>
          <w:numId w:val="181"/>
        </w:numPr>
        <w:spacing w:after="16" w:line="248" w:lineRule="auto"/>
        <w:ind w:right="5" w:hanging="360"/>
        <w:jc w:val="both"/>
      </w:pPr>
      <w:r>
        <w:rPr>
          <w:rFonts w:ascii="Arial" w:eastAsia="Arial" w:hAnsi="Arial" w:cs="Arial"/>
        </w:rPr>
        <w:t>Todos los niños y niñas viven en entornos seguros y limpios;</w:t>
      </w:r>
    </w:p>
    <w:p w:rsidR="00E23B86" w:rsidRDefault="00BA7C13">
      <w:pPr>
        <w:numPr>
          <w:ilvl w:val="0"/>
          <w:numId w:val="181"/>
        </w:numPr>
        <w:spacing w:after="26" w:line="248" w:lineRule="auto"/>
        <w:ind w:right="5" w:hanging="360"/>
        <w:jc w:val="both"/>
      </w:pPr>
      <w:r>
        <w:rPr>
          <w:rFonts w:ascii="Arial" w:eastAsia="Arial" w:hAnsi="Arial" w:cs="Arial"/>
        </w:rPr>
        <w:t>Todos los niños y niñas tienen l</w:t>
      </w:r>
      <w:r>
        <w:rPr>
          <w:rFonts w:ascii="Arial" w:eastAsia="Arial" w:hAnsi="Arial" w:cs="Arial"/>
        </w:rPr>
        <w:t xml:space="preserve">a oportunidad de disfrutar de la vida familiar, el juego y el ocio. </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2" w:line="248" w:lineRule="auto"/>
        <w:ind w:right="5" w:hanging="360"/>
        <w:jc w:val="both"/>
      </w:pPr>
      <w:r>
        <w:rPr>
          <w:noProof/>
        </w:rPr>
        <mc:AlternateContent>
          <mc:Choice Requires="wpg">
            <w:drawing>
              <wp:anchor distT="0" distB="0" distL="114300" distR="114300" simplePos="0" relativeHeight="2520104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5396" name="Group 58539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373" name="Rectangle 5337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3374" name="Rectangle 5337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5396" style="width:12.7031pt;height:280.35pt;position:absolute;mso-position-horizontal-relative:page;mso-position-horizontal:absolute;margin-left:681.958pt;mso-position-vertical-relative:page;margin-top:531.65pt;" coordsize="1613,35604">
                <v:rect id="Rectangle 5337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37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342 de 391 </w:t>
                        </w:r>
                      </w:p>
                    </w:txbxContent>
                  </v:textbox>
                </v:rect>
                <w10:wrap type="square"/>
              </v:group>
            </w:pict>
          </mc:Fallback>
        </mc:AlternateContent>
      </w:r>
      <w:r>
        <w:rPr>
          <w:rFonts w:ascii="Arial" w:eastAsia="Arial" w:hAnsi="Arial" w:cs="Arial"/>
        </w:rPr>
        <w:t>Ciudades Amigas de la Infancia se puso en marcha en España en el año 2001 y cuenta con el apoyo del Ministerio de Sanidad, Servicios Sociales e Igualdad, la Fede</w:t>
      </w:r>
      <w:r>
        <w:rPr>
          <w:rFonts w:ascii="Arial" w:eastAsia="Arial" w:hAnsi="Arial" w:cs="Arial"/>
        </w:rPr>
        <w:t xml:space="preserve">ración Española de Municipios y Provincias (FEMP) y el Instituto Universitario UAM-UNICEF de Necesidades y Derechos de la Infancia y la Adolescencia (IUNDIA) y UNICEF Comité Español. </w:t>
      </w:r>
      <w:r>
        <w:rPr>
          <w:rFonts w:ascii="Segoe UI Symbol" w:eastAsia="Segoe UI Symbol" w:hAnsi="Segoe UI Symbol" w:cs="Segoe UI Symbol"/>
          <w:sz w:val="20"/>
        </w:rPr>
        <w:t></w:t>
      </w:r>
    </w:p>
    <w:p w:rsidR="00E23B86" w:rsidRDefault="00BA7C13">
      <w:pPr>
        <w:numPr>
          <w:ilvl w:val="0"/>
          <w:numId w:val="181"/>
        </w:numPr>
        <w:spacing w:after="25" w:line="248" w:lineRule="auto"/>
        <w:ind w:right="5" w:hanging="360"/>
        <w:jc w:val="both"/>
      </w:pPr>
      <w:r>
        <w:rPr>
          <w:rFonts w:ascii="Arial" w:eastAsia="Arial" w:hAnsi="Arial" w:cs="Arial"/>
        </w:rPr>
        <w:t xml:space="preserve">A través del Reconocimiento Ciudad Amiga de la Infancia, UNICEF Comité </w:t>
      </w:r>
      <w:r>
        <w:rPr>
          <w:rFonts w:ascii="Arial" w:eastAsia="Arial" w:hAnsi="Arial" w:cs="Arial"/>
        </w:rPr>
        <w:t>Español destaca a aquellos gobiernos locales comprometidos con los cinco objetivos de derechos anteriores, que aplican a nivel local un modelo de gestión desde un enfoque de derechos del niño, y que lo hacen bajo un sistema de gobernanza que favorezca la c</w:t>
      </w:r>
      <w:r>
        <w:rPr>
          <w:rFonts w:ascii="Arial" w:eastAsia="Arial" w:hAnsi="Arial" w:cs="Arial"/>
        </w:rPr>
        <w:t>oordinación interna y externa, que promueva y genere mecanismos reales de participación infantil y adolescente y que cuente con una estrategia a largo plazo para incorporar a la infancia y adolescencia en el centro de las políticas y acciones impulsadas de</w:t>
      </w:r>
      <w:r>
        <w:rPr>
          <w:rFonts w:ascii="Arial" w:eastAsia="Arial" w:hAnsi="Arial" w:cs="Arial"/>
        </w:rPr>
        <w:t>sde los gobiernos locales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6" w:line="248" w:lineRule="auto"/>
        <w:ind w:right="5" w:hanging="360"/>
        <w:jc w:val="both"/>
      </w:pPr>
      <w:r>
        <w:rPr>
          <w:rFonts w:ascii="Arial" w:eastAsia="Arial" w:hAnsi="Arial" w:cs="Arial"/>
        </w:rPr>
        <w:t xml:space="preserve">UNICEF Comité Español determinará el otorgamiento del reconocimiento de acuerdo a lo establecido en las bases del reconocimiento 2019-2020. </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110" w:line="248" w:lineRule="auto"/>
        <w:ind w:right="5" w:hanging="360"/>
        <w:jc w:val="both"/>
      </w:pPr>
      <w:r>
        <w:rPr>
          <w:rFonts w:ascii="Arial" w:eastAsia="Arial" w:hAnsi="Arial" w:cs="Arial"/>
          <w:b/>
        </w:rPr>
        <w:t>Tercero.-</w:t>
      </w:r>
      <w:r>
        <w:rPr>
          <w:rFonts w:ascii="Arial" w:eastAsia="Arial" w:hAnsi="Arial" w:cs="Arial"/>
        </w:rPr>
        <w:t xml:space="preserve"> Las bases y toda la documentación relativa a la convocatoria se encuentra p</w:t>
      </w:r>
      <w:r>
        <w:rPr>
          <w:rFonts w:ascii="Arial" w:eastAsia="Arial" w:hAnsi="Arial" w:cs="Arial"/>
        </w:rPr>
        <w:t>ublicada en la página web ciudadesamigas.org/convocatoria-unicefciudades-amigas-infancia/.</w:t>
      </w:r>
    </w:p>
    <w:p w:rsidR="00E23B86" w:rsidRDefault="00BA7C13">
      <w:pPr>
        <w:numPr>
          <w:ilvl w:val="0"/>
          <w:numId w:val="181"/>
        </w:numPr>
        <w:spacing w:after="110" w:line="248" w:lineRule="auto"/>
        <w:ind w:right="5" w:hanging="360"/>
        <w:jc w:val="both"/>
      </w:pPr>
      <w:r>
        <w:rPr>
          <w:rFonts w:ascii="Arial" w:eastAsia="Arial" w:hAnsi="Arial" w:cs="Arial"/>
          <w:b/>
        </w:rPr>
        <w:t>Cuarto.-</w:t>
      </w:r>
      <w:r>
        <w:rPr>
          <w:rFonts w:ascii="Arial" w:eastAsia="Arial" w:hAnsi="Arial" w:cs="Arial"/>
        </w:rPr>
        <w:t xml:space="preserve"> Unicef Comité Español establece como requisitos para obtener el reconocimiento como Ciudad Amiga de la infancia los siguientes:</w:t>
      </w:r>
    </w:p>
    <w:p w:rsidR="00E23B86" w:rsidRDefault="00BA7C13">
      <w:pPr>
        <w:numPr>
          <w:ilvl w:val="0"/>
          <w:numId w:val="181"/>
        </w:numPr>
        <w:spacing w:after="110" w:line="248" w:lineRule="auto"/>
        <w:ind w:right="5" w:hanging="360"/>
        <w:jc w:val="both"/>
      </w:pPr>
      <w:r>
        <w:rPr>
          <w:rFonts w:ascii="Arial" w:eastAsia="Arial" w:hAnsi="Arial" w:cs="Arial"/>
        </w:rPr>
        <w:t>Ser un gobierno local, ayunt</w:t>
      </w:r>
      <w:r>
        <w:rPr>
          <w:rFonts w:ascii="Arial" w:eastAsia="Arial" w:hAnsi="Arial" w:cs="Arial"/>
        </w:rPr>
        <w:t>amiento, mancomunidad, cabildo insular, consejo insular u otro, dentro del sistema de la administración local del Estado Español</w:t>
      </w:r>
    </w:p>
    <w:p w:rsidR="00E23B86" w:rsidRDefault="00BA7C13">
      <w:pPr>
        <w:spacing w:after="110" w:line="248" w:lineRule="auto"/>
        <w:ind w:left="373" w:hanging="10"/>
        <w:jc w:val="both"/>
      </w:pPr>
      <w:r>
        <w:rPr>
          <w:rFonts w:ascii="Arial" w:eastAsia="Arial" w:hAnsi="Arial" w:cs="Arial"/>
        </w:rPr>
        <w:t>y solicitar a UNICEF Comité Español la obtención del reconocimiento, realizando un registro para ello.</w:t>
      </w:r>
    </w:p>
    <w:p w:rsidR="00E23B86" w:rsidRDefault="00BA7C13">
      <w:pPr>
        <w:numPr>
          <w:ilvl w:val="0"/>
          <w:numId w:val="181"/>
        </w:numPr>
        <w:spacing w:after="110" w:line="248" w:lineRule="auto"/>
        <w:ind w:right="5" w:hanging="360"/>
        <w:jc w:val="both"/>
      </w:pPr>
      <w:r>
        <w:rPr>
          <w:rFonts w:ascii="Arial" w:eastAsia="Arial" w:hAnsi="Arial" w:cs="Arial"/>
        </w:rPr>
        <w:t>Contar con un órgano de participación infantil y adolescente activo, promovido, apoyado y reconocido por el gobierno local antes del 29 de febrero de 2020.</w:t>
      </w:r>
    </w:p>
    <w:p w:rsidR="00E23B86" w:rsidRDefault="00BA7C13">
      <w:pPr>
        <w:numPr>
          <w:ilvl w:val="0"/>
          <w:numId w:val="181"/>
        </w:numPr>
        <w:spacing w:after="110" w:line="248" w:lineRule="auto"/>
        <w:ind w:right="5" w:hanging="360"/>
        <w:jc w:val="both"/>
      </w:pPr>
      <w:r>
        <w:rPr>
          <w:rFonts w:ascii="Arial" w:eastAsia="Arial" w:hAnsi="Arial" w:cs="Arial"/>
        </w:rPr>
        <w:t>Haber llevado a pleno municipal la solicitud de participación en esta convocatoria y haber conseguid</w:t>
      </w:r>
      <w:r>
        <w:rPr>
          <w:rFonts w:ascii="Arial" w:eastAsia="Arial" w:hAnsi="Arial" w:cs="Arial"/>
        </w:rPr>
        <w:t xml:space="preserve">o la mayoría suficiente para su aprobación. Será necesario aportar este documento de forma telemática antes del 29 de febrero de 2020 </w:t>
      </w:r>
    </w:p>
    <w:p w:rsidR="00E23B86" w:rsidRDefault="00BA7C13">
      <w:pPr>
        <w:numPr>
          <w:ilvl w:val="0"/>
          <w:numId w:val="181"/>
        </w:numPr>
        <w:spacing w:after="110" w:line="248" w:lineRule="auto"/>
        <w:ind w:right="5" w:hanging="360"/>
        <w:jc w:val="both"/>
      </w:pPr>
      <w:r>
        <w:rPr>
          <w:rFonts w:ascii="Arial" w:eastAsia="Arial" w:hAnsi="Arial" w:cs="Arial"/>
        </w:rPr>
        <w:t>Contar con un mecanismo de coordinación interna, que tenga como objetivo transversalizar la política de infancia dentro d</w:t>
      </w:r>
      <w:r>
        <w:rPr>
          <w:rFonts w:ascii="Arial" w:eastAsia="Arial" w:hAnsi="Arial" w:cs="Arial"/>
        </w:rPr>
        <w:t>el gobierno local. Debe estar constituido y en funcionamiento antes del 29 de febrero de 2020.</w:t>
      </w:r>
    </w:p>
    <w:p w:rsidR="00E23B86" w:rsidRDefault="00BA7C13">
      <w:pPr>
        <w:numPr>
          <w:ilvl w:val="0"/>
          <w:numId w:val="181"/>
        </w:numPr>
        <w:spacing w:after="110" w:line="248" w:lineRule="auto"/>
        <w:ind w:right="5" w:hanging="360"/>
        <w:jc w:val="both"/>
      </w:pPr>
      <w:r>
        <w:rPr>
          <w:rFonts w:ascii="Arial" w:eastAsia="Arial" w:hAnsi="Arial" w:cs="Arial"/>
        </w:rPr>
        <w:t>Contar con un diagnóstico, elaborado de forma participativa y basado en datos, de la situación de la infancia y adolescencia que vive en el ámbito geográfico del</w:t>
      </w:r>
      <w:r>
        <w:rPr>
          <w:rFonts w:ascii="Arial" w:eastAsia="Arial" w:hAnsi="Arial" w:cs="Arial"/>
        </w:rPr>
        <w:t xml:space="preserve"> gobierno local, de los recursos y servicios con los que se cuenta para su atención. El diagnóstico permitirá resaltar los principales desafíos en temas de infancia y adolescencia a los que se enfrenta el gobierno local. Las entidades locales solicitantes </w:t>
      </w:r>
      <w:r>
        <w:rPr>
          <w:rFonts w:ascii="Arial" w:eastAsia="Arial" w:hAnsi="Arial" w:cs="Arial"/>
        </w:rPr>
        <w:t xml:space="preserve">deberán entregar el documento de su diagnóstico, e informar a través de la herramienta online de gestión de la información, antes del 30 de junio de 2020. </w:t>
      </w:r>
    </w:p>
    <w:p w:rsidR="00E23B86" w:rsidRDefault="00BA7C13">
      <w:pPr>
        <w:numPr>
          <w:ilvl w:val="0"/>
          <w:numId w:val="181"/>
        </w:numPr>
        <w:spacing w:after="110" w:line="248" w:lineRule="auto"/>
        <w:ind w:right="5" w:hanging="360"/>
        <w:jc w:val="both"/>
      </w:pPr>
      <w:r>
        <w:rPr>
          <w:noProof/>
        </w:rPr>
        <mc:AlternateContent>
          <mc:Choice Requires="wpg">
            <w:drawing>
              <wp:anchor distT="0" distB="0" distL="114300" distR="114300" simplePos="0" relativeHeight="2520115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5843" name="Group 58584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442" name="Rectangle 5344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3443" name="Rectangle 5344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5843" style="width:12.7031pt;height:280.35pt;position:absolute;mso-position-horizontal-relative:page;mso-position-horizontal:absolute;margin-left:681.958pt;mso-position-vertical-relative:page;margin-top:531.65pt;" coordsize="1613,35604">
                <v:rect id="Rectangle 5344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44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343 de 391 </w:t>
                        </w:r>
                      </w:p>
                    </w:txbxContent>
                  </v:textbox>
                </v:rect>
                <w10:wrap type="square"/>
              </v:group>
            </w:pict>
          </mc:Fallback>
        </mc:AlternateContent>
      </w:r>
      <w:r>
        <w:rPr>
          <w:rFonts w:ascii="Arial" w:eastAsia="Arial" w:hAnsi="Arial" w:cs="Arial"/>
        </w:rPr>
        <w:t xml:space="preserve">Contar con un plan local de infancia y adolescencia con su respectiva previsión presupuestaria. El plan debe incluir indicadores que faciliten el seguimiento </w:t>
      </w:r>
      <w:r>
        <w:rPr>
          <w:rFonts w:ascii="Arial" w:eastAsia="Arial" w:hAnsi="Arial" w:cs="Arial"/>
        </w:rPr>
        <w:t>de su implementación. La fecha de entrega de información asociada a este requisito en la plataforma online y subir el plan elaborado como máximo hasta el 30 de junio de 2020.</w:t>
      </w:r>
    </w:p>
    <w:p w:rsidR="00E23B86" w:rsidRDefault="00BA7C13">
      <w:pPr>
        <w:numPr>
          <w:ilvl w:val="0"/>
          <w:numId w:val="181"/>
        </w:numPr>
        <w:spacing w:after="110" w:line="248" w:lineRule="auto"/>
        <w:ind w:right="5" w:hanging="360"/>
        <w:jc w:val="both"/>
      </w:pPr>
      <w:r>
        <w:rPr>
          <w:rFonts w:ascii="Arial" w:eastAsia="Arial" w:hAnsi="Arial" w:cs="Arial"/>
        </w:rPr>
        <w:t>Aprobar en el pleno municipal el plan local de infancia y adolescencia del gobier</w:t>
      </w:r>
      <w:r>
        <w:rPr>
          <w:rFonts w:ascii="Arial" w:eastAsia="Arial" w:hAnsi="Arial" w:cs="Arial"/>
        </w:rPr>
        <w:t>no local. La fecha de entrega es hasta el 30 de septiembre de 2020</w:t>
      </w:r>
    </w:p>
    <w:p w:rsidR="00E23B86" w:rsidRDefault="00BA7C13">
      <w:pPr>
        <w:numPr>
          <w:ilvl w:val="0"/>
          <w:numId w:val="181"/>
        </w:numPr>
        <w:spacing w:after="110" w:line="248" w:lineRule="auto"/>
        <w:ind w:right="5" w:hanging="360"/>
        <w:jc w:val="both"/>
      </w:pPr>
      <w:r>
        <w:rPr>
          <w:rFonts w:ascii="Arial" w:eastAsia="Arial" w:hAnsi="Arial" w:cs="Arial"/>
        </w:rPr>
        <w:t>Realizar un ejercicio de transparencia y fomentar el buen gobierno y la rendición de cuentas, mediante la publicación permanente en la página web del gobierno local, del diagnóstico y del p</w:t>
      </w:r>
      <w:r>
        <w:rPr>
          <w:rFonts w:ascii="Arial" w:eastAsia="Arial" w:hAnsi="Arial" w:cs="Arial"/>
        </w:rPr>
        <w:t>lan local de infancia y adolescencia. La fecha máxima asociada a este requisito es el 30 de septiembre de 2020.</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110" w:line="248" w:lineRule="auto"/>
        <w:ind w:right="5" w:hanging="360"/>
        <w:jc w:val="both"/>
      </w:pPr>
      <w:r>
        <w:rPr>
          <w:rFonts w:ascii="Arial" w:eastAsia="Arial" w:hAnsi="Arial" w:cs="Arial"/>
          <w:b/>
        </w:rPr>
        <w:t>Quinto.-</w:t>
      </w:r>
      <w:r>
        <w:rPr>
          <w:rFonts w:ascii="Arial" w:eastAsia="Arial" w:hAnsi="Arial" w:cs="Arial"/>
        </w:rPr>
        <w:t xml:space="preserve"> Si bien no se establece como requisito para el reconocimiento como Ciudad Amiga de la Infancia contar con un Consejo Local de Infanci</w:t>
      </w:r>
      <w:r>
        <w:rPr>
          <w:rFonts w:ascii="Arial" w:eastAsia="Arial" w:hAnsi="Arial" w:cs="Arial"/>
        </w:rPr>
        <w:t>a y Adolescencia (CLIA), este órgano es preciso para dar cumplimiento al resto de los requisitos en cuanto es el mecanismo de comunicación y participación de los niños, niñas y adolescentes con el gobierno local.</w:t>
      </w:r>
    </w:p>
    <w:p w:rsidR="00E23B86" w:rsidRDefault="00BA7C13">
      <w:pPr>
        <w:numPr>
          <w:ilvl w:val="0"/>
          <w:numId w:val="181"/>
        </w:numPr>
        <w:spacing w:after="110" w:line="248" w:lineRule="auto"/>
        <w:ind w:right="5" w:hanging="360"/>
        <w:jc w:val="both"/>
      </w:pPr>
      <w:r>
        <w:rPr>
          <w:rFonts w:ascii="Arial" w:eastAsia="Arial" w:hAnsi="Arial" w:cs="Arial"/>
        </w:rPr>
        <w:t>Las funciones, composición, y organización del Consejo Local deben estar regladas para garantizar su buen funcionamiento.</w:t>
      </w:r>
    </w:p>
    <w:p w:rsidR="00E23B86" w:rsidRDefault="00BA7C13">
      <w:pPr>
        <w:numPr>
          <w:ilvl w:val="0"/>
          <w:numId w:val="181"/>
        </w:numPr>
        <w:spacing w:after="110" w:line="248" w:lineRule="auto"/>
        <w:ind w:right="5" w:hanging="360"/>
        <w:jc w:val="both"/>
      </w:pPr>
      <w:r>
        <w:rPr>
          <w:rFonts w:ascii="Arial" w:eastAsia="Arial" w:hAnsi="Arial" w:cs="Arial"/>
        </w:rPr>
        <w:t>El Ayuntamiento ha sometido el borrador del Reglamento del Consejo Local de Infancia y Adolescencia a consulta pública previa desde el</w:t>
      </w:r>
      <w:r>
        <w:rPr>
          <w:rFonts w:ascii="Arial" w:eastAsia="Arial" w:hAnsi="Arial" w:cs="Arial"/>
        </w:rPr>
        <w:t xml:space="preserve"> día 5 hasta el día 20 de febrero 2020 para su posterior aprobación.</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110" w:line="248" w:lineRule="auto"/>
        <w:ind w:right="5" w:hanging="360"/>
        <w:jc w:val="both"/>
      </w:pPr>
      <w:r>
        <w:rPr>
          <w:rFonts w:ascii="Arial" w:eastAsia="Arial" w:hAnsi="Arial" w:cs="Arial"/>
          <w:b/>
        </w:rPr>
        <w:t>Sexto.-</w:t>
      </w:r>
      <w:r>
        <w:rPr>
          <w:rFonts w:ascii="Arial" w:eastAsia="Arial" w:hAnsi="Arial" w:cs="Arial"/>
        </w:rPr>
        <w:t xml:space="preserve">  Consta en el expediente informe de fecha 17 de febrero de 2020 emitido por la Educadora Ana Herrera Morales, del siguiente tenor literal:</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89"/>
        <w:ind w:left="10" w:right="267" w:hanging="10"/>
        <w:jc w:val="center"/>
      </w:pPr>
      <w:r>
        <w:rPr>
          <w:rFonts w:ascii="Segoe UI Symbol" w:eastAsia="Segoe UI Symbol" w:hAnsi="Segoe UI Symbol" w:cs="Segoe UI Symbol"/>
          <w:sz w:val="20"/>
        </w:rPr>
        <w:t></w:t>
      </w:r>
    </w:p>
    <w:p w:rsidR="00E23B86" w:rsidRDefault="00BA7C13">
      <w:pPr>
        <w:numPr>
          <w:ilvl w:val="0"/>
          <w:numId w:val="181"/>
        </w:numPr>
        <w:spacing w:after="89"/>
        <w:ind w:right="5" w:hanging="360"/>
        <w:jc w:val="both"/>
      </w:pPr>
      <w:r>
        <w:rPr>
          <w:rFonts w:ascii="Arial" w:eastAsia="Arial" w:hAnsi="Arial" w:cs="Arial"/>
          <w:b/>
          <w:i/>
        </w:rPr>
        <w:t>“INFORME TÉCNICO</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3" w:line="251" w:lineRule="auto"/>
        <w:ind w:right="5" w:hanging="360"/>
        <w:jc w:val="both"/>
      </w:pPr>
      <w:r>
        <w:rPr>
          <w:rFonts w:ascii="Arial" w:eastAsia="Arial" w:hAnsi="Arial" w:cs="Arial"/>
          <w:i/>
        </w:rPr>
        <w:t>Los niños/as y adolescentes (NNA) han estado sin voz en los procesos de toma de decisiones, en cuanto a ellos se refiere, hasta la aprobación de la Convención sobre los Derechos del Niño (20 noviembre 1989), donde se acepta como persona con derecho a la pa</w:t>
      </w:r>
      <w:r>
        <w:rPr>
          <w:rFonts w:ascii="Arial" w:eastAsia="Arial" w:hAnsi="Arial" w:cs="Arial"/>
          <w:i/>
        </w:rPr>
        <w:t>rticipación, que se integren como personas activas de la comunidad.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3" w:line="251" w:lineRule="auto"/>
        <w:ind w:right="5" w:hanging="360"/>
        <w:jc w:val="both"/>
      </w:pPr>
      <w:r>
        <w:rPr>
          <w:rFonts w:ascii="Arial" w:eastAsia="Arial" w:hAnsi="Arial" w:cs="Arial"/>
          <w:i/>
        </w:rPr>
        <w:t xml:space="preserve">La participación ciudadana es uno de los elementos clave para el desarrollo de las políticas públicas. Uno de los colectivos que tiene mayor dificultad a la hora de ejercer su derecho a </w:t>
      </w:r>
      <w:r>
        <w:rPr>
          <w:rFonts w:ascii="Arial" w:eastAsia="Arial" w:hAnsi="Arial" w:cs="Arial"/>
          <w:i/>
        </w:rPr>
        <w:t>participar e intervenir en la realidad que les rodea, es el de niños/as y adolescentes.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3" w:line="251" w:lineRule="auto"/>
        <w:ind w:right="5" w:hanging="360"/>
        <w:jc w:val="both"/>
      </w:pPr>
      <w:r>
        <w:rPr>
          <w:rFonts w:ascii="Arial" w:eastAsia="Arial" w:hAnsi="Arial" w:cs="Arial"/>
          <w:i/>
        </w:rPr>
        <w:t>El proyecto “Ciudades Amigas de la Infancia y Adolescencia” pretende conseguir la participación social de los más jóvenes a nivel municipal, teniendo en cuenta como f</w:t>
      </w:r>
      <w:r>
        <w:rPr>
          <w:rFonts w:ascii="Arial" w:eastAsia="Arial" w:hAnsi="Arial" w:cs="Arial"/>
          <w:i/>
        </w:rPr>
        <w:t>inalidad esencial la definición de todo un conjunto de criterios generales y elementos informadores que ayuden a orientar la puesta en acción de dicho proyecto.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3" w:line="251" w:lineRule="auto"/>
        <w:ind w:right="5" w:hanging="360"/>
        <w:jc w:val="both"/>
      </w:pPr>
      <w:r>
        <w:rPr>
          <w:noProof/>
        </w:rPr>
        <mc:AlternateContent>
          <mc:Choice Requires="wpg">
            <w:drawing>
              <wp:anchor distT="0" distB="0" distL="114300" distR="114300" simplePos="0" relativeHeight="2520125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6467" name="Group 58646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513" name="Rectangle 5351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https://candelaria.sedelectroni</w:t>
                              </w:r>
                              <w:r>
                                <w:rPr>
                                  <w:rFonts w:ascii="Arial" w:eastAsia="Arial" w:hAnsi="Arial" w:cs="Arial"/>
                                  <w:sz w:val="12"/>
                                </w:rPr>
                                <w:t xml:space="preserve">ca.es/ </w:t>
                              </w:r>
                            </w:p>
                          </w:txbxContent>
                        </wps:txbx>
                        <wps:bodyPr horzOverflow="overflow" vert="horz" lIns="0" tIns="0" rIns="0" bIns="0" rtlCol="0">
                          <a:noAutofit/>
                        </wps:bodyPr>
                      </wps:wsp>
                      <wps:wsp>
                        <wps:cNvPr id="53514" name="Rectangle 5351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6467" style="width:12.7031pt;height:280.35pt;position:absolute;mso-position-horizontal-relative:page;mso-position-horizontal:absolute;margin-left:681.958pt;mso-position-vertical-relative:page;margin-top:531.65pt;" coordsize="1613,35604">
                <v:rect id="Rectangle 5351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51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344 de 391 </w:t>
                        </w:r>
                      </w:p>
                    </w:txbxContent>
                  </v:textbox>
                </v:rect>
                <w10:wrap type="square"/>
              </v:group>
            </w:pict>
          </mc:Fallback>
        </mc:AlternateContent>
      </w:r>
      <w:r>
        <w:rPr>
          <w:rFonts w:ascii="Arial" w:eastAsia="Arial" w:hAnsi="Arial" w:cs="Arial"/>
          <w:i/>
        </w:rPr>
        <w:t xml:space="preserve">El Ayuntamiento de Candelaria quiere reconocer el derecho de los más jóvenes a estar presentes, a decir que piensan, escuchar e incluir su voz, en las </w:t>
      </w:r>
      <w:r>
        <w:rPr>
          <w:rFonts w:ascii="Arial" w:eastAsia="Arial" w:hAnsi="Arial" w:cs="Arial"/>
          <w:i/>
        </w:rPr>
        <w:t>decisiones que les afecten en su desarrollo.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3" w:line="251" w:lineRule="auto"/>
        <w:ind w:right="5" w:hanging="360"/>
        <w:jc w:val="both"/>
      </w:pPr>
      <w:r>
        <w:rPr>
          <w:rFonts w:ascii="Arial" w:eastAsia="Arial" w:hAnsi="Arial" w:cs="Arial"/>
          <w:i/>
        </w:rPr>
        <w:t>Se inicia el proceso para ser reconocido como Ciudad Amiga de la Infancia y la Adolescencia por aprobación plenaria el 04/04/2019</w:t>
      </w:r>
      <w:r>
        <w:rPr>
          <w:rFonts w:ascii="Arial" w:eastAsia="Arial" w:hAnsi="Arial" w:cs="Arial"/>
          <w:i/>
        </w:rPr>
        <w:t>. Posteriormente se comienza el cumplimiento de los requisitos establecidos en las bases de la convocatoria 2019-2020.</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4" w:line="251" w:lineRule="auto"/>
        <w:ind w:right="5" w:hanging="360"/>
        <w:jc w:val="both"/>
      </w:pPr>
      <w:r>
        <w:rPr>
          <w:rFonts w:ascii="Arial" w:eastAsia="Arial" w:hAnsi="Arial" w:cs="Arial"/>
          <w:i/>
        </w:rPr>
        <w:t>1.- Se da registro de todos los datos generales en la plataforma online de UNICEF (09/01/2020).</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12" w:line="251" w:lineRule="auto"/>
        <w:ind w:right="5" w:hanging="360"/>
        <w:jc w:val="both"/>
      </w:pPr>
      <w:r>
        <w:rPr>
          <w:rFonts w:ascii="Arial" w:eastAsia="Arial" w:hAnsi="Arial" w:cs="Arial"/>
          <w:i/>
        </w:rPr>
        <w:t xml:space="preserve">2.- Órgano de participación infantil </w:t>
      </w:r>
      <w:r>
        <w:rPr>
          <w:rFonts w:ascii="Arial" w:eastAsia="Arial" w:hAnsi="Arial" w:cs="Arial"/>
          <w:i/>
        </w:rPr>
        <w:t>y adolescente (OPIA):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14" w:line="251" w:lineRule="auto"/>
        <w:ind w:right="5" w:hanging="360"/>
        <w:jc w:val="both"/>
      </w:pPr>
      <w:r>
        <w:rPr>
          <w:rFonts w:ascii="Arial" w:eastAsia="Arial" w:hAnsi="Arial" w:cs="Arial"/>
          <w:i/>
        </w:rPr>
        <w:t>Los requisitos para formar parte de este grupo son:</w:t>
      </w:r>
    </w:p>
    <w:p w:rsidR="00E23B86" w:rsidRDefault="00BA7C13">
      <w:pPr>
        <w:numPr>
          <w:ilvl w:val="1"/>
          <w:numId w:val="186"/>
        </w:numPr>
        <w:spacing w:after="0" w:line="455" w:lineRule="auto"/>
        <w:ind w:right="24" w:hanging="360"/>
        <w:jc w:val="both"/>
      </w:pPr>
      <w:r>
        <w:rPr>
          <w:rFonts w:ascii="Arial" w:eastAsia="Arial" w:hAnsi="Arial" w:cs="Arial"/>
          <w:i/>
        </w:rPr>
        <w:t xml:space="preserve">Residir en el municipio. </w:t>
      </w:r>
      <w:r>
        <w:rPr>
          <w:rFonts w:ascii="Courier New" w:eastAsia="Courier New" w:hAnsi="Courier New" w:cs="Courier New"/>
          <w:sz w:val="20"/>
        </w:rPr>
        <w:t xml:space="preserve">o </w:t>
      </w:r>
      <w:r>
        <w:rPr>
          <w:rFonts w:ascii="Arial" w:eastAsia="Arial" w:hAnsi="Arial" w:cs="Arial"/>
          <w:i/>
        </w:rPr>
        <w:t xml:space="preserve">Tener menos de 18 años </w:t>
      </w:r>
      <w:r>
        <w:rPr>
          <w:rFonts w:ascii="Courier New" w:eastAsia="Courier New" w:hAnsi="Courier New" w:cs="Courier New"/>
          <w:sz w:val="20"/>
        </w:rPr>
        <w:t xml:space="preserve">o </w:t>
      </w:r>
      <w:r>
        <w:rPr>
          <w:rFonts w:ascii="Arial" w:eastAsia="Arial" w:hAnsi="Arial" w:cs="Arial"/>
          <w:i/>
        </w:rPr>
        <w:t>Participar voluntariamente</w:t>
      </w:r>
    </w:p>
    <w:p w:rsidR="00E23B86" w:rsidRDefault="00BA7C13">
      <w:pPr>
        <w:numPr>
          <w:ilvl w:val="1"/>
          <w:numId w:val="186"/>
        </w:numPr>
        <w:spacing w:after="180" w:line="251" w:lineRule="auto"/>
        <w:ind w:right="24" w:hanging="360"/>
        <w:jc w:val="both"/>
      </w:pPr>
      <w:r>
        <w:rPr>
          <w:rFonts w:ascii="Arial" w:eastAsia="Arial" w:hAnsi="Arial" w:cs="Arial"/>
          <w:i/>
        </w:rPr>
        <w:t>Contar con el consentimiento de quien ostente la guarda y custodia o patria potestad</w:t>
      </w:r>
    </w:p>
    <w:p w:rsidR="00E23B86" w:rsidRDefault="00BA7C13">
      <w:pPr>
        <w:numPr>
          <w:ilvl w:val="1"/>
          <w:numId w:val="186"/>
        </w:numPr>
        <w:spacing w:after="111" w:line="301" w:lineRule="auto"/>
        <w:ind w:right="24" w:hanging="360"/>
        <w:jc w:val="both"/>
      </w:pPr>
      <w:r>
        <w:rPr>
          <w:rFonts w:ascii="Arial" w:eastAsia="Arial" w:hAnsi="Arial" w:cs="Arial"/>
          <w:i/>
        </w:rPr>
        <w:t>El OPIA es un es</w:t>
      </w:r>
      <w:r>
        <w:rPr>
          <w:rFonts w:ascii="Arial" w:eastAsia="Arial" w:hAnsi="Arial" w:cs="Arial"/>
          <w:i/>
        </w:rPr>
        <w:t xml:space="preserve">pacio conformado por </w:t>
      </w:r>
      <w:r>
        <w:rPr>
          <w:rFonts w:ascii="Arial" w:eastAsia="Arial" w:hAnsi="Arial" w:cs="Arial"/>
          <w:b/>
          <w:i/>
        </w:rPr>
        <w:t>8 niños y 7 niñas</w:t>
      </w:r>
      <w:r>
        <w:rPr>
          <w:rFonts w:ascii="Arial" w:eastAsia="Arial" w:hAnsi="Arial" w:cs="Arial"/>
          <w:i/>
        </w:rPr>
        <w:t xml:space="preserve"> siendo los altavoces de todos los/as niños/as y adolescentes del municipio donde</w:t>
      </w:r>
    </w:p>
    <w:p w:rsidR="00E23B86" w:rsidRDefault="00BA7C13">
      <w:pPr>
        <w:spacing w:after="23" w:line="251" w:lineRule="auto"/>
        <w:ind w:left="1090" w:hanging="10"/>
        <w:jc w:val="both"/>
      </w:pPr>
      <w:r>
        <w:rPr>
          <w:rFonts w:ascii="Arial" w:eastAsia="Arial" w:hAnsi="Arial" w:cs="Arial"/>
          <w:i/>
        </w:rPr>
        <w:t>sus propuestas, ideas y necesidades son tenidas en cuenta por el gobierno local.</w:t>
      </w:r>
    </w:p>
    <w:p w:rsidR="00E23B86" w:rsidRDefault="00BA7C13">
      <w:pPr>
        <w:numPr>
          <w:ilvl w:val="1"/>
          <w:numId w:val="186"/>
        </w:numPr>
        <w:spacing w:after="30" w:line="251" w:lineRule="auto"/>
        <w:ind w:right="24" w:hanging="360"/>
        <w:jc w:val="both"/>
      </w:pPr>
      <w:r>
        <w:rPr>
          <w:rFonts w:ascii="Arial" w:eastAsia="Arial" w:hAnsi="Arial" w:cs="Arial"/>
          <w:i/>
        </w:rPr>
        <w:t>Para la elección de los representantes, en los centros educativos y cívicos, se les informó de cómo participar en el grupo, se presentaron voluntariamente teniendo en cuenta la participación equitativa por géneros e involucrando a los más vulnerables.</w:t>
      </w:r>
    </w:p>
    <w:p w:rsidR="00E23B86" w:rsidRDefault="00BA7C13">
      <w:pPr>
        <w:numPr>
          <w:ilvl w:val="1"/>
          <w:numId w:val="186"/>
        </w:numPr>
        <w:spacing w:after="52" w:line="251" w:lineRule="auto"/>
        <w:ind w:right="24" w:hanging="360"/>
        <w:jc w:val="both"/>
      </w:pPr>
      <w:r>
        <w:rPr>
          <w:rFonts w:ascii="Arial" w:eastAsia="Arial" w:hAnsi="Arial" w:cs="Arial"/>
          <w:i/>
        </w:rPr>
        <w:t xml:space="preserve">Las </w:t>
      </w:r>
      <w:r>
        <w:rPr>
          <w:rFonts w:ascii="Arial" w:eastAsia="Arial" w:hAnsi="Arial" w:cs="Arial"/>
          <w:i/>
        </w:rPr>
        <w:t>edades abarcan desde los nueve hasta los dieciséis años.</w:t>
      </w:r>
    </w:p>
    <w:p w:rsidR="00E23B86" w:rsidRDefault="00BA7C13">
      <w:pPr>
        <w:numPr>
          <w:ilvl w:val="1"/>
          <w:numId w:val="186"/>
        </w:numPr>
        <w:spacing w:after="29" w:line="251" w:lineRule="auto"/>
        <w:ind w:right="24" w:hanging="360"/>
        <w:jc w:val="both"/>
      </w:pPr>
      <w:r>
        <w:rPr>
          <w:rFonts w:ascii="Arial" w:eastAsia="Arial" w:hAnsi="Arial" w:cs="Arial"/>
          <w:i/>
        </w:rPr>
        <w:t xml:space="preserve">Las reuniones tendrán lugar una vez al mes, y el horario será fuera del horario escolar, en función de las actividades extraescolares de los NNA. </w:t>
      </w:r>
      <w:r>
        <w:rPr>
          <w:rFonts w:ascii="Courier New" w:eastAsia="Courier New" w:hAnsi="Courier New" w:cs="Courier New"/>
          <w:sz w:val="20"/>
        </w:rPr>
        <w:t xml:space="preserve">o </w:t>
      </w:r>
      <w:r>
        <w:rPr>
          <w:rFonts w:ascii="Arial" w:eastAsia="Arial" w:hAnsi="Arial" w:cs="Arial"/>
          <w:i/>
        </w:rPr>
        <w:t>Los recursos necesarios para su funcionamiento son:</w:t>
      </w:r>
      <w:r>
        <w:rPr>
          <w:rFonts w:ascii="Arial" w:eastAsia="Arial" w:hAnsi="Arial" w:cs="Arial"/>
          <w:i/>
        </w:rPr>
        <w:t xml:space="preserve"> recursos humanos, material fungible, instalación específica para las reuniones (Servicios Sociales), equipos y soportes técnicos, transporte (en caso de que la residencia habitual de los participantes se encuentre alejados de la instalación).</w:t>
      </w:r>
    </w:p>
    <w:p w:rsidR="00E23B86" w:rsidRDefault="00BA7C13">
      <w:pPr>
        <w:numPr>
          <w:ilvl w:val="1"/>
          <w:numId w:val="186"/>
        </w:numPr>
        <w:spacing w:after="34" w:line="251" w:lineRule="auto"/>
        <w:ind w:right="24" w:hanging="360"/>
        <w:jc w:val="both"/>
      </w:pPr>
      <w:r>
        <w:rPr>
          <w:rFonts w:ascii="Arial" w:eastAsia="Arial" w:hAnsi="Arial" w:cs="Arial"/>
          <w:i/>
        </w:rPr>
        <w:t>Las propuest</w:t>
      </w:r>
      <w:r>
        <w:rPr>
          <w:rFonts w:ascii="Arial" w:eastAsia="Arial" w:hAnsi="Arial" w:cs="Arial"/>
          <w:i/>
        </w:rPr>
        <w:t>as y conclusiones que se planteen deben de ser tenidas en cuenta por los responsables de gobierno local y a su vez que reciban la información oportuna sean o no factibles.</w:t>
      </w:r>
    </w:p>
    <w:p w:rsidR="00E23B86" w:rsidRDefault="00BA7C13">
      <w:pPr>
        <w:numPr>
          <w:ilvl w:val="1"/>
          <w:numId w:val="186"/>
        </w:numPr>
        <w:spacing w:after="28" w:line="251" w:lineRule="auto"/>
        <w:ind w:right="24" w:hanging="360"/>
        <w:jc w:val="both"/>
      </w:pPr>
      <w:r>
        <w:rPr>
          <w:noProof/>
        </w:rPr>
        <mc:AlternateContent>
          <mc:Choice Requires="wpg">
            <w:drawing>
              <wp:anchor distT="0" distB="0" distL="114300" distR="114300" simplePos="0" relativeHeight="2520135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6629" name="Group 58662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598" name="Rectangle 5359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https://candelaria.sed</w:t>
                              </w:r>
                              <w:r>
                                <w:rPr>
                                  <w:rFonts w:ascii="Arial" w:eastAsia="Arial" w:hAnsi="Arial" w:cs="Arial"/>
                                  <w:sz w:val="12"/>
                                </w:rPr>
                                <w:t xml:space="preserve">electronica.es/ </w:t>
                              </w:r>
                            </w:p>
                          </w:txbxContent>
                        </wps:txbx>
                        <wps:bodyPr horzOverflow="overflow" vert="horz" lIns="0" tIns="0" rIns="0" bIns="0" rtlCol="0">
                          <a:noAutofit/>
                        </wps:bodyPr>
                      </wps:wsp>
                      <wps:wsp>
                        <wps:cNvPr id="53599" name="Rectangle 5359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6629" style="width:12.7031pt;height:280.35pt;position:absolute;mso-position-horizontal-relative:page;mso-position-horizontal:absolute;margin-left:681.958pt;mso-position-vertical-relative:page;margin-top:531.65pt;" coordsize="1613,35604">
                <v:rect id="Rectangle 5359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59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345 de 391 </w:t>
                        </w:r>
                      </w:p>
                    </w:txbxContent>
                  </v:textbox>
                </v:rect>
                <w10:wrap type="square"/>
              </v:group>
            </w:pict>
          </mc:Fallback>
        </mc:AlternateContent>
      </w:r>
      <w:r>
        <w:rPr>
          <w:rFonts w:ascii="Arial" w:eastAsia="Arial" w:hAnsi="Arial" w:cs="Arial"/>
          <w:i/>
        </w:rPr>
        <w:t xml:space="preserve">En la dinámica del grupo solo participarán los/as niños/as y adolescentes junto con un técnico de Participación Ciudadana (Concepción Sicilia </w:t>
      </w:r>
      <w:r>
        <w:rPr>
          <w:rFonts w:ascii="Arial" w:eastAsia="Arial" w:hAnsi="Arial" w:cs="Arial"/>
          <w:i/>
        </w:rPr>
        <w:t>González) y la educadora de Servicios Sociales (Ana Herrera Morales). Toda la metodología será participativa y activa donde los/as niños/as sean los protagonistas.</w:t>
      </w:r>
    </w:p>
    <w:p w:rsidR="00E23B86" w:rsidRDefault="00BA7C13">
      <w:pPr>
        <w:numPr>
          <w:ilvl w:val="1"/>
          <w:numId w:val="186"/>
        </w:numPr>
        <w:spacing w:after="0" w:line="301" w:lineRule="auto"/>
        <w:ind w:right="24" w:hanging="360"/>
        <w:jc w:val="both"/>
      </w:pPr>
      <w:r>
        <w:rPr>
          <w:rFonts w:ascii="Arial" w:eastAsia="Arial" w:hAnsi="Arial" w:cs="Arial"/>
          <w:i/>
        </w:rPr>
        <w:t>El órgano de participación contará con un reglamento específico elaborado y aprobado por los propios NNA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12" w:line="251" w:lineRule="auto"/>
        <w:ind w:right="5" w:hanging="360"/>
        <w:jc w:val="both"/>
      </w:pPr>
      <w:r>
        <w:rPr>
          <w:rFonts w:ascii="Arial" w:eastAsia="Arial" w:hAnsi="Arial" w:cs="Arial"/>
          <w:i/>
        </w:rPr>
        <w:t>3.- Órgano de coordinación interna:</w:t>
      </w:r>
    </w:p>
    <w:p w:rsidR="00E23B86" w:rsidRDefault="00BA7C13">
      <w:pPr>
        <w:numPr>
          <w:ilvl w:val="0"/>
          <w:numId w:val="181"/>
        </w:numPr>
        <w:spacing w:after="33" w:line="251" w:lineRule="auto"/>
        <w:ind w:right="5" w:hanging="360"/>
        <w:jc w:val="both"/>
      </w:pPr>
      <w:r>
        <w:rPr>
          <w:rFonts w:ascii="Courier New" w:eastAsia="Courier New" w:hAnsi="Courier New" w:cs="Courier New"/>
          <w:sz w:val="20"/>
        </w:rPr>
        <w:t xml:space="preserve">o </w:t>
      </w:r>
      <w:r>
        <w:rPr>
          <w:rFonts w:ascii="Arial" w:eastAsia="Arial" w:hAnsi="Arial" w:cs="Arial"/>
          <w:i/>
        </w:rPr>
        <w:t xml:space="preserve">Es un espacio del gobierno local con representación de diversas áreas, tanto a nivel político como técnico. </w:t>
      </w:r>
    </w:p>
    <w:p w:rsidR="00E23B86" w:rsidRDefault="00BA7C13">
      <w:pPr>
        <w:numPr>
          <w:ilvl w:val="1"/>
          <w:numId w:val="184"/>
        </w:numPr>
        <w:spacing w:after="56" w:line="251" w:lineRule="auto"/>
        <w:ind w:right="573" w:hanging="360"/>
        <w:jc w:val="both"/>
      </w:pPr>
      <w:r>
        <w:rPr>
          <w:rFonts w:ascii="Arial" w:eastAsia="Arial" w:hAnsi="Arial" w:cs="Arial"/>
          <w:i/>
        </w:rPr>
        <w:t>Ti</w:t>
      </w:r>
      <w:r>
        <w:rPr>
          <w:rFonts w:ascii="Arial" w:eastAsia="Arial" w:hAnsi="Arial" w:cs="Arial"/>
          <w:i/>
        </w:rPr>
        <w:t>ene como objetivo transversalizar la política local de infancia.</w:t>
      </w:r>
    </w:p>
    <w:p w:rsidR="00E23B86" w:rsidRDefault="00BA7C13">
      <w:pPr>
        <w:numPr>
          <w:ilvl w:val="1"/>
          <w:numId w:val="184"/>
        </w:numPr>
        <w:spacing w:after="51" w:line="251" w:lineRule="auto"/>
        <w:ind w:right="573" w:hanging="360"/>
        <w:jc w:val="both"/>
      </w:pPr>
      <w:r>
        <w:rPr>
          <w:rFonts w:ascii="Arial" w:eastAsia="Arial" w:hAnsi="Arial" w:cs="Arial"/>
          <w:i/>
        </w:rPr>
        <w:t>Está formado por:</w:t>
      </w:r>
    </w:p>
    <w:p w:rsidR="00E23B86" w:rsidRDefault="00BA7C13">
      <w:pPr>
        <w:numPr>
          <w:ilvl w:val="3"/>
          <w:numId w:val="182"/>
        </w:numPr>
        <w:spacing w:after="24" w:line="251" w:lineRule="auto"/>
        <w:ind w:right="371" w:hanging="360"/>
        <w:jc w:val="both"/>
      </w:pPr>
      <w:r>
        <w:rPr>
          <w:rFonts w:ascii="Arial" w:eastAsia="Arial" w:hAnsi="Arial" w:cs="Arial"/>
          <w:i/>
        </w:rPr>
        <w:t>Olivia C. Pérez Díaz. Concejala de Servicios Sociales, Igualdad y Sanidad.</w:t>
      </w:r>
    </w:p>
    <w:p w:rsidR="00E23B86" w:rsidRDefault="00BA7C13">
      <w:pPr>
        <w:numPr>
          <w:ilvl w:val="3"/>
          <w:numId w:val="182"/>
        </w:numPr>
        <w:spacing w:after="24" w:line="251" w:lineRule="auto"/>
        <w:ind w:right="371" w:hanging="360"/>
        <w:jc w:val="both"/>
      </w:pPr>
      <w:r>
        <w:rPr>
          <w:rFonts w:ascii="Arial" w:eastAsia="Arial" w:hAnsi="Arial" w:cs="Arial"/>
          <w:i/>
        </w:rPr>
        <w:t xml:space="preserve">Margarita E. Tendero Barroso. Concejala de Educación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Ana Perdomo Castagno. Técnico/a de Educació</w:t>
      </w:r>
      <w:r>
        <w:rPr>
          <w:rFonts w:ascii="Arial" w:eastAsia="Arial" w:hAnsi="Arial" w:cs="Arial"/>
          <w:i/>
        </w:rPr>
        <w:t>n.</w:t>
      </w:r>
    </w:p>
    <w:p w:rsidR="00E23B86" w:rsidRDefault="00BA7C13">
      <w:pPr>
        <w:numPr>
          <w:ilvl w:val="3"/>
          <w:numId w:val="182"/>
        </w:numPr>
        <w:spacing w:after="27" w:line="251" w:lineRule="auto"/>
        <w:ind w:right="371" w:hanging="360"/>
        <w:jc w:val="both"/>
      </w:pPr>
      <w:r>
        <w:rPr>
          <w:rFonts w:ascii="Arial" w:eastAsia="Arial" w:hAnsi="Arial" w:cs="Arial"/>
          <w:i/>
        </w:rPr>
        <w:t>Juan Ángel Castro. Técnico de Cultura.</w:t>
      </w:r>
    </w:p>
    <w:p w:rsidR="00E23B86" w:rsidRDefault="00BA7C13">
      <w:pPr>
        <w:numPr>
          <w:ilvl w:val="3"/>
          <w:numId w:val="182"/>
        </w:numPr>
        <w:spacing w:after="27" w:line="251" w:lineRule="auto"/>
        <w:ind w:right="371" w:hanging="360"/>
        <w:jc w:val="both"/>
      </w:pPr>
      <w:r>
        <w:rPr>
          <w:rFonts w:ascii="Arial" w:eastAsia="Arial" w:hAnsi="Arial" w:cs="Arial"/>
          <w:i/>
        </w:rPr>
        <w:t>Francisco J. Técnico de Deportes.</w:t>
      </w:r>
    </w:p>
    <w:p w:rsidR="00E23B86" w:rsidRDefault="00BA7C13">
      <w:pPr>
        <w:numPr>
          <w:ilvl w:val="3"/>
          <w:numId w:val="182"/>
        </w:numPr>
        <w:spacing w:after="27" w:line="251" w:lineRule="auto"/>
        <w:ind w:right="371" w:hanging="360"/>
        <w:jc w:val="both"/>
      </w:pPr>
      <w:r>
        <w:rPr>
          <w:rFonts w:ascii="Arial" w:eastAsia="Arial" w:hAnsi="Arial" w:cs="Arial"/>
          <w:i/>
        </w:rPr>
        <w:t>Joana Gómez-Urda Lorenzo . Técnico de Sanidad.</w:t>
      </w:r>
    </w:p>
    <w:p w:rsidR="00E23B86" w:rsidRDefault="00BA7C13">
      <w:pPr>
        <w:numPr>
          <w:ilvl w:val="3"/>
          <w:numId w:val="182"/>
        </w:numPr>
        <w:spacing w:after="24" w:line="251" w:lineRule="auto"/>
        <w:ind w:right="371" w:hanging="360"/>
        <w:jc w:val="both"/>
      </w:pPr>
      <w:r>
        <w:rPr>
          <w:rFonts w:ascii="Arial" w:eastAsia="Arial" w:hAnsi="Arial" w:cs="Arial"/>
          <w:i/>
        </w:rPr>
        <w:t>Fátima León Rodríguez. Técnica de Servicios Sociales (menores).</w:t>
      </w:r>
    </w:p>
    <w:p w:rsidR="00E23B86" w:rsidRDefault="00BA7C13">
      <w:pPr>
        <w:numPr>
          <w:ilvl w:val="3"/>
          <w:numId w:val="182"/>
        </w:numPr>
        <w:spacing w:after="27" w:line="251" w:lineRule="auto"/>
        <w:ind w:right="371" w:hanging="360"/>
        <w:jc w:val="both"/>
      </w:pPr>
      <w:r>
        <w:rPr>
          <w:rFonts w:ascii="Arial" w:eastAsia="Arial" w:hAnsi="Arial" w:cs="Arial"/>
          <w:i/>
        </w:rPr>
        <w:t>Mª Consuelo Fariña González. Técnica de Área Económica.</w:t>
      </w:r>
    </w:p>
    <w:p w:rsidR="00E23B86" w:rsidRDefault="00BA7C13">
      <w:pPr>
        <w:numPr>
          <w:ilvl w:val="3"/>
          <w:numId w:val="182"/>
        </w:numPr>
        <w:spacing w:after="27" w:line="251" w:lineRule="auto"/>
        <w:ind w:right="371" w:hanging="360"/>
        <w:jc w:val="both"/>
      </w:pPr>
      <w:r>
        <w:rPr>
          <w:rFonts w:ascii="Arial" w:eastAsia="Arial" w:hAnsi="Arial" w:cs="Arial"/>
          <w:i/>
        </w:rPr>
        <w:t>Esteban Hernández Martín. Técnico de Accesibilidad.</w:t>
      </w:r>
    </w:p>
    <w:p w:rsidR="00E23B86" w:rsidRDefault="00BA7C13">
      <w:pPr>
        <w:numPr>
          <w:ilvl w:val="3"/>
          <w:numId w:val="182"/>
        </w:numPr>
        <w:spacing w:after="24" w:line="251" w:lineRule="auto"/>
        <w:ind w:right="371" w:hanging="360"/>
        <w:jc w:val="both"/>
      </w:pPr>
      <w:r>
        <w:rPr>
          <w:rFonts w:ascii="Arial" w:eastAsia="Arial" w:hAnsi="Arial" w:cs="Arial"/>
          <w:i/>
        </w:rPr>
        <w:t xml:space="preserve">Rubén Fernández González. Técnico de Protección Civil.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Mª del Pilar González. Técnica de ADL</w:t>
      </w:r>
    </w:p>
    <w:p w:rsidR="00E23B86" w:rsidRDefault="00BA7C13">
      <w:pPr>
        <w:numPr>
          <w:ilvl w:val="3"/>
          <w:numId w:val="182"/>
        </w:numPr>
        <w:spacing w:after="24" w:line="251" w:lineRule="auto"/>
        <w:ind w:right="371" w:hanging="360"/>
        <w:jc w:val="both"/>
      </w:pPr>
      <w:r>
        <w:rPr>
          <w:rFonts w:ascii="Arial" w:eastAsia="Arial" w:hAnsi="Arial" w:cs="Arial"/>
          <w:i/>
        </w:rPr>
        <w:t>Concepción Sicilia González. Técnica de Participación Ciudadana</w:t>
      </w:r>
    </w:p>
    <w:p w:rsidR="00E23B86" w:rsidRDefault="00BA7C13">
      <w:pPr>
        <w:numPr>
          <w:ilvl w:val="3"/>
          <w:numId w:val="182"/>
        </w:numPr>
        <w:spacing w:after="27" w:line="251" w:lineRule="auto"/>
        <w:ind w:right="371" w:hanging="360"/>
        <w:jc w:val="both"/>
      </w:pPr>
      <w:r>
        <w:rPr>
          <w:rFonts w:ascii="Arial" w:eastAsia="Arial" w:hAnsi="Arial" w:cs="Arial"/>
          <w:i/>
        </w:rPr>
        <w:t>Javier Barrera Acosta. Policía Local</w:t>
      </w:r>
    </w:p>
    <w:p w:rsidR="00E23B86" w:rsidRDefault="00BA7C13">
      <w:pPr>
        <w:numPr>
          <w:ilvl w:val="3"/>
          <w:numId w:val="182"/>
        </w:numPr>
        <w:spacing w:after="51" w:line="251" w:lineRule="auto"/>
        <w:ind w:right="371" w:hanging="360"/>
        <w:jc w:val="both"/>
      </w:pPr>
      <w:r>
        <w:rPr>
          <w:rFonts w:ascii="Arial" w:eastAsia="Arial" w:hAnsi="Arial" w:cs="Arial"/>
          <w:i/>
        </w:rPr>
        <w:t>Mª Cande</w:t>
      </w:r>
      <w:r>
        <w:rPr>
          <w:rFonts w:ascii="Arial" w:eastAsia="Arial" w:hAnsi="Arial" w:cs="Arial"/>
          <w:i/>
        </w:rPr>
        <w:t xml:space="preserve">laria Ibáñez de las Casas. Técnica de Zona Joven </w:t>
      </w:r>
      <w:r>
        <w:rPr>
          <w:rFonts w:ascii="Courier New" w:eastAsia="Courier New" w:hAnsi="Courier New" w:cs="Courier New"/>
          <w:sz w:val="20"/>
        </w:rPr>
        <w:t xml:space="preserve">o </w:t>
      </w:r>
      <w:r>
        <w:rPr>
          <w:rFonts w:ascii="Arial" w:eastAsia="Arial" w:hAnsi="Arial" w:cs="Arial"/>
          <w:i/>
        </w:rPr>
        <w:t>Sus funciones son:</w:t>
      </w:r>
    </w:p>
    <w:p w:rsidR="00E23B86" w:rsidRDefault="00BA7C13">
      <w:pPr>
        <w:numPr>
          <w:ilvl w:val="3"/>
          <w:numId w:val="182"/>
        </w:numPr>
        <w:spacing w:after="24" w:line="251" w:lineRule="auto"/>
        <w:ind w:right="371" w:hanging="360"/>
        <w:jc w:val="both"/>
      </w:pPr>
      <w:r>
        <w:rPr>
          <w:rFonts w:ascii="Arial" w:eastAsia="Arial" w:hAnsi="Arial" w:cs="Arial"/>
          <w:i/>
        </w:rPr>
        <w:t>Elaboración del diagnóstico: recabar información de cada una de las áreas para elaborar el diagnóstico.</w:t>
      </w:r>
    </w:p>
    <w:p w:rsidR="00E23B86" w:rsidRDefault="00BA7C13">
      <w:pPr>
        <w:numPr>
          <w:ilvl w:val="3"/>
          <w:numId w:val="182"/>
        </w:numPr>
        <w:spacing w:after="24" w:line="251" w:lineRule="auto"/>
        <w:ind w:right="371" w:hanging="360"/>
        <w:jc w:val="both"/>
      </w:pPr>
      <w:r>
        <w:rPr>
          <w:rFonts w:ascii="Arial" w:eastAsia="Arial" w:hAnsi="Arial" w:cs="Arial"/>
          <w:i/>
        </w:rPr>
        <w:t>Diseño del plan local de infancia y adolescencia (PLIA): acordar, consensuar y ela</w:t>
      </w:r>
      <w:r>
        <w:rPr>
          <w:rFonts w:ascii="Arial" w:eastAsia="Arial" w:hAnsi="Arial" w:cs="Arial"/>
          <w:i/>
        </w:rPr>
        <w:t>borar el informe final.</w:t>
      </w:r>
    </w:p>
    <w:p w:rsidR="00E23B86" w:rsidRDefault="00BA7C13">
      <w:pPr>
        <w:numPr>
          <w:ilvl w:val="3"/>
          <w:numId w:val="182"/>
        </w:numPr>
        <w:spacing w:after="27" w:line="251" w:lineRule="auto"/>
        <w:ind w:right="371" w:hanging="360"/>
        <w:jc w:val="both"/>
      </w:pPr>
      <w:r>
        <w:rPr>
          <w:rFonts w:ascii="Arial" w:eastAsia="Arial" w:hAnsi="Arial" w:cs="Arial"/>
          <w:i/>
        </w:rPr>
        <w:t>Implementación:</w:t>
      </w:r>
    </w:p>
    <w:p w:rsidR="00E23B86" w:rsidRDefault="00BA7C13">
      <w:pPr>
        <w:numPr>
          <w:ilvl w:val="3"/>
          <w:numId w:val="182"/>
        </w:numPr>
        <w:spacing w:after="28" w:line="249" w:lineRule="auto"/>
        <w:ind w:right="371" w:hanging="360"/>
        <w:jc w:val="both"/>
      </w:pPr>
      <w:r>
        <w:rPr>
          <w:rFonts w:ascii="Arial" w:eastAsia="Arial" w:hAnsi="Arial" w:cs="Arial"/>
          <w:i/>
        </w:rPr>
        <w:t>Realizar acciones previstas en el plan.</w:t>
      </w:r>
    </w:p>
    <w:p w:rsidR="00E23B86" w:rsidRDefault="00BA7C13">
      <w:pPr>
        <w:numPr>
          <w:ilvl w:val="3"/>
          <w:numId w:val="182"/>
        </w:numPr>
        <w:spacing w:after="24" w:line="251" w:lineRule="auto"/>
        <w:ind w:right="371" w:hanging="360"/>
        <w:jc w:val="both"/>
      </w:pPr>
      <w:r>
        <w:rPr>
          <w:rFonts w:ascii="Arial" w:eastAsia="Arial" w:hAnsi="Arial" w:cs="Arial"/>
          <w:i/>
        </w:rPr>
        <w:t>Coordinar con otras áreas la realización de las acciones previstas en el plan.</w:t>
      </w:r>
    </w:p>
    <w:p w:rsidR="00E23B86" w:rsidRDefault="00BA7C13">
      <w:pPr>
        <w:numPr>
          <w:ilvl w:val="3"/>
          <w:numId w:val="182"/>
        </w:numPr>
        <w:spacing w:after="27" w:line="251" w:lineRule="auto"/>
        <w:ind w:right="371" w:hanging="360"/>
        <w:jc w:val="both"/>
      </w:pPr>
      <w:r>
        <w:rPr>
          <w:rFonts w:ascii="Arial" w:eastAsia="Arial" w:hAnsi="Arial" w:cs="Arial"/>
          <w:i/>
        </w:rPr>
        <w:t>Asignar recursos a la realización de acciones.</w:t>
      </w:r>
    </w:p>
    <w:p w:rsidR="00E23B86" w:rsidRDefault="00BA7C13">
      <w:pPr>
        <w:numPr>
          <w:ilvl w:val="3"/>
          <w:numId w:val="182"/>
        </w:numPr>
        <w:spacing w:after="28" w:line="251" w:lineRule="auto"/>
        <w:ind w:right="371" w:hanging="360"/>
        <w:jc w:val="both"/>
      </w:pPr>
      <w:r>
        <w:rPr>
          <w:rFonts w:ascii="Arial" w:eastAsia="Arial" w:hAnsi="Arial" w:cs="Arial"/>
          <w:i/>
        </w:rPr>
        <w:t>Impulsar la formación en derechos de infancia.</w:t>
      </w:r>
    </w:p>
    <w:p w:rsidR="00E23B86" w:rsidRDefault="00BA7C13">
      <w:pPr>
        <w:numPr>
          <w:ilvl w:val="3"/>
          <w:numId w:val="182"/>
        </w:numPr>
        <w:spacing w:after="27" w:line="251" w:lineRule="auto"/>
        <w:ind w:right="371" w:hanging="360"/>
        <w:jc w:val="both"/>
      </w:pPr>
      <w:r>
        <w:rPr>
          <w:rFonts w:ascii="Arial" w:eastAsia="Arial" w:hAnsi="Arial" w:cs="Arial"/>
          <w:i/>
        </w:rPr>
        <w:t xml:space="preserve">Seguimiento: </w:t>
      </w:r>
    </w:p>
    <w:p w:rsidR="00E23B86" w:rsidRDefault="00BA7C13">
      <w:pPr>
        <w:numPr>
          <w:ilvl w:val="3"/>
          <w:numId w:val="182"/>
        </w:numPr>
        <w:spacing w:after="28" w:line="249" w:lineRule="auto"/>
        <w:ind w:right="371" w:hanging="360"/>
        <w:jc w:val="both"/>
      </w:pPr>
      <w:r>
        <w:rPr>
          <w:rFonts w:ascii="Arial" w:eastAsia="Arial" w:hAnsi="Arial" w:cs="Arial"/>
          <w:i/>
        </w:rPr>
        <w:t>Comprobar avance presupuestario.</w:t>
      </w:r>
    </w:p>
    <w:p w:rsidR="00E23B86" w:rsidRDefault="00BA7C13">
      <w:pPr>
        <w:numPr>
          <w:ilvl w:val="3"/>
          <w:numId w:val="182"/>
        </w:numPr>
        <w:spacing w:after="24" w:line="251" w:lineRule="auto"/>
        <w:ind w:right="371" w:hanging="360"/>
        <w:jc w:val="both"/>
      </w:pPr>
      <w:r>
        <w:rPr>
          <w:rFonts w:ascii="Arial" w:eastAsia="Arial" w:hAnsi="Arial" w:cs="Arial"/>
          <w:i/>
        </w:rPr>
        <w:t>Asegurar recolección de datos sobre el desarrollo de las acciones.</w:t>
      </w:r>
    </w:p>
    <w:p w:rsidR="00E23B86" w:rsidRDefault="00BA7C13">
      <w:pPr>
        <w:numPr>
          <w:ilvl w:val="3"/>
          <w:numId w:val="182"/>
        </w:numPr>
        <w:spacing w:after="24" w:line="251" w:lineRule="auto"/>
        <w:ind w:right="371" w:hanging="360"/>
        <w:jc w:val="both"/>
      </w:pPr>
      <w:r>
        <w:rPr>
          <w:rFonts w:ascii="Arial" w:eastAsia="Arial" w:hAnsi="Arial" w:cs="Arial"/>
          <w:i/>
        </w:rPr>
        <w:t>Aportar información de las distintas áreas para la elaboración de informes globales.</w:t>
      </w:r>
    </w:p>
    <w:p w:rsidR="00E23B86" w:rsidRDefault="00BA7C13">
      <w:pPr>
        <w:numPr>
          <w:ilvl w:val="3"/>
          <w:numId w:val="182"/>
        </w:numPr>
        <w:spacing w:after="28" w:line="251" w:lineRule="auto"/>
        <w:ind w:right="371" w:hanging="360"/>
        <w:jc w:val="both"/>
      </w:pPr>
      <w:r>
        <w:rPr>
          <w:rFonts w:ascii="Arial" w:eastAsia="Arial" w:hAnsi="Arial" w:cs="Arial"/>
          <w:i/>
        </w:rPr>
        <w:t>Informar a la ciudadanía sobre los avances PLIA.</w:t>
      </w:r>
    </w:p>
    <w:p w:rsidR="00E23B86" w:rsidRDefault="00BA7C13">
      <w:pPr>
        <w:numPr>
          <w:ilvl w:val="3"/>
          <w:numId w:val="182"/>
        </w:numPr>
        <w:spacing w:after="27" w:line="251" w:lineRule="auto"/>
        <w:ind w:right="371" w:hanging="360"/>
        <w:jc w:val="both"/>
      </w:pPr>
      <w:r>
        <w:rPr>
          <w:noProof/>
        </w:rPr>
        <mc:AlternateContent>
          <mc:Choice Requires="wpg">
            <w:drawing>
              <wp:anchor distT="0" distB="0" distL="114300" distR="114300" simplePos="0" relativeHeight="2520145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7262" name="Group 58726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696" name="Rectangle 5369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3697" name="Rectangle 5369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7262" style="width:12.7031pt;height:280.35pt;position:absolute;mso-position-horizontal-relative:page;mso-position-horizontal:absolute;margin-left:681.958pt;mso-position-vertical-relative:page;margin-top:531.65pt;" coordsize="1613,35604">
                <v:rect id="Rectangle 5369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69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346 de 391 </w:t>
                        </w:r>
                      </w:p>
                    </w:txbxContent>
                  </v:textbox>
                </v:rect>
                <w10:wrap type="square"/>
              </v:group>
            </w:pict>
          </mc:Fallback>
        </mc:AlternateContent>
      </w:r>
      <w:r>
        <w:rPr>
          <w:rFonts w:ascii="Arial" w:eastAsia="Arial" w:hAnsi="Arial" w:cs="Arial"/>
          <w:i/>
        </w:rPr>
        <w:t>Evaluación:</w:t>
      </w:r>
    </w:p>
    <w:p w:rsidR="00E23B86" w:rsidRDefault="00BA7C13">
      <w:pPr>
        <w:numPr>
          <w:ilvl w:val="3"/>
          <w:numId w:val="182"/>
        </w:numPr>
        <w:spacing w:after="27" w:line="251" w:lineRule="auto"/>
        <w:ind w:right="371" w:hanging="360"/>
        <w:jc w:val="both"/>
      </w:pPr>
      <w:r>
        <w:rPr>
          <w:rFonts w:ascii="Arial" w:eastAsia="Arial" w:hAnsi="Arial" w:cs="Arial"/>
          <w:i/>
        </w:rPr>
        <w:t>Realizar un informe anual de los avances realizad</w:t>
      </w:r>
      <w:r>
        <w:rPr>
          <w:rFonts w:ascii="Arial" w:eastAsia="Arial" w:hAnsi="Arial" w:cs="Arial"/>
          <w:i/>
        </w:rPr>
        <w:t>os.</w:t>
      </w:r>
    </w:p>
    <w:p w:rsidR="00E23B86" w:rsidRDefault="00BA7C13">
      <w:pPr>
        <w:numPr>
          <w:ilvl w:val="3"/>
          <w:numId w:val="182"/>
        </w:numPr>
        <w:spacing w:after="24" w:line="251" w:lineRule="auto"/>
        <w:ind w:right="371" w:hanging="360"/>
        <w:jc w:val="both"/>
      </w:pPr>
      <w:r>
        <w:rPr>
          <w:rFonts w:ascii="Arial" w:eastAsia="Arial" w:hAnsi="Arial" w:cs="Arial"/>
          <w:i/>
        </w:rPr>
        <w:t>Realizar cuestionarios de evaluación a los miembros, sobre percepción del ambiente de trabajo, metodología…</w:t>
      </w:r>
    </w:p>
    <w:p w:rsidR="00E23B86" w:rsidRDefault="00BA7C13">
      <w:pPr>
        <w:spacing w:after="44" w:line="251" w:lineRule="auto"/>
        <w:ind w:left="1080" w:hanging="360"/>
        <w:jc w:val="both"/>
      </w:pPr>
      <w:r>
        <w:rPr>
          <w:rFonts w:ascii="Courier New" w:eastAsia="Courier New" w:hAnsi="Courier New" w:cs="Courier New"/>
          <w:sz w:val="20"/>
        </w:rPr>
        <w:t xml:space="preserve">o </w:t>
      </w:r>
      <w:r>
        <w:rPr>
          <w:rFonts w:ascii="Arial" w:eastAsia="Arial" w:hAnsi="Arial" w:cs="Arial"/>
          <w:i/>
        </w:rPr>
        <w:t>Las reuniones serán presenciales, una o dos veces al mes en función de las necesidades.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8" w:line="251" w:lineRule="auto"/>
        <w:ind w:right="5" w:hanging="360"/>
        <w:jc w:val="both"/>
      </w:pPr>
      <w:r>
        <w:rPr>
          <w:rFonts w:ascii="Arial" w:eastAsia="Arial" w:hAnsi="Arial" w:cs="Arial"/>
          <w:i/>
        </w:rPr>
        <w:t>4.- Consejo local de infancia y adolescencia (CLIA):</w:t>
      </w:r>
    </w:p>
    <w:p w:rsidR="00E23B86" w:rsidRDefault="00BA7C13">
      <w:pPr>
        <w:numPr>
          <w:ilvl w:val="0"/>
          <w:numId w:val="181"/>
        </w:numPr>
        <w:spacing w:after="23" w:line="251" w:lineRule="auto"/>
        <w:ind w:right="5" w:hanging="360"/>
        <w:jc w:val="both"/>
      </w:pPr>
      <w:r>
        <w:rPr>
          <w:rFonts w:ascii="Courier New" w:eastAsia="Courier New" w:hAnsi="Courier New" w:cs="Courier New"/>
          <w:sz w:val="20"/>
        </w:rPr>
        <w:t xml:space="preserve">o </w:t>
      </w:r>
      <w:r>
        <w:rPr>
          <w:rFonts w:ascii="Arial" w:eastAsia="Arial" w:hAnsi="Arial" w:cs="Arial"/>
          <w:i/>
        </w:rPr>
        <w:t>Es un órgano de participación, de carácter consultivo e informativo y de representación del conjunto de la infancia dentro del municipio.</w:t>
      </w:r>
    </w:p>
    <w:p w:rsidR="00E23B86" w:rsidRDefault="00BA7C13">
      <w:pPr>
        <w:spacing w:after="47" w:line="251" w:lineRule="auto"/>
        <w:ind w:left="730" w:right="24" w:hanging="10"/>
        <w:jc w:val="both"/>
      </w:pPr>
      <w:r>
        <w:rPr>
          <w:rFonts w:ascii="Courier New" w:eastAsia="Courier New" w:hAnsi="Courier New" w:cs="Courier New"/>
          <w:sz w:val="20"/>
        </w:rPr>
        <w:t xml:space="preserve">o </w:t>
      </w:r>
      <w:r>
        <w:rPr>
          <w:rFonts w:ascii="Arial" w:eastAsia="Arial" w:hAnsi="Arial" w:cs="Arial"/>
          <w:i/>
        </w:rPr>
        <w:t xml:space="preserve">Para el buen funcionamiento y sostenibilidad del grupo se ha elaborado un reglamento (actualmente sometido a consulta pública previa) </w:t>
      </w:r>
      <w:r>
        <w:rPr>
          <w:rFonts w:ascii="Courier New" w:eastAsia="Courier New" w:hAnsi="Courier New" w:cs="Courier New"/>
          <w:sz w:val="20"/>
        </w:rPr>
        <w:t xml:space="preserve">o </w:t>
      </w:r>
      <w:r>
        <w:rPr>
          <w:rFonts w:ascii="Arial" w:eastAsia="Arial" w:hAnsi="Arial" w:cs="Arial"/>
          <w:i/>
        </w:rPr>
        <w:t>Funciones:</w:t>
      </w:r>
    </w:p>
    <w:p w:rsidR="00E23B86" w:rsidRDefault="00BA7C13">
      <w:pPr>
        <w:numPr>
          <w:ilvl w:val="2"/>
          <w:numId w:val="183"/>
        </w:numPr>
        <w:spacing w:after="24" w:line="251" w:lineRule="auto"/>
        <w:ind w:hanging="360"/>
        <w:jc w:val="both"/>
      </w:pPr>
      <w:r>
        <w:rPr>
          <w:rFonts w:ascii="Arial" w:eastAsia="Arial" w:hAnsi="Arial" w:cs="Arial"/>
          <w:i/>
        </w:rPr>
        <w:t>Actuar como nexo de comunicación entre los niños/as y adolescentes y el gobierno local.</w:t>
      </w:r>
    </w:p>
    <w:p w:rsidR="00E23B86" w:rsidRDefault="00BA7C13">
      <w:pPr>
        <w:numPr>
          <w:ilvl w:val="2"/>
          <w:numId w:val="183"/>
        </w:numPr>
        <w:spacing w:after="27" w:line="251" w:lineRule="auto"/>
        <w:ind w:hanging="360"/>
        <w:jc w:val="both"/>
      </w:pPr>
      <w:r>
        <w:rPr>
          <w:rFonts w:ascii="Arial" w:eastAsia="Arial" w:hAnsi="Arial" w:cs="Arial"/>
          <w:i/>
        </w:rPr>
        <w:t xml:space="preserve">Ofrecer a los NNA un </w:t>
      </w:r>
      <w:r>
        <w:rPr>
          <w:rFonts w:ascii="Arial" w:eastAsia="Arial" w:hAnsi="Arial" w:cs="Arial"/>
          <w:i/>
        </w:rPr>
        <w:t>cauce de participación institucional</w:t>
      </w:r>
    </w:p>
    <w:p w:rsidR="00E23B86" w:rsidRDefault="00BA7C13">
      <w:pPr>
        <w:numPr>
          <w:ilvl w:val="2"/>
          <w:numId w:val="183"/>
        </w:numPr>
        <w:spacing w:after="24" w:line="251" w:lineRule="auto"/>
        <w:ind w:hanging="360"/>
        <w:jc w:val="both"/>
      </w:pPr>
      <w:r>
        <w:rPr>
          <w:rFonts w:ascii="Arial" w:eastAsia="Arial" w:hAnsi="Arial" w:cs="Arial"/>
          <w:i/>
        </w:rPr>
        <w:t>Promover la participación infantil, en todas aquellas cuestiones relacionadas con la Infancia y la Adolescencia.</w:t>
      </w:r>
    </w:p>
    <w:p w:rsidR="00E23B86" w:rsidRDefault="00BA7C13">
      <w:pPr>
        <w:numPr>
          <w:ilvl w:val="2"/>
          <w:numId w:val="183"/>
        </w:numPr>
        <w:spacing w:after="23" w:line="251" w:lineRule="auto"/>
        <w:ind w:hanging="360"/>
        <w:jc w:val="both"/>
      </w:pPr>
      <w:r>
        <w:rPr>
          <w:rFonts w:ascii="Arial" w:eastAsia="Arial" w:hAnsi="Arial" w:cs="Arial"/>
          <w:i/>
        </w:rPr>
        <w:t>Proponer al gobierno local las medidas oportunas para asegurar el bienestar y el desarrollo de los derecho</w:t>
      </w:r>
      <w:r>
        <w:rPr>
          <w:rFonts w:ascii="Arial" w:eastAsia="Arial" w:hAnsi="Arial" w:cs="Arial"/>
          <w:i/>
        </w:rPr>
        <w:t>s de los NNA, prestando atención especial a la población más vulnerable.</w:t>
      </w:r>
    </w:p>
    <w:p w:rsidR="00E23B86" w:rsidRDefault="00BA7C13">
      <w:pPr>
        <w:numPr>
          <w:ilvl w:val="2"/>
          <w:numId w:val="183"/>
        </w:numPr>
        <w:spacing w:after="24" w:line="251" w:lineRule="auto"/>
        <w:ind w:hanging="360"/>
        <w:jc w:val="both"/>
      </w:pPr>
      <w:r>
        <w:rPr>
          <w:rFonts w:ascii="Arial" w:eastAsia="Arial" w:hAnsi="Arial" w:cs="Arial"/>
          <w:i/>
        </w:rPr>
        <w:t>Proponer soluciones alternativas a los problemas más característicos de la Infancia y Adolescencia</w:t>
      </w:r>
    </w:p>
    <w:p w:rsidR="00E23B86" w:rsidRDefault="00BA7C13">
      <w:pPr>
        <w:numPr>
          <w:ilvl w:val="2"/>
          <w:numId w:val="183"/>
        </w:numPr>
        <w:spacing w:after="24" w:line="251" w:lineRule="auto"/>
        <w:ind w:hanging="360"/>
        <w:jc w:val="both"/>
      </w:pPr>
      <w:r>
        <w:rPr>
          <w:rFonts w:ascii="Arial" w:eastAsia="Arial" w:hAnsi="Arial" w:cs="Arial"/>
          <w:i/>
        </w:rPr>
        <w:t xml:space="preserve">Trasladar necesidades, opiniones, mejoras, intereses e inquietudes de la Infancia y </w:t>
      </w:r>
      <w:r>
        <w:rPr>
          <w:rFonts w:ascii="Arial" w:eastAsia="Arial" w:hAnsi="Arial" w:cs="Arial"/>
          <w:i/>
        </w:rPr>
        <w:t>Adolescencia al gobierno local.</w:t>
      </w:r>
    </w:p>
    <w:p w:rsidR="00E23B86" w:rsidRDefault="00BA7C13">
      <w:pPr>
        <w:numPr>
          <w:ilvl w:val="2"/>
          <w:numId w:val="183"/>
        </w:numPr>
        <w:spacing w:after="24" w:line="251" w:lineRule="auto"/>
        <w:ind w:hanging="360"/>
        <w:jc w:val="both"/>
      </w:pPr>
      <w:r>
        <w:rPr>
          <w:rFonts w:ascii="Arial" w:eastAsia="Arial" w:hAnsi="Arial" w:cs="Arial"/>
          <w:i/>
        </w:rPr>
        <w:t>Informar al Ayuntamiento sobre problemas específicos de la Infancia y Adolescencia.</w:t>
      </w:r>
    </w:p>
    <w:p w:rsidR="00E23B86" w:rsidRDefault="00BA7C13">
      <w:pPr>
        <w:numPr>
          <w:ilvl w:val="2"/>
          <w:numId w:val="183"/>
        </w:numPr>
        <w:spacing w:after="24" w:line="251" w:lineRule="auto"/>
        <w:ind w:hanging="360"/>
        <w:jc w:val="both"/>
      </w:pPr>
      <w:r>
        <w:rPr>
          <w:rFonts w:ascii="Arial" w:eastAsia="Arial" w:hAnsi="Arial" w:cs="Arial"/>
          <w:i/>
        </w:rPr>
        <w:t>Realizar un seguimiento de la ejecución de las propuestas realizadas por los NNA y/o administración</w:t>
      </w:r>
    </w:p>
    <w:p w:rsidR="00E23B86" w:rsidRDefault="00BA7C13">
      <w:pPr>
        <w:numPr>
          <w:ilvl w:val="2"/>
          <w:numId w:val="183"/>
        </w:numPr>
        <w:spacing w:after="23" w:line="251" w:lineRule="auto"/>
        <w:ind w:hanging="360"/>
        <w:jc w:val="both"/>
      </w:pPr>
      <w:r>
        <w:rPr>
          <w:rFonts w:ascii="Arial" w:eastAsia="Arial" w:hAnsi="Arial" w:cs="Arial"/>
          <w:i/>
        </w:rPr>
        <w:t>Solicitar información y ser informados/a</w:t>
      </w:r>
      <w:r>
        <w:rPr>
          <w:rFonts w:ascii="Arial" w:eastAsia="Arial" w:hAnsi="Arial" w:cs="Arial"/>
          <w:i/>
        </w:rPr>
        <w:t>s de las propuestas o resoluciones municipales respecto a temas de interés para la Infancia y la Adolescencia.</w:t>
      </w:r>
    </w:p>
    <w:p w:rsidR="00E23B86" w:rsidRDefault="00BA7C13">
      <w:pPr>
        <w:numPr>
          <w:ilvl w:val="2"/>
          <w:numId w:val="183"/>
        </w:numPr>
        <w:spacing w:after="24" w:line="251" w:lineRule="auto"/>
        <w:ind w:hanging="360"/>
        <w:jc w:val="both"/>
      </w:pPr>
      <w:r>
        <w:rPr>
          <w:rFonts w:ascii="Arial" w:eastAsia="Arial" w:hAnsi="Arial" w:cs="Arial"/>
          <w:i/>
        </w:rPr>
        <w:t>Conocer el programa anual de actuación y los recursos destinados a Infancia y Adolescencia.</w:t>
      </w:r>
    </w:p>
    <w:p w:rsidR="00E23B86" w:rsidRDefault="00BA7C13">
      <w:pPr>
        <w:numPr>
          <w:ilvl w:val="0"/>
          <w:numId w:val="181"/>
        </w:numPr>
        <w:spacing w:after="49" w:line="251" w:lineRule="auto"/>
        <w:ind w:right="5" w:hanging="360"/>
        <w:jc w:val="both"/>
      </w:pPr>
      <w:r>
        <w:rPr>
          <w:rFonts w:ascii="Courier New" w:eastAsia="Courier New" w:hAnsi="Courier New" w:cs="Courier New"/>
          <w:sz w:val="20"/>
        </w:rPr>
        <w:t xml:space="preserve">o </w:t>
      </w:r>
      <w:r>
        <w:rPr>
          <w:rFonts w:ascii="Arial" w:eastAsia="Arial" w:hAnsi="Arial" w:cs="Arial"/>
          <w:i/>
        </w:rPr>
        <w:t>El CLIA está compuesto por los siguientes miembros: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4"/>
          <w:numId w:val="185"/>
        </w:numPr>
        <w:spacing w:after="24" w:line="251" w:lineRule="auto"/>
        <w:ind w:hanging="360"/>
        <w:jc w:val="both"/>
      </w:pPr>
      <w:r>
        <w:rPr>
          <w:rFonts w:ascii="Arial" w:eastAsia="Arial" w:hAnsi="Arial" w:cs="Arial"/>
          <w:i/>
        </w:rPr>
        <w:t>La Presidencia: será ejercida por el Alcaldesa Mª Concepción Brito Núñez, pudiendo delegar el cargo en un/a Concejal/a.</w:t>
      </w:r>
    </w:p>
    <w:p w:rsidR="00E23B86" w:rsidRDefault="00BA7C13">
      <w:pPr>
        <w:numPr>
          <w:ilvl w:val="4"/>
          <w:numId w:val="185"/>
        </w:numPr>
        <w:spacing w:after="24" w:line="251" w:lineRule="auto"/>
        <w:ind w:hanging="360"/>
        <w:jc w:val="both"/>
      </w:pPr>
      <w:r>
        <w:rPr>
          <w:rFonts w:ascii="Arial" w:eastAsia="Arial" w:hAnsi="Arial" w:cs="Arial"/>
          <w:i/>
        </w:rPr>
        <w:t>La Secretaría: será ejercida por el Secretario General del Ayuntamiento Octavio Manuel Fernández Hernández o persona en quien delegue.</w:t>
      </w:r>
    </w:p>
    <w:p w:rsidR="00E23B86" w:rsidRDefault="00BA7C13">
      <w:pPr>
        <w:numPr>
          <w:ilvl w:val="4"/>
          <w:numId w:val="185"/>
        </w:numPr>
        <w:spacing w:after="27" w:line="251" w:lineRule="auto"/>
        <w:ind w:hanging="360"/>
        <w:jc w:val="both"/>
      </w:pPr>
      <w:r>
        <w:rPr>
          <w:rFonts w:ascii="Arial" w:eastAsia="Arial" w:hAnsi="Arial" w:cs="Arial"/>
          <w:i/>
        </w:rPr>
        <w:t>Vocalías:</w:t>
      </w:r>
    </w:p>
    <w:p w:rsidR="00E23B86" w:rsidRDefault="00BA7C13">
      <w:pPr>
        <w:numPr>
          <w:ilvl w:val="4"/>
          <w:numId w:val="185"/>
        </w:numPr>
        <w:spacing w:after="24" w:line="251" w:lineRule="auto"/>
        <w:ind w:hanging="360"/>
        <w:jc w:val="both"/>
      </w:pPr>
      <w:r>
        <w:rPr>
          <w:rFonts w:ascii="Arial" w:eastAsia="Arial" w:hAnsi="Arial" w:cs="Arial"/>
          <w:i/>
        </w:rPr>
        <w:t>8 niños y 7 niñas representantes del órgano de participación infantil y adolescente.</w:t>
      </w:r>
    </w:p>
    <w:p w:rsidR="00E23B86" w:rsidRDefault="00BA7C13">
      <w:pPr>
        <w:numPr>
          <w:ilvl w:val="4"/>
          <w:numId w:val="185"/>
        </w:numPr>
        <w:spacing w:after="24" w:line="251" w:lineRule="auto"/>
        <w:ind w:hanging="360"/>
        <w:jc w:val="both"/>
      </w:pPr>
      <w:r>
        <w:rPr>
          <w:noProof/>
        </w:rPr>
        <mc:AlternateContent>
          <mc:Choice Requires="wpg">
            <w:drawing>
              <wp:anchor distT="0" distB="0" distL="114300" distR="114300" simplePos="0" relativeHeight="2520156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7102" name="Group 58710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781" name="Rectangle 5378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3782" name="Rectangle 5378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7102" style="width:12.7031pt;height:280.35pt;position:absolute;mso-position-horizontal-relative:page;mso-position-horizontal:absolute;margin-left:681.958pt;mso-position-vertical-relative:page;margin-top:531.65pt;" coordsize="1613,35604">
                <v:rect id="Rectangle 5378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78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347 de 391 </w:t>
                        </w:r>
                      </w:p>
                    </w:txbxContent>
                  </v:textbox>
                </v:rect>
                <w10:wrap type="square"/>
              </v:group>
            </w:pict>
          </mc:Fallback>
        </mc:AlternateContent>
      </w:r>
      <w:r>
        <w:rPr>
          <w:rFonts w:ascii="Arial" w:eastAsia="Arial" w:hAnsi="Arial" w:cs="Arial"/>
          <w:i/>
        </w:rPr>
        <w:t>Olivia C. Pérez Díaz. Concejala de Servicios Sociales, Iguald</w:t>
      </w:r>
      <w:r>
        <w:rPr>
          <w:rFonts w:ascii="Arial" w:eastAsia="Arial" w:hAnsi="Arial" w:cs="Arial"/>
          <w:i/>
        </w:rPr>
        <w:t>ad y Sanidad.</w:t>
      </w:r>
    </w:p>
    <w:p w:rsidR="00E23B86" w:rsidRDefault="00BA7C13">
      <w:pPr>
        <w:numPr>
          <w:ilvl w:val="4"/>
          <w:numId w:val="185"/>
        </w:numPr>
        <w:spacing w:after="24" w:line="251" w:lineRule="auto"/>
        <w:ind w:hanging="360"/>
        <w:jc w:val="both"/>
      </w:pPr>
      <w:r>
        <w:rPr>
          <w:rFonts w:ascii="Arial" w:eastAsia="Arial" w:hAnsi="Arial" w:cs="Arial"/>
          <w:i/>
        </w:rPr>
        <w:t xml:space="preserve">Margarita E. Tendero Barroso. Concejala de Educación.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Un representante de cada partido político municipal.</w:t>
      </w:r>
    </w:p>
    <w:p w:rsidR="00E23B86" w:rsidRDefault="00BA7C13">
      <w:pPr>
        <w:numPr>
          <w:ilvl w:val="4"/>
          <w:numId w:val="185"/>
        </w:numPr>
        <w:spacing w:after="27" w:line="251" w:lineRule="auto"/>
        <w:ind w:hanging="360"/>
        <w:jc w:val="both"/>
      </w:pPr>
      <w:r>
        <w:rPr>
          <w:rFonts w:ascii="Arial" w:eastAsia="Arial" w:hAnsi="Arial" w:cs="Arial"/>
          <w:i/>
        </w:rPr>
        <w:t xml:space="preserve">Juan Miguel Olivera González. P. Popular </w:t>
      </w:r>
    </w:p>
    <w:p w:rsidR="00E23B86" w:rsidRDefault="00BA7C13">
      <w:pPr>
        <w:numPr>
          <w:ilvl w:val="4"/>
          <w:numId w:val="185"/>
        </w:numPr>
        <w:spacing w:after="27" w:line="251" w:lineRule="auto"/>
        <w:ind w:hanging="360"/>
        <w:jc w:val="both"/>
      </w:pPr>
      <w:r>
        <w:rPr>
          <w:rFonts w:ascii="Arial" w:eastAsia="Arial" w:hAnsi="Arial" w:cs="Arial"/>
          <w:i/>
        </w:rPr>
        <w:t>Pedro M. Pérez Viña. Ciudadanos</w:t>
      </w:r>
    </w:p>
    <w:p w:rsidR="00E23B86" w:rsidRDefault="00BA7C13">
      <w:pPr>
        <w:numPr>
          <w:ilvl w:val="4"/>
          <w:numId w:val="185"/>
        </w:numPr>
        <w:spacing w:after="27" w:line="251" w:lineRule="auto"/>
        <w:ind w:hanging="360"/>
        <w:jc w:val="both"/>
      </w:pPr>
      <w:r>
        <w:rPr>
          <w:rFonts w:ascii="Arial" w:eastAsia="Arial" w:hAnsi="Arial" w:cs="Arial"/>
          <w:i/>
        </w:rPr>
        <w:t>Mª del Carmen Coello González. Si Se Puede</w:t>
      </w:r>
    </w:p>
    <w:p w:rsidR="00E23B86" w:rsidRDefault="00BA7C13">
      <w:pPr>
        <w:numPr>
          <w:ilvl w:val="4"/>
          <w:numId w:val="185"/>
        </w:numPr>
        <w:spacing w:after="27" w:line="251" w:lineRule="auto"/>
        <w:ind w:hanging="360"/>
        <w:jc w:val="both"/>
      </w:pPr>
      <w:r>
        <w:rPr>
          <w:rFonts w:ascii="Arial" w:eastAsia="Arial" w:hAnsi="Arial" w:cs="Arial"/>
          <w:i/>
        </w:rPr>
        <w:t>Ángela Cruz Pere</w:t>
      </w:r>
      <w:r>
        <w:rPr>
          <w:rFonts w:ascii="Arial" w:eastAsia="Arial" w:hAnsi="Arial" w:cs="Arial"/>
          <w:i/>
        </w:rPr>
        <w:t>ra. Coalición Canaria</w:t>
      </w:r>
    </w:p>
    <w:p w:rsidR="00E23B86" w:rsidRDefault="00BA7C13">
      <w:pPr>
        <w:numPr>
          <w:ilvl w:val="4"/>
          <w:numId w:val="185"/>
        </w:numPr>
        <w:spacing w:after="27" w:line="251" w:lineRule="auto"/>
        <w:ind w:hanging="360"/>
        <w:jc w:val="both"/>
      </w:pPr>
      <w:r>
        <w:rPr>
          <w:rFonts w:ascii="Arial" w:eastAsia="Arial" w:hAnsi="Arial" w:cs="Arial"/>
          <w:i/>
        </w:rPr>
        <w:t>José Fernando Gómez. Vecinos por Candelaria</w:t>
      </w:r>
    </w:p>
    <w:p w:rsidR="00E23B86" w:rsidRDefault="00BA7C13">
      <w:pPr>
        <w:numPr>
          <w:ilvl w:val="4"/>
          <w:numId w:val="185"/>
        </w:numPr>
        <w:spacing w:after="24" w:line="251" w:lineRule="auto"/>
        <w:ind w:hanging="360"/>
        <w:jc w:val="both"/>
      </w:pPr>
      <w:r>
        <w:rPr>
          <w:rFonts w:ascii="Arial" w:eastAsia="Arial" w:hAnsi="Arial" w:cs="Arial"/>
          <w:i/>
        </w:rPr>
        <w:t>Mª Dolores Melián Ramos. Representante de la asociación infantil municipal.</w:t>
      </w:r>
    </w:p>
    <w:p w:rsidR="00E23B86" w:rsidRDefault="00BA7C13">
      <w:pPr>
        <w:numPr>
          <w:ilvl w:val="4"/>
          <w:numId w:val="185"/>
        </w:numPr>
        <w:spacing w:after="24" w:line="251" w:lineRule="auto"/>
        <w:ind w:hanging="360"/>
        <w:jc w:val="both"/>
      </w:pPr>
      <w:r>
        <w:rPr>
          <w:rFonts w:ascii="Arial" w:eastAsia="Arial" w:hAnsi="Arial" w:cs="Arial"/>
          <w:i/>
        </w:rPr>
        <w:t>Ana Herrera Morales. Técnico de Servicios Sociales, Igualdad y Sanidad.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1"/>
        </w:numPr>
        <w:spacing w:after="24" w:line="251" w:lineRule="auto"/>
        <w:ind w:right="5" w:hanging="360"/>
        <w:jc w:val="both"/>
      </w:pPr>
      <w:r>
        <w:rPr>
          <w:rFonts w:ascii="Arial" w:eastAsia="Arial" w:hAnsi="Arial" w:cs="Arial"/>
          <w:i/>
        </w:rPr>
        <w:t>Las funciones de la presidencia, secretaría y vocales están recogidas en el borrador del reglamento, al igual que la elección y renovación de los representantes, funcionamiento, acuerdos</w:t>
      </w:r>
    </w:p>
    <w:p w:rsidR="00E23B86" w:rsidRDefault="00BA7C13">
      <w:pPr>
        <w:numPr>
          <w:ilvl w:val="0"/>
          <w:numId w:val="181"/>
        </w:numPr>
        <w:spacing w:after="24" w:line="251" w:lineRule="auto"/>
        <w:ind w:right="5" w:hanging="360"/>
        <w:jc w:val="both"/>
      </w:pPr>
      <w:r>
        <w:rPr>
          <w:rFonts w:ascii="Arial" w:eastAsia="Arial" w:hAnsi="Arial" w:cs="Arial"/>
          <w:i/>
        </w:rPr>
        <w:t>Cada representante tendrá un/a suplente elegido/a con el mismo proced</w:t>
      </w:r>
      <w:r>
        <w:rPr>
          <w:rFonts w:ascii="Arial" w:eastAsia="Arial" w:hAnsi="Arial" w:cs="Arial"/>
          <w:i/>
        </w:rPr>
        <w:t>imiento que la persona titular”</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spacing w:after="84" w:line="265" w:lineRule="auto"/>
        <w:ind w:left="682" w:right="736"/>
        <w:jc w:val="center"/>
      </w:pPr>
      <w:r>
        <w:rPr>
          <w:rFonts w:ascii="Segoe UI Symbol" w:eastAsia="Segoe UI Symbol" w:hAnsi="Segoe UI Symbol" w:cs="Segoe UI Symbol"/>
          <w:b w:val="0"/>
          <w:i w:val="0"/>
          <w:color w:val="000000"/>
          <w:sz w:val="20"/>
        </w:rPr>
        <w:t xml:space="preserve"> </w:t>
      </w:r>
      <w:r>
        <w:rPr>
          <w:i w:val="0"/>
          <w:color w:val="000000"/>
        </w:rPr>
        <w:t xml:space="preserve">FUNDAMENTOS DE DERECHO </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187"/>
        </w:numPr>
        <w:spacing w:after="111" w:line="249" w:lineRule="auto"/>
        <w:ind w:right="3" w:hanging="360"/>
        <w:jc w:val="both"/>
      </w:pPr>
      <w:r>
        <w:rPr>
          <w:rFonts w:ascii="Arial" w:eastAsia="Arial" w:hAnsi="Arial" w:cs="Arial"/>
          <w:b/>
        </w:rPr>
        <w:t>I.- La Convención sobre los Derechos del Niño</w:t>
      </w:r>
    </w:p>
    <w:p w:rsidR="00E23B86" w:rsidRDefault="00E23B86">
      <w:pPr>
        <w:sectPr w:rsidR="00E23B86">
          <w:headerReference w:type="even" r:id="rId108"/>
          <w:headerReference w:type="default" r:id="rId109"/>
          <w:footerReference w:type="even" r:id="rId110"/>
          <w:footerReference w:type="default" r:id="rId111"/>
          <w:headerReference w:type="first" r:id="rId112"/>
          <w:footerReference w:type="first" r:id="rId113"/>
          <w:pgSz w:w="14168" w:h="16840"/>
          <w:pgMar w:top="2003" w:right="2827" w:bottom="1443" w:left="3198" w:header="712" w:footer="712" w:gutter="0"/>
          <w:cols w:space="720"/>
        </w:sectPr>
      </w:pPr>
    </w:p>
    <w:p w:rsidR="00E23B86" w:rsidRDefault="00BA7C13">
      <w:pPr>
        <w:spacing w:after="355" w:line="248" w:lineRule="auto"/>
        <w:ind w:left="373" w:right="1" w:hanging="10"/>
        <w:jc w:val="both"/>
      </w:pPr>
      <w:r>
        <w:rPr>
          <w:rFonts w:ascii="Arial" w:eastAsia="Arial" w:hAnsi="Arial" w:cs="Arial"/>
        </w:rPr>
        <w:t xml:space="preserve">La </w:t>
      </w:r>
      <w:r>
        <w:rPr>
          <w:rFonts w:ascii="Arial" w:eastAsia="Arial" w:hAnsi="Arial" w:cs="Arial"/>
          <w:b/>
        </w:rPr>
        <w:t>Convención sobre los derechos del niño</w:t>
      </w:r>
      <w:r>
        <w:rPr>
          <w:rFonts w:ascii="Arial" w:eastAsia="Arial" w:hAnsi="Arial" w:cs="Arial"/>
        </w:rPr>
        <w:t xml:space="preserve"> </w:t>
      </w:r>
      <w:r>
        <w:rPr>
          <w:rFonts w:ascii="Arial" w:eastAsia="Arial" w:hAnsi="Arial" w:cs="Arial"/>
        </w:rPr>
        <w:t>fue proclamada y adoptada por la Asamblea General de la ONU el 20 de noviembre de 1989. En ella se establecen los derechos inalienables de todos los niños y las niñas, pero también las obligaciones de los Estados, los poderes públicos, los padres, las madr</w:t>
      </w:r>
      <w:r>
        <w:rPr>
          <w:rFonts w:ascii="Arial" w:eastAsia="Arial" w:hAnsi="Arial" w:cs="Arial"/>
        </w:rPr>
        <w:t>es y la sociedad en su conjunto, incluidos los propios niños y niñas, para garantizar el respeto de esos derechos y su disfrute por todos los niños sin distinción de ningún tipo.</w:t>
      </w:r>
    </w:p>
    <w:p w:rsidR="00E23B86" w:rsidRDefault="00BA7C13">
      <w:pPr>
        <w:numPr>
          <w:ilvl w:val="0"/>
          <w:numId w:val="187"/>
        </w:numPr>
        <w:spacing w:after="362" w:line="241" w:lineRule="auto"/>
        <w:ind w:right="3" w:hanging="360"/>
        <w:jc w:val="both"/>
      </w:pPr>
      <w:r>
        <w:rPr>
          <w:rFonts w:ascii="Arial" w:eastAsia="Arial" w:hAnsi="Arial" w:cs="Arial"/>
          <w:i/>
          <w:color w:val="777777"/>
        </w:rPr>
        <w:t>La Convención ha puesto a los niños en el centro de las políticas, las leyes,</w:t>
      </w:r>
      <w:r>
        <w:rPr>
          <w:rFonts w:ascii="Arial" w:eastAsia="Arial" w:hAnsi="Arial" w:cs="Arial"/>
          <w:i/>
          <w:color w:val="777777"/>
        </w:rPr>
        <w:t xml:space="preserve"> los programas y los presupuestos</w:t>
      </w:r>
    </w:p>
    <w:p w:rsidR="00E23B86" w:rsidRDefault="00BA7C13">
      <w:pPr>
        <w:numPr>
          <w:ilvl w:val="0"/>
          <w:numId w:val="187"/>
        </w:numPr>
        <w:spacing w:after="353" w:line="248" w:lineRule="auto"/>
        <w:ind w:right="3" w:hanging="360"/>
        <w:jc w:val="both"/>
      </w:pPr>
      <w:r>
        <w:rPr>
          <w:rFonts w:ascii="Arial" w:eastAsia="Arial" w:hAnsi="Arial" w:cs="Arial"/>
        </w:rPr>
        <w:t xml:space="preserve">España ratificó la Convención un año después de su aprobación. De acuerdo con la Constitución española, la Convención es parte integrante del ordenamiento jurídico, de aplicación directa en España y el estándar mínimo que </w:t>
      </w:r>
      <w:r>
        <w:rPr>
          <w:rFonts w:ascii="Arial" w:eastAsia="Arial" w:hAnsi="Arial" w:cs="Arial"/>
        </w:rPr>
        <w:t>debe respetarse a la hora de legislar y desarrollar políticas públicas que afecten a la infancia.</w:t>
      </w:r>
    </w:p>
    <w:p w:rsidR="00E23B86" w:rsidRDefault="00BA7C13">
      <w:pPr>
        <w:numPr>
          <w:ilvl w:val="0"/>
          <w:numId w:val="187"/>
        </w:numPr>
        <w:spacing w:after="355" w:line="248" w:lineRule="auto"/>
        <w:ind w:right="3" w:hanging="360"/>
        <w:jc w:val="both"/>
      </w:pPr>
      <w:r>
        <w:rPr>
          <w:rFonts w:ascii="Arial" w:eastAsia="Arial" w:hAnsi="Arial" w:cs="Arial"/>
        </w:rPr>
        <w:t>Sin embargo, y a pesar del gran consenso en torno a la autoridad de la Convención, los derechos de los niños se siguen vulnerando en todo el mundo. También en</w:t>
      </w:r>
      <w:r>
        <w:rPr>
          <w:rFonts w:ascii="Arial" w:eastAsia="Arial" w:hAnsi="Arial" w:cs="Arial"/>
        </w:rPr>
        <w:t xml:space="preserve"> España. Hay que trabajar sin descanso para que esto no sea así y para que todos los niños disfruten de la mayor garantía para un presente cargado de futuro: sus derechos. </w:t>
      </w:r>
    </w:p>
    <w:p w:rsidR="00E23B86" w:rsidRDefault="00BA7C13">
      <w:pPr>
        <w:numPr>
          <w:ilvl w:val="0"/>
          <w:numId w:val="187"/>
        </w:numPr>
        <w:spacing w:after="353" w:line="248" w:lineRule="auto"/>
        <w:ind w:right="3" w:hanging="360"/>
        <w:jc w:val="both"/>
      </w:pPr>
      <w:r>
        <w:rPr>
          <w:noProof/>
        </w:rPr>
        <mc:AlternateContent>
          <mc:Choice Requires="wpg">
            <w:drawing>
              <wp:anchor distT="0" distB="0" distL="114300" distR="114300" simplePos="0" relativeHeight="2520166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8023" name="Group 588023"/>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3867" name="Rectangle 5386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https://candelaria.se</w:t>
                              </w:r>
                              <w:r>
                                <w:rPr>
                                  <w:rFonts w:ascii="Arial" w:eastAsia="Arial" w:hAnsi="Arial" w:cs="Arial"/>
                                  <w:sz w:val="12"/>
                                </w:rPr>
                                <w:t xml:space="preserve">delectronica.es/ </w:t>
                              </w:r>
                            </w:p>
                          </w:txbxContent>
                        </wps:txbx>
                        <wps:bodyPr horzOverflow="overflow" vert="horz" lIns="0" tIns="0" rIns="0" bIns="0" rtlCol="0">
                          <a:noAutofit/>
                        </wps:bodyPr>
                      </wps:wsp>
                      <wps:wsp>
                        <wps:cNvPr id="53868" name="Rectangle 5386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8023" style="width:12.7031pt;height:280.35pt;position:absolute;mso-position-horizontal-relative:page;mso-position-horizontal:absolute;margin-left:681.958pt;mso-position-vertical-relative:page;margin-top:531.65pt;" coordsize="1613,35604">
                <v:rect id="Rectangle 5386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386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348 de 391 </w:t>
                        </w:r>
                      </w:p>
                    </w:txbxContent>
                  </v:textbox>
                </v:rect>
                <w10:wrap type="square"/>
              </v:group>
            </w:pict>
          </mc:Fallback>
        </mc:AlternateContent>
      </w:r>
      <w:r>
        <w:rPr>
          <w:rFonts w:ascii="Arial" w:eastAsia="Arial" w:hAnsi="Arial" w:cs="Arial"/>
        </w:rPr>
        <w:t>Los cuatro principios sobre los que se establece la Convención son la no discriminación, la primacía del interés superior del menor, la garan</w:t>
      </w:r>
      <w:r>
        <w:rPr>
          <w:rFonts w:ascii="Arial" w:eastAsia="Arial" w:hAnsi="Arial" w:cs="Arial"/>
        </w:rPr>
        <w:t>tía de la supervivencia y el pleno desarrollo, y la participación infantil.</w:t>
      </w:r>
    </w:p>
    <w:p w:rsidR="00E23B86" w:rsidRDefault="00BA7C13">
      <w:pPr>
        <w:numPr>
          <w:ilvl w:val="0"/>
          <w:numId w:val="187"/>
        </w:numPr>
        <w:spacing w:after="355" w:line="248" w:lineRule="auto"/>
        <w:ind w:right="3" w:hanging="360"/>
        <w:jc w:val="both"/>
      </w:pPr>
      <w:r>
        <w:rPr>
          <w:rFonts w:ascii="Arial" w:eastAsia="Arial" w:hAnsi="Arial" w:cs="Arial"/>
        </w:rPr>
        <w:t>La Convención tiene 54 artículos en los que desarrolla, entre otros, el derecho de los niños y niñas a la protección contra todo tipo de violencia y explotación, a la educación, al</w:t>
      </w:r>
      <w:r>
        <w:rPr>
          <w:rFonts w:ascii="Arial" w:eastAsia="Arial" w:hAnsi="Arial" w:cs="Arial"/>
        </w:rPr>
        <w:t xml:space="preserve"> más alto nivel posible de salud, y a beneficiarse de políticas sociales que garanticen un nivel de vida adecuado para su desarrollo físico, mental, espiritual, moral y social.</w:t>
      </w:r>
    </w:p>
    <w:p w:rsidR="00E23B86" w:rsidRDefault="00BA7C13">
      <w:pPr>
        <w:numPr>
          <w:ilvl w:val="0"/>
          <w:numId w:val="187"/>
        </w:numPr>
        <w:spacing w:after="355" w:line="248" w:lineRule="auto"/>
        <w:ind w:right="3" w:hanging="360"/>
        <w:jc w:val="both"/>
      </w:pPr>
      <w:r>
        <w:rPr>
          <w:rFonts w:ascii="Arial" w:eastAsia="Arial" w:hAnsi="Arial" w:cs="Arial"/>
        </w:rPr>
        <w:t>El Comité de los derechos del niño es un órgano establecido por la propia Conve</w:t>
      </w:r>
      <w:r>
        <w:rPr>
          <w:rFonts w:ascii="Arial" w:eastAsia="Arial" w:hAnsi="Arial" w:cs="Arial"/>
        </w:rPr>
        <w:t>nción para hacer seguimiento y evaluar el cumplimiento de la misma por parte de los Estados. Está formado por 18 expertos independientes de distintas nacionalidades.</w:t>
      </w:r>
    </w:p>
    <w:p w:rsidR="00E23B86" w:rsidRDefault="00BA7C13">
      <w:pPr>
        <w:numPr>
          <w:ilvl w:val="0"/>
          <w:numId w:val="187"/>
        </w:numPr>
        <w:spacing w:after="355" w:line="248" w:lineRule="auto"/>
        <w:ind w:right="3" w:hanging="360"/>
        <w:jc w:val="both"/>
      </w:pPr>
      <w:r>
        <w:rPr>
          <w:rFonts w:ascii="Arial" w:eastAsia="Arial" w:hAnsi="Arial" w:cs="Arial"/>
        </w:rPr>
        <w:t>Cada cinco años los distintos gobiernos de todos los países que han ratificado la Convenci</w:t>
      </w:r>
      <w:r>
        <w:rPr>
          <w:rFonts w:ascii="Arial" w:eastAsia="Arial" w:hAnsi="Arial" w:cs="Arial"/>
        </w:rPr>
        <w:t>ón deben presentar un informe al Comité donde explican la situación de los derechos de los niños y las niñas en su país y describen las medidas que han adoptado para hacer que se cumplan sus derechos. El Comité analiza estos informes y elabora unas recomen</w:t>
      </w:r>
      <w:r>
        <w:rPr>
          <w:rFonts w:ascii="Arial" w:eastAsia="Arial" w:hAnsi="Arial" w:cs="Arial"/>
        </w:rPr>
        <w:t>daciones para que cada país mejore su forma de proteger a los niños y las niñas.</w:t>
      </w:r>
    </w:p>
    <w:p w:rsidR="00E23B86" w:rsidRDefault="00BA7C13">
      <w:pPr>
        <w:numPr>
          <w:ilvl w:val="0"/>
          <w:numId w:val="187"/>
        </w:numPr>
        <w:spacing w:after="111" w:line="249" w:lineRule="auto"/>
        <w:ind w:right="3" w:hanging="360"/>
        <w:jc w:val="both"/>
      </w:pPr>
      <w:r>
        <w:rPr>
          <w:rFonts w:ascii="Arial" w:eastAsia="Arial" w:hAnsi="Arial" w:cs="Arial"/>
          <w:b/>
        </w:rPr>
        <w:t>II.- La Constitución Española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7"/>
        </w:numPr>
        <w:spacing w:after="4" w:line="250" w:lineRule="auto"/>
        <w:ind w:right="3" w:hanging="360"/>
        <w:jc w:val="both"/>
      </w:pPr>
      <w:r>
        <w:rPr>
          <w:rFonts w:ascii="Arial" w:eastAsia="Arial" w:hAnsi="Arial" w:cs="Arial"/>
        </w:rPr>
        <w:t>La Constitución Española prevé en su artículo 9.2 que “</w:t>
      </w:r>
      <w:r>
        <w:rPr>
          <w:rFonts w:ascii="Arial" w:eastAsia="Arial" w:hAnsi="Arial" w:cs="Arial"/>
          <w:color w:val="222222"/>
        </w:rPr>
        <w:t>Corresponde a los poderes públicos promover las condiciones para que la libertad y la igualdad</w:t>
      </w:r>
    </w:p>
    <w:p w:rsidR="00E23B86" w:rsidRDefault="00BA7C13">
      <w:pPr>
        <w:spacing w:after="246" w:line="250" w:lineRule="auto"/>
        <w:ind w:left="360"/>
        <w:jc w:val="both"/>
      </w:pPr>
      <w:r>
        <w:rPr>
          <w:rFonts w:ascii="Arial" w:eastAsia="Arial" w:hAnsi="Arial" w:cs="Arial"/>
          <w:color w:val="222222"/>
        </w:rPr>
        <w:t>del individuo y de los grupos en que se integra sean reales y efectivas; remover los obstáculos que impidan o dificulten su plenitud y facilitar la participación</w:t>
      </w:r>
      <w:r>
        <w:rPr>
          <w:rFonts w:ascii="Arial" w:eastAsia="Arial" w:hAnsi="Arial" w:cs="Arial"/>
          <w:color w:val="222222"/>
        </w:rPr>
        <w:t xml:space="preserve"> de todos los ciudadanos en la vida política, económica, cultural y social.”</w:t>
      </w:r>
    </w:p>
    <w:p w:rsidR="00E23B86" w:rsidRDefault="00BA7C13">
      <w:pPr>
        <w:pStyle w:val="Ttulo4"/>
        <w:ind w:left="-5"/>
      </w:pPr>
      <w:r>
        <w:rPr>
          <w:rFonts w:ascii="Segoe UI Symbol" w:eastAsia="Segoe UI Symbol" w:hAnsi="Segoe UI Symbol" w:cs="Segoe UI Symbol"/>
          <w:b w:val="0"/>
          <w:color w:val="000000"/>
          <w:sz w:val="20"/>
        </w:rPr>
        <w:t xml:space="preserve"> </w:t>
      </w:r>
      <w:r>
        <w:t>Artículo 15</w:t>
      </w:r>
    </w:p>
    <w:p w:rsidR="00E23B86" w:rsidRDefault="00BA7C13">
      <w:pPr>
        <w:spacing w:after="3" w:line="248" w:lineRule="auto"/>
        <w:ind w:left="-15" w:right="14"/>
        <w:jc w:val="both"/>
      </w:pPr>
      <w:r>
        <w:rPr>
          <w:rFonts w:ascii="Segoe UI Symbol" w:eastAsia="Segoe UI Symbol" w:hAnsi="Segoe UI Symbol" w:cs="Segoe UI Symbol"/>
          <w:color w:val="222222"/>
          <w:sz w:val="20"/>
        </w:rPr>
        <w:t xml:space="preserve"> </w:t>
      </w:r>
      <w:r>
        <w:rPr>
          <w:rFonts w:ascii="Arial" w:eastAsia="Arial" w:hAnsi="Arial" w:cs="Arial"/>
          <w:i/>
          <w:color w:val="222222"/>
        </w:rPr>
        <w:t>“Todos tienen derecho a la vida y a la integridad física y moral, sin que, en ningún caso, puedan ser sometidos a tortura ni a penas o tratos inhumanos o degradant</w:t>
      </w:r>
      <w:r>
        <w:rPr>
          <w:rFonts w:ascii="Arial" w:eastAsia="Arial" w:hAnsi="Arial" w:cs="Arial"/>
          <w:i/>
          <w:color w:val="222222"/>
        </w:rPr>
        <w:t xml:space="preserve">es. Queda abolida la pena de muerte, salvo lo que puedan disponer las leyes penales militares para tiempos de guerra.” </w:t>
      </w: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color w:val="000000"/>
          <w:sz w:val="20"/>
        </w:rPr>
        <w:t xml:space="preserve"> </w:t>
      </w:r>
      <w:r>
        <w:t>Artículo 17</w:t>
      </w:r>
    </w:p>
    <w:p w:rsidR="00E23B86" w:rsidRDefault="00BA7C13">
      <w:pPr>
        <w:spacing w:after="3" w:line="248" w:lineRule="auto"/>
        <w:ind w:left="-15" w:right="14"/>
        <w:jc w:val="both"/>
      </w:pPr>
      <w:r>
        <w:rPr>
          <w:rFonts w:ascii="Segoe UI Symbol" w:eastAsia="Segoe UI Symbol" w:hAnsi="Segoe UI Symbol" w:cs="Segoe UI Symbol"/>
          <w:sz w:val="20"/>
        </w:rPr>
        <w:t xml:space="preserve"> </w:t>
      </w:r>
      <w:r>
        <w:rPr>
          <w:rFonts w:ascii="Arial" w:eastAsia="Arial" w:hAnsi="Arial" w:cs="Arial"/>
          <w:b/>
          <w:i/>
          <w:color w:val="222222"/>
        </w:rPr>
        <w:t xml:space="preserve">“1. </w:t>
      </w:r>
      <w:r>
        <w:rPr>
          <w:rFonts w:ascii="Arial" w:eastAsia="Arial" w:hAnsi="Arial" w:cs="Arial"/>
          <w:i/>
          <w:color w:val="222222"/>
        </w:rPr>
        <w:t xml:space="preserve">Toda persona tiene derecho a la libertad y a la seguridad. Nadie puede ser privado de su libertad, sino con la observancia de lo establecido en este artículo y en los casos y en la forma previstos en la ley.” </w:t>
      </w: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color w:val="000000"/>
          <w:sz w:val="20"/>
        </w:rPr>
        <w:t xml:space="preserve"> </w:t>
      </w:r>
      <w:r>
        <w:t>Artículo 18</w:t>
      </w:r>
    </w:p>
    <w:p w:rsidR="00E23B86" w:rsidRDefault="00BA7C13">
      <w:pPr>
        <w:spacing w:after="3" w:line="248" w:lineRule="auto"/>
        <w:ind w:left="355" w:right="14" w:hanging="370"/>
        <w:jc w:val="both"/>
      </w:pPr>
      <w:r>
        <w:rPr>
          <w:rFonts w:ascii="Segoe UI Symbol" w:eastAsia="Segoe UI Symbol" w:hAnsi="Segoe UI Symbol" w:cs="Segoe UI Symbol"/>
          <w:sz w:val="20"/>
        </w:rPr>
        <w:t xml:space="preserve"> </w:t>
      </w:r>
      <w:r>
        <w:rPr>
          <w:rFonts w:ascii="Arial" w:eastAsia="Arial" w:hAnsi="Arial" w:cs="Arial"/>
          <w:b/>
          <w:i/>
          <w:color w:val="222222"/>
        </w:rPr>
        <w:t xml:space="preserve">“1. </w:t>
      </w:r>
      <w:r>
        <w:rPr>
          <w:rFonts w:ascii="Arial" w:eastAsia="Arial" w:hAnsi="Arial" w:cs="Arial"/>
          <w:i/>
          <w:color w:val="222222"/>
        </w:rPr>
        <w:t>Se garantiza el derecho a</w:t>
      </w:r>
      <w:r>
        <w:rPr>
          <w:rFonts w:ascii="Arial" w:eastAsia="Arial" w:hAnsi="Arial" w:cs="Arial"/>
          <w:i/>
          <w:color w:val="222222"/>
        </w:rPr>
        <w:t>l honor, a la intimidad personal y familiar y a la propia imagen”</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4"/>
        <w:ind w:left="-5"/>
      </w:pPr>
      <w:r>
        <w:rPr>
          <w:rFonts w:ascii="Segoe UI Symbol" w:eastAsia="Segoe UI Symbol" w:hAnsi="Segoe UI Symbol" w:cs="Segoe UI Symbol"/>
          <w:b w:val="0"/>
          <w:color w:val="000000"/>
          <w:sz w:val="20"/>
        </w:rPr>
        <w:t xml:space="preserve"> </w:t>
      </w:r>
      <w:r>
        <w:t>Artículo 27</w:t>
      </w:r>
    </w:p>
    <w:p w:rsidR="00E23B86" w:rsidRDefault="00BA7C13">
      <w:pPr>
        <w:numPr>
          <w:ilvl w:val="0"/>
          <w:numId w:val="188"/>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Todos tienen el derecho a la educación. Se reconoce la libertad de enseñanza.</w:t>
      </w:r>
    </w:p>
    <w:p w:rsidR="00E23B86" w:rsidRDefault="00BA7C13">
      <w:pPr>
        <w:numPr>
          <w:ilvl w:val="0"/>
          <w:numId w:val="188"/>
        </w:numPr>
        <w:spacing w:after="3" w:line="248" w:lineRule="auto"/>
        <w:ind w:right="14" w:hanging="360"/>
        <w:jc w:val="both"/>
      </w:pPr>
      <w:r>
        <w:rPr>
          <w:noProof/>
        </w:rPr>
        <mc:AlternateContent>
          <mc:Choice Requires="wpg">
            <w:drawing>
              <wp:anchor distT="0" distB="0" distL="114300" distR="114300" simplePos="0" relativeHeight="2520176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7811" name="Group 58781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003" name="Rectangle 5400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4004" name="Rectangle 5400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349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7811" style="width:12.7031pt;height:280.35pt;position:absolute;mso-position-horizontal-relative:page;mso-position-horizontal:absolute;margin-left:681.958pt;mso-position-vertical-relative:page;margin-top:531.65pt;" coordsize="1613,35604">
                <v:rect id="Rectangle 5400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400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349 de 391 </w:t>
                        </w:r>
                      </w:p>
                    </w:txbxContent>
                  </v:textbox>
                </v:rect>
                <w10:wrap type="square"/>
              </v:group>
            </w:pict>
          </mc:Fallback>
        </mc:AlternateContent>
      </w:r>
      <w:r>
        <w:rPr>
          <w:rFonts w:ascii="Arial" w:eastAsia="Arial" w:hAnsi="Arial" w:cs="Arial"/>
          <w:b/>
          <w:i/>
          <w:color w:val="222222"/>
        </w:rPr>
        <w:t xml:space="preserve">2. </w:t>
      </w:r>
      <w:r>
        <w:rPr>
          <w:rFonts w:ascii="Arial" w:eastAsia="Arial" w:hAnsi="Arial" w:cs="Arial"/>
          <w:i/>
          <w:color w:val="222222"/>
        </w:rPr>
        <w:t>La educación tendrá por objeto el pleno desarrollo de la p</w:t>
      </w:r>
      <w:r>
        <w:rPr>
          <w:rFonts w:ascii="Arial" w:eastAsia="Arial" w:hAnsi="Arial" w:cs="Arial"/>
          <w:i/>
          <w:color w:val="222222"/>
        </w:rPr>
        <w:t>ersonalidad humana en el respeto a los principios democráticos de convivencia y a los derechos y libertades fundamentales.</w:t>
      </w:r>
    </w:p>
    <w:p w:rsidR="00E23B86" w:rsidRDefault="00BA7C13">
      <w:pPr>
        <w:numPr>
          <w:ilvl w:val="0"/>
          <w:numId w:val="188"/>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Los poderes públicos garantizan el derecho que asiste a los padres para que sus hijos reciban la formación religiosa y moral que e</w:t>
      </w:r>
      <w:r>
        <w:rPr>
          <w:rFonts w:ascii="Arial" w:eastAsia="Arial" w:hAnsi="Arial" w:cs="Arial"/>
          <w:i/>
          <w:color w:val="222222"/>
        </w:rPr>
        <w:t>sté de acuerdo con sus propias convicciones.</w:t>
      </w:r>
    </w:p>
    <w:p w:rsidR="00E23B86" w:rsidRDefault="00BA7C13">
      <w:pPr>
        <w:numPr>
          <w:ilvl w:val="0"/>
          <w:numId w:val="188"/>
        </w:numPr>
        <w:spacing w:after="3" w:line="248" w:lineRule="auto"/>
        <w:ind w:right="14" w:hanging="360"/>
        <w:jc w:val="both"/>
      </w:pPr>
      <w:r>
        <w:rPr>
          <w:rFonts w:ascii="Arial" w:eastAsia="Arial" w:hAnsi="Arial" w:cs="Arial"/>
          <w:b/>
          <w:i/>
          <w:color w:val="222222"/>
        </w:rPr>
        <w:t xml:space="preserve">4. </w:t>
      </w:r>
      <w:r>
        <w:rPr>
          <w:rFonts w:ascii="Arial" w:eastAsia="Arial" w:hAnsi="Arial" w:cs="Arial"/>
          <w:i/>
          <w:color w:val="222222"/>
        </w:rPr>
        <w:t>La enseñanza básica es obligatoria y gratuita.</w:t>
      </w:r>
    </w:p>
    <w:p w:rsidR="00E23B86" w:rsidRDefault="00BA7C13">
      <w:pPr>
        <w:numPr>
          <w:ilvl w:val="0"/>
          <w:numId w:val="188"/>
        </w:numPr>
        <w:spacing w:after="3" w:line="248" w:lineRule="auto"/>
        <w:ind w:right="14" w:hanging="360"/>
        <w:jc w:val="both"/>
      </w:pPr>
      <w:r>
        <w:rPr>
          <w:rFonts w:ascii="Arial" w:eastAsia="Arial" w:hAnsi="Arial" w:cs="Arial"/>
          <w:b/>
          <w:i/>
          <w:color w:val="222222"/>
        </w:rPr>
        <w:t xml:space="preserve">5. </w:t>
      </w:r>
      <w:r>
        <w:rPr>
          <w:rFonts w:ascii="Arial" w:eastAsia="Arial" w:hAnsi="Arial" w:cs="Arial"/>
          <w:i/>
          <w:color w:val="222222"/>
        </w:rPr>
        <w:t>Los poderes públicos garantizan el derecho de todos a la educación, mediante una programación general de la enseñanza, con participación efectiva de todos los</w:t>
      </w:r>
      <w:r>
        <w:rPr>
          <w:rFonts w:ascii="Arial" w:eastAsia="Arial" w:hAnsi="Arial" w:cs="Arial"/>
          <w:i/>
          <w:color w:val="222222"/>
        </w:rPr>
        <w:t xml:space="preserve"> sectores afectados y la creación de centros docentes.</w:t>
      </w:r>
    </w:p>
    <w:p w:rsidR="00E23B86" w:rsidRDefault="00BA7C13">
      <w:pPr>
        <w:numPr>
          <w:ilvl w:val="0"/>
          <w:numId w:val="188"/>
        </w:numPr>
        <w:spacing w:after="3" w:line="248" w:lineRule="auto"/>
        <w:ind w:right="14" w:hanging="360"/>
        <w:jc w:val="both"/>
      </w:pPr>
      <w:r>
        <w:rPr>
          <w:rFonts w:ascii="Arial" w:eastAsia="Arial" w:hAnsi="Arial" w:cs="Arial"/>
          <w:b/>
          <w:i/>
          <w:color w:val="222222"/>
        </w:rPr>
        <w:t xml:space="preserve">6. </w:t>
      </w:r>
      <w:r>
        <w:rPr>
          <w:rFonts w:ascii="Arial" w:eastAsia="Arial" w:hAnsi="Arial" w:cs="Arial"/>
          <w:i/>
          <w:color w:val="222222"/>
        </w:rPr>
        <w:t>Se reconoce a las personas físicas y jurídicas la libertad de creación de centros docentes, dentro del respeto a los principios constitucionales.</w:t>
      </w:r>
    </w:p>
    <w:p w:rsidR="00E23B86" w:rsidRDefault="00BA7C13">
      <w:pPr>
        <w:numPr>
          <w:ilvl w:val="0"/>
          <w:numId w:val="188"/>
        </w:numPr>
        <w:spacing w:after="3" w:line="248" w:lineRule="auto"/>
        <w:ind w:right="14" w:hanging="360"/>
        <w:jc w:val="both"/>
      </w:pPr>
      <w:r>
        <w:rPr>
          <w:rFonts w:ascii="Arial" w:eastAsia="Arial" w:hAnsi="Arial" w:cs="Arial"/>
          <w:b/>
          <w:i/>
          <w:color w:val="222222"/>
        </w:rPr>
        <w:t xml:space="preserve">7. </w:t>
      </w:r>
      <w:r>
        <w:rPr>
          <w:rFonts w:ascii="Arial" w:eastAsia="Arial" w:hAnsi="Arial" w:cs="Arial"/>
          <w:i/>
          <w:color w:val="222222"/>
        </w:rPr>
        <w:t>Los profesores, los padres y, en su caso, los alu</w:t>
      </w:r>
      <w:r>
        <w:rPr>
          <w:rFonts w:ascii="Arial" w:eastAsia="Arial" w:hAnsi="Arial" w:cs="Arial"/>
          <w:i/>
          <w:color w:val="222222"/>
        </w:rPr>
        <w:t>mnos intervendrán en el control y gestión de todos los centros sostenidos por la Administración con fondos públicos, en los términos que la ley establezca.</w:t>
      </w:r>
    </w:p>
    <w:p w:rsidR="00E23B86" w:rsidRDefault="00BA7C13">
      <w:pPr>
        <w:numPr>
          <w:ilvl w:val="0"/>
          <w:numId w:val="188"/>
        </w:numPr>
        <w:spacing w:after="3" w:line="248" w:lineRule="auto"/>
        <w:ind w:right="14" w:hanging="360"/>
        <w:jc w:val="both"/>
      </w:pPr>
      <w:r>
        <w:rPr>
          <w:rFonts w:ascii="Arial" w:eastAsia="Arial" w:hAnsi="Arial" w:cs="Arial"/>
          <w:b/>
          <w:i/>
          <w:color w:val="222222"/>
        </w:rPr>
        <w:t xml:space="preserve">8. </w:t>
      </w:r>
      <w:r>
        <w:rPr>
          <w:rFonts w:ascii="Arial" w:eastAsia="Arial" w:hAnsi="Arial" w:cs="Arial"/>
          <w:i/>
          <w:color w:val="222222"/>
        </w:rPr>
        <w:t>Los poderes públicos inspeccionarán y homologarán el sistema educativo para garantizar el cumplim</w:t>
      </w:r>
      <w:r>
        <w:rPr>
          <w:rFonts w:ascii="Arial" w:eastAsia="Arial" w:hAnsi="Arial" w:cs="Arial"/>
          <w:i/>
          <w:color w:val="222222"/>
        </w:rPr>
        <w:t>iento de las leyes.</w:t>
      </w:r>
    </w:p>
    <w:p w:rsidR="00E23B86" w:rsidRDefault="00BA7C13">
      <w:pPr>
        <w:numPr>
          <w:ilvl w:val="0"/>
          <w:numId w:val="188"/>
        </w:numPr>
        <w:spacing w:after="3" w:line="248" w:lineRule="auto"/>
        <w:ind w:right="14" w:hanging="360"/>
        <w:jc w:val="both"/>
      </w:pPr>
      <w:r>
        <w:rPr>
          <w:rFonts w:ascii="Arial" w:eastAsia="Arial" w:hAnsi="Arial" w:cs="Arial"/>
          <w:b/>
          <w:i/>
          <w:color w:val="222222"/>
        </w:rPr>
        <w:t xml:space="preserve">9. </w:t>
      </w:r>
      <w:r>
        <w:rPr>
          <w:rFonts w:ascii="Arial" w:eastAsia="Arial" w:hAnsi="Arial" w:cs="Arial"/>
          <w:i/>
          <w:color w:val="222222"/>
        </w:rPr>
        <w:t>Los poderes públicos ayudarán a los centros docentes que reúnan los requisitos que la ley establezca.</w:t>
      </w:r>
    </w:p>
    <w:p w:rsidR="00E23B86" w:rsidRDefault="00BA7C13">
      <w:pPr>
        <w:numPr>
          <w:ilvl w:val="0"/>
          <w:numId w:val="188"/>
        </w:numPr>
        <w:spacing w:after="3" w:line="248" w:lineRule="auto"/>
        <w:ind w:right="14" w:hanging="360"/>
        <w:jc w:val="both"/>
      </w:pPr>
      <w:r>
        <w:rPr>
          <w:rFonts w:ascii="Arial" w:eastAsia="Arial" w:hAnsi="Arial" w:cs="Arial"/>
          <w:b/>
          <w:i/>
          <w:color w:val="222222"/>
        </w:rPr>
        <w:t xml:space="preserve">10. </w:t>
      </w:r>
      <w:r>
        <w:rPr>
          <w:rFonts w:ascii="Arial" w:eastAsia="Arial" w:hAnsi="Arial" w:cs="Arial"/>
          <w:i/>
          <w:color w:val="222222"/>
        </w:rPr>
        <w:t>Se reconoce la autonomía de las Universidades, en los términos que la ley establezca.”</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color w:val="000000"/>
          <w:sz w:val="20"/>
        </w:rPr>
        <w:t xml:space="preserve"> </w:t>
      </w:r>
      <w:r>
        <w:t>Artículo 39</w:t>
      </w:r>
    </w:p>
    <w:p w:rsidR="00E23B86" w:rsidRDefault="00BA7C13">
      <w:pPr>
        <w:numPr>
          <w:ilvl w:val="0"/>
          <w:numId w:val="189"/>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Los poderes públicos aseguran la protección social, económica y jurídica de la familia.</w:t>
      </w:r>
    </w:p>
    <w:p w:rsidR="00E23B86" w:rsidRDefault="00BA7C13">
      <w:pPr>
        <w:numPr>
          <w:ilvl w:val="0"/>
          <w:numId w:val="189"/>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Los poderes públicos aseguran, asimismo, la protección integral de los hijos, iguales éstos ante la ley con independencia de su filiación, y de las madres, cualquier</w:t>
      </w:r>
      <w:r>
        <w:rPr>
          <w:rFonts w:ascii="Arial" w:eastAsia="Arial" w:hAnsi="Arial" w:cs="Arial"/>
          <w:i/>
          <w:color w:val="222222"/>
        </w:rPr>
        <w:t>a que sea su estado civil. La ley posibilitará la investigación de la paternidad.</w:t>
      </w:r>
    </w:p>
    <w:p w:rsidR="00E23B86" w:rsidRDefault="00BA7C13">
      <w:pPr>
        <w:numPr>
          <w:ilvl w:val="1"/>
          <w:numId w:val="189"/>
        </w:numPr>
        <w:spacing w:after="3" w:line="248" w:lineRule="auto"/>
        <w:ind w:right="14"/>
        <w:jc w:val="both"/>
      </w:pPr>
      <w:r>
        <w:rPr>
          <w:rFonts w:ascii="Arial" w:eastAsia="Arial" w:hAnsi="Arial" w:cs="Arial"/>
          <w:i/>
          <w:color w:val="222222"/>
        </w:rPr>
        <w:t>Los padres deben prestar asistencia de todo orden a los hijos habidos dentro o fuera del matrimonio, durante su minoría de edad y en los demás casos en que legalmente proceda</w:t>
      </w:r>
      <w:r>
        <w:rPr>
          <w:rFonts w:ascii="Arial" w:eastAsia="Arial" w:hAnsi="Arial" w:cs="Arial"/>
          <w:i/>
          <w:color w:val="222222"/>
        </w:rPr>
        <w:t>.</w:t>
      </w:r>
    </w:p>
    <w:p w:rsidR="00E23B86" w:rsidRDefault="00BA7C13">
      <w:pPr>
        <w:numPr>
          <w:ilvl w:val="1"/>
          <w:numId w:val="189"/>
        </w:numPr>
        <w:spacing w:after="3" w:line="248" w:lineRule="auto"/>
        <w:ind w:right="14"/>
        <w:jc w:val="both"/>
      </w:pPr>
      <w:r>
        <w:rPr>
          <w:rFonts w:ascii="Arial" w:eastAsia="Arial" w:hAnsi="Arial" w:cs="Arial"/>
          <w:i/>
          <w:color w:val="222222"/>
        </w:rPr>
        <w:t>Los niños gozarán de la protección prevista en los acuerdos internacionales que velan por sus derechos.”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89"/>
        </w:numPr>
        <w:spacing w:after="0" w:line="249" w:lineRule="auto"/>
        <w:ind w:right="14" w:hanging="360"/>
        <w:jc w:val="both"/>
      </w:pPr>
      <w:r>
        <w:rPr>
          <w:rFonts w:ascii="Arial" w:eastAsia="Arial" w:hAnsi="Arial" w:cs="Arial"/>
          <w:b/>
        </w:rPr>
        <w:t xml:space="preserve">III. Ley Orgánica 1/1996, de 15 de enero, de protección jurídica del menor, de modificación del Código Civil y de la Ley de Enjuiciamiento Civil </w:t>
      </w:r>
      <w:r>
        <w:rPr>
          <w:rFonts w:ascii="Segoe UI Symbol" w:eastAsia="Segoe UI Symbol" w:hAnsi="Segoe UI Symbol" w:cs="Segoe UI Symbol"/>
          <w:color w:val="3C587E"/>
          <w:sz w:val="20"/>
        </w:rPr>
        <w:t></w:t>
      </w:r>
    </w:p>
    <w:p w:rsidR="00E23B86" w:rsidRDefault="00BA7C13">
      <w:pPr>
        <w:numPr>
          <w:ilvl w:val="0"/>
          <w:numId w:val="189"/>
        </w:numPr>
        <w:spacing w:after="0"/>
        <w:ind w:right="14" w:hanging="360"/>
        <w:jc w:val="both"/>
      </w:pPr>
      <w:r>
        <w:rPr>
          <w:rFonts w:ascii="Arial" w:eastAsia="Arial" w:hAnsi="Arial" w:cs="Arial"/>
          <w:b/>
          <w:color w:val="3C587E"/>
        </w:rPr>
        <w:t>Derechos del menor</w:t>
      </w:r>
    </w:p>
    <w:p w:rsidR="00E23B86" w:rsidRDefault="00BA7C13">
      <w:pPr>
        <w:spacing w:after="0"/>
        <w:ind w:left="-5" w:hanging="10"/>
      </w:pPr>
      <w:r>
        <w:rPr>
          <w:rFonts w:ascii="Segoe UI Symbol" w:eastAsia="Segoe UI Symbol" w:hAnsi="Segoe UI Symbol" w:cs="Segoe UI Symbol"/>
          <w:color w:val="3C587E"/>
          <w:sz w:val="20"/>
        </w:rPr>
        <w:t></w:t>
      </w:r>
    </w:p>
    <w:p w:rsidR="00E23B86" w:rsidRDefault="00BA7C13">
      <w:pPr>
        <w:spacing w:after="1"/>
        <w:ind w:left="-5" w:hanging="10"/>
      </w:pPr>
      <w:r>
        <w:rPr>
          <w:rFonts w:ascii="Segoe UI Symbol" w:eastAsia="Segoe UI Symbol" w:hAnsi="Segoe UI Symbol" w:cs="Segoe UI Symbol"/>
          <w:color w:val="4C6F99"/>
          <w:sz w:val="20"/>
        </w:rPr>
        <w:t></w:t>
      </w:r>
    </w:p>
    <w:p w:rsidR="00E23B86" w:rsidRDefault="00BA7C13">
      <w:pPr>
        <w:pStyle w:val="Ttulo4"/>
        <w:ind w:left="-5"/>
      </w:pPr>
      <w:r>
        <w:rPr>
          <w:rFonts w:ascii="Segoe UI Symbol" w:eastAsia="Segoe UI Symbol" w:hAnsi="Segoe UI Symbol" w:cs="Segoe UI Symbol"/>
          <w:b w:val="0"/>
          <w:sz w:val="20"/>
        </w:rPr>
        <w:t xml:space="preserve"> </w:t>
      </w:r>
      <w:r>
        <w:t>Artículo 3 Referencia a Instrumentos Internacionales</w:t>
      </w:r>
    </w:p>
    <w:p w:rsidR="00E23B86" w:rsidRDefault="00BA7C13">
      <w:pPr>
        <w:numPr>
          <w:ilvl w:val="0"/>
          <w:numId w:val="190"/>
        </w:numPr>
        <w:spacing w:after="3" w:line="248" w:lineRule="auto"/>
        <w:ind w:right="14" w:hanging="360"/>
        <w:jc w:val="both"/>
      </w:pPr>
      <w:r>
        <w:rPr>
          <w:rFonts w:ascii="Arial" w:eastAsia="Arial" w:hAnsi="Arial" w:cs="Arial"/>
          <w:color w:val="222222"/>
        </w:rPr>
        <w:t>“</w:t>
      </w:r>
      <w:r>
        <w:rPr>
          <w:rFonts w:ascii="Arial" w:eastAsia="Arial" w:hAnsi="Arial" w:cs="Arial"/>
          <w:i/>
          <w:color w:val="222222"/>
        </w:rPr>
        <w:t>Los menores gozarán de los derechos que les reconoce la Constitución y los Tratados Internacionales de los que España sea parte, especialmente la Convención de Derechos del Ni</w:t>
      </w:r>
      <w:r>
        <w:rPr>
          <w:rFonts w:ascii="Arial" w:eastAsia="Arial" w:hAnsi="Arial" w:cs="Arial"/>
          <w:i/>
          <w:color w:val="222222"/>
        </w:rPr>
        <w:t>ño de Naciones Unidas y la Convención de Derechos de las Personas con Discapacidad, y de los demás derechos garantizados en el ordenamiento jurídico, sin discriminación alguna por razón de nacimiento, nacionalidad, raza, sexo, discapacidad o enfermedad, re</w:t>
      </w:r>
      <w:r>
        <w:rPr>
          <w:rFonts w:ascii="Arial" w:eastAsia="Arial" w:hAnsi="Arial" w:cs="Arial"/>
          <w:i/>
          <w:color w:val="222222"/>
        </w:rPr>
        <w:t>ligión, lengua, cultura, opinión o cualquier otra circunstancia personal, familiar o social.</w:t>
      </w:r>
    </w:p>
    <w:p w:rsidR="00E23B86" w:rsidRDefault="00BA7C13">
      <w:pPr>
        <w:numPr>
          <w:ilvl w:val="0"/>
          <w:numId w:val="190"/>
        </w:numPr>
        <w:spacing w:after="3" w:line="248" w:lineRule="auto"/>
        <w:ind w:right="14" w:hanging="360"/>
        <w:jc w:val="both"/>
      </w:pPr>
      <w:r>
        <w:rPr>
          <w:noProof/>
        </w:rPr>
        <mc:AlternateContent>
          <mc:Choice Requires="wpg">
            <w:drawing>
              <wp:anchor distT="0" distB="0" distL="114300" distR="114300" simplePos="0" relativeHeight="2520186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8146" name="Group 58814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114" name="Rectangle 5411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4115" name="Rectangle 5411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w:t>
                              </w:r>
                              <w:r>
                                <w:rPr>
                                  <w:rFonts w:ascii="Arial" w:eastAsia="Arial" w:hAnsi="Arial" w:cs="Arial"/>
                                  <w:sz w:val="12"/>
                                </w:rPr>
                                <w:t xml:space="preserve">lico Gestiona | Página 350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8146" style="width:12.7031pt;height:280.35pt;position:absolute;mso-position-horizontal-relative:page;mso-position-horizontal:absolute;margin-left:681.958pt;mso-position-vertical-relative:page;margin-top:531.65pt;" coordsize="1613,35604">
                <v:rect id="Rectangle 5411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411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350 de 391 </w:t>
                        </w:r>
                      </w:p>
                    </w:txbxContent>
                  </v:textbox>
                </v:rect>
                <w10:wrap type="square"/>
              </v:group>
            </w:pict>
          </mc:Fallback>
        </mc:AlternateContent>
      </w:r>
      <w:r>
        <w:rPr>
          <w:rFonts w:ascii="Arial" w:eastAsia="Arial" w:hAnsi="Arial" w:cs="Arial"/>
          <w:i/>
          <w:color w:val="222222"/>
        </w:rPr>
        <w:t>La presente ley, sus normas de desarrollo y demás disposiciones legales relativas a las personas menores de edad, se interpretarán de conformidad con los Tratados Internacionales de los que España sea parte y, especialmente, de acuerdo con la Convención de</w:t>
      </w:r>
      <w:r>
        <w:rPr>
          <w:rFonts w:ascii="Arial" w:eastAsia="Arial" w:hAnsi="Arial" w:cs="Arial"/>
          <w:i/>
          <w:color w:val="222222"/>
        </w:rPr>
        <w:t xml:space="preserve"> los Derechos del Niño de Naciones Unidas y la Convención de Derechos de las Personas con Discapacidad.</w:t>
      </w:r>
    </w:p>
    <w:p w:rsidR="00E23B86" w:rsidRDefault="00BA7C13">
      <w:pPr>
        <w:numPr>
          <w:ilvl w:val="0"/>
          <w:numId w:val="190"/>
        </w:numPr>
        <w:spacing w:after="3" w:line="248" w:lineRule="auto"/>
        <w:ind w:right="14" w:hanging="360"/>
        <w:jc w:val="both"/>
      </w:pPr>
      <w:r>
        <w:rPr>
          <w:rFonts w:ascii="Arial" w:eastAsia="Arial" w:hAnsi="Arial" w:cs="Arial"/>
          <w:i/>
          <w:color w:val="222222"/>
        </w:rPr>
        <w:t>Los poderes públicos garantizarán el respeto de los derechos de los menores y adecuarán sus actuaciones a la presente ley y a la mencionada normativa in</w:t>
      </w:r>
      <w:r>
        <w:rPr>
          <w:rFonts w:ascii="Arial" w:eastAsia="Arial" w:hAnsi="Arial" w:cs="Arial"/>
          <w:i/>
          <w:color w:val="222222"/>
        </w:rPr>
        <w:t>ternacional.”</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4"/>
        <w:ind w:left="-5" w:right="1114"/>
      </w:pPr>
      <w:r>
        <w:rPr>
          <w:rFonts w:ascii="Segoe UI Symbol" w:eastAsia="Segoe UI Symbol" w:hAnsi="Segoe UI Symbol" w:cs="Segoe UI Symbol"/>
          <w:b w:val="0"/>
          <w:sz w:val="20"/>
        </w:rPr>
        <w:t xml:space="preserve"> </w:t>
      </w:r>
      <w:r>
        <w:t xml:space="preserve">Artículo 4 Derecho al honor, a la intimidad y a la propia imagen </w:t>
      </w:r>
      <w:r>
        <w:rPr>
          <w:rFonts w:ascii="Segoe UI Symbol" w:eastAsia="Segoe UI Symbol" w:hAnsi="Segoe UI Symbol" w:cs="Segoe UI Symbol"/>
          <w:b w:val="0"/>
          <w:color w:val="222222"/>
          <w:sz w:val="20"/>
        </w:rPr>
        <w:t></w:t>
      </w:r>
    </w:p>
    <w:p w:rsidR="00E23B86" w:rsidRDefault="00BA7C13">
      <w:pPr>
        <w:numPr>
          <w:ilvl w:val="0"/>
          <w:numId w:val="191"/>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Los menores tienen derecho al honor, a la intimidad personal y familiar y a la propia imagen. Este derecho comprende también la inviolabilidad del domicilio familiar y de la correspondencia, así como del secreto de las comunicaciones.</w:t>
      </w:r>
    </w:p>
    <w:p w:rsidR="00E23B86" w:rsidRDefault="00BA7C13">
      <w:pPr>
        <w:numPr>
          <w:ilvl w:val="0"/>
          <w:numId w:val="191"/>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La difusión de inf</w:t>
      </w:r>
      <w:r>
        <w:rPr>
          <w:rFonts w:ascii="Arial" w:eastAsia="Arial" w:hAnsi="Arial" w:cs="Arial"/>
          <w:i/>
          <w:color w:val="222222"/>
        </w:rPr>
        <w:t>ormación o la utilización de imágenes o nombre de los menores en los medios de comunicación que puedan implicar una intromisión ilegítima en su intimidad, honra o reputación, o que sea contraria a sus intereses, determinará la intervención del Ministerio F</w:t>
      </w:r>
      <w:r>
        <w:rPr>
          <w:rFonts w:ascii="Arial" w:eastAsia="Arial" w:hAnsi="Arial" w:cs="Arial"/>
          <w:i/>
          <w:color w:val="222222"/>
        </w:rPr>
        <w:t>iscal, que instará de inmediato las medidas cautelares y de protección previstas en la Ley y solicitará las indemnizaciones que correspondan por los perjuicios causados.</w:t>
      </w:r>
    </w:p>
    <w:p w:rsidR="00E23B86" w:rsidRDefault="00BA7C13">
      <w:pPr>
        <w:numPr>
          <w:ilvl w:val="0"/>
          <w:numId w:val="191"/>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 xml:space="preserve">Se considera intromisión ilegítima en el derecho al honor, a la intimidad personal </w:t>
      </w:r>
      <w:r>
        <w:rPr>
          <w:rFonts w:ascii="Arial" w:eastAsia="Arial" w:hAnsi="Arial" w:cs="Arial"/>
          <w:i/>
          <w:color w:val="222222"/>
        </w:rPr>
        <w:t>y familiar y a la propia imagen del menor, cualquier utilización de su imagen o su nombre en los medios de comunicación que pueda implicar menoscabo de su honra o reputación, o que sea contraria a sus intereses incluso si consta el consentimiento del menor</w:t>
      </w:r>
      <w:r>
        <w:rPr>
          <w:rFonts w:ascii="Arial" w:eastAsia="Arial" w:hAnsi="Arial" w:cs="Arial"/>
          <w:i/>
          <w:color w:val="222222"/>
        </w:rPr>
        <w:t xml:space="preserve"> o de sus representantes legales.</w:t>
      </w:r>
    </w:p>
    <w:p w:rsidR="00E23B86" w:rsidRDefault="00BA7C13">
      <w:pPr>
        <w:numPr>
          <w:ilvl w:val="0"/>
          <w:numId w:val="191"/>
        </w:numPr>
        <w:spacing w:after="3" w:line="248" w:lineRule="auto"/>
        <w:ind w:right="14" w:hanging="360"/>
        <w:jc w:val="both"/>
      </w:pPr>
      <w:r>
        <w:rPr>
          <w:rFonts w:ascii="Arial" w:eastAsia="Arial" w:hAnsi="Arial" w:cs="Arial"/>
          <w:b/>
          <w:i/>
          <w:color w:val="222222"/>
        </w:rPr>
        <w:t xml:space="preserve">4. </w:t>
      </w:r>
      <w:r>
        <w:rPr>
          <w:rFonts w:ascii="Arial" w:eastAsia="Arial" w:hAnsi="Arial" w:cs="Arial"/>
          <w:i/>
          <w:color w:val="222222"/>
        </w:rPr>
        <w:t>Sin perjuicio de las acciones de las que sean titulares los representantes legales del menor, corresponde en todo caso al Ministerio Fiscal su ejercicio, que podrá actuar de oficio o a instancia del propio menor o de cu</w:t>
      </w:r>
      <w:r>
        <w:rPr>
          <w:rFonts w:ascii="Arial" w:eastAsia="Arial" w:hAnsi="Arial" w:cs="Arial"/>
          <w:i/>
          <w:color w:val="222222"/>
        </w:rPr>
        <w:t>alquier persona interesada, física, jurídica o entidad pública.</w:t>
      </w:r>
    </w:p>
    <w:p w:rsidR="00E23B86" w:rsidRDefault="00E23B86">
      <w:pPr>
        <w:sectPr w:rsidR="00E23B86">
          <w:headerReference w:type="even" r:id="rId114"/>
          <w:headerReference w:type="default" r:id="rId115"/>
          <w:footerReference w:type="even" r:id="rId116"/>
          <w:footerReference w:type="default" r:id="rId117"/>
          <w:headerReference w:type="first" r:id="rId118"/>
          <w:footerReference w:type="first" r:id="rId119"/>
          <w:pgSz w:w="14168" w:h="16840"/>
          <w:pgMar w:top="2005" w:right="2829" w:bottom="1469" w:left="3198" w:header="712" w:footer="712" w:gutter="0"/>
          <w:cols w:space="720"/>
          <w:titlePg/>
        </w:sectPr>
      </w:pPr>
    </w:p>
    <w:p w:rsidR="00E23B86" w:rsidRDefault="00BA7C13">
      <w:pPr>
        <w:spacing w:after="245" w:line="248" w:lineRule="auto"/>
        <w:ind w:left="360" w:right="14"/>
        <w:jc w:val="both"/>
      </w:pPr>
      <w:r>
        <w:rPr>
          <w:rFonts w:ascii="Arial" w:eastAsia="Arial" w:hAnsi="Arial" w:cs="Arial"/>
          <w:b/>
          <w:i/>
          <w:color w:val="222222"/>
        </w:rPr>
        <w:t xml:space="preserve">5. </w:t>
      </w:r>
      <w:r>
        <w:rPr>
          <w:rFonts w:ascii="Arial" w:eastAsia="Arial" w:hAnsi="Arial" w:cs="Arial"/>
          <w:i/>
          <w:color w:val="222222"/>
        </w:rPr>
        <w:t>Los padres o tutores y los poderes públicos respetarán estos derechos y los protegerán frente a posibles ataques de terceros.”</w:t>
      </w:r>
    </w:p>
    <w:p w:rsidR="00E23B86" w:rsidRDefault="00BA7C13">
      <w:pPr>
        <w:pStyle w:val="Ttulo4"/>
        <w:ind w:left="370"/>
      </w:pPr>
      <w:r>
        <w:t xml:space="preserve">Artículo 5 </w:t>
      </w:r>
      <w:r>
        <w:t>Derecho a la información</w:t>
      </w:r>
    </w:p>
    <w:p w:rsidR="00E23B86" w:rsidRDefault="00BA7C13">
      <w:pPr>
        <w:numPr>
          <w:ilvl w:val="0"/>
          <w:numId w:val="192"/>
        </w:numPr>
        <w:spacing w:after="3" w:line="248" w:lineRule="auto"/>
        <w:ind w:right="14" w:hanging="360"/>
        <w:jc w:val="both"/>
      </w:pPr>
      <w:r>
        <w:rPr>
          <w:rFonts w:ascii="Arial" w:eastAsia="Arial" w:hAnsi="Arial" w:cs="Arial"/>
          <w:b/>
          <w:color w:val="222222"/>
        </w:rPr>
        <w:t>“</w:t>
      </w:r>
      <w:r>
        <w:rPr>
          <w:rFonts w:ascii="Arial" w:eastAsia="Arial" w:hAnsi="Arial" w:cs="Arial"/>
          <w:b/>
          <w:i/>
          <w:color w:val="222222"/>
        </w:rPr>
        <w:t xml:space="preserve">1. </w:t>
      </w:r>
      <w:r>
        <w:rPr>
          <w:rFonts w:ascii="Arial" w:eastAsia="Arial" w:hAnsi="Arial" w:cs="Arial"/>
          <w:i/>
          <w:color w:val="222222"/>
        </w:rPr>
        <w:t>Los menores tienen derecho a buscar, recibir y utilizar la información adecuada a su desarrollo.</w:t>
      </w:r>
    </w:p>
    <w:p w:rsidR="00E23B86" w:rsidRDefault="00BA7C13">
      <w:pPr>
        <w:numPr>
          <w:ilvl w:val="0"/>
          <w:numId w:val="192"/>
        </w:numPr>
        <w:spacing w:after="3" w:line="248" w:lineRule="auto"/>
        <w:ind w:right="14" w:hanging="360"/>
        <w:jc w:val="both"/>
      </w:pPr>
      <w:r>
        <w:rPr>
          <w:rFonts w:ascii="Arial" w:eastAsia="Arial" w:hAnsi="Arial" w:cs="Arial"/>
          <w:i/>
          <w:color w:val="222222"/>
        </w:rPr>
        <w:t>Se prestará especial atención a la alfabetización digital y mediática, de forma adaptada a cada etapa evolutiva, que permita a los menores actuar en línea con seguridad y responsabilidad y, en particular, identificar situaciones de riesgo derivadas de la u</w:t>
      </w:r>
      <w:r>
        <w:rPr>
          <w:rFonts w:ascii="Arial" w:eastAsia="Arial" w:hAnsi="Arial" w:cs="Arial"/>
          <w:i/>
          <w:color w:val="222222"/>
        </w:rPr>
        <w:t>tilización de las nuevas tecnologías de la información y la comunicación, así como las herramientas y estrategias para afrontar dichos riesgos y protegerse de ellos.</w:t>
      </w:r>
    </w:p>
    <w:p w:rsidR="00E23B86" w:rsidRDefault="00BA7C13">
      <w:pPr>
        <w:numPr>
          <w:ilvl w:val="0"/>
          <w:numId w:val="192"/>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Los padres o tutores y los poderes públicos velarán porque la información que reciban l</w:t>
      </w:r>
      <w:r>
        <w:rPr>
          <w:rFonts w:ascii="Arial" w:eastAsia="Arial" w:hAnsi="Arial" w:cs="Arial"/>
          <w:i/>
          <w:color w:val="222222"/>
        </w:rPr>
        <w:t>os menores sea veraz, plural y respetuosa con los principios constitucionales.</w:t>
      </w:r>
    </w:p>
    <w:p w:rsidR="00E23B86" w:rsidRDefault="00BA7C13">
      <w:pPr>
        <w:numPr>
          <w:ilvl w:val="0"/>
          <w:numId w:val="192"/>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Las Administraciones Públicas incentivarán la producción y difusión de materiales informativos y otros destinados a los menores, que respeten los criterios enunciados, al mis</w:t>
      </w:r>
      <w:r>
        <w:rPr>
          <w:rFonts w:ascii="Arial" w:eastAsia="Arial" w:hAnsi="Arial" w:cs="Arial"/>
          <w:i/>
          <w:color w:val="222222"/>
        </w:rPr>
        <w:t>mo tiempo que facilitarán el acceso de los menores a los servicios de información, documentación, bibliotecas y demás servicios culturales incluyendo una adecuada sensibilización sobre la oferta legal de ocio y cultura en Internet y sobre la defensa de los</w:t>
      </w:r>
      <w:r>
        <w:rPr>
          <w:rFonts w:ascii="Arial" w:eastAsia="Arial" w:hAnsi="Arial" w:cs="Arial"/>
          <w:i/>
          <w:color w:val="222222"/>
        </w:rPr>
        <w:t xml:space="preserve"> derechos de propiedad intelectual.</w:t>
      </w:r>
    </w:p>
    <w:p w:rsidR="00E23B86" w:rsidRDefault="00BA7C13">
      <w:pPr>
        <w:numPr>
          <w:ilvl w:val="0"/>
          <w:numId w:val="192"/>
        </w:numPr>
        <w:spacing w:after="3" w:line="248" w:lineRule="auto"/>
        <w:ind w:right="14" w:hanging="360"/>
        <w:jc w:val="both"/>
      </w:pPr>
      <w:r>
        <w:rPr>
          <w:noProof/>
        </w:rPr>
        <mc:AlternateContent>
          <mc:Choice Requires="wpg">
            <w:drawing>
              <wp:anchor distT="0" distB="0" distL="114300" distR="114300" simplePos="0" relativeHeight="2520197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8522" name="Group 58852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226" name="Rectangle 5422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4227" name="Rectangle 5422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351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8522" style="width:12.7031pt;height:280.35pt;position:absolute;mso-position-horizontal-relative:page;mso-position-horizontal:absolute;margin-left:681.958pt;mso-position-vertical-relative:page;margin-top:531.65pt;" coordsize="1613,35604">
                <v:rect id="Rectangle 5422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422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351 de 391 </w:t>
                        </w:r>
                      </w:p>
                    </w:txbxContent>
                  </v:textbox>
                </v:rect>
                <w10:wrap type="square"/>
              </v:group>
            </w:pict>
          </mc:Fallback>
        </mc:AlternateContent>
      </w:r>
      <w:r>
        <w:rPr>
          <w:rFonts w:ascii="Arial" w:eastAsia="Arial" w:hAnsi="Arial" w:cs="Arial"/>
          <w:i/>
          <w:color w:val="222222"/>
        </w:rPr>
        <w:t>En particular, velarán</w:t>
      </w:r>
      <w:r>
        <w:rPr>
          <w:rFonts w:ascii="Arial" w:eastAsia="Arial" w:hAnsi="Arial" w:cs="Arial"/>
          <w:i/>
          <w:color w:val="222222"/>
        </w:rPr>
        <w:t xml:space="preserve"> porque los medios de comunicación en sus mensajes dirigidos a menores promuevan los valores de igualdad, solidaridad, diversidad y respeto a los demás, eviten imágenes de violencia, explotación en las relaciones interpersonales, o que reflejen un trato de</w:t>
      </w:r>
      <w:r>
        <w:rPr>
          <w:rFonts w:ascii="Arial" w:eastAsia="Arial" w:hAnsi="Arial" w:cs="Arial"/>
          <w:i/>
          <w:color w:val="222222"/>
        </w:rPr>
        <w:t>gradante o sexista, o un trato discriminatorio hacia las personas con discapacidad. En el ámbito de la autorregulación, las autoridades y organismos competentes impulsarán entre los medios de comunicación, la generación y supervisión del cumplimiento de có</w:t>
      </w:r>
      <w:r>
        <w:rPr>
          <w:rFonts w:ascii="Arial" w:eastAsia="Arial" w:hAnsi="Arial" w:cs="Arial"/>
          <w:i/>
          <w:color w:val="222222"/>
        </w:rPr>
        <w:t>digos de conducta destinados a salvaguardar la promoción de los valores anteriormente descritos, limitando el acceso a imágenes y contenidos digitales lesivos para los menores, a tenor de lo contemplado en los códigos de autorregulación de contenidos aprob</w:t>
      </w:r>
      <w:r>
        <w:rPr>
          <w:rFonts w:ascii="Arial" w:eastAsia="Arial" w:hAnsi="Arial" w:cs="Arial"/>
          <w:i/>
          <w:color w:val="222222"/>
        </w:rPr>
        <w:t>ados. Se garantizará la accesibilidad, con los ajustes razonables precisos, de dichos materiales y servicios, incluidos los de tipo tecnológico, para los menores con discapacidad.</w:t>
      </w:r>
    </w:p>
    <w:p w:rsidR="00E23B86" w:rsidRDefault="00BA7C13">
      <w:pPr>
        <w:numPr>
          <w:ilvl w:val="0"/>
          <w:numId w:val="192"/>
        </w:numPr>
        <w:spacing w:after="3" w:line="248" w:lineRule="auto"/>
        <w:ind w:right="14" w:hanging="360"/>
        <w:jc w:val="both"/>
      </w:pPr>
      <w:r>
        <w:rPr>
          <w:rFonts w:ascii="Arial" w:eastAsia="Arial" w:hAnsi="Arial" w:cs="Arial"/>
          <w:i/>
          <w:color w:val="222222"/>
        </w:rPr>
        <w:t>Los poderes públicos y los prestadores fomentarán el disfrute pleno de la co</w:t>
      </w:r>
      <w:r>
        <w:rPr>
          <w:rFonts w:ascii="Arial" w:eastAsia="Arial" w:hAnsi="Arial" w:cs="Arial"/>
          <w:i/>
          <w:color w:val="222222"/>
        </w:rPr>
        <w:t>municación audiovisual para los menores con discapacidad y el uso de buenas prácticas que evite cualquier discriminación o repercusión negativa hacia dichas personas.</w:t>
      </w:r>
    </w:p>
    <w:p w:rsidR="00E23B86" w:rsidRDefault="00BA7C13">
      <w:pPr>
        <w:numPr>
          <w:ilvl w:val="0"/>
          <w:numId w:val="192"/>
        </w:numPr>
        <w:spacing w:after="3" w:line="248" w:lineRule="auto"/>
        <w:ind w:right="14" w:hanging="360"/>
        <w:jc w:val="both"/>
      </w:pPr>
      <w:r>
        <w:rPr>
          <w:rFonts w:ascii="Arial" w:eastAsia="Arial" w:hAnsi="Arial" w:cs="Arial"/>
          <w:b/>
          <w:i/>
          <w:color w:val="222222"/>
        </w:rPr>
        <w:t xml:space="preserve">4. </w:t>
      </w:r>
      <w:r>
        <w:rPr>
          <w:rFonts w:ascii="Arial" w:eastAsia="Arial" w:hAnsi="Arial" w:cs="Arial"/>
          <w:i/>
          <w:color w:val="222222"/>
        </w:rPr>
        <w:t>Para garantizar que la publicidad o mensajes dirigidos a menores o emitidos en la prog</w:t>
      </w:r>
      <w:r>
        <w:rPr>
          <w:rFonts w:ascii="Arial" w:eastAsia="Arial" w:hAnsi="Arial" w:cs="Arial"/>
          <w:i/>
          <w:color w:val="222222"/>
        </w:rPr>
        <w:t>ramación dirigida a éstos, no les perjudique moral o físicamente, podrá ser regulada por normas especiales.</w:t>
      </w:r>
    </w:p>
    <w:p w:rsidR="00E23B86" w:rsidRDefault="00BA7C13">
      <w:pPr>
        <w:numPr>
          <w:ilvl w:val="0"/>
          <w:numId w:val="192"/>
        </w:numPr>
        <w:spacing w:after="3" w:line="248" w:lineRule="auto"/>
        <w:ind w:right="14" w:hanging="360"/>
        <w:jc w:val="both"/>
      </w:pPr>
      <w:r>
        <w:rPr>
          <w:rFonts w:ascii="Arial" w:eastAsia="Arial" w:hAnsi="Arial" w:cs="Arial"/>
          <w:b/>
          <w:i/>
          <w:color w:val="222222"/>
        </w:rPr>
        <w:t xml:space="preserve">5. </w:t>
      </w:r>
      <w:r>
        <w:rPr>
          <w:rFonts w:ascii="Arial" w:eastAsia="Arial" w:hAnsi="Arial" w:cs="Arial"/>
          <w:i/>
          <w:color w:val="222222"/>
        </w:rPr>
        <w:t>Sin perjuicio de otros sujetos legitimados, corresponde en todo caso al Ministerio Fiscal y a las Administraciones públicas competentes en materi</w:t>
      </w:r>
      <w:r>
        <w:rPr>
          <w:rFonts w:ascii="Arial" w:eastAsia="Arial" w:hAnsi="Arial" w:cs="Arial"/>
          <w:i/>
          <w:color w:val="222222"/>
        </w:rPr>
        <w:t>a de protección de menores el ejercicio de las acciones de cese y rectificación de publicidad ilícita.”</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sz w:val="20"/>
        </w:rPr>
        <w:t xml:space="preserve"> </w:t>
      </w:r>
      <w:r>
        <w:t>Artículo 6 Libertad ideológica</w:t>
      </w:r>
    </w:p>
    <w:p w:rsidR="00E23B86" w:rsidRDefault="00BA7C13">
      <w:pPr>
        <w:numPr>
          <w:ilvl w:val="0"/>
          <w:numId w:val="193"/>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El menor tiene derecho a la libertad de ideología, conciencia y religión.</w:t>
      </w:r>
    </w:p>
    <w:p w:rsidR="00E23B86" w:rsidRDefault="00BA7C13">
      <w:pPr>
        <w:numPr>
          <w:ilvl w:val="0"/>
          <w:numId w:val="193"/>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El ejercicio de los derechos dimanantes de esta libertad tiene únicamente las limitaciones prescritas por la Ley y el respeto de los derechos y libertades fundamentales de los demás.</w:t>
      </w:r>
    </w:p>
    <w:p w:rsidR="00E23B86" w:rsidRDefault="00BA7C13">
      <w:pPr>
        <w:spacing w:after="245" w:line="248" w:lineRule="auto"/>
        <w:ind w:left="360" w:right="14"/>
        <w:jc w:val="both"/>
      </w:pPr>
      <w:r>
        <w:rPr>
          <w:rFonts w:ascii="Arial" w:eastAsia="Arial" w:hAnsi="Arial" w:cs="Arial"/>
          <w:b/>
          <w:i/>
          <w:color w:val="222222"/>
        </w:rPr>
        <w:t xml:space="preserve">3. </w:t>
      </w:r>
      <w:r>
        <w:rPr>
          <w:rFonts w:ascii="Arial" w:eastAsia="Arial" w:hAnsi="Arial" w:cs="Arial"/>
          <w:i/>
          <w:color w:val="222222"/>
        </w:rPr>
        <w:t>Los padres o tutores tienen el derecho y el deber de cooperar para que</w:t>
      </w:r>
      <w:r>
        <w:rPr>
          <w:rFonts w:ascii="Arial" w:eastAsia="Arial" w:hAnsi="Arial" w:cs="Arial"/>
          <w:i/>
          <w:color w:val="222222"/>
        </w:rPr>
        <w:t xml:space="preserve"> el menor ejerza esta libertad de modo que contribuya a su desarrollo integral.”</w:t>
      </w:r>
    </w:p>
    <w:p w:rsidR="00E23B86" w:rsidRDefault="00BA7C13">
      <w:pPr>
        <w:pStyle w:val="Ttulo4"/>
        <w:ind w:left="370"/>
      </w:pPr>
      <w:r>
        <w:t>Artículo 7 Derecho de participación, asociación y reunión</w:t>
      </w:r>
    </w:p>
    <w:p w:rsidR="00E23B86" w:rsidRDefault="00BA7C13">
      <w:pPr>
        <w:numPr>
          <w:ilvl w:val="0"/>
          <w:numId w:val="194"/>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Los menores tienen derecho a participar plenamente en la vida social, cultural, artística y recreativa de su ento</w:t>
      </w:r>
      <w:r>
        <w:rPr>
          <w:rFonts w:ascii="Arial" w:eastAsia="Arial" w:hAnsi="Arial" w:cs="Arial"/>
          <w:i/>
          <w:color w:val="222222"/>
        </w:rPr>
        <w:t>rno, así como a una incorporación progresiva a la ciudadanía activa.</w:t>
      </w:r>
    </w:p>
    <w:p w:rsidR="00E23B86" w:rsidRDefault="00BA7C13">
      <w:pPr>
        <w:numPr>
          <w:ilvl w:val="0"/>
          <w:numId w:val="194"/>
        </w:numPr>
        <w:spacing w:after="3" w:line="248" w:lineRule="auto"/>
        <w:ind w:right="14" w:hanging="360"/>
        <w:jc w:val="both"/>
      </w:pPr>
      <w:r>
        <w:rPr>
          <w:rFonts w:ascii="Arial" w:eastAsia="Arial" w:hAnsi="Arial" w:cs="Arial"/>
          <w:i/>
          <w:color w:val="222222"/>
        </w:rPr>
        <w:t>Los poderes públicos promoverán la constitución de órganos de participación de los menores y de las organizaciones sociales de infancia y adolescencia.</w:t>
      </w:r>
    </w:p>
    <w:p w:rsidR="00E23B86" w:rsidRDefault="00BA7C13">
      <w:pPr>
        <w:numPr>
          <w:ilvl w:val="0"/>
          <w:numId w:val="194"/>
        </w:numPr>
        <w:spacing w:after="3" w:line="248" w:lineRule="auto"/>
        <w:ind w:right="14" w:hanging="360"/>
        <w:jc w:val="both"/>
      </w:pPr>
      <w:r>
        <w:rPr>
          <w:rFonts w:ascii="Arial" w:eastAsia="Arial" w:hAnsi="Arial" w:cs="Arial"/>
          <w:i/>
          <w:color w:val="222222"/>
        </w:rPr>
        <w:t xml:space="preserve">Se garantizará la accesibilidad de </w:t>
      </w:r>
      <w:r>
        <w:rPr>
          <w:rFonts w:ascii="Arial" w:eastAsia="Arial" w:hAnsi="Arial" w:cs="Arial"/>
          <w:i/>
          <w:color w:val="222222"/>
        </w:rPr>
        <w:t>los entornos y la provisión de ajustes razonables para que los menores con discapacidad puedan desarrollar su vida social, cultural, artística y recreativa.</w:t>
      </w:r>
      <w:r>
        <w:rPr>
          <w:noProof/>
        </w:rPr>
        <w:drawing>
          <wp:inline distT="0" distB="0" distL="0" distR="0">
            <wp:extent cx="13970" cy="15240"/>
            <wp:effectExtent l="0" t="0" r="0" b="0"/>
            <wp:docPr id="54282" name="Picture 54282"/>
            <wp:cNvGraphicFramePr/>
            <a:graphic xmlns:a="http://schemas.openxmlformats.org/drawingml/2006/main">
              <a:graphicData uri="http://schemas.openxmlformats.org/drawingml/2006/picture">
                <pic:pic xmlns:pic="http://schemas.openxmlformats.org/drawingml/2006/picture">
                  <pic:nvPicPr>
                    <pic:cNvPr id="54282" name="Picture 54282"/>
                    <pic:cNvPicPr/>
                  </pic:nvPicPr>
                  <pic:blipFill>
                    <a:blip r:embed="rId89"/>
                    <a:stretch>
                      <a:fillRect/>
                    </a:stretch>
                  </pic:blipFill>
                  <pic:spPr>
                    <a:xfrm>
                      <a:off x="0" y="0"/>
                      <a:ext cx="13970" cy="15240"/>
                    </a:xfrm>
                    <a:prstGeom prst="rect">
                      <a:avLst/>
                    </a:prstGeom>
                  </pic:spPr>
                </pic:pic>
              </a:graphicData>
            </a:graphic>
          </wp:inline>
        </w:drawing>
      </w:r>
    </w:p>
    <w:p w:rsidR="00E23B86" w:rsidRDefault="00BA7C13">
      <w:pPr>
        <w:numPr>
          <w:ilvl w:val="0"/>
          <w:numId w:val="194"/>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Los menores tienen el derecho de asociación que, en especial, comprende:</w:t>
      </w:r>
    </w:p>
    <w:p w:rsidR="00E23B86" w:rsidRDefault="00BA7C13">
      <w:pPr>
        <w:numPr>
          <w:ilvl w:val="0"/>
          <w:numId w:val="194"/>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El derecho a formar</w:t>
      </w:r>
      <w:r>
        <w:rPr>
          <w:rFonts w:ascii="Arial" w:eastAsia="Arial" w:hAnsi="Arial" w:cs="Arial"/>
          <w:i/>
          <w:color w:val="222222"/>
        </w:rPr>
        <w:t xml:space="preserve"> parte de asociaciones y organizaciones juveniles de los partidos políticos y sindicatos, de acuerdo con la Ley y los Estatutos.</w:t>
      </w:r>
    </w:p>
    <w:p w:rsidR="00E23B86" w:rsidRDefault="00BA7C13">
      <w:pPr>
        <w:numPr>
          <w:ilvl w:val="0"/>
          <w:numId w:val="194"/>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El derecho a promover asociaciones infantiles y juveniles e inscribirlas de conformidad con la Ley. Los menores podrán forma</w:t>
      </w:r>
      <w:r>
        <w:rPr>
          <w:rFonts w:ascii="Arial" w:eastAsia="Arial" w:hAnsi="Arial" w:cs="Arial"/>
          <w:i/>
          <w:color w:val="222222"/>
        </w:rPr>
        <w:t>r parte de los órganos directivos de estas asociaciones.</w:t>
      </w:r>
    </w:p>
    <w:p w:rsidR="00E23B86" w:rsidRDefault="00BA7C13">
      <w:pPr>
        <w:numPr>
          <w:ilvl w:val="0"/>
          <w:numId w:val="194"/>
        </w:numPr>
        <w:spacing w:after="3" w:line="248" w:lineRule="auto"/>
        <w:ind w:right="14" w:hanging="360"/>
        <w:jc w:val="both"/>
      </w:pPr>
      <w:r>
        <w:rPr>
          <w:rFonts w:ascii="Arial" w:eastAsia="Arial" w:hAnsi="Arial" w:cs="Arial"/>
          <w:i/>
          <w:color w:val="222222"/>
        </w:rPr>
        <w:t>Para que las asociaciones infantiles y juveniles puedan obligarse civilmente, deberán haber nombrado, de acuerdo con sus Estatutos, un representante legal con plena capacidad.</w:t>
      </w:r>
    </w:p>
    <w:p w:rsidR="00E23B86" w:rsidRDefault="00BA7C13">
      <w:pPr>
        <w:numPr>
          <w:ilvl w:val="0"/>
          <w:numId w:val="194"/>
        </w:numPr>
        <w:spacing w:after="3" w:line="248" w:lineRule="auto"/>
        <w:ind w:right="14" w:hanging="360"/>
        <w:jc w:val="both"/>
      </w:pPr>
      <w:r>
        <w:rPr>
          <w:rFonts w:ascii="Arial" w:eastAsia="Arial" w:hAnsi="Arial" w:cs="Arial"/>
          <w:i/>
          <w:color w:val="222222"/>
        </w:rPr>
        <w:t xml:space="preserve">Cuando la pertenencia de un menor o de sus padres a una asociación impida o perjudique al desarrollo integral del menor, cualquier interesado, persona física o jurídica, o entidad pública, podrá dirigirse al Ministerio Fiscal para que promueva las medidas </w:t>
      </w:r>
      <w:r>
        <w:rPr>
          <w:rFonts w:ascii="Arial" w:eastAsia="Arial" w:hAnsi="Arial" w:cs="Arial"/>
          <w:i/>
          <w:color w:val="222222"/>
        </w:rPr>
        <w:t>jurídicas de protección que estime necesarias.</w:t>
      </w:r>
    </w:p>
    <w:p w:rsidR="00E23B86" w:rsidRDefault="00BA7C13">
      <w:pPr>
        <w:numPr>
          <w:ilvl w:val="0"/>
          <w:numId w:val="194"/>
        </w:numPr>
        <w:spacing w:after="3" w:line="248" w:lineRule="auto"/>
        <w:ind w:right="14" w:hanging="360"/>
        <w:jc w:val="both"/>
      </w:pPr>
      <w:r>
        <w:rPr>
          <w:noProof/>
        </w:rPr>
        <mc:AlternateContent>
          <mc:Choice Requires="wpg">
            <w:drawing>
              <wp:anchor distT="0" distB="0" distL="114300" distR="114300" simplePos="0" relativeHeight="2520207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8661" name="Group 58866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370" name="Rectangle 5437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4371" name="Rectangle 5437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352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8661" style="width:12.7031pt;height:280.35pt;position:absolute;mso-position-horizontal-relative:page;mso-position-horizontal:absolute;margin-left:681.958pt;mso-position-vertical-relative:page;margin-top:531.65pt;" coordsize="1613,35604">
                <v:rect id="Rectangle 5437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437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352 de 391 </w:t>
                        </w:r>
                      </w:p>
                    </w:txbxContent>
                  </v:textbox>
                </v:rect>
                <w10:wrap type="square"/>
              </v:group>
            </w:pict>
          </mc:Fallback>
        </mc:AlternateContent>
      </w:r>
      <w:r>
        <w:rPr>
          <w:rFonts w:ascii="Arial" w:eastAsia="Arial" w:hAnsi="Arial" w:cs="Arial"/>
          <w:b/>
          <w:i/>
          <w:color w:val="222222"/>
        </w:rPr>
        <w:t xml:space="preserve">3. </w:t>
      </w:r>
      <w:r>
        <w:rPr>
          <w:rFonts w:ascii="Arial" w:eastAsia="Arial" w:hAnsi="Arial" w:cs="Arial"/>
          <w:i/>
          <w:color w:val="222222"/>
        </w:rPr>
        <w:t>Los meno</w:t>
      </w:r>
      <w:r>
        <w:rPr>
          <w:rFonts w:ascii="Arial" w:eastAsia="Arial" w:hAnsi="Arial" w:cs="Arial"/>
          <w:i/>
          <w:color w:val="222222"/>
        </w:rPr>
        <w:t>res tienen derecho a participar en reuniones públicas y manifestaciones pacíficas, convocadas en los términos establecidos por la Ley.</w:t>
      </w:r>
    </w:p>
    <w:p w:rsidR="00E23B86" w:rsidRDefault="00BA7C13">
      <w:pPr>
        <w:numPr>
          <w:ilvl w:val="0"/>
          <w:numId w:val="194"/>
        </w:numPr>
        <w:spacing w:after="3" w:line="248" w:lineRule="auto"/>
        <w:ind w:right="14" w:hanging="360"/>
        <w:jc w:val="both"/>
      </w:pPr>
      <w:r>
        <w:rPr>
          <w:rFonts w:ascii="Arial" w:eastAsia="Arial" w:hAnsi="Arial" w:cs="Arial"/>
          <w:i/>
          <w:color w:val="222222"/>
        </w:rPr>
        <w:t>En iguales términos, tienen también derecho a promoverlas y convocarlas con el consentimiento expreso de sus padres, tuto</w:t>
      </w:r>
      <w:r>
        <w:rPr>
          <w:rFonts w:ascii="Arial" w:eastAsia="Arial" w:hAnsi="Arial" w:cs="Arial"/>
          <w:i/>
          <w:color w:val="222222"/>
        </w:rPr>
        <w:t xml:space="preserve">res o guardadores.” </w:t>
      </w:r>
      <w:r>
        <w:rPr>
          <w:rFonts w:ascii="Segoe UI Symbol" w:eastAsia="Segoe UI Symbol" w:hAnsi="Segoe UI Symbol" w:cs="Segoe UI Symbol"/>
          <w:color w:val="4C6F99"/>
          <w:sz w:val="20"/>
        </w:rPr>
        <w:t></w:t>
      </w:r>
    </w:p>
    <w:p w:rsidR="00E23B86" w:rsidRDefault="00BA7C13">
      <w:pPr>
        <w:pStyle w:val="Ttulo4"/>
        <w:ind w:left="-5"/>
      </w:pPr>
      <w:r>
        <w:rPr>
          <w:rFonts w:ascii="Segoe UI Symbol" w:eastAsia="Segoe UI Symbol" w:hAnsi="Segoe UI Symbol" w:cs="Segoe UI Symbol"/>
          <w:b w:val="0"/>
          <w:sz w:val="20"/>
        </w:rPr>
        <w:t xml:space="preserve"> </w:t>
      </w:r>
      <w:r>
        <w:t>Artículo 8 Derecho a la libertad de expresión</w:t>
      </w:r>
    </w:p>
    <w:p w:rsidR="00E23B86" w:rsidRDefault="00BA7C13">
      <w:pPr>
        <w:numPr>
          <w:ilvl w:val="0"/>
          <w:numId w:val="195"/>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Los menores gozan del derecho a la libertad de expresión en los términos constitucionalmente previstos. Esta libertad de expresión tiene también su límite en la protección de la intimidad y la imagen del propio menor recogida en el artículo 4 de esta Ley.</w:t>
      </w:r>
    </w:p>
    <w:p w:rsidR="00E23B86" w:rsidRDefault="00BA7C13">
      <w:pPr>
        <w:numPr>
          <w:ilvl w:val="0"/>
          <w:numId w:val="195"/>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En especial, el derecho a la libertad de expresión de los menores se extiende:</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195"/>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A la publicación y difusión de sus opiniones.</w:t>
      </w:r>
    </w:p>
    <w:p w:rsidR="00E23B86" w:rsidRDefault="00BA7C13">
      <w:pPr>
        <w:numPr>
          <w:ilvl w:val="0"/>
          <w:numId w:val="195"/>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A la edición y producción de medios de difusión.</w:t>
      </w:r>
    </w:p>
    <w:p w:rsidR="00E23B86" w:rsidRDefault="00BA7C13">
      <w:pPr>
        <w:numPr>
          <w:ilvl w:val="0"/>
          <w:numId w:val="195"/>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Al acceso a las ayudas que las Administraciones públicas establezcan</w:t>
      </w:r>
      <w:r>
        <w:rPr>
          <w:rFonts w:ascii="Arial" w:eastAsia="Arial" w:hAnsi="Arial" w:cs="Arial"/>
          <w:i/>
          <w:color w:val="222222"/>
        </w:rPr>
        <w:t xml:space="preserve"> con tal fin.</w:t>
      </w:r>
    </w:p>
    <w:p w:rsidR="00E23B86" w:rsidRDefault="00BA7C13">
      <w:pPr>
        <w:numPr>
          <w:ilvl w:val="0"/>
          <w:numId w:val="195"/>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El ejercicio de este derecho podrá estar sujeto a las restricciones que prevea la Ley para garantizar el respeto de los derechos de los demás o la protección de la seguridad, salud, moral u orden público.”</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sz w:val="20"/>
        </w:rPr>
        <w:t xml:space="preserve"> </w:t>
      </w:r>
      <w:r>
        <w:t>Artículo 9 Derecho a ser oído</w:t>
      </w:r>
      <w:r>
        <w:t xml:space="preserve"> y escuchado</w:t>
      </w:r>
    </w:p>
    <w:p w:rsidR="00E23B86" w:rsidRDefault="00BA7C13">
      <w:pPr>
        <w:numPr>
          <w:ilvl w:val="0"/>
          <w:numId w:val="196"/>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 xml:space="preserve">El menor tiene derecho a ser oído y escuchado sin discriminación alguna por edad, discapacidad o cualquier otra circunstancia, tanto en el ámbito familiar como en cualquier procedimiento administrativo, judicial o de mediación en que esté </w:t>
      </w:r>
      <w:r>
        <w:rPr>
          <w:rFonts w:ascii="Arial" w:eastAsia="Arial" w:hAnsi="Arial" w:cs="Arial"/>
          <w:i/>
          <w:color w:val="222222"/>
        </w:rPr>
        <w:t>afectado y que conduzca a una decisión que incida en su esfera personal, familiar o social, teniéndose debidamente en cuenta sus opiniones, en función de su edad y madurez. Para ello, el menor deberá recibir</w:t>
      </w:r>
    </w:p>
    <w:p w:rsidR="00E23B86" w:rsidRDefault="00BA7C13">
      <w:pPr>
        <w:spacing w:after="3" w:line="248" w:lineRule="auto"/>
        <w:ind w:left="360" w:right="14"/>
        <w:jc w:val="both"/>
      </w:pPr>
      <w:r>
        <w:rPr>
          <w:rFonts w:ascii="Arial" w:eastAsia="Arial" w:hAnsi="Arial" w:cs="Arial"/>
          <w:i/>
          <w:color w:val="222222"/>
        </w:rPr>
        <w:t>la información que le permita el ejercicio de es</w:t>
      </w:r>
      <w:r>
        <w:rPr>
          <w:rFonts w:ascii="Arial" w:eastAsia="Arial" w:hAnsi="Arial" w:cs="Arial"/>
          <w:i/>
          <w:color w:val="222222"/>
        </w:rPr>
        <w:t xml:space="preserve">te derecho en un lenguaje comprensible, en formatos accesibles y adaptados a sus circunstancias. En los procedimientos judiciales o administrativos, las comparecencias o audiencias del menor tendrán carácter preferente, y se realizarán de forma adecuada a </w:t>
      </w:r>
      <w:r>
        <w:rPr>
          <w:rFonts w:ascii="Arial" w:eastAsia="Arial" w:hAnsi="Arial" w:cs="Arial"/>
          <w:i/>
          <w:color w:val="222222"/>
        </w:rPr>
        <w:t>su situación y desarrollo evolutivo, con la asistencia, si fuera necesario, de profesionales cualificados o expertos, cuidando preservar su intimidad y utilizando un lenguaje que sea comprensible para él, en formatos accesibles y adaptados a sus circunstan</w:t>
      </w:r>
      <w:r>
        <w:rPr>
          <w:rFonts w:ascii="Arial" w:eastAsia="Arial" w:hAnsi="Arial" w:cs="Arial"/>
          <w:i/>
          <w:color w:val="222222"/>
        </w:rPr>
        <w:t>cias informándole tanto de lo que se le pregunta como de las consecuencias de su opinión, con pleno respeto a todas las garantías del procedimiento.</w:t>
      </w:r>
    </w:p>
    <w:p w:rsidR="00E23B86" w:rsidRDefault="00BA7C13">
      <w:pPr>
        <w:numPr>
          <w:ilvl w:val="0"/>
          <w:numId w:val="196"/>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 xml:space="preserve">Se garantizará que el menor, cuando tenga suficiente madurez, pueda ejercitar este derecho por sí mismo </w:t>
      </w:r>
      <w:r>
        <w:rPr>
          <w:rFonts w:ascii="Arial" w:eastAsia="Arial" w:hAnsi="Arial" w:cs="Arial"/>
          <w:i/>
          <w:color w:val="222222"/>
        </w:rPr>
        <w:t>o a través de la persona que designe para que le represente. La madurez habrá de valorarse por personal especializado, teniendo en cuenta tanto el desarrollo evolutivo del menor como su capacidad para comprender y evaluar el asunto concreto a tratar en cad</w:t>
      </w:r>
      <w:r>
        <w:rPr>
          <w:rFonts w:ascii="Arial" w:eastAsia="Arial" w:hAnsi="Arial" w:cs="Arial"/>
          <w:i/>
          <w:color w:val="222222"/>
        </w:rPr>
        <w:t>a caso. Se considera, en todo caso, que tiene suficiente madurez cuando tenga doce años cumplidos.</w:t>
      </w:r>
    </w:p>
    <w:p w:rsidR="00E23B86" w:rsidRDefault="00BA7C13">
      <w:pPr>
        <w:numPr>
          <w:ilvl w:val="0"/>
          <w:numId w:val="196"/>
        </w:numPr>
        <w:spacing w:after="3" w:line="248" w:lineRule="auto"/>
        <w:ind w:right="14" w:hanging="360"/>
        <w:jc w:val="both"/>
      </w:pPr>
      <w:r>
        <w:rPr>
          <w:rFonts w:ascii="Arial" w:eastAsia="Arial" w:hAnsi="Arial" w:cs="Arial"/>
          <w:i/>
          <w:color w:val="222222"/>
        </w:rPr>
        <w:t>Para garantizar que el menor pueda ejercitar este derecho por sí mismo será asistido, en su caso, por intérpretes. El menor podrá expresar su opinión verbalm</w:t>
      </w:r>
      <w:r>
        <w:rPr>
          <w:rFonts w:ascii="Arial" w:eastAsia="Arial" w:hAnsi="Arial" w:cs="Arial"/>
          <w:i/>
          <w:color w:val="222222"/>
        </w:rPr>
        <w:t>ente o a través de formas no verbales de comunicación.</w:t>
      </w:r>
    </w:p>
    <w:p w:rsidR="00E23B86" w:rsidRDefault="00BA7C13">
      <w:pPr>
        <w:numPr>
          <w:ilvl w:val="0"/>
          <w:numId w:val="196"/>
        </w:numPr>
        <w:spacing w:after="3" w:line="248" w:lineRule="auto"/>
        <w:ind w:right="14" w:hanging="360"/>
        <w:jc w:val="both"/>
      </w:pPr>
      <w:r>
        <w:rPr>
          <w:rFonts w:ascii="Arial" w:eastAsia="Arial" w:hAnsi="Arial" w:cs="Arial"/>
          <w:i/>
          <w:color w:val="222222"/>
        </w:rPr>
        <w:t>No obstante, cuando ello no sea posible o no convenga al interés del menor se podrá conocer la opinión del menor por medio de sus representantes legales, siempre que no tengan intereses contrapuestos a</w:t>
      </w:r>
      <w:r>
        <w:rPr>
          <w:rFonts w:ascii="Arial" w:eastAsia="Arial" w:hAnsi="Arial" w:cs="Arial"/>
          <w:i/>
          <w:color w:val="222222"/>
        </w:rPr>
        <w:t xml:space="preserve"> los suyos, o a través de otras personas que, por su profesión o relación de especial confianza con él, puedan transmitirla objetivamente.</w:t>
      </w:r>
    </w:p>
    <w:p w:rsidR="00E23B86" w:rsidRDefault="00BA7C13">
      <w:pPr>
        <w:numPr>
          <w:ilvl w:val="0"/>
          <w:numId w:val="196"/>
        </w:numPr>
        <w:spacing w:after="3" w:line="248" w:lineRule="auto"/>
        <w:ind w:right="14" w:hanging="360"/>
        <w:jc w:val="both"/>
      </w:pPr>
      <w:r>
        <w:rPr>
          <w:noProof/>
        </w:rPr>
        <mc:AlternateContent>
          <mc:Choice Requires="wpg">
            <w:drawing>
              <wp:anchor distT="0" distB="0" distL="114300" distR="114300" simplePos="0" relativeHeight="2520217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9007" name="Group 58900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480" name="Rectangle 5448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4481" name="Rectangle 5448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353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9007" style="width:12.7031pt;height:280.35pt;position:absolute;mso-position-horizontal-relative:page;mso-position-horizontal:absolute;margin-left:681.958pt;mso-position-vertical-relative:page;margin-top:531.65pt;" coordsize="1613,35604">
                <v:rect id="Rectangle 5448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448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353 de 391 </w:t>
                        </w:r>
                      </w:p>
                    </w:txbxContent>
                  </v:textbox>
                </v:rect>
                <w10:wrap type="square"/>
              </v:group>
            </w:pict>
          </mc:Fallback>
        </mc:AlternateContent>
      </w:r>
      <w:r>
        <w:rPr>
          <w:rFonts w:ascii="Arial" w:eastAsia="Arial" w:hAnsi="Arial" w:cs="Arial"/>
          <w:b/>
          <w:i/>
          <w:color w:val="222222"/>
        </w:rPr>
        <w:t xml:space="preserve">3. </w:t>
      </w:r>
      <w:r>
        <w:rPr>
          <w:rFonts w:ascii="Arial" w:eastAsia="Arial" w:hAnsi="Arial" w:cs="Arial"/>
          <w:i/>
          <w:color w:val="222222"/>
        </w:rPr>
        <w:t>Siempre que en vía administrativa o judicial se deniegue la comparecencia o audiencia de los menores directamente o por medio de persona que le represente, la</w:t>
      </w:r>
      <w:r>
        <w:rPr>
          <w:rFonts w:ascii="Arial" w:eastAsia="Arial" w:hAnsi="Arial" w:cs="Arial"/>
          <w:i/>
          <w:color w:val="222222"/>
        </w:rPr>
        <w:t xml:space="preserve"> resolución será motivada en el interés superior del menor y comunicada al Ministerio Fiscal, al menor y, en su caso, a su representante, indicando explícitamente los recursos existentes contra tal decisión. En las resoluciones sobre el fondo habrá de hace</w:t>
      </w:r>
      <w:r>
        <w:rPr>
          <w:rFonts w:ascii="Arial" w:eastAsia="Arial" w:hAnsi="Arial" w:cs="Arial"/>
          <w:i/>
          <w:color w:val="222222"/>
        </w:rPr>
        <w:t>rse constar, en su caso, el resultado de la audiencia al menor, así como su valoración.”</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sz w:val="20"/>
        </w:rPr>
        <w:t xml:space="preserve"> </w:t>
      </w:r>
      <w:r>
        <w:t>Artículo 10 Medidas para facilitar el ejercicio de los derechos</w:t>
      </w:r>
    </w:p>
    <w:p w:rsidR="00E23B86" w:rsidRDefault="00BA7C13">
      <w:pPr>
        <w:numPr>
          <w:ilvl w:val="0"/>
          <w:numId w:val="197"/>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 xml:space="preserve">Los menores tienen derecho a recibir de las Administraciones Públicas, o a través de sus </w:t>
      </w:r>
      <w:r>
        <w:rPr>
          <w:rFonts w:ascii="Arial" w:eastAsia="Arial" w:hAnsi="Arial" w:cs="Arial"/>
          <w:i/>
          <w:color w:val="222222"/>
        </w:rPr>
        <w:t>entidades colaboradoras, la información en formato accesible y asistencia adecuada para el efectivo ejercicio de sus derechos, así como a que se garantice su respeto.</w:t>
      </w:r>
    </w:p>
    <w:p w:rsidR="00E23B86" w:rsidRDefault="00BA7C13">
      <w:pPr>
        <w:numPr>
          <w:ilvl w:val="0"/>
          <w:numId w:val="197"/>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Para la defensa y garantía de sus derechos el menor puede:</w:t>
      </w:r>
    </w:p>
    <w:p w:rsidR="00E23B86" w:rsidRDefault="00BA7C13">
      <w:pPr>
        <w:numPr>
          <w:ilvl w:val="0"/>
          <w:numId w:val="197"/>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 xml:space="preserve">Solicitar la protección </w:t>
      </w:r>
      <w:r>
        <w:rPr>
          <w:rFonts w:ascii="Arial" w:eastAsia="Arial" w:hAnsi="Arial" w:cs="Arial"/>
          <w:i/>
          <w:color w:val="222222"/>
        </w:rPr>
        <w:t>y tutela de la entidad pública competente.</w:t>
      </w:r>
    </w:p>
    <w:p w:rsidR="00E23B86" w:rsidRDefault="00BA7C13">
      <w:pPr>
        <w:numPr>
          <w:ilvl w:val="0"/>
          <w:numId w:val="197"/>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Poner en conocimiento del Ministerio Fiscal las situaciones que considere que atentan contra sus derechos con el fin de que éste promueva las acciones oportunas.</w:t>
      </w:r>
    </w:p>
    <w:p w:rsidR="00E23B86" w:rsidRDefault="00BA7C13">
      <w:pPr>
        <w:numPr>
          <w:ilvl w:val="0"/>
          <w:numId w:val="197"/>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Plantear sus quejas ante el Defensor del Pueb</w:t>
      </w:r>
      <w:r>
        <w:rPr>
          <w:rFonts w:ascii="Arial" w:eastAsia="Arial" w:hAnsi="Arial" w:cs="Arial"/>
          <w:i/>
          <w:color w:val="222222"/>
        </w:rPr>
        <w:t>lo o ante las instituciones autonómicas homólogas. A tal fin, uno de los Adjuntos del Defensor del Pueblo se hará cargo de modo permanente de los asuntos relacionados con los menores facilitándoles el acceso a mecanismos adecuados y adaptados a sus necesid</w:t>
      </w:r>
      <w:r>
        <w:rPr>
          <w:rFonts w:ascii="Arial" w:eastAsia="Arial" w:hAnsi="Arial" w:cs="Arial"/>
          <w:i/>
          <w:color w:val="222222"/>
        </w:rPr>
        <w:t>ades y garantizándoles la confidencialidad.</w:t>
      </w:r>
    </w:p>
    <w:p w:rsidR="00E23B86" w:rsidRDefault="00BA7C13">
      <w:pPr>
        <w:numPr>
          <w:ilvl w:val="0"/>
          <w:numId w:val="197"/>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Solicitar los recursos sociales disponibles de las Administraciones públicas.</w:t>
      </w:r>
    </w:p>
    <w:p w:rsidR="00E23B86" w:rsidRDefault="00E23B86">
      <w:pPr>
        <w:sectPr w:rsidR="00E23B86">
          <w:headerReference w:type="even" r:id="rId120"/>
          <w:headerReference w:type="default" r:id="rId121"/>
          <w:footerReference w:type="even" r:id="rId122"/>
          <w:footerReference w:type="default" r:id="rId123"/>
          <w:headerReference w:type="first" r:id="rId124"/>
          <w:footerReference w:type="first" r:id="rId125"/>
          <w:pgSz w:w="14168" w:h="16840"/>
          <w:pgMar w:top="2005" w:right="2849" w:bottom="1433" w:left="3198" w:header="712" w:footer="712" w:gutter="0"/>
          <w:cols w:space="720"/>
          <w:titlePg/>
        </w:sectPr>
      </w:pPr>
    </w:p>
    <w:p w:rsidR="00E23B86" w:rsidRDefault="00BA7C13">
      <w:pPr>
        <w:spacing w:after="3" w:line="248" w:lineRule="auto"/>
        <w:ind w:left="360" w:right="14"/>
        <w:jc w:val="both"/>
      </w:pPr>
      <w:r>
        <w:rPr>
          <w:rFonts w:ascii="Arial" w:eastAsia="Arial" w:hAnsi="Arial" w:cs="Arial"/>
          <w:b/>
          <w:i/>
          <w:color w:val="222222"/>
        </w:rPr>
        <w:t xml:space="preserve">e) </w:t>
      </w:r>
      <w:r>
        <w:rPr>
          <w:rFonts w:ascii="Arial" w:eastAsia="Arial" w:hAnsi="Arial" w:cs="Arial"/>
          <w:i/>
          <w:color w:val="222222"/>
        </w:rPr>
        <w:t>Solicitar asistencia legal y el nombramiento de un defensor judicial, en su caso, para emprender las acciones judiciales y administrativas necesarias encaminadas a la protección y defensa de sus derechos e intereses. En todo caso el Ministerio Fiscal podrá</w:t>
      </w:r>
      <w:r>
        <w:rPr>
          <w:rFonts w:ascii="Arial" w:eastAsia="Arial" w:hAnsi="Arial" w:cs="Arial"/>
          <w:i/>
          <w:color w:val="222222"/>
        </w:rPr>
        <w:t xml:space="preserve"> actuar en defensa de los derechos de los menores.</w:t>
      </w:r>
    </w:p>
    <w:p w:rsidR="00E23B86" w:rsidRDefault="00BA7C13">
      <w:pPr>
        <w:numPr>
          <w:ilvl w:val="0"/>
          <w:numId w:val="197"/>
        </w:numPr>
        <w:spacing w:after="3" w:line="248" w:lineRule="auto"/>
        <w:ind w:right="14" w:hanging="360"/>
        <w:jc w:val="both"/>
      </w:pPr>
      <w:r>
        <w:rPr>
          <w:rFonts w:ascii="Arial" w:eastAsia="Arial" w:hAnsi="Arial" w:cs="Arial"/>
          <w:b/>
          <w:i/>
          <w:color w:val="222222"/>
        </w:rPr>
        <w:t xml:space="preserve">f) </w:t>
      </w:r>
      <w:r>
        <w:rPr>
          <w:rFonts w:ascii="Arial" w:eastAsia="Arial" w:hAnsi="Arial" w:cs="Arial"/>
          <w:i/>
          <w:color w:val="222222"/>
        </w:rPr>
        <w:t>Presentar denuncias individuales al Comité de Derechos del Niño, en los términos de la Convención sobre los Derechos del Niño y de la normativa que la desarrolle.</w:t>
      </w:r>
      <w:r>
        <w:rPr>
          <w:rFonts w:ascii="Arial" w:eastAsia="Arial" w:hAnsi="Arial" w:cs="Arial"/>
          <w:b/>
          <w:i/>
          <w:color w:val="222222"/>
        </w:rPr>
        <w:t xml:space="preserve"> 3. </w:t>
      </w:r>
      <w:r>
        <w:rPr>
          <w:rFonts w:ascii="Arial" w:eastAsia="Arial" w:hAnsi="Arial" w:cs="Arial"/>
          <w:i/>
          <w:color w:val="222222"/>
        </w:rPr>
        <w:t>Los menores extranjeros que se encue</w:t>
      </w:r>
      <w:r>
        <w:rPr>
          <w:rFonts w:ascii="Arial" w:eastAsia="Arial" w:hAnsi="Arial" w:cs="Arial"/>
          <w:i/>
          <w:color w:val="222222"/>
        </w:rPr>
        <w:t>ntren en España tienen derecho a la educación, asistencia sanitaria y servicios y prestaciones sociales básicas, en las mismas condiciones que los menores españoles. Las Administraciones Públicas velarán por los grupos especialmente vulnerables como los me</w:t>
      </w:r>
      <w:r>
        <w:rPr>
          <w:rFonts w:ascii="Arial" w:eastAsia="Arial" w:hAnsi="Arial" w:cs="Arial"/>
          <w:i/>
          <w:color w:val="222222"/>
        </w:rPr>
        <w:t>nores extranjeros no acompañados, los que presenten necesidades de protección internacional, los menores con discapacidad y los que sean víctimas de abusos sexuales, explotación sexual, pornografía infantil, de trata o de tráfico de seres humanos, garantiz</w:t>
      </w:r>
      <w:r>
        <w:rPr>
          <w:rFonts w:ascii="Arial" w:eastAsia="Arial" w:hAnsi="Arial" w:cs="Arial"/>
          <w:i/>
          <w:color w:val="222222"/>
        </w:rPr>
        <w:t>ando el cumplimiento de los derechos previstos en la ley.</w:t>
      </w:r>
    </w:p>
    <w:p w:rsidR="00E23B86" w:rsidRDefault="00BA7C13">
      <w:pPr>
        <w:numPr>
          <w:ilvl w:val="0"/>
          <w:numId w:val="197"/>
        </w:numPr>
        <w:spacing w:after="3" w:line="248" w:lineRule="auto"/>
        <w:ind w:right="14" w:hanging="360"/>
        <w:jc w:val="both"/>
      </w:pPr>
      <w:r>
        <w:rPr>
          <w:rFonts w:ascii="Arial" w:eastAsia="Arial" w:hAnsi="Arial" w:cs="Arial"/>
          <w:i/>
          <w:color w:val="222222"/>
        </w:rPr>
        <w:t>Los poderes públicos, en el diseño y elaboración de las políticas públicas, tendrán como objetivo lograr la plena integración de los menores extranjeros en la sociedad española, mientras permanezcan</w:t>
      </w:r>
      <w:r>
        <w:rPr>
          <w:rFonts w:ascii="Arial" w:eastAsia="Arial" w:hAnsi="Arial" w:cs="Arial"/>
          <w:i/>
          <w:color w:val="222222"/>
        </w:rPr>
        <w:t xml:space="preserve"> en el territorio del Estado</w:t>
      </w:r>
    </w:p>
    <w:p w:rsidR="00E23B86" w:rsidRDefault="00BA7C13">
      <w:pPr>
        <w:spacing w:after="3" w:line="248" w:lineRule="auto"/>
        <w:ind w:left="360" w:right="14"/>
        <w:jc w:val="both"/>
      </w:pPr>
      <w:r>
        <w:rPr>
          <w:rFonts w:ascii="Arial" w:eastAsia="Arial" w:hAnsi="Arial" w:cs="Arial"/>
          <w:i/>
          <w:color w:val="222222"/>
        </w:rPr>
        <w:t xml:space="preserve">español, en los términos establecidos en la </w:t>
      </w:r>
    </w:p>
    <w:p w:rsidR="00E23B86" w:rsidRDefault="00BA7C13">
      <w:pPr>
        <w:numPr>
          <w:ilvl w:val="0"/>
          <w:numId w:val="197"/>
        </w:numPr>
        <w:spacing w:after="3" w:line="248" w:lineRule="auto"/>
        <w:ind w:right="14" w:hanging="360"/>
        <w:jc w:val="both"/>
      </w:pPr>
      <w:r>
        <w:rPr>
          <w:noProof/>
        </w:rPr>
        <mc:AlternateContent>
          <mc:Choice Requires="wpg">
            <w:drawing>
              <wp:anchor distT="0" distB="0" distL="114300" distR="114300" simplePos="0" relativeHeight="2520227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9626" name="Group 58962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581" name="Rectangle 5458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4582" name="Rectangle 5458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w:t>
                              </w:r>
                              <w:r>
                                <w:rPr>
                                  <w:rFonts w:ascii="Arial" w:eastAsia="Arial" w:hAnsi="Arial" w:cs="Arial"/>
                                  <w:sz w:val="12"/>
                                </w:rPr>
                                <w:t xml:space="preserve">ina 354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9626" style="width:12.7031pt;height:280.35pt;position:absolute;mso-position-horizontal-relative:page;mso-position-horizontal:absolute;margin-left:681.958pt;mso-position-vertical-relative:page;margin-top:531.65pt;" coordsize="1613,35604">
                <v:rect id="Rectangle 5458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458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354 de 391 </w:t>
                        </w:r>
                      </w:p>
                    </w:txbxContent>
                  </v:textbox>
                </v:rect>
                <w10:wrap type="square"/>
              </v:group>
            </w:pict>
          </mc:Fallback>
        </mc:AlternateContent>
      </w:r>
      <w:r>
        <w:rPr>
          <w:rFonts w:ascii="Arial" w:eastAsia="Arial" w:hAnsi="Arial" w:cs="Arial"/>
          <w:b/>
          <w:i/>
          <w:color w:val="222222"/>
        </w:rPr>
        <w:t xml:space="preserve">4. </w:t>
      </w:r>
      <w:r>
        <w:rPr>
          <w:rFonts w:ascii="Arial" w:eastAsia="Arial" w:hAnsi="Arial" w:cs="Arial"/>
          <w:i/>
          <w:color w:val="222222"/>
        </w:rPr>
        <w:t>Cuando la Entidad Pública asuma la tutela de un menor extranjero que se encuentre en España, la Administración General del Estado le facilitará, si no la tuviere, a la mayor celeridad, y junto con la presentación del certificado de tutel</w:t>
      </w:r>
      <w:r>
        <w:rPr>
          <w:rFonts w:ascii="Arial" w:eastAsia="Arial" w:hAnsi="Arial" w:cs="Arial"/>
          <w:i/>
          <w:color w:val="222222"/>
        </w:rPr>
        <w:t>a expedido por dicha Entidad Pública, la documentación acreditativa de su situación y la autorización de residencia, una vez que haya quedado acreditada la imposibilidad de retorno con su familia o al país de origen, y según lo dispuesto en la normativa vi</w:t>
      </w:r>
      <w:r>
        <w:rPr>
          <w:rFonts w:ascii="Arial" w:eastAsia="Arial" w:hAnsi="Arial" w:cs="Arial"/>
          <w:i/>
          <w:color w:val="222222"/>
        </w:rPr>
        <w:t>gente en materia de extranjería e inmigración.</w:t>
      </w:r>
    </w:p>
    <w:p w:rsidR="00E23B86" w:rsidRDefault="00BA7C13">
      <w:pPr>
        <w:numPr>
          <w:ilvl w:val="0"/>
          <w:numId w:val="197"/>
        </w:numPr>
        <w:spacing w:after="3" w:line="248" w:lineRule="auto"/>
        <w:ind w:right="14" w:hanging="360"/>
        <w:jc w:val="both"/>
      </w:pPr>
      <w:r>
        <w:rPr>
          <w:rFonts w:ascii="Arial" w:eastAsia="Arial" w:hAnsi="Arial" w:cs="Arial"/>
          <w:b/>
          <w:i/>
          <w:color w:val="222222"/>
        </w:rPr>
        <w:t xml:space="preserve">5. </w:t>
      </w:r>
      <w:r>
        <w:rPr>
          <w:rFonts w:ascii="Arial" w:eastAsia="Arial" w:hAnsi="Arial" w:cs="Arial"/>
          <w:i/>
          <w:color w:val="222222"/>
        </w:rPr>
        <w:t>Respecto de los menores tutelados o guardados por las Entidades Públicas, el reconocimiento de su condición de asegurado en relación con la asistencia sanitaria se realizará de oficio, previa presentación d</w:t>
      </w:r>
      <w:r>
        <w:rPr>
          <w:rFonts w:ascii="Arial" w:eastAsia="Arial" w:hAnsi="Arial" w:cs="Arial"/>
          <w:i/>
          <w:color w:val="222222"/>
        </w:rPr>
        <w:t>e la certificación de su tutela o guarda expedida por la Entidad Pública, durante el periodo de duración de las mismas.”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4"/>
        <w:ind w:left="-5"/>
      </w:pPr>
      <w:r>
        <w:rPr>
          <w:rFonts w:ascii="Segoe UI Symbol" w:eastAsia="Segoe UI Symbol" w:hAnsi="Segoe UI Symbol" w:cs="Segoe UI Symbol"/>
          <w:b w:val="0"/>
          <w:sz w:val="20"/>
        </w:rPr>
        <w:t xml:space="preserve"> </w:t>
      </w:r>
      <w:r>
        <w:t>Artículo 11 Principios rectores de la acción administrativa</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Las Administraciones Públicas facilitarán a los menores la asistencia adecuada para el ejercicio de sus derechos, incluyendo los recursos de apoyo que precisen.</w:t>
      </w:r>
    </w:p>
    <w:p w:rsidR="00E23B86" w:rsidRDefault="00BA7C13">
      <w:pPr>
        <w:numPr>
          <w:ilvl w:val="0"/>
          <w:numId w:val="198"/>
        </w:numPr>
        <w:spacing w:after="3" w:line="248" w:lineRule="auto"/>
        <w:ind w:right="14" w:hanging="360"/>
        <w:jc w:val="both"/>
      </w:pPr>
      <w:r>
        <w:rPr>
          <w:rFonts w:ascii="Arial" w:eastAsia="Arial" w:hAnsi="Arial" w:cs="Arial"/>
          <w:i/>
          <w:color w:val="222222"/>
        </w:rPr>
        <w:t>Las Administraciones Públicas, en los ámbitos que les son propios, articularán políticas integr</w:t>
      </w:r>
      <w:r>
        <w:rPr>
          <w:rFonts w:ascii="Arial" w:eastAsia="Arial" w:hAnsi="Arial" w:cs="Arial"/>
          <w:i/>
          <w:color w:val="222222"/>
        </w:rPr>
        <w:t>ales encaminadas al desarrollo de la infancia y la adolescencia y, de modo especial, las referidas a los derechos enumerados en esta ley. Los menores tendrán derecho a acceder a tales servicios por sí mismos o a través de sus progenitores, tutores, guardad</w:t>
      </w:r>
      <w:r>
        <w:rPr>
          <w:rFonts w:ascii="Arial" w:eastAsia="Arial" w:hAnsi="Arial" w:cs="Arial"/>
          <w:i/>
          <w:color w:val="222222"/>
        </w:rPr>
        <w:t>ores o acogedores, quienes a su vez tendrán el deber de utilizarlos en interés de los menores.</w:t>
      </w:r>
    </w:p>
    <w:p w:rsidR="00E23B86" w:rsidRDefault="00BA7C13">
      <w:pPr>
        <w:numPr>
          <w:ilvl w:val="0"/>
          <w:numId w:val="198"/>
        </w:numPr>
        <w:spacing w:after="3" w:line="248" w:lineRule="auto"/>
        <w:ind w:right="14" w:hanging="360"/>
        <w:jc w:val="both"/>
      </w:pPr>
      <w:r>
        <w:rPr>
          <w:rFonts w:ascii="Arial" w:eastAsia="Arial" w:hAnsi="Arial" w:cs="Arial"/>
          <w:i/>
          <w:color w:val="222222"/>
        </w:rPr>
        <w:t>Se impulsarán políticas compensatorias dirigidas a corregir las desigualdades sociales. En todo caso, el contenido esencial de los derechos del menor no podrá qu</w:t>
      </w:r>
      <w:r>
        <w:rPr>
          <w:rFonts w:ascii="Arial" w:eastAsia="Arial" w:hAnsi="Arial" w:cs="Arial"/>
          <w:i/>
          <w:color w:val="222222"/>
        </w:rPr>
        <w:t>edar afectado por falta de recursos sociales básicos. Se garantizará a los menores con discapacidad y a sus familias los servicios sociales especializados que su discapacidad precise.</w:t>
      </w:r>
    </w:p>
    <w:p w:rsidR="00E23B86" w:rsidRDefault="00BA7C13">
      <w:pPr>
        <w:numPr>
          <w:ilvl w:val="0"/>
          <w:numId w:val="198"/>
        </w:numPr>
        <w:spacing w:after="3" w:line="248" w:lineRule="auto"/>
        <w:ind w:right="14" w:hanging="360"/>
        <w:jc w:val="both"/>
      </w:pPr>
      <w:r>
        <w:rPr>
          <w:rFonts w:ascii="Arial" w:eastAsia="Arial" w:hAnsi="Arial" w:cs="Arial"/>
          <w:i/>
          <w:color w:val="222222"/>
        </w:rPr>
        <w:t>Las Administraciones Públicas deberán tener en cuenta las necesidades de</w:t>
      </w:r>
      <w:r>
        <w:rPr>
          <w:rFonts w:ascii="Arial" w:eastAsia="Arial" w:hAnsi="Arial" w:cs="Arial"/>
          <w:i/>
          <w:color w:val="222222"/>
        </w:rPr>
        <w:t xml:space="preserve"> los menores al ejercer sus competencias, especialmente en materia de control sobre productos alimenticios, consumo, vivienda, educación, sanidad, servicios sociales, cultura, deporte, espectáculos, medios de comunicación, transportes, tiempo libre, juego,</w:t>
      </w:r>
      <w:r>
        <w:rPr>
          <w:rFonts w:ascii="Arial" w:eastAsia="Arial" w:hAnsi="Arial" w:cs="Arial"/>
          <w:i/>
          <w:color w:val="222222"/>
        </w:rPr>
        <w:t xml:space="preserve"> espacios libres y nuevas tecnologías (TICs).</w:t>
      </w:r>
    </w:p>
    <w:p w:rsidR="00E23B86" w:rsidRDefault="00BA7C13">
      <w:pPr>
        <w:numPr>
          <w:ilvl w:val="0"/>
          <w:numId w:val="198"/>
        </w:numPr>
        <w:spacing w:after="3" w:line="248" w:lineRule="auto"/>
        <w:ind w:right="14" w:hanging="360"/>
        <w:jc w:val="both"/>
      </w:pPr>
      <w:r>
        <w:rPr>
          <w:rFonts w:ascii="Arial" w:eastAsia="Arial" w:hAnsi="Arial" w:cs="Arial"/>
          <w:i/>
          <w:color w:val="222222"/>
        </w:rPr>
        <w:t>Las Administraciones Públicas tendrán particularmente en consideración la adecuada regulación y supervisión de aquellos espacios, centros y servicios en los que permanezcan habitualmente menores, en lo que se r</w:t>
      </w:r>
      <w:r>
        <w:rPr>
          <w:rFonts w:ascii="Arial" w:eastAsia="Arial" w:hAnsi="Arial" w:cs="Arial"/>
          <w:i/>
          <w:color w:val="222222"/>
        </w:rPr>
        <w:t>efiere a sus condiciones físico-ambientales, higiénico-sanitarias, de accesibilidad y diseño universal y de recursos humanos, así como a sus proyectos educativos inclusivos, a la participación de los menores y a las demás condiciones que contribuyan a aseg</w:t>
      </w:r>
      <w:r>
        <w:rPr>
          <w:rFonts w:ascii="Arial" w:eastAsia="Arial" w:hAnsi="Arial" w:cs="Arial"/>
          <w:i/>
          <w:color w:val="222222"/>
        </w:rPr>
        <w:t>urar sus derechos.</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Serán principios rectores de la actuación de los poderes públicos en relación con los menores:</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La supremacía de su interés superior.</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El mantenimiento en su familia de origen, salvo que no sea conveniente para su interés, en cuyo caso se garantizará la adopción de medidas de protección familiares y estables priorizando, en estos supuestos, el acogimiento familiar frente al institucional.</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Su integración familiar y social.</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La prevención y la detección precoz de todas aquellas situaciones que puedan perjudicar su desarrollo personal.</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e) </w:t>
      </w:r>
      <w:r>
        <w:rPr>
          <w:rFonts w:ascii="Arial" w:eastAsia="Arial" w:hAnsi="Arial" w:cs="Arial"/>
          <w:i/>
          <w:color w:val="222222"/>
        </w:rPr>
        <w:t>La sensibilización de la población ante situaciones de desprotección.</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f) </w:t>
      </w:r>
      <w:r>
        <w:rPr>
          <w:rFonts w:ascii="Arial" w:eastAsia="Arial" w:hAnsi="Arial" w:cs="Arial"/>
          <w:i/>
          <w:color w:val="222222"/>
        </w:rPr>
        <w:t>El carácter educativo de to</w:t>
      </w:r>
      <w:r>
        <w:rPr>
          <w:rFonts w:ascii="Arial" w:eastAsia="Arial" w:hAnsi="Arial" w:cs="Arial"/>
          <w:i/>
          <w:color w:val="222222"/>
        </w:rPr>
        <w:t>das las medidas que se adopten.</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g) </w:t>
      </w:r>
      <w:r>
        <w:rPr>
          <w:rFonts w:ascii="Arial" w:eastAsia="Arial" w:hAnsi="Arial" w:cs="Arial"/>
          <w:i/>
          <w:color w:val="222222"/>
        </w:rPr>
        <w:t>La promoción de la participación, voluntariado y solidaridad social.</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h) </w:t>
      </w:r>
      <w:r>
        <w:rPr>
          <w:rFonts w:ascii="Arial" w:eastAsia="Arial" w:hAnsi="Arial" w:cs="Arial"/>
          <w:i/>
          <w:color w:val="222222"/>
        </w:rPr>
        <w:t>La objetividad, imparcialidad y seguridad jurídica en la actuación protectora, garantizando el carácter colegiado e interdisciplinar en la adopción d</w:t>
      </w:r>
      <w:r>
        <w:rPr>
          <w:rFonts w:ascii="Arial" w:eastAsia="Arial" w:hAnsi="Arial" w:cs="Arial"/>
          <w:i/>
          <w:color w:val="222222"/>
        </w:rPr>
        <w:t>e medidas que les afecten.</w:t>
      </w:r>
    </w:p>
    <w:p w:rsidR="00E23B86" w:rsidRDefault="00BA7C13">
      <w:pPr>
        <w:numPr>
          <w:ilvl w:val="0"/>
          <w:numId w:val="198"/>
        </w:numPr>
        <w:spacing w:after="3" w:line="248" w:lineRule="auto"/>
        <w:ind w:right="14" w:hanging="360"/>
        <w:jc w:val="both"/>
      </w:pPr>
      <w:r>
        <w:rPr>
          <w:noProof/>
        </w:rPr>
        <mc:AlternateContent>
          <mc:Choice Requires="wpg">
            <w:drawing>
              <wp:anchor distT="0" distB="0" distL="114300" distR="114300" simplePos="0" relativeHeight="2520238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9721" name="Group 58972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722" name="Rectangle 5472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4723" name="Rectangle 5472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355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9721" style="width:12.7031pt;height:280.35pt;position:absolute;mso-position-horizontal-relative:page;mso-position-horizontal:absolute;margin-left:681.958pt;mso-position-vertical-relative:page;margin-top:531.65pt;" coordsize="1613,35604">
                <v:rect id="Rectangle 5472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472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355 de 391 </w:t>
                        </w:r>
                      </w:p>
                    </w:txbxContent>
                  </v:textbox>
                </v:rect>
                <w10:wrap type="square"/>
              </v:group>
            </w:pict>
          </mc:Fallback>
        </mc:AlternateContent>
      </w:r>
      <w:r>
        <w:rPr>
          <w:rFonts w:ascii="Arial" w:eastAsia="Arial" w:hAnsi="Arial" w:cs="Arial"/>
          <w:b/>
          <w:i/>
          <w:color w:val="222222"/>
        </w:rPr>
        <w:t xml:space="preserve">i) </w:t>
      </w:r>
      <w:r>
        <w:rPr>
          <w:rFonts w:ascii="Arial" w:eastAsia="Arial" w:hAnsi="Arial" w:cs="Arial"/>
          <w:i/>
          <w:color w:val="222222"/>
        </w:rPr>
        <w:t>La protección contra toda fo</w:t>
      </w:r>
      <w:r>
        <w:rPr>
          <w:rFonts w:ascii="Arial" w:eastAsia="Arial" w:hAnsi="Arial" w:cs="Arial"/>
          <w:i/>
          <w:color w:val="222222"/>
        </w:rPr>
        <w:t>rma de violencia, incluido el maltrato físico o psicológico, los castigos físicos humillantes y denigrantes, el descuido o trato negligente, la explotación, la realizada a través de las nuevas tecnologías, los abusos sexuales, la corrupción, la violencia d</w:t>
      </w:r>
      <w:r>
        <w:rPr>
          <w:rFonts w:ascii="Arial" w:eastAsia="Arial" w:hAnsi="Arial" w:cs="Arial"/>
          <w:i/>
          <w:color w:val="222222"/>
        </w:rPr>
        <w:t>e género o en el ámbito familiar, sanitario, social o educativo, incluyendo el acoso escolar, así como la trata y el tráfico de seres humanos, la mutilación genital femenina y cualquier otra forma de abuso.</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j) </w:t>
      </w:r>
      <w:r>
        <w:rPr>
          <w:rFonts w:ascii="Arial" w:eastAsia="Arial" w:hAnsi="Arial" w:cs="Arial"/>
          <w:i/>
          <w:color w:val="222222"/>
        </w:rPr>
        <w:t>La igualdad de oportunidades y no discriminaci</w:t>
      </w:r>
      <w:r>
        <w:rPr>
          <w:rFonts w:ascii="Arial" w:eastAsia="Arial" w:hAnsi="Arial" w:cs="Arial"/>
          <w:i/>
          <w:color w:val="222222"/>
        </w:rPr>
        <w:t>ón por cualquier circunstancia.</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k) </w:t>
      </w:r>
      <w:r>
        <w:rPr>
          <w:rFonts w:ascii="Arial" w:eastAsia="Arial" w:hAnsi="Arial" w:cs="Arial"/>
          <w:i/>
          <w:color w:val="222222"/>
        </w:rPr>
        <w:t>La accesibilidad universal de los menores con discapacidad y los ajustes razonables, así como su inclusión y participación plenas y efectivas.</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l) </w:t>
      </w:r>
      <w:r>
        <w:rPr>
          <w:rFonts w:ascii="Arial" w:eastAsia="Arial" w:hAnsi="Arial" w:cs="Arial"/>
          <w:i/>
          <w:color w:val="222222"/>
        </w:rPr>
        <w:t>El libre desarrollo de su personalidad conforme a su orientación e identidad sexual.</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m) </w:t>
      </w:r>
      <w:r>
        <w:rPr>
          <w:rFonts w:ascii="Arial" w:eastAsia="Arial" w:hAnsi="Arial" w:cs="Arial"/>
          <w:i/>
          <w:color w:val="222222"/>
        </w:rPr>
        <w:t>El respeto y la valoración de la diversidad étnica y cultural.</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Los poderes públicos desarrollarán actuaciones encaminadas a la sensibilización, prevención, detección</w:t>
      </w:r>
      <w:r>
        <w:rPr>
          <w:rFonts w:ascii="Arial" w:eastAsia="Arial" w:hAnsi="Arial" w:cs="Arial"/>
          <w:i/>
          <w:color w:val="222222"/>
        </w:rPr>
        <w:t>, notificación, asistencia y protección de cualquier forma de violencia contra la infancia y la adolescencia mediante procedimientos que aseguren la coordinación y la colaboración entre las distintas Administraciones, entidades colaboradoras y servicios co</w:t>
      </w:r>
      <w:r>
        <w:rPr>
          <w:rFonts w:ascii="Arial" w:eastAsia="Arial" w:hAnsi="Arial" w:cs="Arial"/>
          <w:i/>
          <w:color w:val="222222"/>
        </w:rPr>
        <w:t>mpetentes, tanto públicos como privados, para garantizar una actuación integral.</w:t>
      </w:r>
    </w:p>
    <w:p w:rsidR="00E23B86" w:rsidRDefault="00BA7C13">
      <w:pPr>
        <w:numPr>
          <w:ilvl w:val="0"/>
          <w:numId w:val="198"/>
        </w:numPr>
        <w:spacing w:after="3" w:line="248" w:lineRule="auto"/>
        <w:ind w:right="14" w:hanging="360"/>
        <w:jc w:val="both"/>
      </w:pPr>
      <w:r>
        <w:rPr>
          <w:rFonts w:ascii="Arial" w:eastAsia="Arial" w:hAnsi="Arial" w:cs="Arial"/>
          <w:b/>
          <w:i/>
          <w:color w:val="222222"/>
        </w:rPr>
        <w:t xml:space="preserve">4. </w:t>
      </w:r>
      <w:r>
        <w:rPr>
          <w:rFonts w:ascii="Arial" w:eastAsia="Arial" w:hAnsi="Arial" w:cs="Arial"/>
          <w:i/>
          <w:color w:val="222222"/>
        </w:rPr>
        <w:t>Las Entidades Públicas dispondrán de programas y recursos destinados al apoyo y orientación de quienes, estando en acogimiento, alcancen la mayoría de edad y queden fuera d</w:t>
      </w:r>
      <w:r>
        <w:rPr>
          <w:rFonts w:ascii="Arial" w:eastAsia="Arial" w:hAnsi="Arial" w:cs="Arial"/>
          <w:i/>
          <w:color w:val="222222"/>
        </w:rPr>
        <w:t>el sistema de protección, con especial atención a los que presentan discapacidad.”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198"/>
        </w:numPr>
        <w:spacing w:after="0" w:line="249" w:lineRule="auto"/>
        <w:ind w:right="14" w:hanging="360"/>
        <w:jc w:val="both"/>
      </w:pPr>
      <w:r>
        <w:rPr>
          <w:rFonts w:ascii="Arial" w:eastAsia="Arial" w:hAnsi="Arial" w:cs="Arial"/>
          <w:b/>
        </w:rPr>
        <w:t xml:space="preserve">IV.- Ley 1/1997, de 7 de febrero, de atención integral a los menores </w:t>
      </w:r>
      <w:r>
        <w:rPr>
          <w:rFonts w:ascii="Segoe UI Symbol" w:eastAsia="Segoe UI Symbol" w:hAnsi="Segoe UI Symbol" w:cs="Segoe UI Symbol"/>
          <w:color w:val="3C587E"/>
          <w:sz w:val="20"/>
        </w:rPr>
        <w:t></w:t>
      </w:r>
    </w:p>
    <w:p w:rsidR="00E23B86" w:rsidRDefault="00BA7C13">
      <w:pPr>
        <w:pStyle w:val="Ttulo4"/>
        <w:ind w:left="-5"/>
      </w:pPr>
      <w:r>
        <w:rPr>
          <w:rFonts w:ascii="Segoe UI Symbol" w:eastAsia="Segoe UI Symbol" w:hAnsi="Segoe UI Symbol" w:cs="Segoe UI Symbol"/>
          <w:b w:val="0"/>
          <w:sz w:val="20"/>
        </w:rPr>
        <w:t xml:space="preserve"> </w:t>
      </w:r>
      <w:r>
        <w:t>Artículo 3 Derechos de los menores</w:t>
      </w:r>
    </w:p>
    <w:p w:rsidR="00E23B86" w:rsidRDefault="00BA7C13">
      <w:pPr>
        <w:numPr>
          <w:ilvl w:val="0"/>
          <w:numId w:val="199"/>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 xml:space="preserve">Los menores gozarán de los derechos individuales y colectivos que les reconoce la Constitución, los tratados, convenios y pactos internacionales ratificados por el Estado español, especialmente la </w:t>
      </w:r>
      <w:r>
        <w:rPr>
          <w:rFonts w:ascii="Arial" w:eastAsia="Arial" w:hAnsi="Arial" w:cs="Arial"/>
          <w:i/>
          <w:color w:val="4C6F99"/>
          <w:u w:val="single" w:color="4C6F99"/>
        </w:rPr>
        <w:t>Convención sobre los Derechos del Niño</w:t>
      </w:r>
      <w:r>
        <w:rPr>
          <w:rFonts w:ascii="Arial" w:eastAsia="Arial" w:hAnsi="Arial" w:cs="Arial"/>
          <w:i/>
          <w:color w:val="222222"/>
        </w:rPr>
        <w:t xml:space="preserve"> de las Naciones Unid</w:t>
      </w:r>
      <w:r>
        <w:rPr>
          <w:rFonts w:ascii="Arial" w:eastAsia="Arial" w:hAnsi="Arial" w:cs="Arial"/>
          <w:i/>
          <w:color w:val="222222"/>
        </w:rPr>
        <w:t>as, de 20 de noviembre de 1989, y la Carta Europea de los Derechos del Niño, así como en las restantes normas del ordenamiento jurídico.</w:t>
      </w:r>
    </w:p>
    <w:p w:rsidR="00E23B86" w:rsidRDefault="00BA7C13">
      <w:pPr>
        <w:numPr>
          <w:ilvl w:val="0"/>
          <w:numId w:val="199"/>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El contenido, regulación y efectos de los derechos reconocidos a los menores se regirán por su normativa específica,</w:t>
      </w:r>
      <w:r>
        <w:rPr>
          <w:rFonts w:ascii="Arial" w:eastAsia="Arial" w:hAnsi="Arial" w:cs="Arial"/>
          <w:i/>
          <w:color w:val="222222"/>
        </w:rPr>
        <w:t xml:space="preserve"> sin perjuicio de las medidas complementarias que se establecen en la presente ley para contribuir a su efectividad</w:t>
      </w:r>
      <w:r>
        <w:rPr>
          <w:rFonts w:ascii="Arial" w:eastAsia="Arial" w:hAnsi="Arial" w:cs="Arial"/>
          <w:color w:val="222222"/>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4"/>
        <w:ind w:left="-5"/>
      </w:pPr>
      <w:r>
        <w:rPr>
          <w:rFonts w:ascii="Segoe UI Symbol" w:eastAsia="Segoe UI Symbol" w:hAnsi="Segoe UI Symbol" w:cs="Segoe UI Symbol"/>
          <w:b w:val="0"/>
          <w:sz w:val="20"/>
        </w:rPr>
        <w:t xml:space="preserve"> </w:t>
      </w:r>
      <w:r>
        <w:t>Artículo 20 Principios generales</w:t>
      </w:r>
    </w:p>
    <w:p w:rsidR="00E23B86" w:rsidRDefault="00BA7C13">
      <w:pPr>
        <w:numPr>
          <w:ilvl w:val="0"/>
          <w:numId w:val="200"/>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 xml:space="preserve">Las Administraciones Públicas Canarias desarrollarán y promoverán las acciones de divulgación de </w:t>
      </w:r>
      <w:r>
        <w:rPr>
          <w:rFonts w:ascii="Arial" w:eastAsia="Arial" w:hAnsi="Arial" w:cs="Arial"/>
          <w:i/>
          <w:color w:val="222222"/>
        </w:rPr>
        <w:t xml:space="preserve">los derechos de los menores reconocidos en la Constitución, en los tratados internacionales ratificados por España, especialmente la </w:t>
      </w:r>
      <w:r>
        <w:rPr>
          <w:rFonts w:ascii="Arial" w:eastAsia="Arial" w:hAnsi="Arial" w:cs="Arial"/>
          <w:i/>
          <w:color w:val="4C6F99"/>
          <w:u w:val="single" w:color="4C6F99"/>
        </w:rPr>
        <w:t>Convención sobre los Derechos del Niño</w:t>
      </w:r>
      <w:r>
        <w:rPr>
          <w:rFonts w:ascii="Arial" w:eastAsia="Arial" w:hAnsi="Arial" w:cs="Arial"/>
          <w:i/>
          <w:color w:val="222222"/>
        </w:rPr>
        <w:t xml:space="preserve"> de las Naciones Unidas, de 20 de noviembre de 1989, y la Carta Europea de Derechos d</w:t>
      </w:r>
      <w:r>
        <w:rPr>
          <w:rFonts w:ascii="Arial" w:eastAsia="Arial" w:hAnsi="Arial" w:cs="Arial"/>
          <w:i/>
          <w:color w:val="222222"/>
        </w:rPr>
        <w:t>el Niño, así como en el resto del ordenamiento jurídico.</w:t>
      </w:r>
    </w:p>
    <w:p w:rsidR="00E23B86" w:rsidRDefault="00BA7C13">
      <w:pPr>
        <w:numPr>
          <w:ilvl w:val="0"/>
          <w:numId w:val="200"/>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Asimismo, ejecutarán las acciones de información y divulgación precisas para el conocimiento y fomento de los medios y recursos destinados a la atención integral a los menores en el ámbito de la C</w:t>
      </w:r>
      <w:r>
        <w:rPr>
          <w:rFonts w:ascii="Arial" w:eastAsia="Arial" w:hAnsi="Arial" w:cs="Arial"/>
          <w:i/>
          <w:color w:val="222222"/>
        </w:rPr>
        <w:t>omunidad Autónoma de Canarias, con independencia de la titularidad de los mismos.”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1"/>
        <w:ind w:left="-5" w:hanging="10"/>
      </w:pPr>
      <w:r>
        <w:rPr>
          <w:rFonts w:ascii="Segoe UI Symbol" w:eastAsia="Segoe UI Symbol" w:hAnsi="Segoe UI Symbol" w:cs="Segoe UI Symbol"/>
          <w:color w:val="4C6F99"/>
          <w:sz w:val="20"/>
        </w:rPr>
        <w:t></w:t>
      </w:r>
    </w:p>
    <w:p w:rsidR="00E23B86" w:rsidRDefault="00BA7C13">
      <w:pPr>
        <w:spacing w:after="1"/>
        <w:ind w:left="-5" w:hanging="10"/>
      </w:pPr>
      <w:r>
        <w:rPr>
          <w:rFonts w:ascii="Segoe UI Symbol" w:eastAsia="Segoe UI Symbol" w:hAnsi="Segoe UI Symbol" w:cs="Segoe UI Symbol"/>
          <w:color w:val="4C6F99"/>
          <w:sz w:val="20"/>
        </w:rPr>
        <w:t></w:t>
      </w:r>
    </w:p>
    <w:p w:rsidR="00E23B86" w:rsidRDefault="00BA7C13">
      <w:pPr>
        <w:pStyle w:val="Ttulo4"/>
        <w:ind w:left="-5"/>
      </w:pPr>
      <w:r>
        <w:rPr>
          <w:rFonts w:ascii="Segoe UI Symbol" w:eastAsia="Segoe UI Symbol" w:hAnsi="Segoe UI Symbol" w:cs="Segoe UI Symbol"/>
          <w:b w:val="0"/>
          <w:sz w:val="20"/>
        </w:rPr>
        <w:t xml:space="preserve"> </w:t>
      </w:r>
      <w:r>
        <w:t>Artículo 21 Formación e información de los padres</w:t>
      </w:r>
    </w:p>
    <w:p w:rsidR="00E23B86" w:rsidRDefault="00BA7C13">
      <w:pPr>
        <w:spacing w:after="3" w:line="248" w:lineRule="auto"/>
        <w:ind w:left="355" w:right="14" w:hanging="370"/>
        <w:jc w:val="both"/>
      </w:pPr>
      <w:r>
        <w:rPr>
          <w:noProof/>
        </w:rPr>
        <mc:AlternateContent>
          <mc:Choice Requires="wpg">
            <w:drawing>
              <wp:anchor distT="0" distB="0" distL="114300" distR="114300" simplePos="0" relativeHeight="25202483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0085" name="Group 59008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861" name="Rectangle 5486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4862" name="Rectangle 5486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356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0085" style="width:12.7031pt;height:280.35pt;position:absolute;mso-position-horizontal-relative:page;mso-position-horizontal:absolute;margin-left:681.958pt;mso-position-vertical-relative:page;margin-top:531.65pt;" coordsize="1613,35604">
                <v:rect id="Rectangle 5486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486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356 de 391 </w:t>
                        </w:r>
                      </w:p>
                    </w:txbxContent>
                  </v:textbox>
                </v:rect>
                <w10:wrap type="square"/>
              </v:group>
            </w:pict>
          </mc:Fallback>
        </mc:AlternateContent>
      </w:r>
      <w:r>
        <w:rPr>
          <w:rFonts w:ascii="Segoe UI Symbol" w:eastAsia="Segoe UI Symbol" w:hAnsi="Segoe UI Symbol" w:cs="Segoe UI Symbol"/>
          <w:color w:val="222222"/>
          <w:sz w:val="20"/>
        </w:rPr>
        <w:t xml:space="preserve"> </w:t>
      </w:r>
      <w:r>
        <w:rPr>
          <w:rFonts w:ascii="Arial" w:eastAsia="Arial" w:hAnsi="Arial" w:cs="Arial"/>
          <w:i/>
          <w:color w:val="222222"/>
        </w:rPr>
        <w:t>“Las Administraciones Públicas Canarias facilitarán a quienes ejerzan o puedan ejercer funciones parentales los medios de formación e información precisos para</w:t>
      </w:r>
      <w:r>
        <w:rPr>
          <w:rFonts w:ascii="Arial" w:eastAsia="Arial" w:hAnsi="Arial" w:cs="Arial"/>
          <w:i/>
          <w:color w:val="222222"/>
        </w:rPr>
        <w:t xml:space="preserve"> el adecuado cumplimiento de sus responsabilidades y el efectivo respeto a los derechos de los menores.”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sz w:val="20"/>
        </w:rPr>
        <w:t xml:space="preserve"> </w:t>
      </w:r>
      <w:r>
        <w:t>Artículo 22 Participación social de los menores</w:t>
      </w:r>
    </w:p>
    <w:p w:rsidR="00E23B86" w:rsidRDefault="00BA7C13">
      <w:pPr>
        <w:numPr>
          <w:ilvl w:val="0"/>
          <w:numId w:val="201"/>
        </w:numPr>
        <w:spacing w:after="4" w:line="250" w:lineRule="auto"/>
        <w:ind w:hanging="360"/>
        <w:jc w:val="both"/>
      </w:pPr>
      <w:r>
        <w:rPr>
          <w:rFonts w:ascii="Arial" w:eastAsia="Arial" w:hAnsi="Arial" w:cs="Arial"/>
          <w:color w:val="222222"/>
        </w:rPr>
        <w:t>“Las Administraciones Públicas Canarias, en su respectivo ámbito competencial, propiciarán:</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201"/>
        </w:numPr>
        <w:spacing w:after="4" w:line="250" w:lineRule="auto"/>
        <w:ind w:hanging="360"/>
        <w:jc w:val="both"/>
      </w:pPr>
      <w:r>
        <w:rPr>
          <w:rFonts w:ascii="Arial" w:eastAsia="Arial" w:hAnsi="Arial" w:cs="Arial"/>
          <w:b/>
          <w:color w:val="222222"/>
        </w:rPr>
        <w:t xml:space="preserve">a) </w:t>
      </w:r>
      <w:r>
        <w:rPr>
          <w:rFonts w:ascii="Arial" w:eastAsia="Arial" w:hAnsi="Arial" w:cs="Arial"/>
          <w:color w:val="222222"/>
        </w:rPr>
        <w:t>La participación de los menores en los núcleos de convivencia más inmediatos, de acuerdo con su desarrollo personal.</w:t>
      </w:r>
    </w:p>
    <w:p w:rsidR="00E23B86" w:rsidRDefault="00BA7C13">
      <w:pPr>
        <w:numPr>
          <w:ilvl w:val="0"/>
          <w:numId w:val="201"/>
        </w:numPr>
        <w:spacing w:after="4" w:line="250" w:lineRule="auto"/>
        <w:ind w:hanging="360"/>
        <w:jc w:val="both"/>
      </w:pPr>
      <w:r>
        <w:rPr>
          <w:rFonts w:ascii="Arial" w:eastAsia="Arial" w:hAnsi="Arial" w:cs="Arial"/>
          <w:b/>
          <w:color w:val="222222"/>
        </w:rPr>
        <w:t xml:space="preserve">b) </w:t>
      </w:r>
      <w:r>
        <w:rPr>
          <w:rFonts w:ascii="Arial" w:eastAsia="Arial" w:hAnsi="Arial" w:cs="Arial"/>
          <w:color w:val="222222"/>
        </w:rPr>
        <w:t>El derecho a la participación social de los menores, arbitrando fórmulas y servicios específicos.</w:t>
      </w:r>
    </w:p>
    <w:p w:rsidR="00E23B86" w:rsidRDefault="00BA7C13">
      <w:pPr>
        <w:numPr>
          <w:ilvl w:val="0"/>
          <w:numId w:val="201"/>
        </w:numPr>
        <w:spacing w:after="4" w:line="250" w:lineRule="auto"/>
        <w:ind w:hanging="360"/>
        <w:jc w:val="both"/>
      </w:pPr>
      <w:r>
        <w:rPr>
          <w:rFonts w:ascii="Arial" w:eastAsia="Arial" w:hAnsi="Arial" w:cs="Arial"/>
          <w:b/>
          <w:color w:val="222222"/>
        </w:rPr>
        <w:t xml:space="preserve">c) </w:t>
      </w:r>
      <w:r>
        <w:rPr>
          <w:rFonts w:ascii="Arial" w:eastAsia="Arial" w:hAnsi="Arial" w:cs="Arial"/>
          <w:color w:val="222222"/>
        </w:rPr>
        <w:t>La constitución de asociaciones, fu</w:t>
      </w:r>
      <w:r>
        <w:rPr>
          <w:rFonts w:ascii="Arial" w:eastAsia="Arial" w:hAnsi="Arial" w:cs="Arial"/>
          <w:color w:val="222222"/>
        </w:rPr>
        <w:t>ndaciones y otras fórmulas de autoorganización que posibiliten un aprendizaje de los modos y prácticas democráticas y tolerantes de convivencia”</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sz w:val="20"/>
        </w:rPr>
        <w:t xml:space="preserve"> </w:t>
      </w:r>
      <w:r>
        <w:t>Artículo 23 Integración social de los menores</w:t>
      </w:r>
    </w:p>
    <w:p w:rsidR="00E23B86" w:rsidRDefault="00BA7C13">
      <w:pPr>
        <w:numPr>
          <w:ilvl w:val="0"/>
          <w:numId w:val="202"/>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Las Administraciones Públicas Canarias velarán por el derecho de los menores con minusvalías a que se les facilite el mayor grado de integración en la sociedad que permitan sus condiciones.</w:t>
      </w:r>
    </w:p>
    <w:p w:rsidR="00E23B86" w:rsidRDefault="00BA7C13">
      <w:pPr>
        <w:numPr>
          <w:ilvl w:val="0"/>
          <w:numId w:val="202"/>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Los menores extranjeros que se encuentren en el territorio de l</w:t>
      </w:r>
      <w:r>
        <w:rPr>
          <w:rFonts w:ascii="Arial" w:eastAsia="Arial" w:hAnsi="Arial" w:cs="Arial"/>
          <w:i/>
          <w:color w:val="222222"/>
        </w:rPr>
        <w:t>a Comunidad Autónoma de Canarias podrán recibir ayudas públicas que faciliten su integración social, especialmente para salvar las dificultades de idioma y el conocimiento de los usos sociales</w:t>
      </w:r>
      <w:r>
        <w:rPr>
          <w:rFonts w:ascii="Arial" w:eastAsia="Arial" w:hAnsi="Arial" w:cs="Arial"/>
          <w:color w:val="222222"/>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sz w:val="20"/>
        </w:rPr>
        <w:t xml:space="preserve"> </w:t>
      </w:r>
      <w:r>
        <w:t>Artículo 24 Prevención frente a grupos nocivos</w:t>
      </w:r>
    </w:p>
    <w:p w:rsidR="00E23B86" w:rsidRDefault="00BA7C13">
      <w:pPr>
        <w:numPr>
          <w:ilvl w:val="0"/>
          <w:numId w:val="203"/>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Las Ad</w:t>
      </w:r>
      <w:r>
        <w:rPr>
          <w:rFonts w:ascii="Arial" w:eastAsia="Arial" w:hAnsi="Arial" w:cs="Arial"/>
          <w:i/>
          <w:color w:val="222222"/>
        </w:rPr>
        <w:t>ministraciones Públicas Canarias desarrollarán y fomentarán las acciones de información necesarias en los ámbitos educativo, cultural y social para advertir de los efectos perjudiciales de la actividad de las sectas.</w:t>
      </w:r>
    </w:p>
    <w:p w:rsidR="00E23B86" w:rsidRDefault="00BA7C13">
      <w:pPr>
        <w:numPr>
          <w:ilvl w:val="0"/>
          <w:numId w:val="203"/>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Asimismo, emprenderán y promoverán l</w:t>
      </w:r>
      <w:r>
        <w:rPr>
          <w:rFonts w:ascii="Arial" w:eastAsia="Arial" w:hAnsi="Arial" w:cs="Arial"/>
          <w:i/>
          <w:color w:val="222222"/>
        </w:rPr>
        <w:t>as actuaciones precisas para informar de los efectos nocivos para los menores de las actividades de grupos que tengan finalidades que puedan alterar el equilibrio psíquico o utilicen medios para alterarlo.</w:t>
      </w:r>
    </w:p>
    <w:p w:rsidR="00E23B86" w:rsidRDefault="00BA7C13">
      <w:pPr>
        <w:numPr>
          <w:ilvl w:val="0"/>
          <w:numId w:val="203"/>
        </w:numPr>
        <w:spacing w:after="3" w:line="248" w:lineRule="auto"/>
        <w:ind w:right="14" w:hanging="360"/>
        <w:jc w:val="both"/>
      </w:pPr>
      <w:r>
        <w:rPr>
          <w:rFonts w:ascii="Arial" w:eastAsia="Arial" w:hAnsi="Arial" w:cs="Arial"/>
          <w:b/>
          <w:i/>
          <w:color w:val="222222"/>
        </w:rPr>
        <w:t xml:space="preserve">3. </w:t>
      </w:r>
      <w:r>
        <w:rPr>
          <w:rFonts w:ascii="Arial" w:eastAsia="Arial" w:hAnsi="Arial" w:cs="Arial"/>
          <w:i/>
          <w:color w:val="222222"/>
        </w:rPr>
        <w:t xml:space="preserve">Las Administraciones Públicas Canarias velarán </w:t>
      </w:r>
      <w:r>
        <w:rPr>
          <w:rFonts w:ascii="Arial" w:eastAsia="Arial" w:hAnsi="Arial" w:cs="Arial"/>
          <w:i/>
          <w:color w:val="222222"/>
        </w:rPr>
        <w:t>especialmente para que las entidades y grupos a que se refieren los números anteriores no tengan acceso a los servicios, prestaciones y actividades de cualquier naturaleza que se presten o realicen con financiación pública, total o parcial, ni puedan obten</w:t>
      </w:r>
      <w:r>
        <w:rPr>
          <w:rFonts w:ascii="Arial" w:eastAsia="Arial" w:hAnsi="Arial" w:cs="Arial"/>
          <w:i/>
          <w:color w:val="222222"/>
        </w:rPr>
        <w:t xml:space="preserve">er el reconocimiento como entidades colaboradoras para la ejecución de servicios, prestaciones o actividades que sean de responsabilidad pública.” </w:t>
      </w:r>
      <w:r>
        <w:rPr>
          <w:rFonts w:ascii="Segoe UI Symbol" w:eastAsia="Segoe UI Symbol" w:hAnsi="Segoe UI Symbol" w:cs="Segoe UI Symbol"/>
          <w:color w:val="4C6F99"/>
          <w:sz w:val="20"/>
        </w:rPr>
        <w:t></w:t>
      </w:r>
    </w:p>
    <w:p w:rsidR="00E23B86" w:rsidRDefault="00BA7C13">
      <w:pPr>
        <w:pStyle w:val="Ttulo4"/>
        <w:ind w:left="-5"/>
      </w:pPr>
      <w:r>
        <w:rPr>
          <w:rFonts w:ascii="Segoe UI Symbol" w:eastAsia="Segoe UI Symbol" w:hAnsi="Segoe UI Symbol" w:cs="Segoe UI Symbol"/>
          <w:b w:val="0"/>
          <w:sz w:val="20"/>
        </w:rPr>
        <w:t xml:space="preserve"> </w:t>
      </w:r>
      <w:r>
        <w:t>Artículo 25 Promoción de la educación de los menores</w:t>
      </w:r>
    </w:p>
    <w:p w:rsidR="00E23B86" w:rsidRDefault="00BA7C13">
      <w:pPr>
        <w:numPr>
          <w:ilvl w:val="0"/>
          <w:numId w:val="204"/>
        </w:numPr>
        <w:spacing w:after="3" w:line="248" w:lineRule="auto"/>
        <w:ind w:right="14" w:hanging="360"/>
        <w:jc w:val="both"/>
      </w:pPr>
      <w:r>
        <w:rPr>
          <w:rFonts w:ascii="Arial" w:eastAsia="Arial" w:hAnsi="Arial" w:cs="Arial"/>
          <w:i/>
          <w:color w:val="222222"/>
        </w:rPr>
        <w:t>“Sin perjuicio del derecho a la educación reglada pr</w:t>
      </w:r>
      <w:r>
        <w:rPr>
          <w:rFonts w:ascii="Arial" w:eastAsia="Arial" w:hAnsi="Arial" w:cs="Arial"/>
          <w:i/>
          <w:color w:val="222222"/>
        </w:rPr>
        <w:t>evista en la legislación general, las Administraciones Públicas Canarias propiciarán:</w:t>
      </w:r>
    </w:p>
    <w:p w:rsidR="00E23B86" w:rsidRDefault="00BA7C13">
      <w:pPr>
        <w:numPr>
          <w:ilvl w:val="0"/>
          <w:numId w:val="204"/>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La realización y fomento de actividades que desarrollen la capacidad crítica y de libre decisión de los menores, así como el sentido de la propia responsabilidad.</w:t>
      </w:r>
    </w:p>
    <w:p w:rsidR="00E23B86" w:rsidRDefault="00BA7C13">
      <w:pPr>
        <w:numPr>
          <w:ilvl w:val="0"/>
          <w:numId w:val="204"/>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L</w:t>
      </w:r>
      <w:r>
        <w:rPr>
          <w:rFonts w:ascii="Arial" w:eastAsia="Arial" w:hAnsi="Arial" w:cs="Arial"/>
          <w:i/>
          <w:color w:val="222222"/>
        </w:rPr>
        <w:t>a ejecución y promoción de actividades que favorezcan su capacidad de participación en la vida familiar, social, cultural, política y económica.</w:t>
      </w:r>
    </w:p>
    <w:p w:rsidR="00E23B86" w:rsidRDefault="00BA7C13">
      <w:pPr>
        <w:numPr>
          <w:ilvl w:val="0"/>
          <w:numId w:val="204"/>
        </w:numPr>
        <w:spacing w:after="3" w:line="248" w:lineRule="auto"/>
        <w:ind w:right="14" w:hanging="360"/>
        <w:jc w:val="both"/>
      </w:pPr>
      <w:r>
        <w:rPr>
          <w:noProof/>
        </w:rPr>
        <mc:AlternateContent>
          <mc:Choice Requires="wpg">
            <w:drawing>
              <wp:anchor distT="0" distB="0" distL="114300" distR="114300" simplePos="0" relativeHeight="25202585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89800" name="Group 58980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4999" name="Rectangle 5499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5000" name="Rectangle 5500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357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89800" style="width:12.7031pt;height:280.35pt;position:absolute;mso-position-horizontal-relative:page;mso-position-horizontal:absolute;margin-left:681.958pt;mso-position-vertical-relative:page;margin-top:531.65pt;" coordsize="1613,35604">
                <v:rect id="Rectangle 5499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00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357 de 391 </w:t>
                        </w:r>
                      </w:p>
                    </w:txbxContent>
                  </v:textbox>
                </v:rect>
                <w10:wrap type="square"/>
              </v:group>
            </w:pict>
          </mc:Fallback>
        </mc:AlternateContent>
      </w:r>
      <w:r>
        <w:rPr>
          <w:rFonts w:ascii="Arial" w:eastAsia="Arial" w:hAnsi="Arial" w:cs="Arial"/>
          <w:b/>
          <w:i/>
          <w:color w:val="222222"/>
        </w:rPr>
        <w:t xml:space="preserve">c) </w:t>
      </w:r>
      <w:r>
        <w:rPr>
          <w:rFonts w:ascii="Arial" w:eastAsia="Arial" w:hAnsi="Arial" w:cs="Arial"/>
          <w:i/>
          <w:color w:val="222222"/>
        </w:rPr>
        <w:t>La creación de recursos fijos o ambulantes en el entorno relacional del menor, como el barrio o el municipio, donde puedan desarrollar su destreza intelectual</w:t>
      </w:r>
      <w:r>
        <w:rPr>
          <w:rFonts w:ascii="Arial" w:eastAsia="Arial" w:hAnsi="Arial" w:cs="Arial"/>
          <w:i/>
          <w:color w:val="222222"/>
        </w:rPr>
        <w:t xml:space="preserve"> y habilidad manual o de razonamiento, como complemento al aprendizaje en los centros escolares.</w:t>
      </w:r>
    </w:p>
    <w:p w:rsidR="00E23B86" w:rsidRDefault="00BA7C13">
      <w:pPr>
        <w:numPr>
          <w:ilvl w:val="0"/>
          <w:numId w:val="204"/>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Las actividades basadas en el principio de la coeducación, la no discriminación y la igualdad de oportunidades.”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pStyle w:val="Ttulo4"/>
        <w:ind w:left="-5"/>
      </w:pPr>
      <w:r>
        <w:rPr>
          <w:rFonts w:ascii="Segoe UI Symbol" w:eastAsia="Segoe UI Symbol" w:hAnsi="Segoe UI Symbol" w:cs="Segoe UI Symbol"/>
          <w:b w:val="0"/>
          <w:sz w:val="20"/>
        </w:rPr>
        <w:t xml:space="preserve"> </w:t>
      </w:r>
      <w:r>
        <w:t xml:space="preserve">Artículo 26 </w:t>
      </w:r>
      <w:r>
        <w:t>Promoción cultural de los menores</w:t>
      </w:r>
    </w:p>
    <w:p w:rsidR="00E23B86" w:rsidRDefault="00BA7C13">
      <w:pPr>
        <w:numPr>
          <w:ilvl w:val="0"/>
          <w:numId w:val="205"/>
        </w:numPr>
        <w:spacing w:after="3" w:line="248" w:lineRule="auto"/>
        <w:ind w:right="14" w:hanging="360"/>
        <w:jc w:val="both"/>
      </w:pPr>
      <w:r>
        <w:rPr>
          <w:rFonts w:ascii="Arial" w:eastAsia="Arial" w:hAnsi="Arial" w:cs="Arial"/>
          <w:i/>
          <w:color w:val="222222"/>
        </w:rPr>
        <w:t xml:space="preserve">“Las Administraciones Públicas Canarias fomentarán y potenciarán: </w:t>
      </w:r>
      <w:r>
        <w:rPr>
          <w:rFonts w:ascii="Segoe UI Symbol" w:eastAsia="Segoe UI Symbol" w:hAnsi="Segoe UI Symbol" w:cs="Segoe UI Symbol"/>
          <w:color w:val="222222"/>
          <w:sz w:val="20"/>
        </w:rPr>
        <w:t></w:t>
      </w:r>
    </w:p>
    <w:p w:rsidR="00E23B86" w:rsidRDefault="00BA7C13">
      <w:pPr>
        <w:numPr>
          <w:ilvl w:val="0"/>
          <w:numId w:val="205"/>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Las iniciativas sociales relativas a manifestaciones culturales y artísticas dirigidas al menor.</w:t>
      </w:r>
    </w:p>
    <w:p w:rsidR="00E23B86" w:rsidRDefault="00BA7C13">
      <w:pPr>
        <w:numPr>
          <w:ilvl w:val="0"/>
          <w:numId w:val="205"/>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El acceso a los bienes y medios culturales de la Co</w:t>
      </w:r>
      <w:r>
        <w:rPr>
          <w:rFonts w:ascii="Arial" w:eastAsia="Arial" w:hAnsi="Arial" w:cs="Arial"/>
          <w:i/>
          <w:color w:val="222222"/>
        </w:rPr>
        <w:t>munidad, promoviendo el conocimiento de sus valores, historia y tradiciones.</w:t>
      </w:r>
    </w:p>
    <w:p w:rsidR="00E23B86" w:rsidRDefault="00BA7C13">
      <w:pPr>
        <w:numPr>
          <w:ilvl w:val="0"/>
          <w:numId w:val="205"/>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El conocimiento y la participación del menor, en la cultura y las artes, propiciando su acercamiento y la adaptación de las mismas a las diferentes etapas evolutivas de aquél.</w:t>
      </w:r>
    </w:p>
    <w:p w:rsidR="00E23B86" w:rsidRDefault="00BA7C13">
      <w:pPr>
        <w:numPr>
          <w:ilvl w:val="0"/>
          <w:numId w:val="205"/>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La creación de secciones pedagógicas con recursos didácticos adecuados en todos los museos, bibliotecas, medios y bienes culturales de titularidad autonómica, insular y municipal.”</w:t>
      </w:r>
    </w:p>
    <w:p w:rsidR="00E23B86" w:rsidRDefault="00BA7C13">
      <w:pPr>
        <w:spacing w:after="1"/>
        <w:ind w:left="-5" w:hanging="10"/>
      </w:pPr>
      <w:r>
        <w:rPr>
          <w:rFonts w:ascii="Segoe UI Symbol" w:eastAsia="Segoe UI Symbol" w:hAnsi="Segoe UI Symbol" w:cs="Segoe UI Symbol"/>
          <w:color w:val="4C6F99"/>
          <w:sz w:val="20"/>
        </w:rPr>
        <w:t></w:t>
      </w:r>
    </w:p>
    <w:p w:rsidR="00E23B86" w:rsidRDefault="00BA7C13">
      <w:pPr>
        <w:pStyle w:val="Ttulo4"/>
        <w:ind w:left="-5"/>
      </w:pPr>
      <w:r>
        <w:rPr>
          <w:rFonts w:ascii="Segoe UI Symbol" w:eastAsia="Segoe UI Symbol" w:hAnsi="Segoe UI Symbol" w:cs="Segoe UI Symbol"/>
          <w:b w:val="0"/>
          <w:sz w:val="20"/>
        </w:rPr>
        <w:t xml:space="preserve"> </w:t>
      </w:r>
      <w:r>
        <w:t>Artículo 27 Promoción del adecuado aprovechamiento del ocio</w:t>
      </w:r>
    </w:p>
    <w:p w:rsidR="00E23B86" w:rsidRDefault="00BA7C13">
      <w:pPr>
        <w:numPr>
          <w:ilvl w:val="0"/>
          <w:numId w:val="206"/>
        </w:numPr>
        <w:spacing w:after="3" w:line="248" w:lineRule="auto"/>
        <w:ind w:right="14" w:hanging="360"/>
        <w:jc w:val="both"/>
      </w:pPr>
      <w:r>
        <w:rPr>
          <w:rFonts w:ascii="Arial" w:eastAsia="Arial" w:hAnsi="Arial" w:cs="Arial"/>
          <w:i/>
          <w:color w:val="222222"/>
        </w:rPr>
        <w:t>“Las Adm</w:t>
      </w:r>
      <w:r>
        <w:rPr>
          <w:rFonts w:ascii="Arial" w:eastAsia="Arial" w:hAnsi="Arial" w:cs="Arial"/>
          <w:i/>
          <w:color w:val="222222"/>
        </w:rPr>
        <w:t xml:space="preserve">inistraciones Públicas Canarias, como elemento esencial del desarrollo y proceso de maduración de los menores, fomentarán: </w:t>
      </w:r>
      <w:r>
        <w:rPr>
          <w:rFonts w:ascii="Segoe UI Symbol" w:eastAsia="Segoe UI Symbol" w:hAnsi="Segoe UI Symbol" w:cs="Segoe UI Symbol"/>
          <w:color w:val="222222"/>
          <w:sz w:val="20"/>
        </w:rPr>
        <w:t></w:t>
      </w:r>
    </w:p>
    <w:p w:rsidR="00E23B86" w:rsidRDefault="00BA7C13">
      <w:pPr>
        <w:numPr>
          <w:ilvl w:val="0"/>
          <w:numId w:val="206"/>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El juego como parte de la actividad cotidiana, así como que los juguetes se adapten a las necesidades de los menores a que vayan</w:t>
      </w:r>
      <w:r>
        <w:rPr>
          <w:rFonts w:ascii="Arial" w:eastAsia="Arial" w:hAnsi="Arial" w:cs="Arial"/>
          <w:i/>
          <w:color w:val="222222"/>
        </w:rPr>
        <w:t xml:space="preserve"> destinados y al desarrollo psicomotor de cada etapa evolutiva.</w:t>
      </w:r>
    </w:p>
    <w:p w:rsidR="00E23B86" w:rsidRDefault="00BA7C13">
      <w:pPr>
        <w:numPr>
          <w:ilvl w:val="0"/>
          <w:numId w:val="206"/>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El deporte y las actividades de tiempo libre, tanto en el medio escolar como a través de la acción comunitaria.</w:t>
      </w:r>
    </w:p>
    <w:p w:rsidR="00E23B86" w:rsidRDefault="00BA7C13">
      <w:pPr>
        <w:numPr>
          <w:ilvl w:val="0"/>
          <w:numId w:val="206"/>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Las actividades de ocio en los barrios y municipios, gestionadas por entid</w:t>
      </w:r>
      <w:r>
        <w:rPr>
          <w:rFonts w:ascii="Arial" w:eastAsia="Arial" w:hAnsi="Arial" w:cs="Arial"/>
          <w:i/>
          <w:color w:val="222222"/>
        </w:rPr>
        <w:t>ades vecinales o asociativas.</w:t>
      </w:r>
    </w:p>
    <w:p w:rsidR="00E23B86" w:rsidRDefault="00BA7C13">
      <w:pPr>
        <w:numPr>
          <w:ilvl w:val="0"/>
          <w:numId w:val="206"/>
        </w:numPr>
        <w:spacing w:after="3" w:line="248" w:lineRule="auto"/>
        <w:ind w:right="14" w:hanging="360"/>
        <w:jc w:val="both"/>
      </w:pPr>
      <w:r>
        <w:rPr>
          <w:rFonts w:ascii="Arial" w:eastAsia="Arial" w:hAnsi="Arial" w:cs="Arial"/>
          <w:b/>
          <w:i/>
          <w:color w:val="222222"/>
        </w:rPr>
        <w:t xml:space="preserve">d) </w:t>
      </w:r>
      <w:r>
        <w:rPr>
          <w:rFonts w:ascii="Arial" w:eastAsia="Arial" w:hAnsi="Arial" w:cs="Arial"/>
          <w:i/>
          <w:color w:val="222222"/>
        </w:rPr>
        <w:t xml:space="preserve">Las medidas que faciliten el turismo de los menores dentro de la Comunidad Autónoma, tanto con grupos escolares o asociativos como con su familia.” </w:t>
      </w:r>
      <w:r>
        <w:rPr>
          <w:rFonts w:ascii="Segoe UI Symbol" w:eastAsia="Segoe UI Symbol" w:hAnsi="Segoe UI Symbol" w:cs="Segoe UI Symbol"/>
          <w:color w:val="4C6F99"/>
          <w:sz w:val="20"/>
        </w:rPr>
        <w:t></w:t>
      </w:r>
    </w:p>
    <w:p w:rsidR="00E23B86" w:rsidRDefault="00BA7C13">
      <w:pPr>
        <w:pStyle w:val="Ttulo4"/>
        <w:ind w:left="-5"/>
      </w:pPr>
      <w:r>
        <w:rPr>
          <w:rFonts w:ascii="Segoe UI Symbol" w:eastAsia="Segoe UI Symbol" w:hAnsi="Segoe UI Symbol" w:cs="Segoe UI Symbol"/>
          <w:b w:val="0"/>
          <w:sz w:val="20"/>
        </w:rPr>
        <w:t xml:space="preserve"> </w:t>
      </w:r>
      <w:r>
        <w:t>Artículo 28 Promoción en relación con los recursos naturales</w:t>
      </w:r>
    </w:p>
    <w:p w:rsidR="00E23B86" w:rsidRDefault="00BA7C13">
      <w:pPr>
        <w:numPr>
          <w:ilvl w:val="0"/>
          <w:numId w:val="207"/>
        </w:numPr>
        <w:spacing w:after="3" w:line="248" w:lineRule="auto"/>
        <w:ind w:right="14" w:hanging="360"/>
        <w:jc w:val="both"/>
      </w:pPr>
      <w:r>
        <w:rPr>
          <w:rFonts w:ascii="Arial" w:eastAsia="Arial" w:hAnsi="Arial" w:cs="Arial"/>
          <w:i/>
          <w:color w:val="222222"/>
        </w:rPr>
        <w:t>“Las Admin</w:t>
      </w:r>
      <w:r>
        <w:rPr>
          <w:rFonts w:ascii="Arial" w:eastAsia="Arial" w:hAnsi="Arial" w:cs="Arial"/>
          <w:i/>
          <w:color w:val="222222"/>
        </w:rPr>
        <w:t xml:space="preserve">istraciones Públicas Canarias, en desarrollo del derecho de los menores a conocer y disfrutar del medio ambiente, promoverán: </w:t>
      </w:r>
      <w:r>
        <w:rPr>
          <w:rFonts w:ascii="Segoe UI Symbol" w:eastAsia="Segoe UI Symbol" w:hAnsi="Segoe UI Symbol" w:cs="Segoe UI Symbol"/>
          <w:color w:val="222222"/>
          <w:sz w:val="20"/>
        </w:rPr>
        <w:t></w:t>
      </w:r>
    </w:p>
    <w:p w:rsidR="00E23B86" w:rsidRDefault="00BA7C13">
      <w:pPr>
        <w:numPr>
          <w:ilvl w:val="0"/>
          <w:numId w:val="207"/>
        </w:numPr>
        <w:spacing w:after="3"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El respeto y conocimiento de la naturaleza por los menores, informándoles sobre la importancia de un medio ambiente saludable</w:t>
      </w:r>
      <w:r>
        <w:rPr>
          <w:rFonts w:ascii="Arial" w:eastAsia="Arial" w:hAnsi="Arial" w:cs="Arial"/>
          <w:i/>
          <w:color w:val="222222"/>
        </w:rPr>
        <w:t xml:space="preserve"> y capacitándoles para su uso positivo.</w:t>
      </w:r>
    </w:p>
    <w:p w:rsidR="00E23B86" w:rsidRDefault="00BA7C13">
      <w:pPr>
        <w:numPr>
          <w:ilvl w:val="0"/>
          <w:numId w:val="207"/>
        </w:numPr>
        <w:spacing w:after="3"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Las visitas y rutas programadas por los diversos entornos naturales.</w:t>
      </w:r>
    </w:p>
    <w:p w:rsidR="00E23B86" w:rsidRDefault="00BA7C13">
      <w:pPr>
        <w:numPr>
          <w:ilvl w:val="0"/>
          <w:numId w:val="207"/>
        </w:numPr>
        <w:spacing w:after="3"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Los programas formativos, divulgativos y de concienciación sobre el reciclaje de residuos, el uso responsable de los recursos naturales y, en general, sobre la necesidad de adquirir unos hábitos adecuados para la conservación del medio ambiente.”</w:t>
      </w:r>
    </w:p>
    <w:p w:rsidR="00E23B86" w:rsidRDefault="00BA7C13">
      <w:pPr>
        <w:spacing w:after="1"/>
        <w:ind w:left="-5" w:hanging="10"/>
      </w:pPr>
      <w:r>
        <w:rPr>
          <w:rFonts w:ascii="Segoe UI Symbol" w:eastAsia="Segoe UI Symbol" w:hAnsi="Segoe UI Symbol" w:cs="Segoe UI Symbol"/>
          <w:color w:val="4C6F99"/>
          <w:sz w:val="20"/>
        </w:rPr>
        <w:t></w:t>
      </w:r>
    </w:p>
    <w:p w:rsidR="00E23B86" w:rsidRDefault="00BA7C13">
      <w:pPr>
        <w:pStyle w:val="Ttulo4"/>
        <w:ind w:left="-5"/>
      </w:pPr>
      <w:r>
        <w:rPr>
          <w:rFonts w:ascii="Segoe UI Symbol" w:eastAsia="Segoe UI Symbol" w:hAnsi="Segoe UI Symbol" w:cs="Segoe UI Symbol"/>
          <w:b w:val="0"/>
          <w:sz w:val="20"/>
        </w:rPr>
        <w:t xml:space="preserve"> </w:t>
      </w:r>
      <w:r>
        <w:t>Artíc</w:t>
      </w:r>
      <w:r>
        <w:t>ulo 29 Promoción de la adecuada distribución del espacio urbano</w:t>
      </w:r>
    </w:p>
    <w:p w:rsidR="00E23B86" w:rsidRDefault="00BA7C13">
      <w:pPr>
        <w:numPr>
          <w:ilvl w:val="0"/>
          <w:numId w:val="208"/>
        </w:numPr>
        <w:spacing w:after="4" w:line="250" w:lineRule="auto"/>
        <w:ind w:hanging="360"/>
        <w:jc w:val="both"/>
      </w:pPr>
      <w:r>
        <w:rPr>
          <w:rFonts w:ascii="Arial" w:eastAsia="Arial" w:hAnsi="Arial" w:cs="Arial"/>
          <w:color w:val="222222"/>
        </w:rPr>
        <w:t>“Las Administraciones Públicas Canarias, en los espacios urbanos, propiciarán:</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208"/>
        </w:numPr>
        <w:spacing w:after="4" w:line="250" w:lineRule="auto"/>
        <w:ind w:hanging="360"/>
        <w:jc w:val="both"/>
      </w:pPr>
      <w:r>
        <w:rPr>
          <w:rFonts w:ascii="Arial" w:eastAsia="Arial" w:hAnsi="Arial" w:cs="Arial"/>
          <w:b/>
          <w:color w:val="222222"/>
        </w:rPr>
        <w:t xml:space="preserve">a) </w:t>
      </w:r>
      <w:r>
        <w:rPr>
          <w:rFonts w:ascii="Arial" w:eastAsia="Arial" w:hAnsi="Arial" w:cs="Arial"/>
          <w:color w:val="222222"/>
        </w:rPr>
        <w:t>La reserva de suelo para uso de los menores y su equipamiento en los instrumentos de planeamiento urbanístico, teniendo en cuenta sus necesidades específicas en la concepción del espacio urbano.</w:t>
      </w:r>
    </w:p>
    <w:p w:rsidR="00E23B86" w:rsidRDefault="00BA7C13">
      <w:pPr>
        <w:numPr>
          <w:ilvl w:val="0"/>
          <w:numId w:val="208"/>
        </w:numPr>
        <w:spacing w:after="4" w:line="250" w:lineRule="auto"/>
        <w:ind w:hanging="360"/>
        <w:jc w:val="both"/>
      </w:pPr>
      <w:r>
        <w:rPr>
          <w:noProof/>
        </w:rPr>
        <mc:AlternateContent>
          <mc:Choice Requires="wpg">
            <w:drawing>
              <wp:anchor distT="0" distB="0" distL="114300" distR="114300" simplePos="0" relativeHeight="2520268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0592" name="Group 59059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136" name="Rectangle 5513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55137" name="Rectangle 5513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358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0592" style="width:12.7031pt;height:280.35pt;position:absolute;mso-position-horizontal-relative:page;mso-position-horizontal:absolute;margin-left:681.958pt;mso-position-vertical-relative:page;margin-top:531.65pt;" coordsize="1613,35604">
                <v:rect id="Rectangle 5513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13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358 de 391 </w:t>
                        </w:r>
                      </w:p>
                    </w:txbxContent>
                  </v:textbox>
                </v:rect>
                <w10:wrap type="square"/>
              </v:group>
            </w:pict>
          </mc:Fallback>
        </mc:AlternateContent>
      </w:r>
      <w:r>
        <w:rPr>
          <w:rFonts w:ascii="Arial" w:eastAsia="Arial" w:hAnsi="Arial" w:cs="Arial"/>
          <w:b/>
          <w:color w:val="222222"/>
        </w:rPr>
        <w:t xml:space="preserve">b) </w:t>
      </w:r>
      <w:r>
        <w:rPr>
          <w:rFonts w:ascii="Arial" w:eastAsia="Arial" w:hAnsi="Arial" w:cs="Arial"/>
          <w:color w:val="222222"/>
        </w:rPr>
        <w:t>La peatonalización de los espacios circundantes a los centros escolares y de aquellos otros de uso frecuente por los</w:t>
      </w:r>
      <w:r>
        <w:rPr>
          <w:rFonts w:ascii="Arial" w:eastAsia="Arial" w:hAnsi="Arial" w:cs="Arial"/>
          <w:color w:val="222222"/>
        </w:rPr>
        <w:t xml:space="preserve"> menores, garantizándose el acceso a los mismos sin peligro.</w:t>
      </w:r>
    </w:p>
    <w:p w:rsidR="00E23B86" w:rsidRDefault="00BA7C13">
      <w:pPr>
        <w:numPr>
          <w:ilvl w:val="0"/>
          <w:numId w:val="208"/>
        </w:numPr>
        <w:spacing w:after="4" w:line="250" w:lineRule="auto"/>
        <w:ind w:hanging="360"/>
        <w:jc w:val="both"/>
      </w:pPr>
      <w:r>
        <w:rPr>
          <w:rFonts w:ascii="Arial" w:eastAsia="Arial" w:hAnsi="Arial" w:cs="Arial"/>
          <w:b/>
          <w:color w:val="222222"/>
        </w:rPr>
        <w:t xml:space="preserve">c) </w:t>
      </w:r>
      <w:r>
        <w:rPr>
          <w:rFonts w:ascii="Arial" w:eastAsia="Arial" w:hAnsi="Arial" w:cs="Arial"/>
          <w:color w:val="222222"/>
        </w:rPr>
        <w:t>La creación y disposición de espacios diferenciados para el uso de los menores, dotándoles del mobiliario urbano adecuado, con garantía de las condiciones de seguridad y considerando especialm</w:t>
      </w:r>
      <w:r>
        <w:rPr>
          <w:rFonts w:ascii="Arial" w:eastAsia="Arial" w:hAnsi="Arial" w:cs="Arial"/>
          <w:color w:val="222222"/>
        </w:rPr>
        <w:t>ente las dificultades de movilidad de los menores discapacitados.”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208"/>
        </w:numPr>
        <w:spacing w:after="0" w:line="249" w:lineRule="auto"/>
        <w:ind w:hanging="360"/>
        <w:jc w:val="both"/>
      </w:pPr>
      <w:r>
        <w:rPr>
          <w:rFonts w:ascii="Arial" w:eastAsia="Arial" w:hAnsi="Arial" w:cs="Arial"/>
          <w:b/>
        </w:rPr>
        <w:t>V.- Ley Orgánica 3/2018, de 5 de diciembre, de Protección de Datos Personales y garantía de los derechos digitales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4"/>
        <w:ind w:left="-5"/>
      </w:pPr>
      <w:r>
        <w:rPr>
          <w:rFonts w:ascii="Segoe UI Symbol" w:eastAsia="Segoe UI Symbol" w:hAnsi="Segoe UI Symbol" w:cs="Segoe UI Symbol"/>
          <w:b w:val="0"/>
          <w:color w:val="000000"/>
          <w:sz w:val="20"/>
        </w:rPr>
        <w:t xml:space="preserve"> </w:t>
      </w:r>
      <w:r>
        <w:t>Artículo 7 Consentimiento de los menores de edad</w:t>
      </w:r>
    </w:p>
    <w:p w:rsidR="00E23B86" w:rsidRDefault="00BA7C13">
      <w:pPr>
        <w:numPr>
          <w:ilvl w:val="0"/>
          <w:numId w:val="209"/>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El tratamiento de los datos personales de un menor de edad únicamente podrá fundarse en su consentimiento cuando sea mayor de catorce años.</w:t>
      </w:r>
    </w:p>
    <w:p w:rsidR="00E23B86" w:rsidRDefault="00BA7C13">
      <w:pPr>
        <w:numPr>
          <w:ilvl w:val="0"/>
          <w:numId w:val="209"/>
        </w:numPr>
        <w:spacing w:after="3" w:line="248" w:lineRule="auto"/>
        <w:ind w:right="14" w:hanging="360"/>
        <w:jc w:val="both"/>
      </w:pPr>
      <w:r>
        <w:rPr>
          <w:rFonts w:ascii="Arial" w:eastAsia="Arial" w:hAnsi="Arial" w:cs="Arial"/>
          <w:i/>
          <w:color w:val="222222"/>
        </w:rPr>
        <w:t>Se exceptúan los supuestos en que la ley exija la asistencia de los titulares de la patria potestad o tutela para la</w:t>
      </w:r>
      <w:r>
        <w:rPr>
          <w:rFonts w:ascii="Arial" w:eastAsia="Arial" w:hAnsi="Arial" w:cs="Arial"/>
          <w:i/>
          <w:color w:val="222222"/>
        </w:rPr>
        <w:t xml:space="preserve"> celebración del acto o negocio jurídico en cuyo contexto se recaba el consentimiento para el tratamiento.</w:t>
      </w:r>
    </w:p>
    <w:p w:rsidR="00E23B86" w:rsidRDefault="00BA7C13">
      <w:pPr>
        <w:numPr>
          <w:ilvl w:val="0"/>
          <w:numId w:val="209"/>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El tratamiento de los datos de los menores de catorce años, fundado en el consentimiento, solo será lícito si consta el del titular de la patria potestad o tutela, con el alcance que determinen los titulares de la patria potestad o tutela.”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4"/>
        <w:ind w:left="-5"/>
      </w:pPr>
      <w:r>
        <w:rPr>
          <w:rFonts w:ascii="Segoe UI Symbol" w:eastAsia="Segoe UI Symbol" w:hAnsi="Segoe UI Symbol" w:cs="Segoe UI Symbol"/>
          <w:b w:val="0"/>
          <w:color w:val="000000"/>
          <w:sz w:val="20"/>
        </w:rPr>
        <w:t xml:space="preserve"> </w:t>
      </w:r>
      <w:r>
        <w:t>Artículo 92</w:t>
      </w:r>
      <w:r>
        <w:t xml:space="preserve"> Protección de datos de los menores en Internet</w:t>
      </w:r>
    </w:p>
    <w:p w:rsidR="00E23B86" w:rsidRDefault="00BA7C13">
      <w:pPr>
        <w:numPr>
          <w:ilvl w:val="0"/>
          <w:numId w:val="210"/>
        </w:numPr>
        <w:spacing w:after="3" w:line="248" w:lineRule="auto"/>
        <w:ind w:right="284" w:hanging="1058"/>
        <w:jc w:val="both"/>
      </w:pPr>
      <w:r>
        <w:rPr>
          <w:rFonts w:ascii="Arial" w:eastAsia="Arial" w:hAnsi="Arial" w:cs="Arial"/>
          <w:i/>
          <w:color w:val="222222"/>
        </w:rPr>
        <w:t>“Los centros educativos y cualesquiera personas físicas o jurídicas que desarrollen actividades en las que participen menores de edad garantizarán la protección del interés superior del menor y sus derechos f</w:t>
      </w:r>
      <w:r>
        <w:rPr>
          <w:rFonts w:ascii="Arial" w:eastAsia="Arial" w:hAnsi="Arial" w:cs="Arial"/>
          <w:i/>
          <w:color w:val="222222"/>
        </w:rPr>
        <w:t>undamentales, especialmente el derecho a la protección de datos personales, en la publicación o difusión de sus datos personales a través de servicios de la sociedad de la información.</w:t>
      </w:r>
    </w:p>
    <w:p w:rsidR="00E23B86" w:rsidRDefault="00BA7C13">
      <w:pPr>
        <w:numPr>
          <w:ilvl w:val="0"/>
          <w:numId w:val="210"/>
        </w:numPr>
        <w:spacing w:after="3" w:line="248" w:lineRule="auto"/>
        <w:ind w:right="284" w:hanging="1058"/>
        <w:jc w:val="both"/>
      </w:pPr>
      <w:r>
        <w:rPr>
          <w:rFonts w:ascii="Arial" w:eastAsia="Arial" w:hAnsi="Arial" w:cs="Arial"/>
          <w:i/>
          <w:color w:val="222222"/>
        </w:rPr>
        <w:t>Cuando dicha publicación o difusión fuera a tener lugar a través de ser</w:t>
      </w:r>
      <w:r>
        <w:rPr>
          <w:rFonts w:ascii="Arial" w:eastAsia="Arial" w:hAnsi="Arial" w:cs="Arial"/>
          <w:i/>
          <w:color w:val="222222"/>
        </w:rPr>
        <w:t>vicios de redes sociales o servicios equivalentes deberán contar con el consentimiento del menor o sus representantes legales, conforme a lo prescrito en el artículo 7 de esta ley orgánica.”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10"/>
        </w:numPr>
        <w:spacing w:after="296" w:line="249" w:lineRule="auto"/>
        <w:ind w:right="284" w:hanging="1058"/>
        <w:jc w:val="both"/>
      </w:pPr>
      <w:r>
        <w:rPr>
          <w:rFonts w:ascii="Arial" w:eastAsia="Arial" w:hAnsi="Arial" w:cs="Arial"/>
          <w:b/>
        </w:rPr>
        <w:t>VI. Competencia municipal</w:t>
      </w:r>
    </w:p>
    <w:p w:rsidR="00E23B86" w:rsidRDefault="00BA7C13">
      <w:pPr>
        <w:numPr>
          <w:ilvl w:val="0"/>
          <w:numId w:val="210"/>
        </w:numPr>
        <w:spacing w:after="204" w:line="249" w:lineRule="auto"/>
        <w:ind w:right="284" w:hanging="1058"/>
        <w:jc w:val="both"/>
      </w:pPr>
      <w:r>
        <w:rPr>
          <w:rFonts w:ascii="Arial" w:eastAsia="Arial" w:hAnsi="Arial" w:cs="Arial"/>
          <w:b/>
        </w:rPr>
        <w:t>Ley 7/1985, de 2 de abril, regulado</w:t>
      </w:r>
      <w:r>
        <w:rPr>
          <w:rFonts w:ascii="Arial" w:eastAsia="Arial" w:hAnsi="Arial" w:cs="Arial"/>
          <w:b/>
        </w:rPr>
        <w:t>ra de las Bases del Régimen Local</w:t>
      </w:r>
    </w:p>
    <w:p w:rsidR="00E23B86" w:rsidRDefault="00BA7C13">
      <w:pPr>
        <w:pStyle w:val="Ttulo5"/>
        <w:ind w:left="-5" w:right="1093"/>
      </w:pPr>
      <w:r>
        <w:rPr>
          <w:rFonts w:ascii="Segoe UI Symbol" w:eastAsia="Segoe UI Symbol" w:hAnsi="Segoe UI Symbol" w:cs="Segoe UI Symbol"/>
          <w:b w:val="0"/>
          <w:i w:val="0"/>
          <w:color w:val="000000"/>
          <w:sz w:val="20"/>
        </w:rPr>
        <w:t xml:space="preserve"> </w:t>
      </w:r>
      <w:r>
        <w:t>Artículo 25</w:t>
      </w:r>
    </w:p>
    <w:p w:rsidR="00E23B86" w:rsidRDefault="00BA7C13">
      <w:pPr>
        <w:numPr>
          <w:ilvl w:val="0"/>
          <w:numId w:val="211"/>
        </w:numPr>
        <w:spacing w:after="3"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El Municipio, para la gestión de sus intereses y en el ámbito de sus competencias, puede promover actividades y prestar los servicios públicos que contribuyan a satisfacer las necesidades y aspiraciones d</w:t>
      </w:r>
      <w:r>
        <w:rPr>
          <w:rFonts w:ascii="Arial" w:eastAsia="Arial" w:hAnsi="Arial" w:cs="Arial"/>
          <w:i/>
          <w:color w:val="222222"/>
        </w:rPr>
        <w:t>e la comunidad vecinal en los términos previstos en este artículo.</w:t>
      </w:r>
    </w:p>
    <w:p w:rsidR="00E23B86" w:rsidRDefault="00BA7C13">
      <w:pPr>
        <w:numPr>
          <w:ilvl w:val="0"/>
          <w:numId w:val="211"/>
        </w:numPr>
        <w:spacing w:after="3"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El Municipio ejercerá en todo caso como competencias propias, en los términos de la legislación del Estado y de las Comunidades Autónomas, en las siguientes materias:</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211"/>
        </w:numPr>
        <w:spacing w:after="3" w:line="248" w:lineRule="auto"/>
        <w:ind w:right="14" w:hanging="360"/>
        <w:jc w:val="both"/>
      </w:pPr>
      <w:r>
        <w:rPr>
          <w:rFonts w:ascii="Arial" w:eastAsia="Arial" w:hAnsi="Arial" w:cs="Arial"/>
          <w:b/>
          <w:i/>
          <w:color w:val="222222"/>
        </w:rPr>
        <w:t xml:space="preserve">l) </w:t>
      </w:r>
      <w:r>
        <w:rPr>
          <w:rFonts w:ascii="Arial" w:eastAsia="Arial" w:hAnsi="Arial" w:cs="Arial"/>
          <w:i/>
          <w:color w:val="222222"/>
        </w:rPr>
        <w:t>Promoción del deporte e instalaciones deportivas y de ocupación del tiempo libre.</w:t>
      </w:r>
    </w:p>
    <w:p w:rsidR="00E23B86" w:rsidRDefault="00BA7C13">
      <w:pPr>
        <w:numPr>
          <w:ilvl w:val="0"/>
          <w:numId w:val="211"/>
        </w:numPr>
        <w:spacing w:after="3" w:line="248" w:lineRule="auto"/>
        <w:ind w:right="14" w:hanging="360"/>
        <w:jc w:val="both"/>
      </w:pPr>
      <w:r>
        <w:rPr>
          <w:rFonts w:ascii="Arial" w:eastAsia="Arial" w:hAnsi="Arial" w:cs="Arial"/>
          <w:b/>
          <w:i/>
          <w:color w:val="222222"/>
        </w:rPr>
        <w:t xml:space="preserve">m) </w:t>
      </w:r>
      <w:r>
        <w:rPr>
          <w:rFonts w:ascii="Arial" w:eastAsia="Arial" w:hAnsi="Arial" w:cs="Arial"/>
          <w:i/>
          <w:color w:val="222222"/>
        </w:rPr>
        <w:t>Promoción de la cultura y equipamientos culturales.</w:t>
      </w:r>
    </w:p>
    <w:p w:rsidR="00E23B86" w:rsidRDefault="00BA7C13">
      <w:pPr>
        <w:numPr>
          <w:ilvl w:val="0"/>
          <w:numId w:val="211"/>
        </w:numPr>
        <w:spacing w:after="3" w:line="248" w:lineRule="auto"/>
        <w:ind w:right="14" w:hanging="360"/>
        <w:jc w:val="both"/>
      </w:pPr>
      <w:r>
        <w:rPr>
          <w:noProof/>
        </w:rPr>
        <mc:AlternateContent>
          <mc:Choice Requires="wpg">
            <w:drawing>
              <wp:anchor distT="0" distB="0" distL="114300" distR="114300" simplePos="0" relativeHeight="2520279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1230" name="Group 59123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265" name="Rectangle 5526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5266" name="Rectangle 5526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w:t>
                              </w:r>
                              <w:r>
                                <w:rPr>
                                  <w:rFonts w:ascii="Arial" w:eastAsia="Arial" w:hAnsi="Arial" w:cs="Arial"/>
                                  <w:sz w:val="12"/>
                                </w:rPr>
                                <w:t xml:space="preserve">o electrónicamente desde la plataforma esPublico Gestiona | Página 359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1230" style="width:12.7031pt;height:280.35pt;position:absolute;mso-position-horizontal-relative:page;mso-position-horizontal:absolute;margin-left:681.958pt;mso-position-vertical-relative:page;margin-top:531.65pt;" coordsize="1613,35604">
                <v:rect id="Rectangle 5526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26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359 de 391 </w:t>
                        </w:r>
                      </w:p>
                    </w:txbxContent>
                  </v:textbox>
                </v:rect>
                <w10:wrap type="square"/>
              </v:group>
            </w:pict>
          </mc:Fallback>
        </mc:AlternateContent>
      </w:r>
      <w:r>
        <w:rPr>
          <w:rFonts w:ascii="Arial" w:eastAsia="Arial" w:hAnsi="Arial" w:cs="Arial"/>
          <w:b/>
          <w:i/>
          <w:color w:val="222222"/>
        </w:rPr>
        <w:t xml:space="preserve">n) </w:t>
      </w:r>
      <w:r>
        <w:rPr>
          <w:rFonts w:ascii="Arial" w:eastAsia="Arial" w:hAnsi="Arial" w:cs="Arial"/>
          <w:i/>
          <w:color w:val="222222"/>
        </w:rPr>
        <w:t>Participar en la vigilancia del cumplimiento de la escolaridad obligatoria y cooperar con las Administraciones educativas correspondientes en la obtención de los solares necesarios para la construcción de nuevos centros docentes. La conservación, mantenimi</w:t>
      </w:r>
      <w:r>
        <w:rPr>
          <w:rFonts w:ascii="Arial" w:eastAsia="Arial" w:hAnsi="Arial" w:cs="Arial"/>
          <w:i/>
          <w:color w:val="222222"/>
        </w:rPr>
        <w:t>ento y vigilancia de los edificios de titularidad local destinados a centros públicos de educación infantil, de educación primaria o de educación especial.</w:t>
      </w:r>
    </w:p>
    <w:p w:rsidR="00E23B86" w:rsidRDefault="00BA7C13">
      <w:pPr>
        <w:numPr>
          <w:ilvl w:val="0"/>
          <w:numId w:val="211"/>
        </w:numPr>
        <w:spacing w:after="3" w:line="248" w:lineRule="auto"/>
        <w:ind w:right="14" w:hanging="360"/>
        <w:jc w:val="both"/>
      </w:pPr>
      <w:r>
        <w:rPr>
          <w:rFonts w:ascii="Arial" w:eastAsia="Arial" w:hAnsi="Arial" w:cs="Arial"/>
          <w:b/>
          <w:i/>
          <w:color w:val="222222"/>
        </w:rPr>
        <w:t xml:space="preserve">ñ) </w:t>
      </w:r>
      <w:r>
        <w:rPr>
          <w:rFonts w:ascii="Arial" w:eastAsia="Arial" w:hAnsi="Arial" w:cs="Arial"/>
          <w:i/>
          <w:color w:val="222222"/>
        </w:rPr>
        <w:t>Promoción en su término municipal de la participación de los ciudadanos en el uso eficiente y sos</w:t>
      </w:r>
      <w:r>
        <w:rPr>
          <w:rFonts w:ascii="Arial" w:eastAsia="Arial" w:hAnsi="Arial" w:cs="Arial"/>
          <w:i/>
          <w:color w:val="222222"/>
        </w:rPr>
        <w:t>tenible de las tecnologías de la información y las comunicaciones.”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11"/>
        </w:numPr>
        <w:spacing w:after="0" w:line="249" w:lineRule="auto"/>
        <w:ind w:right="14" w:hanging="360"/>
        <w:jc w:val="both"/>
      </w:pPr>
      <w:r>
        <w:rPr>
          <w:rFonts w:ascii="Arial" w:eastAsia="Arial" w:hAnsi="Arial" w:cs="Arial"/>
          <w:b/>
        </w:rPr>
        <w:t xml:space="preserve">Ley 7/2015, de 1 de abril, de los municipios de Canarias </w:t>
      </w:r>
      <w:r>
        <w:rPr>
          <w:rFonts w:ascii="Segoe UI Symbol" w:eastAsia="Segoe UI Symbol" w:hAnsi="Segoe UI Symbol" w:cs="Segoe UI Symbol"/>
          <w:sz w:val="20"/>
        </w:rPr>
        <w:t></w:t>
      </w:r>
    </w:p>
    <w:p w:rsidR="00E23B86" w:rsidRDefault="00BA7C13">
      <w:pPr>
        <w:pStyle w:val="Ttulo4"/>
        <w:ind w:left="-5"/>
      </w:pPr>
      <w:r>
        <w:rPr>
          <w:rFonts w:ascii="Segoe UI Symbol" w:eastAsia="Segoe UI Symbol" w:hAnsi="Segoe UI Symbol" w:cs="Segoe UI Symbol"/>
          <w:b w:val="0"/>
          <w:color w:val="000000"/>
          <w:sz w:val="20"/>
        </w:rPr>
        <w:t xml:space="preserve"> </w:t>
      </w:r>
      <w:r>
        <w:t>Artículo 11 Atribución de competencias propias</w:t>
      </w:r>
    </w:p>
    <w:p w:rsidR="00E23B86" w:rsidRDefault="00BA7C13">
      <w:pPr>
        <w:numPr>
          <w:ilvl w:val="0"/>
          <w:numId w:val="212"/>
        </w:numPr>
        <w:spacing w:after="0" w:line="238" w:lineRule="auto"/>
        <w:ind w:right="22" w:hanging="360"/>
        <w:jc w:val="both"/>
      </w:pPr>
      <w:r>
        <w:rPr>
          <w:rFonts w:ascii="Arial" w:eastAsia="Arial" w:hAnsi="Arial" w:cs="Arial"/>
          <w:color w:val="222222"/>
        </w:rPr>
        <w:t>“</w:t>
      </w:r>
      <w:r>
        <w:rPr>
          <w:rFonts w:ascii="Arial" w:eastAsia="Arial" w:hAnsi="Arial" w:cs="Arial"/>
          <w:i/>
          <w:color w:val="222222"/>
        </w:rPr>
        <w:t>Sin perjuicio de lo previsto en la legislación básica, los municipios canar</w:t>
      </w:r>
      <w:r>
        <w:rPr>
          <w:rFonts w:ascii="Arial" w:eastAsia="Arial" w:hAnsi="Arial" w:cs="Arial"/>
          <w:i/>
          <w:color w:val="222222"/>
        </w:rPr>
        <w:t xml:space="preserve">ios asumirán, en todo caso, las competencias que les asignen como propias las leyes sectoriales de la Comunidad Autónoma de Canarias sobre las siguientes materias: </w:t>
      </w:r>
      <w:r>
        <w:rPr>
          <w:rFonts w:ascii="Segoe UI Symbol" w:eastAsia="Segoe UI Symbol" w:hAnsi="Segoe UI Symbol" w:cs="Segoe UI Symbol"/>
          <w:color w:val="222222"/>
          <w:sz w:val="20"/>
        </w:rPr>
        <w:t xml:space="preserve"> </w:t>
      </w:r>
      <w:r>
        <w:rPr>
          <w:rFonts w:ascii="Segoe UI Symbol" w:eastAsia="Segoe UI Symbol" w:hAnsi="Segoe UI Symbol" w:cs="Segoe UI Symbol"/>
          <w:sz w:val="20"/>
        </w:rPr>
        <w:t xml:space="preserve"> </w:t>
      </w:r>
      <w:r>
        <w:rPr>
          <w:rFonts w:ascii="Arial" w:eastAsia="Arial" w:hAnsi="Arial" w:cs="Arial"/>
          <w:b/>
          <w:i/>
          <w:color w:val="222222"/>
        </w:rPr>
        <w:t xml:space="preserve">c) </w:t>
      </w:r>
      <w:r>
        <w:rPr>
          <w:rFonts w:ascii="Arial" w:eastAsia="Arial" w:hAnsi="Arial" w:cs="Arial"/>
          <w:i/>
          <w:color w:val="222222"/>
        </w:rPr>
        <w:t>Cultura.</w:t>
      </w:r>
    </w:p>
    <w:p w:rsidR="00E23B86" w:rsidRDefault="00BA7C13">
      <w:pPr>
        <w:numPr>
          <w:ilvl w:val="0"/>
          <w:numId w:val="212"/>
        </w:numPr>
        <w:spacing w:after="3" w:line="248" w:lineRule="auto"/>
        <w:ind w:right="22" w:hanging="360"/>
        <w:jc w:val="both"/>
      </w:pPr>
      <w:r>
        <w:rPr>
          <w:rFonts w:ascii="Arial" w:eastAsia="Arial" w:hAnsi="Arial" w:cs="Arial"/>
          <w:b/>
          <w:i/>
          <w:color w:val="222222"/>
        </w:rPr>
        <w:t xml:space="preserve">d) </w:t>
      </w:r>
      <w:r>
        <w:rPr>
          <w:rFonts w:ascii="Arial" w:eastAsia="Arial" w:hAnsi="Arial" w:cs="Arial"/>
          <w:i/>
          <w:color w:val="222222"/>
        </w:rPr>
        <w:t>Deportes.</w:t>
      </w:r>
    </w:p>
    <w:p w:rsidR="00E23B86" w:rsidRDefault="00BA7C13">
      <w:pPr>
        <w:numPr>
          <w:ilvl w:val="0"/>
          <w:numId w:val="212"/>
        </w:numPr>
        <w:spacing w:after="3" w:line="248" w:lineRule="auto"/>
        <w:ind w:right="22" w:hanging="360"/>
        <w:jc w:val="both"/>
      </w:pPr>
      <w:r>
        <w:rPr>
          <w:rFonts w:ascii="Arial" w:eastAsia="Arial" w:hAnsi="Arial" w:cs="Arial"/>
          <w:b/>
          <w:i/>
          <w:color w:val="222222"/>
        </w:rPr>
        <w:t xml:space="preserve">e) </w:t>
      </w:r>
      <w:r>
        <w:rPr>
          <w:rFonts w:ascii="Arial" w:eastAsia="Arial" w:hAnsi="Arial" w:cs="Arial"/>
          <w:i/>
          <w:color w:val="222222"/>
        </w:rPr>
        <w:t>Educación.</w:t>
      </w:r>
    </w:p>
    <w:p w:rsidR="00E23B86" w:rsidRDefault="00BA7C13">
      <w:pPr>
        <w:numPr>
          <w:ilvl w:val="0"/>
          <w:numId w:val="212"/>
        </w:numPr>
        <w:spacing w:after="0" w:line="238" w:lineRule="auto"/>
        <w:ind w:right="22" w:hanging="360"/>
        <w:jc w:val="both"/>
      </w:pPr>
      <w:r>
        <w:rPr>
          <w:rFonts w:ascii="Arial" w:eastAsia="Arial" w:hAnsi="Arial" w:cs="Arial"/>
          <w:b/>
          <w:i/>
          <w:color w:val="222222"/>
        </w:rPr>
        <w:t xml:space="preserve">g) </w:t>
      </w:r>
      <w:r>
        <w:rPr>
          <w:rFonts w:ascii="Arial" w:eastAsia="Arial" w:hAnsi="Arial" w:cs="Arial"/>
          <w:i/>
          <w:color w:val="222222"/>
        </w:rPr>
        <w:t xml:space="preserve">Fomento y promoción del desarrollo económico y social municipal en el marco de la planificación autonómica </w:t>
      </w:r>
      <w:r>
        <w:rPr>
          <w:rFonts w:ascii="Segoe UI Symbol" w:eastAsia="Segoe UI Symbol" w:hAnsi="Segoe UI Symbol" w:cs="Segoe UI Symbol"/>
          <w:sz w:val="20"/>
        </w:rPr>
        <w:t xml:space="preserve"> </w:t>
      </w:r>
      <w:r>
        <w:rPr>
          <w:rFonts w:ascii="Arial" w:eastAsia="Arial" w:hAnsi="Arial" w:cs="Arial"/>
          <w:b/>
          <w:i/>
          <w:color w:val="222222"/>
        </w:rPr>
        <w:t xml:space="preserve">i) </w:t>
      </w:r>
      <w:r>
        <w:rPr>
          <w:rFonts w:ascii="Arial" w:eastAsia="Arial" w:hAnsi="Arial" w:cs="Arial"/>
          <w:i/>
          <w:color w:val="222222"/>
        </w:rPr>
        <w:t>Juventud.</w:t>
      </w:r>
    </w:p>
    <w:p w:rsidR="00E23B86" w:rsidRDefault="00BA7C13">
      <w:pPr>
        <w:numPr>
          <w:ilvl w:val="0"/>
          <w:numId w:val="212"/>
        </w:numPr>
        <w:spacing w:after="3" w:line="248" w:lineRule="auto"/>
        <w:ind w:right="22" w:hanging="360"/>
        <w:jc w:val="both"/>
      </w:pPr>
      <w:r>
        <w:rPr>
          <w:rFonts w:ascii="Arial" w:eastAsia="Arial" w:hAnsi="Arial" w:cs="Arial"/>
          <w:b/>
          <w:i/>
          <w:color w:val="222222"/>
        </w:rPr>
        <w:t xml:space="preserve">j) </w:t>
      </w:r>
      <w:r>
        <w:rPr>
          <w:rFonts w:ascii="Arial" w:eastAsia="Arial" w:hAnsi="Arial" w:cs="Arial"/>
          <w:i/>
          <w:color w:val="222222"/>
        </w:rPr>
        <w:t>Medio ambiente.”</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12"/>
        </w:numPr>
        <w:spacing w:after="0" w:line="249" w:lineRule="auto"/>
        <w:ind w:right="22" w:hanging="360"/>
        <w:jc w:val="both"/>
      </w:pPr>
      <w:r>
        <w:rPr>
          <w:rFonts w:ascii="Arial" w:eastAsia="Arial" w:hAnsi="Arial" w:cs="Arial"/>
          <w:b/>
        </w:rPr>
        <w:t>Ley 1/1997, de 7 de febrero, de atención integral a los menores</w:t>
      </w:r>
      <w:r>
        <w:rPr>
          <w:rFonts w:ascii="Segoe UI Symbol" w:eastAsia="Segoe UI Symbol" w:hAnsi="Segoe UI Symbol" w:cs="Segoe UI Symbol"/>
          <w:sz w:val="20"/>
        </w:rPr>
        <w:t></w:t>
      </w:r>
    </w:p>
    <w:p w:rsidR="00E23B86" w:rsidRDefault="00BA7C13">
      <w:pPr>
        <w:pStyle w:val="Ttulo5"/>
        <w:spacing w:after="129"/>
        <w:ind w:left="-5" w:right="1093"/>
      </w:pPr>
      <w:r>
        <w:rPr>
          <w:rFonts w:ascii="Segoe UI Symbol" w:eastAsia="Segoe UI Symbol" w:hAnsi="Segoe UI Symbol" w:cs="Segoe UI Symbol"/>
          <w:b w:val="0"/>
          <w:i w:val="0"/>
          <w:color w:val="000000"/>
          <w:sz w:val="20"/>
        </w:rPr>
        <w:t xml:space="preserve"> </w:t>
      </w:r>
      <w:r>
        <w:t>Artículo 12 Competencias de los ayuntamient</w:t>
      </w:r>
      <w:r>
        <w:t>os</w:t>
      </w:r>
    </w:p>
    <w:p w:rsidR="00E23B86" w:rsidRDefault="00BA7C13">
      <w:pPr>
        <w:numPr>
          <w:ilvl w:val="0"/>
          <w:numId w:val="213"/>
        </w:numPr>
        <w:spacing w:after="152" w:line="248" w:lineRule="auto"/>
        <w:ind w:right="14" w:hanging="360"/>
        <w:jc w:val="both"/>
      </w:pPr>
      <w:r>
        <w:rPr>
          <w:rFonts w:ascii="Arial" w:eastAsia="Arial" w:hAnsi="Arial" w:cs="Arial"/>
          <w:b/>
          <w:i/>
          <w:color w:val="222222"/>
        </w:rPr>
        <w:t xml:space="preserve">“1. </w:t>
      </w:r>
      <w:r>
        <w:rPr>
          <w:rFonts w:ascii="Arial" w:eastAsia="Arial" w:hAnsi="Arial" w:cs="Arial"/>
          <w:i/>
          <w:color w:val="222222"/>
        </w:rPr>
        <w:t>Las entidades municipales de Canarias ejercerán las competencias que integran funciones de información, promoción, detección, prevención e integración socio-familiar de los menores, en los términos previstos en esta ley.</w:t>
      </w:r>
    </w:p>
    <w:p w:rsidR="00E23B86" w:rsidRDefault="00BA7C13">
      <w:pPr>
        <w:numPr>
          <w:ilvl w:val="0"/>
          <w:numId w:val="213"/>
        </w:numPr>
        <w:spacing w:after="152"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En particular, corresponden a los ayuntamientos canarios, a través de los servicios básicos de asistencia social o de los órganos y unidades administrativas que se determinen en sus normas orgánicas, las competencias siguientes:</w:t>
      </w:r>
    </w:p>
    <w:p w:rsidR="00E23B86" w:rsidRDefault="00BA7C13">
      <w:pPr>
        <w:numPr>
          <w:ilvl w:val="0"/>
          <w:numId w:val="213"/>
        </w:numPr>
        <w:spacing w:after="96"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La recogida de datos y l</w:t>
      </w:r>
      <w:r>
        <w:rPr>
          <w:rFonts w:ascii="Arial" w:eastAsia="Arial" w:hAnsi="Arial" w:cs="Arial"/>
          <w:i/>
          <w:color w:val="222222"/>
        </w:rPr>
        <w:t>a realización de estudios y estadísticas sobre las necesidades de los menores y familias del término municipal, sin perjuicio de las competencias de otras Administraciones Públicas.</w:t>
      </w:r>
    </w:p>
    <w:p w:rsidR="00E23B86" w:rsidRDefault="00BA7C13">
      <w:pPr>
        <w:numPr>
          <w:ilvl w:val="0"/>
          <w:numId w:val="213"/>
        </w:numPr>
        <w:spacing w:after="94" w:line="248" w:lineRule="auto"/>
        <w:ind w:right="14" w:hanging="360"/>
        <w:jc w:val="both"/>
      </w:pPr>
      <w:r>
        <w:rPr>
          <w:rFonts w:ascii="Arial" w:eastAsia="Arial" w:hAnsi="Arial" w:cs="Arial"/>
          <w:b/>
          <w:i/>
          <w:color w:val="222222"/>
        </w:rPr>
        <w:t xml:space="preserve">c) </w:t>
      </w:r>
      <w:r>
        <w:rPr>
          <w:rFonts w:ascii="Arial" w:eastAsia="Arial" w:hAnsi="Arial" w:cs="Arial"/>
          <w:i/>
          <w:color w:val="222222"/>
        </w:rPr>
        <w:t>La promoción de las actividades y actuaciones que redunden en la formación de los menores, facilitando el conocimiento y ejercicio de los derechos que les reconoce y garantiza el ordenamiento jurídico.</w:t>
      </w:r>
    </w:p>
    <w:p w:rsidR="00E23B86" w:rsidRDefault="00BA7C13">
      <w:pPr>
        <w:numPr>
          <w:ilvl w:val="0"/>
          <w:numId w:val="213"/>
        </w:numPr>
        <w:spacing w:after="94" w:line="248" w:lineRule="auto"/>
        <w:ind w:right="14" w:hanging="360"/>
        <w:jc w:val="both"/>
      </w:pPr>
      <w:r>
        <w:rPr>
          <w:rFonts w:ascii="Arial" w:eastAsia="Arial" w:hAnsi="Arial" w:cs="Arial"/>
          <w:b/>
          <w:i/>
          <w:color w:val="222222"/>
        </w:rPr>
        <w:t xml:space="preserve">l) </w:t>
      </w:r>
      <w:r>
        <w:rPr>
          <w:rFonts w:ascii="Arial" w:eastAsia="Arial" w:hAnsi="Arial" w:cs="Arial"/>
          <w:i/>
          <w:color w:val="222222"/>
        </w:rPr>
        <w:t xml:space="preserve">Las que deriven o se relacionen con las anteriores </w:t>
      </w:r>
      <w:r>
        <w:rPr>
          <w:rFonts w:ascii="Arial" w:eastAsia="Arial" w:hAnsi="Arial" w:cs="Arial"/>
          <w:i/>
          <w:color w:val="222222"/>
        </w:rPr>
        <w:t>que dimanen de las funciones de información, promoción, detección, prevención e integración sociofamiliar de los menores, aun cuando no estén específicamente previstas en esta ley.</w:t>
      </w:r>
    </w:p>
    <w:p w:rsidR="00E23B86" w:rsidRDefault="00BA7C13">
      <w:pPr>
        <w:numPr>
          <w:ilvl w:val="0"/>
          <w:numId w:val="213"/>
        </w:numPr>
        <w:spacing w:after="3" w:line="248" w:lineRule="auto"/>
        <w:ind w:right="14" w:hanging="360"/>
        <w:jc w:val="both"/>
      </w:pPr>
      <w:r>
        <w:rPr>
          <w:rFonts w:ascii="Arial" w:eastAsia="Arial" w:hAnsi="Arial" w:cs="Arial"/>
          <w:b/>
          <w:i/>
          <w:color w:val="222222"/>
        </w:rPr>
        <w:t xml:space="preserve">m) </w:t>
      </w:r>
      <w:r>
        <w:rPr>
          <w:rFonts w:ascii="Arial" w:eastAsia="Arial" w:hAnsi="Arial" w:cs="Arial"/>
          <w:i/>
          <w:color w:val="222222"/>
        </w:rPr>
        <w:t xml:space="preserve">Cualesquiera otras que se contemplan en esta ley o se les atribuyan por </w:t>
      </w:r>
      <w:r>
        <w:rPr>
          <w:rFonts w:ascii="Arial" w:eastAsia="Arial" w:hAnsi="Arial" w:cs="Arial"/>
          <w:i/>
          <w:color w:val="222222"/>
        </w:rPr>
        <w:t>el ordenamiento jurídico.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noProof/>
        </w:rPr>
        <mc:AlternateContent>
          <mc:Choice Requires="wpg">
            <w:drawing>
              <wp:anchor distT="0" distB="0" distL="114300" distR="114300" simplePos="0" relativeHeight="2520289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0826" name="Group 59082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376" name="Rectangle 5537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5377" name="Rectangle 5537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360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0826" style="width:12.7031pt;height:280.35pt;position:absolute;mso-position-horizontal-relative:page;mso-position-horizontal:absolute;margin-left:681.958pt;mso-position-vertical-relative:page;margin-top:531.65pt;" coordsize="1613,35604">
                <v:rect id="Rectangle 5537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37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360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numPr>
          <w:ilvl w:val="0"/>
          <w:numId w:val="213"/>
        </w:numPr>
        <w:spacing w:after="9" w:line="249" w:lineRule="auto"/>
        <w:ind w:right="14" w:hanging="360"/>
        <w:jc w:val="both"/>
      </w:pPr>
      <w:r>
        <w:rPr>
          <w:rFonts w:ascii="Arial" w:eastAsia="Arial" w:hAnsi="Arial" w:cs="Arial"/>
          <w:b/>
        </w:rPr>
        <w:t>VII. Organización municipal</w:t>
      </w:r>
    </w:p>
    <w:p w:rsidR="00E23B86" w:rsidRDefault="00BA7C13">
      <w:pPr>
        <w:spacing w:after="280" w:line="265" w:lineRule="auto"/>
        <w:ind w:left="-5" w:right="13" w:hanging="10"/>
      </w:pPr>
      <w:r>
        <w:rPr>
          <w:rFonts w:ascii="Segoe UI Symbol" w:eastAsia="Segoe UI Symbol" w:hAnsi="Segoe UI Symbol" w:cs="Segoe UI Symbol"/>
          <w:sz w:val="20"/>
        </w:rPr>
        <w:t></w:t>
      </w:r>
    </w:p>
    <w:p w:rsidR="00E23B86" w:rsidRDefault="00BA7C13">
      <w:pPr>
        <w:numPr>
          <w:ilvl w:val="0"/>
          <w:numId w:val="213"/>
        </w:numPr>
        <w:spacing w:after="204" w:line="249" w:lineRule="auto"/>
        <w:ind w:right="14" w:hanging="360"/>
        <w:jc w:val="both"/>
      </w:pPr>
      <w:r>
        <w:rPr>
          <w:rFonts w:ascii="Arial" w:eastAsia="Arial" w:hAnsi="Arial" w:cs="Arial"/>
          <w:b/>
        </w:rPr>
        <w:t>Ley 7/1985, de 2 de abril, reguladora de las Bases del Régimen Local</w:t>
      </w:r>
    </w:p>
    <w:p w:rsidR="00E23B86" w:rsidRDefault="00BA7C13">
      <w:pPr>
        <w:pStyle w:val="Ttulo4"/>
        <w:spacing w:after="127"/>
        <w:ind w:left="-5"/>
      </w:pPr>
      <w:r>
        <w:rPr>
          <w:rFonts w:ascii="Segoe UI Symbol" w:eastAsia="Segoe UI Symbol" w:hAnsi="Segoe UI Symbol" w:cs="Segoe UI Symbol"/>
          <w:b w:val="0"/>
          <w:color w:val="000000"/>
          <w:sz w:val="20"/>
        </w:rPr>
        <w:t xml:space="preserve"> </w:t>
      </w:r>
      <w:r>
        <w:t>Artículo 4</w:t>
      </w:r>
    </w:p>
    <w:p w:rsidR="00E23B86" w:rsidRDefault="00BA7C13">
      <w:pPr>
        <w:numPr>
          <w:ilvl w:val="0"/>
          <w:numId w:val="214"/>
        </w:numPr>
        <w:spacing w:after="154" w:line="248" w:lineRule="auto"/>
        <w:ind w:right="554" w:hanging="360"/>
        <w:jc w:val="both"/>
      </w:pPr>
      <w:r>
        <w:rPr>
          <w:rFonts w:ascii="Arial" w:eastAsia="Arial" w:hAnsi="Arial" w:cs="Arial"/>
          <w:b/>
          <w:color w:val="222222"/>
        </w:rPr>
        <w:t>“1</w:t>
      </w:r>
      <w:r>
        <w:rPr>
          <w:rFonts w:ascii="Arial" w:eastAsia="Arial" w:hAnsi="Arial" w:cs="Arial"/>
          <w:b/>
          <w:i/>
          <w:color w:val="222222"/>
        </w:rPr>
        <w:t xml:space="preserve">. </w:t>
      </w:r>
      <w:r>
        <w:rPr>
          <w:rFonts w:ascii="Arial" w:eastAsia="Arial" w:hAnsi="Arial" w:cs="Arial"/>
          <w:i/>
          <w:color w:val="222222"/>
        </w:rPr>
        <w:t>En su calidad de Administraciones públicas de carácter territorial, y dentro de la esfera de sus competencias, corresponden en todo caso a los municipios, las provincias y las islas:</w:t>
      </w:r>
    </w:p>
    <w:p w:rsidR="00E23B86" w:rsidRDefault="00BA7C13">
      <w:pPr>
        <w:numPr>
          <w:ilvl w:val="0"/>
          <w:numId w:val="214"/>
        </w:numPr>
        <w:spacing w:after="301" w:line="248" w:lineRule="auto"/>
        <w:ind w:right="554" w:hanging="360"/>
        <w:jc w:val="both"/>
      </w:pPr>
      <w:r>
        <w:rPr>
          <w:rFonts w:ascii="Arial" w:eastAsia="Arial" w:hAnsi="Arial" w:cs="Arial"/>
          <w:b/>
          <w:i/>
          <w:color w:val="222222"/>
        </w:rPr>
        <w:t>a)</w:t>
      </w:r>
      <w:r>
        <w:rPr>
          <w:rFonts w:ascii="Arial" w:eastAsia="Arial" w:hAnsi="Arial" w:cs="Arial"/>
          <w:i/>
          <w:color w:val="222222"/>
        </w:rPr>
        <w:t xml:space="preserve"> Las potestades reglamentarias y de autoorganización.” </w:t>
      </w:r>
      <w:r>
        <w:rPr>
          <w:rFonts w:ascii="Segoe UI Symbol" w:eastAsia="Segoe UI Symbol" w:hAnsi="Segoe UI Symbol" w:cs="Segoe UI Symbol"/>
          <w:sz w:val="20"/>
        </w:rPr>
        <w:t></w:t>
      </w:r>
    </w:p>
    <w:p w:rsidR="00E23B86" w:rsidRDefault="00BA7C13">
      <w:pPr>
        <w:numPr>
          <w:ilvl w:val="0"/>
          <w:numId w:val="214"/>
        </w:numPr>
        <w:spacing w:after="204" w:line="249" w:lineRule="auto"/>
        <w:ind w:right="554" w:hanging="360"/>
        <w:jc w:val="both"/>
      </w:pPr>
      <w:r>
        <w:rPr>
          <w:rFonts w:ascii="Arial" w:eastAsia="Arial" w:hAnsi="Arial" w:cs="Arial"/>
          <w:b/>
        </w:rPr>
        <w:t>Ley 7/2015, de</w:t>
      </w:r>
      <w:r>
        <w:rPr>
          <w:rFonts w:ascii="Arial" w:eastAsia="Arial" w:hAnsi="Arial" w:cs="Arial"/>
          <w:b/>
        </w:rPr>
        <w:t xml:space="preserve"> 1 de abril, de los municipios de Canarias</w:t>
      </w:r>
    </w:p>
    <w:p w:rsidR="00E23B86" w:rsidRDefault="00BA7C13">
      <w:pPr>
        <w:pStyle w:val="Ttulo4"/>
        <w:spacing w:after="129"/>
        <w:ind w:left="-5"/>
      </w:pPr>
      <w:r>
        <w:rPr>
          <w:rFonts w:ascii="Segoe UI Symbol" w:eastAsia="Segoe UI Symbol" w:hAnsi="Segoe UI Symbol" w:cs="Segoe UI Symbol"/>
          <w:b w:val="0"/>
          <w:color w:val="000000"/>
          <w:sz w:val="20"/>
        </w:rPr>
        <w:t xml:space="preserve"> </w:t>
      </w:r>
      <w:r>
        <w:t>Artículo 4 Expresión de la autonomía municipal</w:t>
      </w:r>
    </w:p>
    <w:p w:rsidR="00E23B86" w:rsidRDefault="00BA7C13">
      <w:pPr>
        <w:numPr>
          <w:ilvl w:val="0"/>
          <w:numId w:val="215"/>
        </w:numPr>
        <w:spacing w:after="154" w:line="248" w:lineRule="auto"/>
        <w:ind w:right="14" w:hanging="360"/>
        <w:jc w:val="both"/>
      </w:pPr>
      <w:r>
        <w:rPr>
          <w:rFonts w:ascii="Arial" w:eastAsia="Arial" w:hAnsi="Arial" w:cs="Arial"/>
          <w:i/>
          <w:color w:val="222222"/>
        </w:rPr>
        <w:t>“Como manifestaciones de la autonomía constitucional y legalmente reconocida a los municipios, la presente ley garantiza:</w:t>
      </w:r>
    </w:p>
    <w:p w:rsidR="00E23B86" w:rsidRDefault="00BA7C13">
      <w:pPr>
        <w:numPr>
          <w:ilvl w:val="0"/>
          <w:numId w:val="215"/>
        </w:numPr>
        <w:spacing w:after="3" w:line="248" w:lineRule="auto"/>
        <w:ind w:right="14" w:hanging="360"/>
        <w:jc w:val="both"/>
      </w:pPr>
      <w:r>
        <w:rPr>
          <w:rFonts w:ascii="Arial" w:eastAsia="Arial" w:hAnsi="Arial" w:cs="Arial"/>
          <w:b/>
          <w:i/>
          <w:color w:val="222222"/>
        </w:rPr>
        <w:t xml:space="preserve">f) </w:t>
      </w:r>
      <w:r>
        <w:rPr>
          <w:rFonts w:ascii="Arial" w:eastAsia="Arial" w:hAnsi="Arial" w:cs="Arial"/>
          <w:i/>
          <w:color w:val="222222"/>
        </w:rPr>
        <w:t>La organización de sus estructuras admi</w:t>
      </w:r>
      <w:r>
        <w:rPr>
          <w:rFonts w:ascii="Arial" w:eastAsia="Arial" w:hAnsi="Arial" w:cs="Arial"/>
          <w:i/>
          <w:color w:val="222222"/>
        </w:rPr>
        <w:t>nistrativas internas para adaptarse a sus necesidades específicas y permitir una gestión eficaz y eficiente.”</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120"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4"/>
        <w:spacing w:after="129"/>
        <w:ind w:left="-5"/>
      </w:pPr>
      <w:r>
        <w:rPr>
          <w:rFonts w:ascii="Segoe UI Symbol" w:eastAsia="Segoe UI Symbol" w:hAnsi="Segoe UI Symbol" w:cs="Segoe UI Symbol"/>
          <w:b w:val="0"/>
          <w:color w:val="000000"/>
          <w:sz w:val="20"/>
        </w:rPr>
        <w:t xml:space="preserve"> </w:t>
      </w:r>
      <w:r>
        <w:t>Artículo 44 Órganos complementarios</w:t>
      </w:r>
    </w:p>
    <w:p w:rsidR="00E23B86" w:rsidRDefault="00BA7C13">
      <w:pPr>
        <w:numPr>
          <w:ilvl w:val="0"/>
          <w:numId w:val="216"/>
        </w:numPr>
        <w:spacing w:after="152" w:line="248" w:lineRule="auto"/>
        <w:ind w:right="14" w:hanging="360"/>
        <w:jc w:val="both"/>
      </w:pPr>
      <w:r>
        <w:rPr>
          <w:rFonts w:ascii="Arial" w:eastAsia="Arial" w:hAnsi="Arial" w:cs="Arial"/>
          <w:b/>
          <w:color w:val="222222"/>
        </w:rPr>
        <w:t xml:space="preserve">“1. </w:t>
      </w:r>
      <w:r>
        <w:rPr>
          <w:rFonts w:ascii="Arial" w:eastAsia="Arial" w:hAnsi="Arial" w:cs="Arial"/>
          <w:i/>
          <w:color w:val="222222"/>
        </w:rPr>
        <w:t>Son órganos complementarios de los establecidos por la legislación básica de régimen local, de existencia preceptiva conforme a las previsiones de esta sección:</w:t>
      </w:r>
    </w:p>
    <w:p w:rsidR="00E23B86" w:rsidRDefault="00BA7C13">
      <w:pPr>
        <w:numPr>
          <w:ilvl w:val="0"/>
          <w:numId w:val="216"/>
        </w:numPr>
        <w:spacing w:after="81" w:line="248" w:lineRule="auto"/>
        <w:ind w:right="14" w:hanging="360"/>
        <w:jc w:val="both"/>
      </w:pPr>
      <w:r>
        <w:rPr>
          <w:rFonts w:ascii="Arial" w:eastAsia="Arial" w:hAnsi="Arial" w:cs="Arial"/>
          <w:b/>
          <w:i/>
          <w:color w:val="222222"/>
        </w:rPr>
        <w:t xml:space="preserve">a) </w:t>
      </w:r>
      <w:r>
        <w:rPr>
          <w:rFonts w:ascii="Arial" w:eastAsia="Arial" w:hAnsi="Arial" w:cs="Arial"/>
          <w:i/>
          <w:color w:val="222222"/>
        </w:rPr>
        <w:t>En todos los municipios:</w:t>
      </w:r>
    </w:p>
    <w:p w:rsidR="00E23B86" w:rsidRDefault="00BA7C13">
      <w:pPr>
        <w:numPr>
          <w:ilvl w:val="0"/>
          <w:numId w:val="216"/>
        </w:numPr>
        <w:spacing w:after="96" w:line="248" w:lineRule="auto"/>
        <w:ind w:right="14" w:hanging="360"/>
        <w:jc w:val="both"/>
      </w:pPr>
      <w:r>
        <w:rPr>
          <w:rFonts w:ascii="Arial" w:eastAsia="Arial" w:hAnsi="Arial" w:cs="Arial"/>
          <w:b/>
          <w:i/>
          <w:color w:val="222222"/>
        </w:rPr>
        <w:t xml:space="preserve">- </w:t>
      </w:r>
      <w:r>
        <w:rPr>
          <w:rFonts w:ascii="Arial" w:eastAsia="Arial" w:hAnsi="Arial" w:cs="Arial"/>
          <w:i/>
          <w:color w:val="222222"/>
        </w:rPr>
        <w:t>Consejos de participación ciudadana, regulados en el título segun</w:t>
      </w:r>
      <w:r>
        <w:rPr>
          <w:rFonts w:ascii="Arial" w:eastAsia="Arial" w:hAnsi="Arial" w:cs="Arial"/>
          <w:i/>
          <w:color w:val="222222"/>
        </w:rPr>
        <w:t>do de esta ley.</w:t>
      </w:r>
    </w:p>
    <w:p w:rsidR="00E23B86" w:rsidRDefault="00BA7C13">
      <w:pPr>
        <w:numPr>
          <w:ilvl w:val="0"/>
          <w:numId w:val="216"/>
        </w:numPr>
        <w:spacing w:after="96" w:line="248" w:lineRule="auto"/>
        <w:ind w:right="14" w:hanging="360"/>
        <w:jc w:val="both"/>
      </w:pPr>
      <w:r>
        <w:rPr>
          <w:rFonts w:ascii="Arial" w:eastAsia="Arial" w:hAnsi="Arial" w:cs="Arial"/>
          <w:b/>
          <w:i/>
          <w:color w:val="222222"/>
        </w:rPr>
        <w:t xml:space="preserve">b) </w:t>
      </w:r>
      <w:r>
        <w:rPr>
          <w:rFonts w:ascii="Arial" w:eastAsia="Arial" w:hAnsi="Arial" w:cs="Arial"/>
          <w:i/>
          <w:color w:val="222222"/>
        </w:rPr>
        <w:t>En los municipios de más de 50.000 habitantes que no estén sujetos al régimen de municipios de gran población:</w:t>
      </w:r>
    </w:p>
    <w:p w:rsidR="00E23B86" w:rsidRDefault="00BA7C13">
      <w:pPr>
        <w:spacing w:after="3" w:line="361" w:lineRule="auto"/>
        <w:ind w:left="720" w:right="4904"/>
        <w:jc w:val="both"/>
      </w:pPr>
      <w:r>
        <w:rPr>
          <w:rFonts w:ascii="Courier New" w:eastAsia="Courier New" w:hAnsi="Courier New" w:cs="Courier New"/>
          <w:sz w:val="20"/>
        </w:rPr>
        <w:t xml:space="preserve">o </w:t>
      </w:r>
      <w:r>
        <w:rPr>
          <w:rFonts w:ascii="Arial" w:eastAsia="Arial" w:hAnsi="Arial" w:cs="Arial"/>
          <w:b/>
          <w:i/>
          <w:color w:val="222222"/>
        </w:rPr>
        <w:t xml:space="preserve">- </w:t>
      </w:r>
      <w:r>
        <w:rPr>
          <w:rFonts w:ascii="Arial" w:eastAsia="Arial" w:hAnsi="Arial" w:cs="Arial"/>
          <w:i/>
          <w:color w:val="222222"/>
        </w:rPr>
        <w:t xml:space="preserve">Consejos de barrio. </w:t>
      </w:r>
      <w:r>
        <w:rPr>
          <w:rFonts w:ascii="Courier New" w:eastAsia="Courier New" w:hAnsi="Courier New" w:cs="Courier New"/>
          <w:sz w:val="20"/>
        </w:rPr>
        <w:t xml:space="preserve">o </w:t>
      </w:r>
      <w:r>
        <w:rPr>
          <w:rFonts w:ascii="Arial" w:eastAsia="Arial" w:hAnsi="Arial" w:cs="Arial"/>
          <w:b/>
          <w:i/>
          <w:color w:val="222222"/>
        </w:rPr>
        <w:t xml:space="preserve">- </w:t>
      </w:r>
      <w:r>
        <w:rPr>
          <w:rFonts w:ascii="Arial" w:eastAsia="Arial" w:hAnsi="Arial" w:cs="Arial"/>
          <w:i/>
          <w:color w:val="222222"/>
        </w:rPr>
        <w:t>Consejos de sector.</w:t>
      </w:r>
    </w:p>
    <w:p w:rsidR="00E23B86" w:rsidRDefault="00BA7C13">
      <w:pPr>
        <w:spacing w:after="0"/>
        <w:ind w:left="-5" w:hanging="10"/>
      </w:pPr>
      <w:r>
        <w:rPr>
          <w:rFonts w:ascii="Segoe UI Symbol" w:eastAsia="Segoe UI Symbol" w:hAnsi="Segoe UI Symbol" w:cs="Segoe UI Symbol"/>
          <w:color w:val="222222"/>
          <w:sz w:val="20"/>
        </w:rPr>
        <w:t></w:t>
      </w:r>
    </w:p>
    <w:p w:rsidR="00E23B86" w:rsidRDefault="00BA7C13">
      <w:pPr>
        <w:numPr>
          <w:ilvl w:val="0"/>
          <w:numId w:val="216"/>
        </w:numPr>
        <w:spacing w:after="150" w:line="248" w:lineRule="auto"/>
        <w:ind w:right="14" w:hanging="360"/>
        <w:jc w:val="both"/>
      </w:pPr>
      <w:r>
        <w:rPr>
          <w:rFonts w:ascii="Arial" w:eastAsia="Arial" w:hAnsi="Arial" w:cs="Arial"/>
          <w:b/>
          <w:i/>
          <w:color w:val="222222"/>
        </w:rPr>
        <w:t xml:space="preserve">2. </w:t>
      </w:r>
      <w:r>
        <w:rPr>
          <w:rFonts w:ascii="Arial" w:eastAsia="Arial" w:hAnsi="Arial" w:cs="Arial"/>
          <w:i/>
          <w:color w:val="222222"/>
        </w:rPr>
        <w:t>Asimismo, serán obligatorios los órganos complementarios que creen los mu</w:t>
      </w:r>
      <w:r>
        <w:rPr>
          <w:rFonts w:ascii="Arial" w:eastAsia="Arial" w:hAnsi="Arial" w:cs="Arial"/>
          <w:i/>
          <w:color w:val="222222"/>
        </w:rPr>
        <w:t>nicipios en ejercicio de su potestad reglamentaria</w:t>
      </w:r>
      <w:r>
        <w:rPr>
          <w:rFonts w:ascii="Arial" w:eastAsia="Arial" w:hAnsi="Arial" w:cs="Arial"/>
          <w:color w:val="222222"/>
        </w:rPr>
        <w:t>.”</w:t>
      </w:r>
    </w:p>
    <w:p w:rsidR="00E23B86" w:rsidRDefault="00BA7C13">
      <w:pPr>
        <w:spacing w:after="85" w:line="265" w:lineRule="auto"/>
        <w:ind w:left="-5" w:right="13" w:hanging="10"/>
      </w:pPr>
      <w:r>
        <w:rPr>
          <w:rFonts w:ascii="Segoe UI Symbol" w:eastAsia="Segoe UI Symbol" w:hAnsi="Segoe UI Symbol" w:cs="Segoe UI Symbol"/>
          <w:sz w:val="20"/>
        </w:rPr>
        <w:t></w:t>
      </w:r>
      <w:r>
        <w:rPr>
          <w:rFonts w:ascii="Arial" w:eastAsia="Arial" w:hAnsi="Arial" w:cs="Arial"/>
        </w:rPr>
        <w:t xml:space="preserve"> </w:t>
      </w:r>
    </w:p>
    <w:p w:rsidR="00E23B86" w:rsidRDefault="00BA7C13">
      <w:pPr>
        <w:pStyle w:val="Ttulo3"/>
        <w:spacing w:after="84" w:line="265" w:lineRule="auto"/>
        <w:ind w:left="682" w:right="735"/>
        <w:jc w:val="center"/>
      </w:pPr>
      <w:r>
        <w:rPr>
          <w:rFonts w:ascii="Segoe UI Symbol" w:eastAsia="Segoe UI Symbol" w:hAnsi="Segoe UI Symbol" w:cs="Segoe UI Symbol"/>
          <w:b w:val="0"/>
          <w:i w:val="0"/>
          <w:color w:val="000000"/>
          <w:sz w:val="20"/>
        </w:rPr>
        <w:t xml:space="preserve"> </w:t>
      </w:r>
      <w:r>
        <w:rPr>
          <w:i w:val="0"/>
          <w:color w:val="000000"/>
        </w:rPr>
        <w:t>PROPUESTA DE RESOLUCIÓN</w:t>
      </w:r>
      <w:r>
        <w:rPr>
          <w:b w:val="0"/>
          <w:i w:val="0"/>
          <w:color w:val="000000"/>
        </w:rPr>
        <w:t xml:space="preserve"> </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17"/>
        </w:numPr>
        <w:spacing w:after="0" w:line="248" w:lineRule="auto"/>
        <w:ind w:right="5" w:hanging="360"/>
        <w:jc w:val="both"/>
      </w:pPr>
      <w:r>
        <w:rPr>
          <w:noProof/>
        </w:rPr>
        <mc:AlternateContent>
          <mc:Choice Requires="wpg">
            <w:drawing>
              <wp:anchor distT="0" distB="0" distL="114300" distR="114300" simplePos="0" relativeHeight="2520299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1378" name="Group 59137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488" name="Rectangle 5548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5489" name="Rectangle 5548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361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1378" style="width:12.7031pt;height:280.35pt;position:absolute;mso-position-horizontal-relative:page;mso-position-horizontal:absolute;margin-left:681.958pt;mso-position-vertical-relative:page;margin-top:531.65pt;" coordsize="1613,35604">
                <v:rect id="Rectangle 5548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48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361 de 391 </w:t>
                        </w:r>
                      </w:p>
                    </w:txbxContent>
                  </v:textbox>
                </v:rect>
                <w10:wrap type="square"/>
              </v:group>
            </w:pict>
          </mc:Fallback>
        </mc:AlternateContent>
      </w:r>
      <w:r>
        <w:rPr>
          <w:rFonts w:ascii="Arial" w:eastAsia="Arial" w:hAnsi="Arial" w:cs="Arial"/>
          <w:b/>
        </w:rPr>
        <w:t xml:space="preserve">Primero. - </w:t>
      </w:r>
      <w:r>
        <w:rPr>
          <w:rFonts w:ascii="Arial" w:eastAsia="Arial" w:hAnsi="Arial" w:cs="Arial"/>
        </w:rPr>
        <w:t>Solicitar a UNICEF Comité Español iniciar los trámites para la obtención del Reconocimiento Ciudad Amiga de la Infancia; así como contar con su poster</w:t>
      </w:r>
      <w:r>
        <w:rPr>
          <w:rFonts w:ascii="Arial" w:eastAsia="Arial" w:hAnsi="Arial" w:cs="Arial"/>
        </w:rPr>
        <w:t>ior apoyo y colaboración para el desarrollo, la mejora continua y la innovación de las políticas de infancia y adolescencia en el Ayuntamiento de Candelaria.</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17"/>
        </w:numPr>
        <w:spacing w:after="25" w:line="248" w:lineRule="auto"/>
        <w:ind w:right="5" w:hanging="360"/>
        <w:jc w:val="both"/>
      </w:pPr>
      <w:r>
        <w:rPr>
          <w:rFonts w:ascii="Arial" w:eastAsia="Arial" w:hAnsi="Arial" w:cs="Arial"/>
          <w:b/>
        </w:rPr>
        <w:t xml:space="preserve">Segundo. -  </w:t>
      </w:r>
      <w:r>
        <w:rPr>
          <w:rFonts w:ascii="Arial" w:eastAsia="Arial" w:hAnsi="Arial" w:cs="Arial"/>
        </w:rPr>
        <w:t xml:space="preserve">Reconocer el órgano de participación infantil y adolescente (OPIA integrado por </w:t>
      </w:r>
      <w:r>
        <w:rPr>
          <w:rFonts w:ascii="Arial" w:eastAsia="Arial" w:hAnsi="Arial" w:cs="Arial"/>
          <w:b/>
          <w:i/>
        </w:rPr>
        <w:t>8 ni</w:t>
      </w:r>
      <w:r>
        <w:rPr>
          <w:rFonts w:ascii="Arial" w:eastAsia="Arial" w:hAnsi="Arial" w:cs="Arial"/>
          <w:b/>
          <w:i/>
        </w:rPr>
        <w:t>ños y 7 niñas</w:t>
      </w:r>
      <w:r>
        <w:rPr>
          <w:rFonts w:ascii="Arial" w:eastAsia="Arial" w:hAnsi="Arial" w:cs="Arial"/>
          <w:i/>
        </w:rPr>
        <w:t xml:space="preserve"> siendo los altavoces de todos los/as niños/as y adolescentes del municipio.</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17"/>
        </w:numPr>
        <w:spacing w:after="110" w:line="248" w:lineRule="auto"/>
        <w:ind w:right="5" w:hanging="360"/>
        <w:jc w:val="both"/>
      </w:pPr>
      <w:r>
        <w:rPr>
          <w:rFonts w:ascii="Arial" w:eastAsia="Arial" w:hAnsi="Arial" w:cs="Arial"/>
          <w:b/>
        </w:rPr>
        <w:t>Tercero. -</w:t>
      </w:r>
      <w:r>
        <w:rPr>
          <w:rFonts w:ascii="Arial" w:eastAsia="Arial" w:hAnsi="Arial" w:cs="Arial"/>
        </w:rPr>
        <w:t xml:space="preserve"> Crear el órgano de coordinación interna que estará integrado por los siguientes miembros:</w:t>
      </w:r>
    </w:p>
    <w:p w:rsidR="00E23B86" w:rsidRDefault="00BA7C13">
      <w:pPr>
        <w:numPr>
          <w:ilvl w:val="1"/>
          <w:numId w:val="217"/>
        </w:numPr>
        <w:spacing w:after="24" w:line="251" w:lineRule="auto"/>
        <w:ind w:right="573" w:hanging="360"/>
        <w:jc w:val="both"/>
      </w:pPr>
      <w:r>
        <w:rPr>
          <w:rFonts w:ascii="Arial" w:eastAsia="Arial" w:hAnsi="Arial" w:cs="Arial"/>
          <w:i/>
        </w:rPr>
        <w:t>Olivia C. Pérez Díaz. Concejala de Servicios Sociales, Igualdad y Sanidad.</w:t>
      </w:r>
    </w:p>
    <w:p w:rsidR="00E23B86" w:rsidRDefault="00BA7C13">
      <w:pPr>
        <w:numPr>
          <w:ilvl w:val="1"/>
          <w:numId w:val="217"/>
        </w:numPr>
        <w:spacing w:after="24" w:line="251" w:lineRule="auto"/>
        <w:ind w:right="573" w:hanging="360"/>
        <w:jc w:val="both"/>
      </w:pPr>
      <w:r>
        <w:rPr>
          <w:rFonts w:ascii="Arial" w:eastAsia="Arial" w:hAnsi="Arial" w:cs="Arial"/>
          <w:i/>
        </w:rPr>
        <w:t xml:space="preserve">Margarita E. Tendero Barroso. Concejala de Educación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Ana Perdomo Castagno. Técnico/a de Educación.</w:t>
      </w:r>
    </w:p>
    <w:p w:rsidR="00E23B86" w:rsidRDefault="00BA7C13">
      <w:pPr>
        <w:numPr>
          <w:ilvl w:val="1"/>
          <w:numId w:val="217"/>
        </w:numPr>
        <w:spacing w:after="27" w:line="251" w:lineRule="auto"/>
        <w:ind w:right="573" w:hanging="360"/>
        <w:jc w:val="both"/>
      </w:pPr>
      <w:r>
        <w:rPr>
          <w:rFonts w:ascii="Arial" w:eastAsia="Arial" w:hAnsi="Arial" w:cs="Arial"/>
          <w:i/>
        </w:rPr>
        <w:t>Juan Ángel Castro. Técnico de Cultura.</w:t>
      </w:r>
    </w:p>
    <w:p w:rsidR="00E23B86" w:rsidRDefault="00BA7C13">
      <w:pPr>
        <w:numPr>
          <w:ilvl w:val="1"/>
          <w:numId w:val="217"/>
        </w:numPr>
        <w:spacing w:after="27" w:line="251" w:lineRule="auto"/>
        <w:ind w:right="573" w:hanging="360"/>
        <w:jc w:val="both"/>
      </w:pPr>
      <w:r>
        <w:rPr>
          <w:rFonts w:ascii="Arial" w:eastAsia="Arial" w:hAnsi="Arial" w:cs="Arial"/>
          <w:i/>
        </w:rPr>
        <w:t>Francisco J. Técnico de Deportes.</w:t>
      </w:r>
    </w:p>
    <w:p w:rsidR="00E23B86" w:rsidRDefault="00BA7C13">
      <w:pPr>
        <w:numPr>
          <w:ilvl w:val="1"/>
          <w:numId w:val="217"/>
        </w:numPr>
        <w:spacing w:after="27" w:line="251" w:lineRule="auto"/>
        <w:ind w:right="573" w:hanging="360"/>
        <w:jc w:val="both"/>
      </w:pPr>
      <w:r>
        <w:rPr>
          <w:rFonts w:ascii="Arial" w:eastAsia="Arial" w:hAnsi="Arial" w:cs="Arial"/>
          <w:i/>
        </w:rPr>
        <w:t>Joana G</w:t>
      </w:r>
      <w:r>
        <w:rPr>
          <w:rFonts w:ascii="Arial" w:eastAsia="Arial" w:hAnsi="Arial" w:cs="Arial"/>
          <w:i/>
        </w:rPr>
        <w:t>ómez-Urda Lorenzo. Técnico de Sanidad.</w:t>
      </w:r>
    </w:p>
    <w:p w:rsidR="00E23B86" w:rsidRDefault="00BA7C13">
      <w:pPr>
        <w:numPr>
          <w:ilvl w:val="1"/>
          <w:numId w:val="217"/>
        </w:numPr>
        <w:spacing w:after="24" w:line="251" w:lineRule="auto"/>
        <w:ind w:right="573" w:hanging="360"/>
        <w:jc w:val="both"/>
      </w:pPr>
      <w:r>
        <w:rPr>
          <w:rFonts w:ascii="Arial" w:eastAsia="Arial" w:hAnsi="Arial" w:cs="Arial"/>
          <w:i/>
        </w:rPr>
        <w:t>Fátima León Rodríguez. Técnica de Servicios Sociales (menores).</w:t>
      </w:r>
    </w:p>
    <w:p w:rsidR="00E23B86" w:rsidRDefault="00BA7C13">
      <w:pPr>
        <w:numPr>
          <w:ilvl w:val="1"/>
          <w:numId w:val="217"/>
        </w:numPr>
        <w:spacing w:after="27" w:line="251" w:lineRule="auto"/>
        <w:ind w:right="573" w:hanging="360"/>
        <w:jc w:val="both"/>
      </w:pPr>
      <w:r>
        <w:rPr>
          <w:rFonts w:ascii="Arial" w:eastAsia="Arial" w:hAnsi="Arial" w:cs="Arial"/>
          <w:i/>
        </w:rPr>
        <w:t>Mª Consuelo Fariña González. Técnica de Área Económica.</w:t>
      </w:r>
    </w:p>
    <w:p w:rsidR="00E23B86" w:rsidRDefault="00BA7C13">
      <w:pPr>
        <w:numPr>
          <w:ilvl w:val="1"/>
          <w:numId w:val="217"/>
        </w:numPr>
        <w:spacing w:after="27" w:line="251" w:lineRule="auto"/>
        <w:ind w:right="573" w:hanging="360"/>
        <w:jc w:val="both"/>
      </w:pPr>
      <w:r>
        <w:rPr>
          <w:rFonts w:ascii="Arial" w:eastAsia="Arial" w:hAnsi="Arial" w:cs="Arial"/>
          <w:i/>
        </w:rPr>
        <w:t>Esteban Hernández Martín. Técnico de Accesibilidad.</w:t>
      </w:r>
    </w:p>
    <w:p w:rsidR="00E23B86" w:rsidRDefault="00BA7C13">
      <w:pPr>
        <w:numPr>
          <w:ilvl w:val="1"/>
          <w:numId w:val="217"/>
        </w:numPr>
        <w:spacing w:after="27" w:line="251" w:lineRule="auto"/>
        <w:ind w:right="573" w:hanging="360"/>
        <w:jc w:val="both"/>
      </w:pPr>
      <w:r>
        <w:rPr>
          <w:rFonts w:ascii="Arial" w:eastAsia="Arial" w:hAnsi="Arial" w:cs="Arial"/>
          <w:i/>
        </w:rPr>
        <w:t>Rubén Fernández González. Técnico de Protecci</w:t>
      </w:r>
      <w:r>
        <w:rPr>
          <w:rFonts w:ascii="Arial" w:eastAsia="Arial" w:hAnsi="Arial" w:cs="Arial"/>
          <w:i/>
        </w:rPr>
        <w:t>ón Civil.</w:t>
      </w:r>
    </w:p>
    <w:p w:rsidR="00E23B86" w:rsidRDefault="00BA7C13">
      <w:pPr>
        <w:numPr>
          <w:ilvl w:val="1"/>
          <w:numId w:val="217"/>
        </w:numPr>
        <w:spacing w:after="27" w:line="251" w:lineRule="auto"/>
        <w:ind w:right="573" w:hanging="360"/>
        <w:jc w:val="both"/>
      </w:pPr>
      <w:r>
        <w:rPr>
          <w:rFonts w:ascii="Arial" w:eastAsia="Arial" w:hAnsi="Arial" w:cs="Arial"/>
          <w:i/>
        </w:rPr>
        <w:t>Mª del Pilar González. Técnica de ADL</w:t>
      </w:r>
    </w:p>
    <w:p w:rsidR="00E23B86" w:rsidRDefault="00BA7C13">
      <w:pPr>
        <w:numPr>
          <w:ilvl w:val="1"/>
          <w:numId w:val="217"/>
        </w:numPr>
        <w:spacing w:after="111" w:line="251" w:lineRule="auto"/>
        <w:ind w:right="573" w:hanging="360"/>
        <w:jc w:val="both"/>
      </w:pPr>
      <w:r>
        <w:rPr>
          <w:rFonts w:ascii="Arial" w:eastAsia="Arial" w:hAnsi="Arial" w:cs="Arial"/>
          <w:i/>
        </w:rPr>
        <w:t>Concepción Sicilia González. Técnica de Participación Ciudadana</w:t>
      </w:r>
    </w:p>
    <w:p w:rsidR="00E23B86" w:rsidRDefault="00BA7C13">
      <w:pPr>
        <w:numPr>
          <w:ilvl w:val="1"/>
          <w:numId w:val="217"/>
        </w:numPr>
        <w:spacing w:after="27" w:line="251" w:lineRule="auto"/>
        <w:ind w:right="573" w:hanging="360"/>
        <w:jc w:val="both"/>
      </w:pPr>
      <w:r>
        <w:rPr>
          <w:rFonts w:ascii="Arial" w:eastAsia="Arial" w:hAnsi="Arial" w:cs="Arial"/>
          <w:i/>
        </w:rPr>
        <w:t>Javier Barrera Acosta. Policía Local</w:t>
      </w:r>
    </w:p>
    <w:p w:rsidR="00E23B86" w:rsidRDefault="00BA7C13">
      <w:pPr>
        <w:numPr>
          <w:ilvl w:val="1"/>
          <w:numId w:val="217"/>
        </w:numPr>
        <w:spacing w:after="26" w:line="251" w:lineRule="auto"/>
        <w:ind w:right="573" w:hanging="360"/>
        <w:jc w:val="both"/>
      </w:pPr>
      <w:r>
        <w:rPr>
          <w:rFonts w:ascii="Arial" w:eastAsia="Arial" w:hAnsi="Arial" w:cs="Arial"/>
          <w:i/>
        </w:rPr>
        <w:t>Mª Candelaria Ibáñez de las Casas. Técnica de Zona Joven.</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17"/>
        </w:numPr>
        <w:spacing w:after="110" w:line="248" w:lineRule="auto"/>
        <w:ind w:right="5" w:hanging="360"/>
        <w:jc w:val="both"/>
      </w:pPr>
      <w:r>
        <w:rPr>
          <w:rFonts w:ascii="Arial" w:eastAsia="Arial" w:hAnsi="Arial" w:cs="Arial"/>
          <w:b/>
        </w:rPr>
        <w:t>Cuarto</w:t>
      </w:r>
      <w:r>
        <w:rPr>
          <w:rFonts w:ascii="Arial" w:eastAsia="Arial" w:hAnsi="Arial" w:cs="Arial"/>
        </w:rPr>
        <w:t xml:space="preserve">. - Crear el Consejo Local de Infancia y </w:t>
      </w:r>
      <w:r>
        <w:rPr>
          <w:rFonts w:ascii="Arial" w:eastAsia="Arial" w:hAnsi="Arial" w:cs="Arial"/>
        </w:rPr>
        <w:t>Adolescencia constituido por las siguientes personas: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2"/>
          <w:numId w:val="218"/>
        </w:numPr>
        <w:spacing w:after="24" w:line="251" w:lineRule="auto"/>
        <w:ind w:hanging="360"/>
        <w:jc w:val="both"/>
      </w:pPr>
      <w:r>
        <w:rPr>
          <w:rFonts w:ascii="Arial" w:eastAsia="Arial" w:hAnsi="Arial" w:cs="Arial"/>
          <w:i/>
        </w:rPr>
        <w:t>La Presidencia: será ejercida por el Alcaldesa Mª Concepción Brito Núñez, pudiendo delegar el cargo en un/a Concejal/a.</w:t>
      </w:r>
    </w:p>
    <w:p w:rsidR="00E23B86" w:rsidRDefault="00BA7C13">
      <w:pPr>
        <w:numPr>
          <w:ilvl w:val="2"/>
          <w:numId w:val="218"/>
        </w:numPr>
        <w:spacing w:after="24" w:line="251" w:lineRule="auto"/>
        <w:ind w:hanging="360"/>
        <w:jc w:val="both"/>
      </w:pPr>
      <w:r>
        <w:rPr>
          <w:rFonts w:ascii="Arial" w:eastAsia="Arial" w:hAnsi="Arial" w:cs="Arial"/>
          <w:i/>
        </w:rPr>
        <w:t>La Secretaría: será ejercida por el Secretario General del Ayuntamiento Octavio Manuel Fernández Hernández o persona en quien delegue.</w:t>
      </w:r>
    </w:p>
    <w:p w:rsidR="00E23B86" w:rsidRDefault="00BA7C13">
      <w:pPr>
        <w:numPr>
          <w:ilvl w:val="2"/>
          <w:numId w:val="218"/>
        </w:numPr>
        <w:spacing w:after="27" w:line="251" w:lineRule="auto"/>
        <w:ind w:hanging="360"/>
        <w:jc w:val="both"/>
      </w:pPr>
      <w:r>
        <w:rPr>
          <w:rFonts w:ascii="Arial" w:eastAsia="Arial" w:hAnsi="Arial" w:cs="Arial"/>
          <w:i/>
        </w:rPr>
        <w:t>Vocalías:</w:t>
      </w:r>
    </w:p>
    <w:p w:rsidR="00E23B86" w:rsidRDefault="00BA7C13">
      <w:pPr>
        <w:numPr>
          <w:ilvl w:val="2"/>
          <w:numId w:val="218"/>
        </w:numPr>
        <w:spacing w:after="24" w:line="251" w:lineRule="auto"/>
        <w:ind w:hanging="360"/>
        <w:jc w:val="both"/>
      </w:pPr>
      <w:r>
        <w:rPr>
          <w:rFonts w:ascii="Arial" w:eastAsia="Arial" w:hAnsi="Arial" w:cs="Arial"/>
          <w:i/>
        </w:rPr>
        <w:t>8 niños y 7 niñas representantes del órgano de participación infantil y adolescente.</w:t>
      </w:r>
    </w:p>
    <w:p w:rsidR="00E23B86" w:rsidRDefault="00BA7C13">
      <w:pPr>
        <w:numPr>
          <w:ilvl w:val="2"/>
          <w:numId w:val="218"/>
        </w:numPr>
        <w:spacing w:after="24" w:line="251" w:lineRule="auto"/>
        <w:ind w:hanging="360"/>
        <w:jc w:val="both"/>
      </w:pPr>
      <w:r>
        <w:rPr>
          <w:rFonts w:ascii="Arial" w:eastAsia="Arial" w:hAnsi="Arial" w:cs="Arial"/>
          <w:i/>
        </w:rPr>
        <w:t>Olivia C. Pérez Díaz. Conc</w:t>
      </w:r>
      <w:r>
        <w:rPr>
          <w:rFonts w:ascii="Arial" w:eastAsia="Arial" w:hAnsi="Arial" w:cs="Arial"/>
          <w:i/>
        </w:rPr>
        <w:t>ejala de Servicios Sociales, Igualdad y Sanidad.</w:t>
      </w:r>
    </w:p>
    <w:p w:rsidR="00E23B86" w:rsidRDefault="00BA7C13">
      <w:pPr>
        <w:numPr>
          <w:ilvl w:val="2"/>
          <w:numId w:val="218"/>
        </w:numPr>
        <w:spacing w:after="24" w:line="251" w:lineRule="auto"/>
        <w:ind w:hanging="360"/>
        <w:jc w:val="both"/>
      </w:pPr>
      <w:r>
        <w:rPr>
          <w:rFonts w:ascii="Arial" w:eastAsia="Arial" w:hAnsi="Arial" w:cs="Arial"/>
          <w:i/>
        </w:rPr>
        <w:t xml:space="preserve">Margarita E. Tendero Barroso. Concejala de Educación.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Un representante de cada partido político municipal.</w:t>
      </w:r>
    </w:p>
    <w:p w:rsidR="00E23B86" w:rsidRDefault="00BA7C13">
      <w:pPr>
        <w:numPr>
          <w:ilvl w:val="2"/>
          <w:numId w:val="218"/>
        </w:numPr>
        <w:spacing w:after="27" w:line="251" w:lineRule="auto"/>
        <w:ind w:hanging="360"/>
        <w:jc w:val="both"/>
      </w:pPr>
      <w:r>
        <w:rPr>
          <w:rFonts w:ascii="Arial" w:eastAsia="Arial" w:hAnsi="Arial" w:cs="Arial"/>
          <w:i/>
        </w:rPr>
        <w:t xml:space="preserve">Juan Miguel Olivera González. P. Popular </w:t>
      </w:r>
    </w:p>
    <w:p w:rsidR="00E23B86" w:rsidRDefault="00BA7C13">
      <w:pPr>
        <w:numPr>
          <w:ilvl w:val="2"/>
          <w:numId w:val="218"/>
        </w:numPr>
        <w:spacing w:after="27" w:line="251" w:lineRule="auto"/>
        <w:ind w:hanging="360"/>
        <w:jc w:val="both"/>
      </w:pPr>
      <w:r>
        <w:rPr>
          <w:rFonts w:ascii="Arial" w:eastAsia="Arial" w:hAnsi="Arial" w:cs="Arial"/>
          <w:i/>
        </w:rPr>
        <w:t>Pedro M. Pérez Viña. Ciudadanos</w:t>
      </w:r>
    </w:p>
    <w:p w:rsidR="00E23B86" w:rsidRDefault="00BA7C13">
      <w:pPr>
        <w:numPr>
          <w:ilvl w:val="2"/>
          <w:numId w:val="218"/>
        </w:numPr>
        <w:spacing w:after="27" w:line="251" w:lineRule="auto"/>
        <w:ind w:hanging="360"/>
        <w:jc w:val="both"/>
      </w:pPr>
      <w:r>
        <w:rPr>
          <w:rFonts w:ascii="Arial" w:eastAsia="Arial" w:hAnsi="Arial" w:cs="Arial"/>
          <w:i/>
        </w:rPr>
        <w:t>Mª del Carmen Coello Gon</w:t>
      </w:r>
      <w:r>
        <w:rPr>
          <w:rFonts w:ascii="Arial" w:eastAsia="Arial" w:hAnsi="Arial" w:cs="Arial"/>
          <w:i/>
        </w:rPr>
        <w:t>zález. Si Se Puede</w:t>
      </w:r>
    </w:p>
    <w:p w:rsidR="00E23B86" w:rsidRDefault="00BA7C13">
      <w:pPr>
        <w:numPr>
          <w:ilvl w:val="2"/>
          <w:numId w:val="218"/>
        </w:numPr>
        <w:spacing w:after="27" w:line="251" w:lineRule="auto"/>
        <w:ind w:hanging="360"/>
        <w:jc w:val="both"/>
      </w:pPr>
      <w:r>
        <w:rPr>
          <w:rFonts w:ascii="Arial" w:eastAsia="Arial" w:hAnsi="Arial" w:cs="Arial"/>
          <w:i/>
        </w:rPr>
        <w:t>Ángela Cruz Perera. Coalición Canaria</w:t>
      </w:r>
    </w:p>
    <w:p w:rsidR="00E23B86" w:rsidRDefault="00BA7C13">
      <w:pPr>
        <w:numPr>
          <w:ilvl w:val="2"/>
          <w:numId w:val="218"/>
        </w:numPr>
        <w:spacing w:after="27" w:line="251" w:lineRule="auto"/>
        <w:ind w:hanging="360"/>
        <w:jc w:val="both"/>
      </w:pPr>
      <w:r>
        <w:rPr>
          <w:noProof/>
        </w:rPr>
        <mc:AlternateContent>
          <mc:Choice Requires="wpg">
            <w:drawing>
              <wp:anchor distT="0" distB="0" distL="114300" distR="114300" simplePos="0" relativeHeight="2520309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1606" name="Group 59160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576" name="Rectangle 5557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5577" name="Rectangle 5557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362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1606" style="width:12.7031pt;height:280.35pt;position:absolute;mso-position-horizontal-relative:page;mso-position-horizontal:absolute;margin-left:681.958pt;mso-position-vertical-relative:page;margin-top:531.65pt;" coordsize="1613,35604">
                <v:rect id="Rectangle 5557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57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362 de 391 </w:t>
                        </w:r>
                      </w:p>
                    </w:txbxContent>
                  </v:textbox>
                </v:rect>
                <w10:wrap type="square"/>
              </v:group>
            </w:pict>
          </mc:Fallback>
        </mc:AlternateContent>
      </w:r>
      <w:r>
        <w:rPr>
          <w:rFonts w:ascii="Arial" w:eastAsia="Arial" w:hAnsi="Arial" w:cs="Arial"/>
          <w:i/>
        </w:rPr>
        <w:t>J</w:t>
      </w:r>
      <w:r>
        <w:rPr>
          <w:rFonts w:ascii="Arial" w:eastAsia="Arial" w:hAnsi="Arial" w:cs="Arial"/>
          <w:i/>
        </w:rPr>
        <w:t>osé Fernándo Gómez. Vecinos por Candelaria</w:t>
      </w:r>
    </w:p>
    <w:p w:rsidR="00E23B86" w:rsidRDefault="00BA7C13">
      <w:pPr>
        <w:numPr>
          <w:ilvl w:val="2"/>
          <w:numId w:val="218"/>
        </w:numPr>
        <w:spacing w:after="24" w:line="251" w:lineRule="auto"/>
        <w:ind w:hanging="360"/>
        <w:jc w:val="both"/>
      </w:pPr>
      <w:r>
        <w:rPr>
          <w:rFonts w:ascii="Arial" w:eastAsia="Arial" w:hAnsi="Arial" w:cs="Arial"/>
          <w:i/>
        </w:rPr>
        <w:t>Mª Dolores Melián Ramos. Representante de la asociación infantil municipal.</w:t>
      </w:r>
    </w:p>
    <w:p w:rsidR="00E23B86" w:rsidRDefault="00BA7C13">
      <w:pPr>
        <w:numPr>
          <w:ilvl w:val="2"/>
          <w:numId w:val="218"/>
        </w:numPr>
        <w:spacing w:after="24" w:line="251" w:lineRule="auto"/>
        <w:ind w:hanging="360"/>
        <w:jc w:val="both"/>
      </w:pPr>
      <w:r>
        <w:rPr>
          <w:rFonts w:ascii="Arial" w:eastAsia="Arial" w:hAnsi="Arial" w:cs="Arial"/>
          <w:i/>
        </w:rPr>
        <w:t>Ana Herrera Morales. Técnico de Servicios Sociales, Igualdad y Sanidad.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17"/>
        </w:numPr>
        <w:spacing w:after="110" w:line="248" w:lineRule="auto"/>
        <w:ind w:right="5" w:hanging="360"/>
        <w:jc w:val="both"/>
      </w:pPr>
      <w:r>
        <w:rPr>
          <w:rFonts w:ascii="Arial" w:eastAsia="Arial" w:hAnsi="Arial" w:cs="Arial"/>
          <w:b/>
        </w:rPr>
        <w:t>Quinto</w:t>
      </w:r>
      <w:r>
        <w:rPr>
          <w:rFonts w:ascii="Arial" w:eastAsia="Arial" w:hAnsi="Arial" w:cs="Arial"/>
        </w:rPr>
        <w:t>. - Iniciar los trámites para incorporar al Reglamento Orgánico Municipal el Consejo Local de Infancia y Adolescencia.”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17"/>
        </w:numPr>
        <w:spacing w:after="111" w:line="249" w:lineRule="auto"/>
        <w:ind w:right="5" w:hanging="360"/>
        <w:jc w:val="both"/>
      </w:pPr>
      <w:r>
        <w:rPr>
          <w:rFonts w:ascii="Arial" w:eastAsia="Arial" w:hAnsi="Arial" w:cs="Arial"/>
          <w:b/>
        </w:rPr>
        <w:t>DICTAMEN DE LA COMISIÓN INFORMATIVA DE SERVICIOS A LAS PERSONAS.</w:t>
      </w:r>
    </w:p>
    <w:p w:rsidR="00E23B86" w:rsidRDefault="00BA7C13">
      <w:pPr>
        <w:numPr>
          <w:ilvl w:val="0"/>
          <w:numId w:val="217"/>
        </w:numPr>
        <w:spacing w:after="110" w:line="248" w:lineRule="auto"/>
        <w:ind w:right="5" w:hanging="360"/>
        <w:jc w:val="both"/>
      </w:pPr>
      <w:r>
        <w:rPr>
          <w:rFonts w:ascii="Arial" w:eastAsia="Arial" w:hAnsi="Arial" w:cs="Arial"/>
        </w:rPr>
        <w:t>La unanimidad de los 7 concejales presentes.</w:t>
      </w:r>
    </w:p>
    <w:p w:rsidR="00E23B86" w:rsidRDefault="00BA7C13">
      <w:pPr>
        <w:numPr>
          <w:ilvl w:val="0"/>
          <w:numId w:val="217"/>
        </w:numPr>
        <w:spacing w:after="110" w:line="248" w:lineRule="auto"/>
        <w:ind w:right="5" w:hanging="360"/>
        <w:jc w:val="both"/>
      </w:pPr>
      <w:r>
        <w:rPr>
          <w:rFonts w:ascii="Arial" w:eastAsia="Arial" w:hAnsi="Arial" w:cs="Arial"/>
        </w:rPr>
        <w:t>Los 4 concejales del Gru</w:t>
      </w:r>
      <w:r>
        <w:rPr>
          <w:rFonts w:ascii="Arial" w:eastAsia="Arial" w:hAnsi="Arial" w:cs="Arial"/>
        </w:rPr>
        <w:t>po Socialista: Doña Olivia Concepción Pérez Díaz, Don José Francisco Pinto Ramos, Doña Margarita Eva Tendero Barroso y Don Olegario Francisco Alonso Bello.</w:t>
      </w:r>
    </w:p>
    <w:p w:rsidR="00E23B86" w:rsidRDefault="00BA7C13">
      <w:pPr>
        <w:numPr>
          <w:ilvl w:val="0"/>
          <w:numId w:val="217"/>
        </w:numPr>
        <w:spacing w:after="110" w:line="248" w:lineRule="auto"/>
        <w:ind w:right="5" w:hanging="360"/>
        <w:jc w:val="both"/>
      </w:pPr>
      <w:r>
        <w:rPr>
          <w:rFonts w:ascii="Arial" w:eastAsia="Arial" w:hAnsi="Arial" w:cs="Arial"/>
        </w:rPr>
        <w:t>1 del concejal del Grupo Popular, Don Juan Miguel Olivera González.</w:t>
      </w:r>
    </w:p>
    <w:p w:rsidR="00E23B86" w:rsidRDefault="00BA7C13">
      <w:pPr>
        <w:numPr>
          <w:ilvl w:val="0"/>
          <w:numId w:val="217"/>
        </w:numPr>
        <w:spacing w:after="110" w:line="248" w:lineRule="auto"/>
        <w:ind w:right="5" w:hanging="360"/>
        <w:jc w:val="both"/>
      </w:pPr>
      <w:r>
        <w:rPr>
          <w:rFonts w:ascii="Arial" w:eastAsia="Arial" w:hAnsi="Arial" w:cs="Arial"/>
        </w:rPr>
        <w:t>Las 2 concejalas del Grupo Mixto</w:t>
      </w:r>
      <w:r>
        <w:rPr>
          <w:rFonts w:ascii="Arial" w:eastAsia="Arial" w:hAnsi="Arial" w:cs="Arial"/>
        </w:rPr>
        <w:t>: Doña María del Carmen Coello González (SSP) y Doña Ángela Cruz Perera (CC-PNC).</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17"/>
        </w:numPr>
        <w:spacing w:after="111" w:line="341" w:lineRule="auto"/>
        <w:ind w:right="5" w:hanging="360"/>
        <w:jc w:val="both"/>
      </w:pPr>
      <w:r>
        <w:rPr>
          <w:rFonts w:ascii="Arial" w:eastAsia="Arial" w:hAnsi="Arial" w:cs="Arial"/>
          <w:b/>
        </w:rPr>
        <w:t xml:space="preserve">JUNTA DE PORTAVOCES </w:t>
      </w:r>
      <w:r>
        <w:rPr>
          <w:rFonts w:ascii="Segoe UI Symbol" w:eastAsia="Segoe UI Symbol" w:hAnsi="Segoe UI Symbol" w:cs="Segoe UI Symbol"/>
          <w:sz w:val="20"/>
        </w:rPr>
        <w:t xml:space="preserve"> </w:t>
      </w:r>
      <w:r>
        <w:rPr>
          <w:rFonts w:ascii="Arial" w:eastAsia="Arial" w:hAnsi="Arial" w:cs="Arial"/>
        </w:rPr>
        <w:t>Quedó oída.</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17"/>
        </w:numPr>
        <w:spacing w:after="111" w:line="249" w:lineRule="auto"/>
        <w:ind w:right="5" w:hanging="360"/>
        <w:jc w:val="both"/>
      </w:pPr>
      <w:r>
        <w:rPr>
          <w:rFonts w:ascii="Arial" w:eastAsia="Arial" w:hAnsi="Arial" w:cs="Arial"/>
          <w:b/>
        </w:rPr>
        <w:t>VOTACIÓN EN EL PLENO</w:t>
      </w:r>
    </w:p>
    <w:p w:rsidR="00E23B86" w:rsidRDefault="00BA7C13">
      <w:pPr>
        <w:numPr>
          <w:ilvl w:val="0"/>
          <w:numId w:val="217"/>
        </w:numPr>
        <w:spacing w:after="110" w:line="248" w:lineRule="auto"/>
        <w:ind w:right="5" w:hanging="360"/>
        <w:jc w:val="both"/>
      </w:pPr>
      <w:r>
        <w:rPr>
          <w:rFonts w:ascii="Arial" w:eastAsia="Arial" w:hAnsi="Arial" w:cs="Arial"/>
        </w:rPr>
        <w:t>Votos a favor: 18: La unanimidad de los concejales presentes:</w:t>
      </w:r>
    </w:p>
    <w:p w:rsidR="00E23B86" w:rsidRDefault="00BA7C13">
      <w:pPr>
        <w:numPr>
          <w:ilvl w:val="0"/>
          <w:numId w:val="217"/>
        </w:numPr>
        <w:spacing w:after="0" w:line="248" w:lineRule="auto"/>
        <w:ind w:right="5" w:hanging="360"/>
        <w:jc w:val="both"/>
      </w:pPr>
      <w:r>
        <w:rPr>
          <w:rFonts w:ascii="Arial" w:eastAsia="Arial" w:hAnsi="Arial" w:cs="Arial"/>
        </w:rPr>
        <w:t>11 concejales del Grupo Socialista: Doña María Concep</w:t>
      </w:r>
      <w:r>
        <w:rPr>
          <w:rFonts w:ascii="Arial" w:eastAsia="Arial" w:hAnsi="Arial" w:cs="Arial"/>
        </w:rPr>
        <w:t>ción Brito Núñez, Don Jorge Baute Delgado, Doña Olivia Concepción Pérez Díaz, Don José Francisco</w:t>
      </w:r>
    </w:p>
    <w:p w:rsidR="00E23B86" w:rsidRDefault="00BA7C13">
      <w:pPr>
        <w:spacing w:after="110" w:line="248" w:lineRule="auto"/>
        <w:ind w:left="373" w:right="6" w:hanging="10"/>
        <w:jc w:val="both"/>
      </w:pPr>
      <w:r>
        <w:rPr>
          <w:rFonts w:ascii="Arial" w:eastAsia="Arial" w:hAnsi="Arial" w:cs="Arial"/>
        </w:rPr>
        <w:t xml:space="preserve">Pinto Ramos, Doña Hilaria Cecilia Otazo González, Don Airam Pérez Chinea, Doña Margarita Eva Tendero Barroso, Don Manuel Alberto González Pestano, Doña María del Carmen Clemente Díaz, Don Olegario Francisco Alonso Bello y Don Reinaldo José Triviño Blanco. </w:t>
      </w:r>
    </w:p>
    <w:p w:rsidR="00E23B86" w:rsidRDefault="00BA7C13">
      <w:pPr>
        <w:numPr>
          <w:ilvl w:val="0"/>
          <w:numId w:val="217"/>
        </w:numPr>
        <w:spacing w:after="110" w:line="248" w:lineRule="auto"/>
        <w:ind w:right="5" w:hanging="360"/>
        <w:jc w:val="both"/>
      </w:pPr>
      <w:r>
        <w:rPr>
          <w:rFonts w:ascii="Arial" w:eastAsia="Arial" w:hAnsi="Arial" w:cs="Arial"/>
        </w:rPr>
        <w:t xml:space="preserve">3 concejales del Grupo Popular: Don Juan Miguel Olivera González, Don Jacobo López Fariña y Doña Raquel Martín Castro. </w:t>
      </w:r>
    </w:p>
    <w:p w:rsidR="00E23B86" w:rsidRDefault="00BA7C13">
      <w:pPr>
        <w:numPr>
          <w:ilvl w:val="0"/>
          <w:numId w:val="217"/>
        </w:numPr>
        <w:spacing w:after="110" w:line="248" w:lineRule="auto"/>
        <w:ind w:right="5" w:hanging="360"/>
        <w:jc w:val="both"/>
      </w:pPr>
      <w:r>
        <w:rPr>
          <w:rFonts w:ascii="Arial" w:eastAsia="Arial" w:hAnsi="Arial" w:cs="Arial"/>
        </w:rPr>
        <w:t>4 concejales del Grupo Mixto: Doña María del Carmen Coello González y Doña María del Pilar Maceín Núñez (SSP), Doña Ángela Cruz Perera (CC-PNC) y Don José Fernando Gómez Martín (PvxC).</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pStyle w:val="Ttulo3"/>
        <w:spacing w:line="265" w:lineRule="auto"/>
        <w:ind w:left="682" w:right="676"/>
        <w:jc w:val="center"/>
      </w:pPr>
      <w:r>
        <w:rPr>
          <w:rFonts w:ascii="Segoe UI Symbol" w:eastAsia="Segoe UI Symbol" w:hAnsi="Segoe UI Symbol" w:cs="Segoe UI Symbol"/>
          <w:b w:val="0"/>
          <w:i w:val="0"/>
          <w:color w:val="000000"/>
          <w:sz w:val="20"/>
        </w:rPr>
        <w:t xml:space="preserve"> </w:t>
      </w:r>
      <w:r>
        <w:rPr>
          <w:i w:val="0"/>
          <w:color w:val="000000"/>
        </w:rPr>
        <w:t>ACUERDO DEL PLENO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19"/>
        </w:numPr>
        <w:spacing w:after="0" w:line="248" w:lineRule="auto"/>
        <w:ind w:hanging="360"/>
        <w:jc w:val="both"/>
      </w:pPr>
      <w:r>
        <w:rPr>
          <w:noProof/>
        </w:rPr>
        <mc:AlternateContent>
          <mc:Choice Requires="wpg">
            <w:drawing>
              <wp:anchor distT="0" distB="0" distL="114300" distR="114300" simplePos="0" relativeHeight="2520320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1987" name="Group 59198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664" name="Rectangle 5566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w:t>
                              </w:r>
                              <w:r>
                                <w:rPr>
                                  <w:rFonts w:ascii="Arial" w:eastAsia="Arial" w:hAnsi="Arial" w:cs="Arial"/>
                                  <w:sz w:val="12"/>
                                </w:rPr>
                                <w:t xml:space="preserve">FZWC | Verificación: https://candelaria.sedelectronica.es/ </w:t>
                              </w:r>
                            </w:p>
                          </w:txbxContent>
                        </wps:txbx>
                        <wps:bodyPr horzOverflow="overflow" vert="horz" lIns="0" tIns="0" rIns="0" bIns="0" rtlCol="0">
                          <a:noAutofit/>
                        </wps:bodyPr>
                      </wps:wsp>
                      <wps:wsp>
                        <wps:cNvPr id="55665" name="Rectangle 5566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363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1987" style="width:12.7031pt;height:280.35pt;position:absolute;mso-position-horizontal-relative:page;mso-position-horizontal:absolute;margin-left:681.958pt;mso-position-vertical-relative:page;margin-top:531.65pt;" coordsize="1613,35604">
                <v:rect id="Rectangle 5566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66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363 de 391 </w:t>
                        </w:r>
                      </w:p>
                    </w:txbxContent>
                  </v:textbox>
                </v:rect>
                <w10:wrap type="square"/>
              </v:group>
            </w:pict>
          </mc:Fallback>
        </mc:AlternateContent>
      </w:r>
      <w:r>
        <w:rPr>
          <w:rFonts w:ascii="Arial" w:eastAsia="Arial" w:hAnsi="Arial" w:cs="Arial"/>
        </w:rPr>
        <w:t>Primero. - Solicitar a UNICEF Comité Español iniciar los trámites para la obtención del Reconocimiento Ciudad Amiga de la Infancia; así como contar con su posterior apoyo y colaboración para el desarrollo, la mejora continua y la innovación de las política</w:t>
      </w:r>
      <w:r>
        <w:rPr>
          <w:rFonts w:ascii="Arial" w:eastAsia="Arial" w:hAnsi="Arial" w:cs="Arial"/>
        </w:rPr>
        <w:t>s de infancia y adolescencia en el Ayuntamiento de Candelaria.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19"/>
        </w:numPr>
        <w:spacing w:after="23" w:line="251" w:lineRule="auto"/>
        <w:ind w:hanging="360"/>
        <w:jc w:val="both"/>
      </w:pPr>
      <w:r>
        <w:rPr>
          <w:rFonts w:ascii="Arial" w:eastAsia="Arial" w:hAnsi="Arial" w:cs="Arial"/>
        </w:rPr>
        <w:t xml:space="preserve">Segundo. -  Reconocer el órgano de participación infantil y adolescente (OPIA integrado por </w:t>
      </w:r>
      <w:r>
        <w:rPr>
          <w:rFonts w:ascii="Arial" w:eastAsia="Arial" w:hAnsi="Arial" w:cs="Arial"/>
          <w:i/>
        </w:rPr>
        <w:t>8 niños y 7 niñas siendo los altavoces de todos los/as niños/as y adolescentes del municipio.</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19"/>
        </w:numPr>
        <w:spacing w:after="110" w:line="248" w:lineRule="auto"/>
        <w:ind w:hanging="360"/>
        <w:jc w:val="both"/>
      </w:pPr>
      <w:r>
        <w:rPr>
          <w:rFonts w:ascii="Arial" w:eastAsia="Arial" w:hAnsi="Arial" w:cs="Arial"/>
        </w:rPr>
        <w:t>Ter</w:t>
      </w:r>
      <w:r>
        <w:rPr>
          <w:rFonts w:ascii="Arial" w:eastAsia="Arial" w:hAnsi="Arial" w:cs="Arial"/>
        </w:rPr>
        <w:t>cero. - Crear el órgano de coordinación interna que estará integrado por los siguientes miembros:</w:t>
      </w:r>
    </w:p>
    <w:p w:rsidR="00E23B86" w:rsidRDefault="00BA7C13">
      <w:pPr>
        <w:numPr>
          <w:ilvl w:val="1"/>
          <w:numId w:val="219"/>
        </w:numPr>
        <w:spacing w:after="24" w:line="251" w:lineRule="auto"/>
        <w:ind w:right="573" w:hanging="360"/>
        <w:jc w:val="both"/>
      </w:pPr>
      <w:r>
        <w:rPr>
          <w:rFonts w:ascii="Arial" w:eastAsia="Arial" w:hAnsi="Arial" w:cs="Arial"/>
          <w:i/>
        </w:rPr>
        <w:t>Olivia C. Pérez Díaz. Concejala de Servicios Sociales, Igualdad y Sanidad.</w:t>
      </w:r>
    </w:p>
    <w:p w:rsidR="00E23B86" w:rsidRDefault="00BA7C13">
      <w:pPr>
        <w:numPr>
          <w:ilvl w:val="1"/>
          <w:numId w:val="219"/>
        </w:numPr>
        <w:spacing w:after="24" w:line="251" w:lineRule="auto"/>
        <w:ind w:right="573" w:hanging="360"/>
        <w:jc w:val="both"/>
      </w:pPr>
      <w:r>
        <w:rPr>
          <w:rFonts w:ascii="Arial" w:eastAsia="Arial" w:hAnsi="Arial" w:cs="Arial"/>
          <w:i/>
        </w:rPr>
        <w:t xml:space="preserve">Margarita E. Tendero Barroso. Concejala de Educación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Ana Perdomo Castagno. Técnic</w:t>
      </w:r>
      <w:r>
        <w:rPr>
          <w:rFonts w:ascii="Arial" w:eastAsia="Arial" w:hAnsi="Arial" w:cs="Arial"/>
          <w:i/>
        </w:rPr>
        <w:t>o/a de Educación.</w:t>
      </w:r>
    </w:p>
    <w:p w:rsidR="00E23B86" w:rsidRDefault="00BA7C13">
      <w:pPr>
        <w:numPr>
          <w:ilvl w:val="1"/>
          <w:numId w:val="219"/>
        </w:numPr>
        <w:spacing w:after="27" w:line="251" w:lineRule="auto"/>
        <w:ind w:right="573" w:hanging="360"/>
        <w:jc w:val="both"/>
      </w:pPr>
      <w:r>
        <w:rPr>
          <w:rFonts w:ascii="Arial" w:eastAsia="Arial" w:hAnsi="Arial" w:cs="Arial"/>
          <w:i/>
        </w:rPr>
        <w:t>Juan Ángel Castro. Técnico de Cultura.</w:t>
      </w:r>
    </w:p>
    <w:p w:rsidR="00E23B86" w:rsidRDefault="00BA7C13">
      <w:pPr>
        <w:numPr>
          <w:ilvl w:val="1"/>
          <w:numId w:val="219"/>
        </w:numPr>
        <w:spacing w:after="27" w:line="251" w:lineRule="auto"/>
        <w:ind w:right="573" w:hanging="360"/>
        <w:jc w:val="both"/>
      </w:pPr>
      <w:r>
        <w:rPr>
          <w:rFonts w:ascii="Arial" w:eastAsia="Arial" w:hAnsi="Arial" w:cs="Arial"/>
          <w:i/>
        </w:rPr>
        <w:t>Francisco J. Técnico de Deportes.</w:t>
      </w:r>
    </w:p>
    <w:p w:rsidR="00E23B86" w:rsidRDefault="00BA7C13">
      <w:pPr>
        <w:numPr>
          <w:ilvl w:val="1"/>
          <w:numId w:val="219"/>
        </w:numPr>
        <w:spacing w:after="27" w:line="251" w:lineRule="auto"/>
        <w:ind w:right="573" w:hanging="360"/>
        <w:jc w:val="both"/>
      </w:pPr>
      <w:r>
        <w:rPr>
          <w:rFonts w:ascii="Arial" w:eastAsia="Arial" w:hAnsi="Arial" w:cs="Arial"/>
          <w:i/>
        </w:rPr>
        <w:t>Joana Gómez-Urda Lorenzo. Técnico de Sanidad.</w:t>
      </w:r>
    </w:p>
    <w:p w:rsidR="00E23B86" w:rsidRDefault="00BA7C13">
      <w:pPr>
        <w:numPr>
          <w:ilvl w:val="1"/>
          <w:numId w:val="219"/>
        </w:numPr>
        <w:spacing w:after="24" w:line="251" w:lineRule="auto"/>
        <w:ind w:right="573" w:hanging="360"/>
        <w:jc w:val="both"/>
      </w:pPr>
      <w:r>
        <w:rPr>
          <w:rFonts w:ascii="Arial" w:eastAsia="Arial" w:hAnsi="Arial" w:cs="Arial"/>
          <w:i/>
        </w:rPr>
        <w:t>Fátima León Rodríguez. Técnica de Servicios Sociales (menores).</w:t>
      </w:r>
    </w:p>
    <w:p w:rsidR="00E23B86" w:rsidRDefault="00BA7C13">
      <w:pPr>
        <w:numPr>
          <w:ilvl w:val="1"/>
          <w:numId w:val="219"/>
        </w:numPr>
        <w:spacing w:after="27" w:line="251" w:lineRule="auto"/>
        <w:ind w:right="573" w:hanging="360"/>
        <w:jc w:val="both"/>
      </w:pPr>
      <w:r>
        <w:rPr>
          <w:rFonts w:ascii="Arial" w:eastAsia="Arial" w:hAnsi="Arial" w:cs="Arial"/>
          <w:i/>
        </w:rPr>
        <w:t>Mª Consuelo Fariña González. Técnica de Área Económica.</w:t>
      </w:r>
    </w:p>
    <w:p w:rsidR="00E23B86" w:rsidRDefault="00BA7C13">
      <w:pPr>
        <w:numPr>
          <w:ilvl w:val="1"/>
          <w:numId w:val="219"/>
        </w:numPr>
        <w:spacing w:after="27" w:line="251" w:lineRule="auto"/>
        <w:ind w:right="573" w:hanging="360"/>
        <w:jc w:val="both"/>
      </w:pPr>
      <w:r>
        <w:rPr>
          <w:rFonts w:ascii="Arial" w:eastAsia="Arial" w:hAnsi="Arial" w:cs="Arial"/>
          <w:i/>
        </w:rPr>
        <w:t>Esteban Hernández Martín. Técnico de Accesibilidad.</w:t>
      </w:r>
    </w:p>
    <w:p w:rsidR="00E23B86" w:rsidRDefault="00BA7C13">
      <w:pPr>
        <w:numPr>
          <w:ilvl w:val="1"/>
          <w:numId w:val="219"/>
        </w:numPr>
        <w:spacing w:after="111" w:line="251" w:lineRule="auto"/>
        <w:ind w:right="573" w:hanging="360"/>
        <w:jc w:val="both"/>
      </w:pPr>
      <w:r>
        <w:rPr>
          <w:rFonts w:ascii="Arial" w:eastAsia="Arial" w:hAnsi="Arial" w:cs="Arial"/>
          <w:i/>
        </w:rPr>
        <w:t>Rubén Fernández González. Técnico de Protección Civil.</w:t>
      </w:r>
    </w:p>
    <w:p w:rsidR="00E23B86" w:rsidRDefault="00BA7C13">
      <w:pPr>
        <w:numPr>
          <w:ilvl w:val="1"/>
          <w:numId w:val="219"/>
        </w:numPr>
        <w:spacing w:after="27" w:line="251" w:lineRule="auto"/>
        <w:ind w:right="573" w:hanging="360"/>
        <w:jc w:val="both"/>
      </w:pPr>
      <w:r>
        <w:rPr>
          <w:rFonts w:ascii="Arial" w:eastAsia="Arial" w:hAnsi="Arial" w:cs="Arial"/>
          <w:i/>
        </w:rPr>
        <w:t>Mª del Pilar González. Técnica de ADL</w:t>
      </w:r>
    </w:p>
    <w:p w:rsidR="00E23B86" w:rsidRDefault="00BA7C13">
      <w:pPr>
        <w:numPr>
          <w:ilvl w:val="1"/>
          <w:numId w:val="219"/>
        </w:numPr>
        <w:spacing w:after="24" w:line="251" w:lineRule="auto"/>
        <w:ind w:right="573" w:hanging="360"/>
        <w:jc w:val="both"/>
      </w:pPr>
      <w:r>
        <w:rPr>
          <w:rFonts w:ascii="Arial" w:eastAsia="Arial" w:hAnsi="Arial" w:cs="Arial"/>
          <w:i/>
        </w:rPr>
        <w:t>Concepción Sicilia González. Técnica de Participación Ciudadana</w:t>
      </w:r>
    </w:p>
    <w:p w:rsidR="00E23B86" w:rsidRDefault="00BA7C13">
      <w:pPr>
        <w:numPr>
          <w:ilvl w:val="1"/>
          <w:numId w:val="219"/>
        </w:numPr>
        <w:spacing w:after="27" w:line="251" w:lineRule="auto"/>
        <w:ind w:right="573" w:hanging="360"/>
        <w:jc w:val="both"/>
      </w:pPr>
      <w:r>
        <w:rPr>
          <w:rFonts w:ascii="Arial" w:eastAsia="Arial" w:hAnsi="Arial" w:cs="Arial"/>
          <w:i/>
        </w:rPr>
        <w:t>Javier Barrera Acosta. Policía Local</w:t>
      </w:r>
    </w:p>
    <w:p w:rsidR="00E23B86" w:rsidRDefault="00BA7C13">
      <w:pPr>
        <w:numPr>
          <w:ilvl w:val="1"/>
          <w:numId w:val="219"/>
        </w:numPr>
        <w:spacing w:after="26" w:line="251" w:lineRule="auto"/>
        <w:ind w:right="573" w:hanging="360"/>
        <w:jc w:val="both"/>
      </w:pPr>
      <w:r>
        <w:rPr>
          <w:rFonts w:ascii="Arial" w:eastAsia="Arial" w:hAnsi="Arial" w:cs="Arial"/>
          <w:i/>
        </w:rPr>
        <w:t>Mª Candelaria Ibáñez de las Casas. Técnica de Zona Joven.</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19"/>
        </w:numPr>
        <w:spacing w:after="110" w:line="248" w:lineRule="auto"/>
        <w:ind w:hanging="360"/>
        <w:jc w:val="both"/>
      </w:pPr>
      <w:r>
        <w:rPr>
          <w:rFonts w:ascii="Arial" w:eastAsia="Arial" w:hAnsi="Arial" w:cs="Arial"/>
        </w:rPr>
        <w:t>Cuarto. - Crear el Consejo Local de Infancia y Adolescencia constituido por las siguientes personas: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2"/>
          <w:numId w:val="220"/>
        </w:numPr>
        <w:spacing w:after="24" w:line="251" w:lineRule="auto"/>
        <w:ind w:hanging="360"/>
        <w:jc w:val="both"/>
      </w:pPr>
      <w:r>
        <w:rPr>
          <w:rFonts w:ascii="Arial" w:eastAsia="Arial" w:hAnsi="Arial" w:cs="Arial"/>
          <w:i/>
        </w:rPr>
        <w:t>La Presidencia: será ejercida por el Alcaldesa Mª Concepción Brito Núñez, pudiendo delegar el cargo en un/a Concejal/a.</w:t>
      </w:r>
    </w:p>
    <w:p w:rsidR="00E23B86" w:rsidRDefault="00BA7C13">
      <w:pPr>
        <w:numPr>
          <w:ilvl w:val="2"/>
          <w:numId w:val="220"/>
        </w:numPr>
        <w:spacing w:after="24" w:line="251" w:lineRule="auto"/>
        <w:ind w:hanging="360"/>
        <w:jc w:val="both"/>
      </w:pPr>
      <w:r>
        <w:rPr>
          <w:rFonts w:ascii="Arial" w:eastAsia="Arial" w:hAnsi="Arial" w:cs="Arial"/>
          <w:i/>
        </w:rPr>
        <w:t>La Secretaría: será ejercida por el Secretario General del Ayuntamiento Octavio Manuel Fernández Hernández o persona en quien delegue.</w:t>
      </w:r>
    </w:p>
    <w:p w:rsidR="00E23B86" w:rsidRDefault="00BA7C13">
      <w:pPr>
        <w:numPr>
          <w:ilvl w:val="2"/>
          <w:numId w:val="220"/>
        </w:numPr>
        <w:spacing w:after="27" w:line="251" w:lineRule="auto"/>
        <w:ind w:hanging="360"/>
        <w:jc w:val="both"/>
      </w:pPr>
      <w:r>
        <w:rPr>
          <w:rFonts w:ascii="Arial" w:eastAsia="Arial" w:hAnsi="Arial" w:cs="Arial"/>
          <w:i/>
        </w:rPr>
        <w:t>Vocalías:</w:t>
      </w:r>
    </w:p>
    <w:p w:rsidR="00E23B86" w:rsidRDefault="00BA7C13">
      <w:pPr>
        <w:numPr>
          <w:ilvl w:val="2"/>
          <w:numId w:val="220"/>
        </w:numPr>
        <w:spacing w:after="24" w:line="251" w:lineRule="auto"/>
        <w:ind w:hanging="360"/>
        <w:jc w:val="both"/>
      </w:pPr>
      <w:r>
        <w:rPr>
          <w:rFonts w:ascii="Arial" w:eastAsia="Arial" w:hAnsi="Arial" w:cs="Arial"/>
          <w:i/>
        </w:rPr>
        <w:t>8 niños y 7 niñas representantes del órgano de participación infantil y adolescente.</w:t>
      </w:r>
    </w:p>
    <w:p w:rsidR="00E23B86" w:rsidRDefault="00BA7C13">
      <w:pPr>
        <w:numPr>
          <w:ilvl w:val="2"/>
          <w:numId w:val="220"/>
        </w:numPr>
        <w:spacing w:after="24" w:line="251" w:lineRule="auto"/>
        <w:ind w:hanging="360"/>
        <w:jc w:val="both"/>
      </w:pPr>
      <w:r>
        <w:rPr>
          <w:rFonts w:ascii="Arial" w:eastAsia="Arial" w:hAnsi="Arial" w:cs="Arial"/>
          <w:i/>
        </w:rPr>
        <w:t>Olivia C. Pérez Díaz. Concejala de Servicios Sociales, Igualdad y Sanidad.</w:t>
      </w:r>
    </w:p>
    <w:p w:rsidR="00E23B86" w:rsidRDefault="00BA7C13">
      <w:pPr>
        <w:numPr>
          <w:ilvl w:val="2"/>
          <w:numId w:val="220"/>
        </w:numPr>
        <w:spacing w:after="24" w:line="251" w:lineRule="auto"/>
        <w:ind w:hanging="360"/>
        <w:jc w:val="both"/>
      </w:pPr>
      <w:r>
        <w:rPr>
          <w:rFonts w:ascii="Arial" w:eastAsia="Arial" w:hAnsi="Arial" w:cs="Arial"/>
          <w:i/>
        </w:rPr>
        <w:t xml:space="preserve">Margarita E. Tendero Barroso. Concejala de Educación. </w:t>
      </w:r>
      <w:r>
        <w:rPr>
          <w:rFonts w:ascii="Wingdings" w:eastAsia="Wingdings" w:hAnsi="Wingdings" w:cs="Wingdings"/>
          <w:sz w:val="20"/>
        </w:rPr>
        <w:t></w:t>
      </w:r>
      <w:r>
        <w:rPr>
          <w:rFonts w:ascii="Wingdings" w:eastAsia="Wingdings" w:hAnsi="Wingdings" w:cs="Wingdings"/>
          <w:sz w:val="20"/>
        </w:rPr>
        <w:t></w:t>
      </w:r>
      <w:r>
        <w:rPr>
          <w:rFonts w:ascii="Arial" w:eastAsia="Arial" w:hAnsi="Arial" w:cs="Arial"/>
          <w:i/>
        </w:rPr>
        <w:t>Un representante de cada parti</w:t>
      </w:r>
      <w:r>
        <w:rPr>
          <w:rFonts w:ascii="Arial" w:eastAsia="Arial" w:hAnsi="Arial" w:cs="Arial"/>
          <w:i/>
        </w:rPr>
        <w:t>do político municipal.</w:t>
      </w:r>
    </w:p>
    <w:p w:rsidR="00E23B86" w:rsidRDefault="00BA7C13">
      <w:pPr>
        <w:numPr>
          <w:ilvl w:val="2"/>
          <w:numId w:val="220"/>
        </w:numPr>
        <w:spacing w:after="27" w:line="251" w:lineRule="auto"/>
        <w:ind w:hanging="360"/>
        <w:jc w:val="both"/>
      </w:pPr>
      <w:r>
        <w:rPr>
          <w:rFonts w:ascii="Arial" w:eastAsia="Arial" w:hAnsi="Arial" w:cs="Arial"/>
          <w:i/>
        </w:rPr>
        <w:t xml:space="preserve">Juan Miguel Olivera González. P. Popular </w:t>
      </w:r>
    </w:p>
    <w:p w:rsidR="00E23B86" w:rsidRDefault="00BA7C13">
      <w:pPr>
        <w:numPr>
          <w:ilvl w:val="2"/>
          <w:numId w:val="220"/>
        </w:numPr>
        <w:spacing w:after="27" w:line="251" w:lineRule="auto"/>
        <w:ind w:hanging="360"/>
        <w:jc w:val="both"/>
      </w:pPr>
      <w:r>
        <w:rPr>
          <w:noProof/>
        </w:rPr>
        <mc:AlternateContent>
          <mc:Choice Requires="wpg">
            <w:drawing>
              <wp:anchor distT="0" distB="0" distL="114300" distR="114300" simplePos="0" relativeHeight="2520330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2519" name="Group 59251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753" name="Rectangle 55753"/>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5754" name="Rectangle 55754"/>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Gestiona | Página 364 d</w:t>
                              </w:r>
                              <w:r>
                                <w:rPr>
                                  <w:rFonts w:ascii="Arial" w:eastAsia="Arial" w:hAnsi="Arial" w:cs="Arial"/>
                                  <w:sz w:val="12"/>
                                </w:rPr>
                                <w:t xml:space="preserve">e 391 </w:t>
                              </w:r>
                            </w:p>
                          </w:txbxContent>
                        </wps:txbx>
                        <wps:bodyPr horzOverflow="overflow" vert="horz" lIns="0" tIns="0" rIns="0" bIns="0" rtlCol="0">
                          <a:noAutofit/>
                        </wps:bodyPr>
                      </wps:wsp>
                    </wpg:wgp>
                  </a:graphicData>
                </a:graphic>
              </wp:anchor>
            </w:drawing>
          </mc:Choice>
          <mc:Fallback xmlns:a="http://schemas.openxmlformats.org/drawingml/2006/main">
            <w:pict>
              <v:group id="Group 592519" style="width:12.7031pt;height:280.35pt;position:absolute;mso-position-horizontal-relative:page;mso-position-horizontal:absolute;margin-left:681.958pt;mso-position-vertical-relative:page;margin-top:531.65pt;" coordsize="1613,35604">
                <v:rect id="Rectangle 55753"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754"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364 de 391 </w:t>
                        </w:r>
                      </w:p>
                    </w:txbxContent>
                  </v:textbox>
                </v:rect>
                <w10:wrap type="square"/>
              </v:group>
            </w:pict>
          </mc:Fallback>
        </mc:AlternateContent>
      </w:r>
      <w:r>
        <w:rPr>
          <w:rFonts w:ascii="Arial" w:eastAsia="Arial" w:hAnsi="Arial" w:cs="Arial"/>
          <w:i/>
        </w:rPr>
        <w:t>Pedro M. Pérez Viña. Ciudadanos</w:t>
      </w:r>
    </w:p>
    <w:p w:rsidR="00E23B86" w:rsidRDefault="00BA7C13">
      <w:pPr>
        <w:numPr>
          <w:ilvl w:val="2"/>
          <w:numId w:val="220"/>
        </w:numPr>
        <w:spacing w:after="27" w:line="251" w:lineRule="auto"/>
        <w:ind w:hanging="360"/>
        <w:jc w:val="both"/>
      </w:pPr>
      <w:r>
        <w:rPr>
          <w:rFonts w:ascii="Arial" w:eastAsia="Arial" w:hAnsi="Arial" w:cs="Arial"/>
          <w:i/>
        </w:rPr>
        <w:t>Mª del Carmen Coello González. Si Se Puede</w:t>
      </w:r>
    </w:p>
    <w:p w:rsidR="00E23B86" w:rsidRDefault="00BA7C13">
      <w:pPr>
        <w:numPr>
          <w:ilvl w:val="2"/>
          <w:numId w:val="220"/>
        </w:numPr>
        <w:spacing w:after="27" w:line="251" w:lineRule="auto"/>
        <w:ind w:hanging="360"/>
        <w:jc w:val="both"/>
      </w:pPr>
      <w:r>
        <w:rPr>
          <w:rFonts w:ascii="Arial" w:eastAsia="Arial" w:hAnsi="Arial" w:cs="Arial"/>
          <w:i/>
        </w:rPr>
        <w:t>Ángela Cruz Perera. Coalición Canaria</w:t>
      </w:r>
    </w:p>
    <w:p w:rsidR="00E23B86" w:rsidRDefault="00BA7C13">
      <w:pPr>
        <w:numPr>
          <w:ilvl w:val="2"/>
          <w:numId w:val="220"/>
        </w:numPr>
        <w:spacing w:after="27" w:line="251" w:lineRule="auto"/>
        <w:ind w:hanging="360"/>
        <w:jc w:val="both"/>
      </w:pPr>
      <w:r>
        <w:rPr>
          <w:rFonts w:ascii="Arial" w:eastAsia="Arial" w:hAnsi="Arial" w:cs="Arial"/>
          <w:i/>
        </w:rPr>
        <w:t>José Fernándo Gómez. Vecinos por Candelaria</w:t>
      </w:r>
    </w:p>
    <w:p w:rsidR="00E23B86" w:rsidRDefault="00BA7C13">
      <w:pPr>
        <w:numPr>
          <w:ilvl w:val="2"/>
          <w:numId w:val="220"/>
        </w:numPr>
        <w:spacing w:after="24" w:line="251" w:lineRule="auto"/>
        <w:ind w:hanging="360"/>
        <w:jc w:val="both"/>
      </w:pPr>
      <w:r>
        <w:rPr>
          <w:rFonts w:ascii="Arial" w:eastAsia="Arial" w:hAnsi="Arial" w:cs="Arial"/>
          <w:i/>
        </w:rPr>
        <w:t>Mª Dolores Melián Ramos. Representante de la asociación infantil municipal.</w:t>
      </w:r>
    </w:p>
    <w:p w:rsidR="00E23B86" w:rsidRDefault="00BA7C13">
      <w:pPr>
        <w:numPr>
          <w:ilvl w:val="2"/>
          <w:numId w:val="220"/>
        </w:numPr>
        <w:spacing w:after="24" w:line="251" w:lineRule="auto"/>
        <w:ind w:hanging="360"/>
        <w:jc w:val="both"/>
      </w:pPr>
      <w:r>
        <w:rPr>
          <w:rFonts w:ascii="Arial" w:eastAsia="Arial" w:hAnsi="Arial" w:cs="Arial"/>
          <w:i/>
        </w:rPr>
        <w:t>Ana Herrera Mora</w:t>
      </w:r>
      <w:r>
        <w:rPr>
          <w:rFonts w:ascii="Arial" w:eastAsia="Arial" w:hAnsi="Arial" w:cs="Arial"/>
          <w:i/>
        </w:rPr>
        <w:t>les. Técnico de Servicios Sociales, Igualdad y Sanidad.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19"/>
        </w:numPr>
        <w:spacing w:after="110" w:line="248" w:lineRule="auto"/>
        <w:ind w:hanging="360"/>
        <w:jc w:val="both"/>
      </w:pPr>
      <w:r>
        <w:rPr>
          <w:rFonts w:ascii="Arial" w:eastAsia="Arial" w:hAnsi="Arial" w:cs="Arial"/>
        </w:rPr>
        <w:t>Quinto. - Iniciar los trámites para incorporar al Reglamento Orgánico Municipal el Consejo Local de Infancia y Adolescencia.”</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92" w:line="250" w:lineRule="auto"/>
        <w:ind w:left="355" w:hanging="10"/>
        <w:jc w:val="both"/>
      </w:pPr>
      <w:r>
        <w:rPr>
          <w:rFonts w:ascii="Arial" w:eastAsia="Arial" w:hAnsi="Arial" w:cs="Arial"/>
          <w:b/>
          <w:sz w:val="24"/>
        </w:rPr>
        <w:t>8.-Expediente 1677/2020. Moción del Grupo Popular por RE 2666/2020 de 13 de febrero de 2020, en relación con la creación de puntos de prevención, sensibilización y atención ante posibles situaciones de agresión sexual y violencia de género.</w:t>
      </w:r>
    </w:p>
    <w:p w:rsidR="00E23B86" w:rsidRDefault="00BA7C13">
      <w:pPr>
        <w:spacing w:after="85" w:line="265" w:lineRule="auto"/>
        <w:ind w:left="-5" w:right="13" w:hanging="10"/>
      </w:pPr>
      <w:r>
        <w:rPr>
          <w:rFonts w:ascii="Segoe UI Symbol" w:eastAsia="Segoe UI Symbol" w:hAnsi="Segoe UI Symbol" w:cs="Segoe UI Symbol"/>
          <w:sz w:val="20"/>
        </w:rPr>
        <w:t></w:t>
      </w:r>
      <w:r>
        <w:rPr>
          <w:rFonts w:ascii="Arial" w:eastAsia="Arial" w:hAnsi="Arial" w:cs="Arial"/>
        </w:rPr>
        <w:t xml:space="preserve">  </w:t>
      </w:r>
    </w:p>
    <w:p w:rsidR="00E23B86" w:rsidRDefault="00BA7C13">
      <w:pPr>
        <w:numPr>
          <w:ilvl w:val="0"/>
          <w:numId w:val="221"/>
        </w:numPr>
        <w:spacing w:after="0" w:line="249" w:lineRule="auto"/>
        <w:ind w:right="4" w:hanging="360"/>
        <w:jc w:val="both"/>
      </w:pPr>
      <w:r>
        <w:rPr>
          <w:rFonts w:ascii="Arial" w:eastAsia="Arial" w:hAnsi="Arial" w:cs="Arial"/>
          <w:b/>
        </w:rPr>
        <w:t>Consta en el expediente electrónico la referida moción que se insertaliteralmente:</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13" w:line="248" w:lineRule="auto"/>
        <w:ind w:right="4" w:hanging="360"/>
        <w:jc w:val="both"/>
      </w:pPr>
      <w:r>
        <w:rPr>
          <w:rFonts w:ascii="Arial" w:eastAsia="Arial" w:hAnsi="Arial" w:cs="Arial"/>
          <w:b/>
        </w:rPr>
        <w:t>Raquel Martín Castro</w:t>
      </w:r>
      <w:r>
        <w:rPr>
          <w:rFonts w:ascii="Arial" w:eastAsia="Arial" w:hAnsi="Arial" w:cs="Arial"/>
        </w:rPr>
        <w:t xml:space="preserve">, concejala de este Excmo. Ayuntamiento y portavoz adjunta del grupo político municipal del </w:t>
      </w:r>
      <w:r>
        <w:rPr>
          <w:rFonts w:ascii="Arial" w:eastAsia="Arial" w:hAnsi="Arial" w:cs="Arial"/>
          <w:b/>
        </w:rPr>
        <w:t>Partido Popular</w:t>
      </w:r>
      <w:r>
        <w:rPr>
          <w:rFonts w:ascii="Arial" w:eastAsia="Arial" w:hAnsi="Arial" w:cs="Arial"/>
        </w:rPr>
        <w:t xml:space="preserve"> </w:t>
      </w:r>
      <w:r>
        <w:rPr>
          <w:rFonts w:ascii="Arial" w:eastAsia="Arial" w:hAnsi="Arial" w:cs="Arial"/>
          <w:b/>
        </w:rPr>
        <w:t>en Candelaria</w:t>
      </w:r>
      <w:r>
        <w:rPr>
          <w:rFonts w:ascii="Arial" w:eastAsia="Arial" w:hAnsi="Arial" w:cs="Arial"/>
        </w:rPr>
        <w:t>, en nombre y representación de este, al amparo de lo establecido en los arts. 91.4 y 97.3 del vigente Reglamento de Organización, Funcionamiento y Régimen Jurídico de las Entidades Locales (Real Decreto 2568/86, de 28 de noviembre), somete a la considerac</w:t>
      </w:r>
      <w:r>
        <w:rPr>
          <w:rFonts w:ascii="Arial" w:eastAsia="Arial" w:hAnsi="Arial" w:cs="Arial"/>
        </w:rPr>
        <w:t>ión del Pleno de la Corporación Municipal, para su debate y aprobación, si procede, la siguiente:</w:t>
      </w:r>
    </w:p>
    <w:p w:rsidR="00E23B86" w:rsidRDefault="00BA7C13">
      <w:pPr>
        <w:spacing w:after="66" w:line="265" w:lineRule="auto"/>
        <w:ind w:left="-5" w:right="13" w:hanging="10"/>
      </w:pPr>
      <w:r>
        <w:rPr>
          <w:rFonts w:ascii="Segoe UI Symbol" w:eastAsia="Segoe UI Symbol" w:hAnsi="Segoe UI Symbol" w:cs="Segoe UI Symbol"/>
          <w:sz w:val="20"/>
        </w:rPr>
        <w:t></w:t>
      </w:r>
    </w:p>
    <w:p w:rsidR="00E23B86" w:rsidRDefault="00BA7C13">
      <w:pPr>
        <w:spacing w:after="47"/>
        <w:ind w:left="10" w:right="268" w:hanging="10"/>
        <w:jc w:val="center"/>
      </w:pPr>
      <w:r>
        <w:rPr>
          <w:rFonts w:ascii="Segoe UI Symbol" w:eastAsia="Segoe UI Symbol" w:hAnsi="Segoe UI Symbol" w:cs="Segoe UI Symbol"/>
          <w:sz w:val="20"/>
        </w:rPr>
        <w:t></w:t>
      </w:r>
    </w:p>
    <w:p w:rsidR="00E23B86" w:rsidRDefault="00BA7C13">
      <w:pPr>
        <w:numPr>
          <w:ilvl w:val="0"/>
          <w:numId w:val="221"/>
        </w:numPr>
        <w:spacing w:after="0" w:line="240" w:lineRule="auto"/>
        <w:ind w:right="4" w:hanging="360"/>
        <w:jc w:val="both"/>
      </w:pPr>
      <w:r>
        <w:rPr>
          <w:noProof/>
        </w:rPr>
        <mc:AlternateContent>
          <mc:Choice Requires="wpg">
            <w:drawing>
              <wp:anchor distT="0" distB="0" distL="114300" distR="114300" simplePos="0" relativeHeight="2520340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2654" name="Group 592654"/>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830" name="Rectangle 5583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5831" name="Rectangle 5583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w:t>
                              </w:r>
                              <w:r>
                                <w:rPr>
                                  <w:rFonts w:ascii="Arial" w:eastAsia="Arial" w:hAnsi="Arial" w:cs="Arial"/>
                                  <w:sz w:val="12"/>
                                </w:rPr>
                                <w:t xml:space="preserve">rma esPublico Gestiona | Página 365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2654" style="width:12.7031pt;height:280.35pt;position:absolute;mso-position-horizontal-relative:page;mso-position-horizontal:absolute;margin-left:681.958pt;mso-position-vertical-relative:page;margin-top:531.65pt;" coordsize="1613,35604">
                <v:rect id="Rectangle 5583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83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365 de 391 </w:t>
                        </w:r>
                      </w:p>
                    </w:txbxContent>
                  </v:textbox>
                </v:rect>
                <w10:wrap type="square"/>
              </v:group>
            </w:pict>
          </mc:Fallback>
        </mc:AlternateContent>
      </w:r>
      <w:r>
        <w:rPr>
          <w:rFonts w:ascii="Arial" w:eastAsia="Arial" w:hAnsi="Arial" w:cs="Arial"/>
          <w:b/>
          <w:sz w:val="28"/>
        </w:rPr>
        <w:t>MOCIÓN DEL GRUPO POPULAR EN EL AYUNTAMIENTO DE CANDELARIA, EN RELACIÓN CON LA CREACIÓN DE PUNTOS DE PREVENCIÓN, SENSIBILIZACIÓN Y ATENCIÓN ANTE POSIBLES SITUACIONES DE AGRESIÓN SEXUAL Y VIOLENCIA DE GÉNERO: PUNTO</w:t>
      </w:r>
      <w:r>
        <w:rPr>
          <w:rFonts w:ascii="Arial" w:eastAsia="Arial" w:hAnsi="Arial" w:cs="Arial"/>
          <w:b/>
          <w:sz w:val="28"/>
        </w:rPr>
        <w:t>S VIOLETA EN EVENTOS MUNICIPALES.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0" w:line="265" w:lineRule="auto"/>
        <w:ind w:right="4" w:hanging="360"/>
        <w:jc w:val="both"/>
      </w:pPr>
      <w:r>
        <w:rPr>
          <w:rFonts w:ascii="Arial" w:eastAsia="Arial" w:hAnsi="Arial" w:cs="Arial"/>
          <w:b/>
          <w:sz w:val="24"/>
        </w:rPr>
        <w:t>EXPOSICIÓN DE MOTIVOS</w:t>
      </w:r>
    </w:p>
    <w:p w:rsidR="00E23B86" w:rsidRDefault="00BA7C13">
      <w:pPr>
        <w:spacing w:after="0"/>
        <w:ind w:left="10" w:right="268" w:hanging="10"/>
        <w:jc w:val="center"/>
      </w:pPr>
      <w:r>
        <w:rPr>
          <w:rFonts w:ascii="Segoe UI Symbol" w:eastAsia="Segoe UI Symbol" w:hAnsi="Segoe UI Symbol" w:cs="Segoe UI Symbol"/>
          <w:sz w:val="20"/>
        </w:rPr>
        <w:t></w:t>
      </w:r>
    </w:p>
    <w:p w:rsidR="00E23B86" w:rsidRDefault="00BA7C13">
      <w:pPr>
        <w:numPr>
          <w:ilvl w:val="0"/>
          <w:numId w:val="221"/>
        </w:numPr>
        <w:spacing w:after="0" w:line="248" w:lineRule="auto"/>
        <w:ind w:right="4" w:hanging="360"/>
        <w:jc w:val="both"/>
      </w:pPr>
      <w:r>
        <w:rPr>
          <w:rFonts w:ascii="Arial" w:eastAsia="Arial" w:hAnsi="Arial" w:cs="Arial"/>
        </w:rPr>
        <w:t>La Organización Mundial de la Salud ha establecido la siguiente definición de violencia sexual: “Todo acto sexual, la tentativa de consumar un acto sexual, los comentarios o insinuaciones sexuales no deseados, o las acciones para comercializar o utilizar d</w:t>
      </w:r>
      <w:r>
        <w:rPr>
          <w:rFonts w:ascii="Arial" w:eastAsia="Arial" w:hAnsi="Arial" w:cs="Arial"/>
        </w:rPr>
        <w:t>e cualquier otro modo la sexualidad de una persona mediante coacción por otra persona, independientemente de la relación de esta con la víctima, en cualquier ámbito, incluidos el hogar y el lugar de trabajo” (OMS, 2011).</w:t>
      </w:r>
    </w:p>
    <w:p w:rsidR="00E23B86" w:rsidRDefault="00BA7C13">
      <w:pPr>
        <w:numPr>
          <w:ilvl w:val="0"/>
          <w:numId w:val="221"/>
        </w:numPr>
        <w:spacing w:after="0" w:line="248" w:lineRule="auto"/>
        <w:ind w:right="4" w:hanging="360"/>
        <w:jc w:val="both"/>
      </w:pPr>
      <w:r>
        <w:rPr>
          <w:rFonts w:ascii="Arial" w:eastAsia="Arial" w:hAnsi="Arial" w:cs="Arial"/>
        </w:rPr>
        <w:t xml:space="preserve">Con respecto a los actos concretos </w:t>
      </w:r>
      <w:r>
        <w:rPr>
          <w:rFonts w:ascii="Arial" w:eastAsia="Arial" w:hAnsi="Arial" w:cs="Arial"/>
        </w:rPr>
        <w:t>que se consideran violencias sexuales, la misma organización determina que abarcan desde el acoso verbal hasta la penetración forzada y una variedad de tipos de coacción, desde la presión social y la intimidación hasta la fuerza física (OMS, 2013).</w:t>
      </w:r>
    </w:p>
    <w:p w:rsidR="00E23B86" w:rsidRDefault="00BA7C13">
      <w:pPr>
        <w:numPr>
          <w:ilvl w:val="0"/>
          <w:numId w:val="221"/>
        </w:numPr>
        <w:spacing w:after="0" w:line="248" w:lineRule="auto"/>
        <w:ind w:right="4" w:hanging="360"/>
        <w:jc w:val="both"/>
      </w:pPr>
      <w:r>
        <w:rPr>
          <w:rFonts w:ascii="Arial" w:eastAsia="Arial" w:hAnsi="Arial" w:cs="Arial"/>
        </w:rPr>
        <w:t>En el m</w:t>
      </w:r>
      <w:r>
        <w:rPr>
          <w:rFonts w:ascii="Arial" w:eastAsia="Arial" w:hAnsi="Arial" w:cs="Arial"/>
        </w:rPr>
        <w:t>arco legal español, concretamente en la Ley Orgánica 10/1995, de 23 de noviembre, del Código Penal, se describen en su Título VIII los Delitos contra la libertad e indemnidad sexuales.</w:t>
      </w:r>
    </w:p>
    <w:p w:rsidR="00E23B86" w:rsidRDefault="00BA7C13">
      <w:pPr>
        <w:numPr>
          <w:ilvl w:val="0"/>
          <w:numId w:val="221"/>
        </w:numPr>
        <w:spacing w:after="0" w:line="248" w:lineRule="auto"/>
        <w:ind w:right="4" w:hanging="360"/>
        <w:jc w:val="both"/>
      </w:pPr>
      <w:r>
        <w:rPr>
          <w:rFonts w:ascii="Arial" w:eastAsia="Arial" w:hAnsi="Arial" w:cs="Arial"/>
        </w:rPr>
        <w:t>Con respecto a las conductas tipificadas penalmente, encontramos como c</w:t>
      </w:r>
      <w:r>
        <w:rPr>
          <w:rFonts w:ascii="Arial" w:eastAsia="Arial" w:hAnsi="Arial" w:cs="Arial"/>
        </w:rPr>
        <w:t>onductas que atentan contra la libertad y la indemnidad sexual las siguientes:</w:t>
      </w:r>
    </w:p>
    <w:p w:rsidR="00E23B86" w:rsidRDefault="00BA7C13">
      <w:pPr>
        <w:numPr>
          <w:ilvl w:val="0"/>
          <w:numId w:val="221"/>
        </w:numPr>
        <w:spacing w:after="110" w:line="248" w:lineRule="auto"/>
        <w:ind w:right="4" w:hanging="360"/>
        <w:jc w:val="both"/>
      </w:pPr>
      <w:r>
        <w:rPr>
          <w:rFonts w:ascii="Arial" w:eastAsia="Arial" w:hAnsi="Arial" w:cs="Arial"/>
        </w:rPr>
        <w:t>La agresión sexual se define en el artículo 178 como aquellos actos que atentan contra la libertad sexual, mediante el uso de la violencia o la intimidación.</w:t>
      </w:r>
    </w:p>
    <w:p w:rsidR="00E23B86" w:rsidRDefault="00E23B86">
      <w:pPr>
        <w:sectPr w:rsidR="00E23B86">
          <w:headerReference w:type="even" r:id="rId126"/>
          <w:headerReference w:type="default" r:id="rId127"/>
          <w:footerReference w:type="even" r:id="rId128"/>
          <w:footerReference w:type="default" r:id="rId129"/>
          <w:headerReference w:type="first" r:id="rId130"/>
          <w:footerReference w:type="first" r:id="rId131"/>
          <w:pgSz w:w="14168" w:h="16840"/>
          <w:pgMar w:top="2003" w:right="2826" w:bottom="1433" w:left="3198" w:header="712" w:footer="712" w:gutter="0"/>
          <w:cols w:space="720"/>
          <w:titlePg/>
        </w:sectPr>
      </w:pPr>
    </w:p>
    <w:p w:rsidR="00E23B86" w:rsidRDefault="00BA7C13">
      <w:pPr>
        <w:spacing w:after="173" w:line="248" w:lineRule="auto"/>
        <w:ind w:left="373" w:right="3" w:hanging="10"/>
        <w:jc w:val="both"/>
      </w:pPr>
      <w:r>
        <w:rPr>
          <w:rFonts w:ascii="Arial" w:eastAsia="Arial" w:hAnsi="Arial" w:cs="Arial"/>
        </w:rPr>
        <w:t>La violencia, artículo 179, se describe como una agresión sexual agravada que consiste en el acceso carnal por vía vaginal, anal o bucal, o introducción de miembros corporales u objetos por alguna de las dos primeras vías.</w:t>
      </w:r>
    </w:p>
    <w:p w:rsidR="00E23B86" w:rsidRDefault="00BA7C13">
      <w:pPr>
        <w:numPr>
          <w:ilvl w:val="0"/>
          <w:numId w:val="221"/>
        </w:numPr>
        <w:spacing w:after="168" w:line="248" w:lineRule="auto"/>
        <w:ind w:right="4" w:hanging="360"/>
        <w:jc w:val="both"/>
      </w:pPr>
      <w:r>
        <w:rPr>
          <w:rFonts w:ascii="Arial" w:eastAsia="Arial" w:hAnsi="Arial" w:cs="Arial"/>
        </w:rPr>
        <w:t xml:space="preserve">El abuso sexual, artículos 181 y 182, son comportamientos contra la integridad sexual realizados sin el uso de la fuerza o la intimidación y sin el consentimiento de la víctima. </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0" w:line="248" w:lineRule="auto"/>
        <w:ind w:right="4" w:hanging="360"/>
        <w:jc w:val="both"/>
      </w:pPr>
      <w:r>
        <w:rPr>
          <w:rFonts w:ascii="Arial" w:eastAsia="Arial" w:hAnsi="Arial" w:cs="Arial"/>
        </w:rPr>
        <w:t>Como conductas que atentan contra la dignidad de las personas, encontramo</w:t>
      </w:r>
      <w:r>
        <w:rPr>
          <w:rFonts w:ascii="Arial" w:eastAsia="Arial" w:hAnsi="Arial" w:cs="Arial"/>
        </w:rPr>
        <w:t>s tipificados los comportamientos siguientes:</w:t>
      </w:r>
    </w:p>
    <w:p w:rsidR="00E23B86" w:rsidRDefault="00BA7C13">
      <w:pPr>
        <w:numPr>
          <w:ilvl w:val="0"/>
          <w:numId w:val="221"/>
        </w:numPr>
        <w:spacing w:after="172" w:line="248" w:lineRule="auto"/>
        <w:ind w:right="4" w:hanging="360"/>
        <w:jc w:val="both"/>
      </w:pPr>
      <w:r>
        <w:rPr>
          <w:rFonts w:ascii="Arial" w:eastAsia="Arial" w:hAnsi="Arial" w:cs="Arial"/>
        </w:rPr>
        <w:t>El acoso sexual, artículo 184, comprende aquellos actos de contenido sexual dirigidos a dañar la integridad y dignidad de la víctima, en el contexto de una relación laboral, educativa o mercantil.</w:t>
      </w:r>
    </w:p>
    <w:p w:rsidR="00E23B86" w:rsidRDefault="00BA7C13">
      <w:pPr>
        <w:numPr>
          <w:ilvl w:val="0"/>
          <w:numId w:val="221"/>
        </w:numPr>
        <w:spacing w:after="0" w:line="248" w:lineRule="auto"/>
        <w:ind w:right="4" w:hanging="360"/>
        <w:jc w:val="both"/>
      </w:pPr>
      <w:r>
        <w:rPr>
          <w:rFonts w:ascii="Arial" w:eastAsia="Arial" w:hAnsi="Arial" w:cs="Arial"/>
        </w:rPr>
        <w:t xml:space="preserve">La Comunidad </w:t>
      </w:r>
      <w:r>
        <w:rPr>
          <w:rFonts w:ascii="Arial" w:eastAsia="Arial" w:hAnsi="Arial" w:cs="Arial"/>
        </w:rPr>
        <w:t>Autónoma de Canarias, dispone de dos instrumentos normativos fundamentales: la Ley 16/2003, de 8 de abril, de Prevención y Protección Integral de las Mujeres contra la Violencia de Género y la Ley 1/2010, de 26 de febrero, Canaria de Igualdad entre Mujeres</w:t>
      </w:r>
      <w:r>
        <w:rPr>
          <w:rFonts w:ascii="Arial" w:eastAsia="Arial" w:hAnsi="Arial" w:cs="Arial"/>
        </w:rPr>
        <w:t xml:space="preserve"> y Hombres. </w:t>
      </w:r>
    </w:p>
    <w:p w:rsidR="00E23B86" w:rsidRDefault="00BA7C13">
      <w:pPr>
        <w:numPr>
          <w:ilvl w:val="0"/>
          <w:numId w:val="221"/>
        </w:numPr>
        <w:spacing w:after="0" w:line="248" w:lineRule="auto"/>
        <w:ind w:right="4" w:hanging="360"/>
        <w:jc w:val="both"/>
      </w:pPr>
      <w:r>
        <w:rPr>
          <w:noProof/>
        </w:rPr>
        <mc:AlternateContent>
          <mc:Choice Requires="wpg">
            <w:drawing>
              <wp:anchor distT="0" distB="0" distL="114300" distR="114300" simplePos="0" relativeHeight="2520350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2865" name="Group 59286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914" name="Rectangle 5591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5915" name="Rectangle 5591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366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2865" style="width:12.7031pt;height:280.35pt;position:absolute;mso-position-horizontal-relative:page;mso-position-horizontal:absolute;margin-left:681.958pt;mso-position-vertical-relative:page;margin-top:531.65pt;" coordsize="1613,35604">
                <v:rect id="Rectangle 5591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91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366 de 391 </w:t>
                        </w:r>
                      </w:p>
                    </w:txbxContent>
                  </v:textbox>
                </v:rect>
                <w10:wrap type="square"/>
              </v:group>
            </w:pict>
          </mc:Fallback>
        </mc:AlternateContent>
      </w:r>
      <w:r>
        <w:rPr>
          <w:rFonts w:ascii="Arial" w:eastAsia="Arial" w:hAnsi="Arial" w:cs="Arial"/>
        </w:rPr>
        <w:t xml:space="preserve">Entre las diferentes medidas adoptadas en el </w:t>
      </w:r>
      <w:r>
        <w:rPr>
          <w:rFonts w:ascii="Arial" w:eastAsia="Arial" w:hAnsi="Arial" w:cs="Arial"/>
        </w:rPr>
        <w:t>Pacto de Estado, están la de “desarrollar campañas de prevención y sensibilización con mensajes positivos, unitarios y adaptados a las exigencias de cada momento, implicando a la sociedad en su conjunto y eligiendo los momentos más favorables para su difus</w:t>
      </w:r>
      <w:r>
        <w:rPr>
          <w:rFonts w:ascii="Arial" w:eastAsia="Arial" w:hAnsi="Arial" w:cs="Arial"/>
        </w:rPr>
        <w:t>ión” e “implicar a las Entidades Locales en la elaboración de materiales, campañas y protocolos de actuación, que incidan en la necesidad de establecer puntos seguros y de información sobre violencia sexual, en espacios públicos”.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4" w:line="250" w:lineRule="auto"/>
        <w:ind w:right="4" w:hanging="360"/>
        <w:jc w:val="both"/>
      </w:pPr>
      <w:r>
        <w:rPr>
          <w:rFonts w:ascii="Arial" w:eastAsia="Arial" w:hAnsi="Arial" w:cs="Arial"/>
        </w:rPr>
        <w:t>Asimismo, existe una Le</w:t>
      </w:r>
      <w:r>
        <w:rPr>
          <w:rFonts w:ascii="Arial" w:eastAsia="Arial" w:hAnsi="Arial" w:cs="Arial"/>
        </w:rPr>
        <w:t>y Orgánica 1/2004, de 28 de diciembre, de Medidas de Protección Integral contra la violencia de género que en su artículo 1 recoge lo siguiente “</w:t>
      </w:r>
      <w:r>
        <w:rPr>
          <w:rFonts w:ascii="Arial" w:eastAsia="Arial" w:hAnsi="Arial" w:cs="Arial"/>
          <w:i/>
        </w:rPr>
        <w:t>La presente Ley</w:t>
      </w:r>
      <w:r>
        <w:rPr>
          <w:rFonts w:ascii="Arial" w:eastAsia="Arial" w:hAnsi="Arial" w:cs="Arial"/>
        </w:rPr>
        <w:t xml:space="preserve"> </w:t>
      </w:r>
      <w:r>
        <w:rPr>
          <w:rFonts w:ascii="Arial" w:eastAsia="Arial" w:hAnsi="Arial" w:cs="Arial"/>
          <w:i/>
        </w:rPr>
        <w:t>tiene por objeto actuar contra la violencia que, como manifestación de</w:t>
      </w:r>
      <w:r>
        <w:rPr>
          <w:rFonts w:ascii="Arial" w:eastAsia="Arial" w:hAnsi="Arial" w:cs="Arial"/>
          <w:i/>
          <w:color w:val="222222"/>
        </w:rPr>
        <w:t xml:space="preserve"> la discriminación, situa</w:t>
      </w:r>
      <w:r>
        <w:rPr>
          <w:rFonts w:ascii="Arial" w:eastAsia="Arial" w:hAnsi="Arial" w:cs="Arial"/>
          <w:i/>
          <w:color w:val="222222"/>
        </w:rPr>
        <w:t>ción de desigualdad y las relaciones de poder de los hombres sobre las mujeres”.</w:t>
      </w:r>
      <w:r>
        <w:rPr>
          <w:rFonts w:ascii="Arial" w:eastAsia="Arial" w:hAnsi="Arial" w:cs="Arial"/>
          <w:color w:val="222222"/>
        </w:rPr>
        <w:t xml:space="preserve">  La violencia de género a que se refiere esta Ley comprende todo acto de violencia física y psicológica, incluidas las agresiones a la libertad sexual, las amenazas, las coacc</w:t>
      </w:r>
      <w:r>
        <w:rPr>
          <w:rFonts w:ascii="Arial" w:eastAsia="Arial" w:hAnsi="Arial" w:cs="Arial"/>
          <w:color w:val="222222"/>
        </w:rPr>
        <w:t>iones o la privación arbitraria de libertad.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0" w:line="248" w:lineRule="auto"/>
        <w:ind w:right="4" w:hanging="360"/>
        <w:jc w:val="both"/>
      </w:pPr>
      <w:r>
        <w:rPr>
          <w:rFonts w:ascii="Arial" w:eastAsia="Arial" w:hAnsi="Arial" w:cs="Arial"/>
        </w:rPr>
        <w:t xml:space="preserve">El municipio de Candelaria tiene grandes eventos y numerosas fiestas a lo largo del año, especialmente en verano, navidades y en carnavales. Estos eventos multitudinarios tienen seguridad, pero no cuentan con </w:t>
      </w:r>
      <w:r>
        <w:rPr>
          <w:rFonts w:ascii="Arial" w:eastAsia="Arial" w:hAnsi="Arial" w:cs="Arial"/>
        </w:rPr>
        <w:t>espacios específicos para prevenir, asesorar, arropar e incluso evitar las agresiones de violencia que pudieran ocurrir, donde el alcohol y las aglomeraciones de personas sirven de pretexto para que se produzcan abusos y agresiones físicas o verbales de ca</w:t>
      </w:r>
      <w:r>
        <w:rPr>
          <w:rFonts w:ascii="Arial" w:eastAsia="Arial" w:hAnsi="Arial" w:cs="Arial"/>
        </w:rPr>
        <w:t>rácter sexual durante las fiestas.</w:t>
      </w:r>
    </w:p>
    <w:p w:rsidR="00E23B86" w:rsidRDefault="00BA7C13">
      <w:pPr>
        <w:numPr>
          <w:ilvl w:val="0"/>
          <w:numId w:val="221"/>
        </w:numPr>
        <w:spacing w:after="110" w:line="248" w:lineRule="auto"/>
        <w:ind w:right="4" w:hanging="360"/>
        <w:jc w:val="both"/>
      </w:pPr>
      <w:r>
        <w:rPr>
          <w:rFonts w:ascii="Arial" w:eastAsia="Arial" w:hAnsi="Arial" w:cs="Arial"/>
        </w:rPr>
        <w:t xml:space="preserve">En numerosas ciudades se han creado unos espacios que cuentan con profesionales en violencia de género y son llamados “PUNTO VIOLETA”, que es el nombre que se les da a los espacios seguros a los que se puede acudir a denunciar cualquier tipo de agresión o </w:t>
      </w:r>
      <w:r>
        <w:rPr>
          <w:rFonts w:ascii="Arial" w:eastAsia="Arial" w:hAnsi="Arial" w:cs="Arial"/>
        </w:rPr>
        <w:t>violencia tanto física como vejatoria, pedir asesoramiento o ayuda ante abusos o discriminaciones. Cuentan con un protocolo establecido con el resto de la organización contra las agresiones y acosos sexuales en espacios de ocio, para poder atender a las pe</w:t>
      </w:r>
      <w:r>
        <w:rPr>
          <w:rFonts w:ascii="Arial" w:eastAsia="Arial" w:hAnsi="Arial" w:cs="Arial"/>
        </w:rPr>
        <w:t>rsonas afectadas y ofrecerles toda la ayuda y todo el apoyo posible.</w:t>
      </w:r>
    </w:p>
    <w:p w:rsidR="00E23B86" w:rsidRDefault="00BA7C13">
      <w:pPr>
        <w:spacing w:after="0" w:line="248" w:lineRule="auto"/>
        <w:ind w:left="373" w:right="10" w:hanging="10"/>
        <w:jc w:val="both"/>
      </w:pPr>
      <w:r>
        <w:rPr>
          <w:rFonts w:ascii="Arial" w:eastAsia="Arial" w:hAnsi="Arial" w:cs="Arial"/>
        </w:rPr>
        <w:t>Este protocolo se basa en un funcionamiento que pasa, primero, por tranquilizar a la víctima. Después esta tiene que contar a los profesionales del stand o establecimiento lo que ha ocurr</w:t>
      </w:r>
      <w:r>
        <w:rPr>
          <w:rFonts w:ascii="Arial" w:eastAsia="Arial" w:hAnsi="Arial" w:cs="Arial"/>
        </w:rPr>
        <w:t xml:space="preserve">ido y describir al agresor, y ellos darán parte al servicio de seguridad para tratar de identificarlo. </w:t>
      </w:r>
    </w:p>
    <w:p w:rsidR="00E23B86" w:rsidRDefault="00BA7C13">
      <w:pPr>
        <w:numPr>
          <w:ilvl w:val="0"/>
          <w:numId w:val="221"/>
        </w:numPr>
        <w:spacing w:after="0" w:line="248" w:lineRule="auto"/>
        <w:ind w:right="4" w:hanging="360"/>
        <w:jc w:val="both"/>
      </w:pPr>
      <w:r>
        <w:rPr>
          <w:rFonts w:ascii="Arial" w:eastAsia="Arial" w:hAnsi="Arial" w:cs="Arial"/>
        </w:rPr>
        <w:t xml:space="preserve">El resto del procedimiento ya depende de las autoridades. Es un protocolo interno en el que entrarán en funcionamiento todos los mecanismos para que la </w:t>
      </w:r>
      <w:r>
        <w:rPr>
          <w:rFonts w:ascii="Arial" w:eastAsia="Arial" w:hAnsi="Arial" w:cs="Arial"/>
        </w:rPr>
        <w:t>persona se sienta apoyada, acogida y resolver la situación lo más rápido posible.</w:t>
      </w:r>
    </w:p>
    <w:p w:rsidR="00E23B86" w:rsidRDefault="00BA7C13">
      <w:pPr>
        <w:numPr>
          <w:ilvl w:val="0"/>
          <w:numId w:val="221"/>
        </w:numPr>
        <w:spacing w:after="0" w:line="248" w:lineRule="auto"/>
        <w:ind w:right="4" w:hanging="360"/>
        <w:jc w:val="both"/>
      </w:pPr>
      <w:r>
        <w:rPr>
          <w:rFonts w:ascii="Arial" w:eastAsia="Arial" w:hAnsi="Arial" w:cs="Arial"/>
        </w:rPr>
        <w:t>Estos espacios también pueden contar con material informativo que explique los derechos y recomendaciones a la hora de actuar en caso de que alguna persona impida la libertad</w:t>
      </w:r>
      <w:r>
        <w:rPr>
          <w:rFonts w:ascii="Arial" w:eastAsia="Arial" w:hAnsi="Arial" w:cs="Arial"/>
        </w:rPr>
        <w:t xml:space="preserve"> sexual de otra obligándole a hacer o soportar actos que resultan hostiles o degradantes o que puedan causar daño físico. Creemos que este tipo de iniciativas deben empezar a tener cabida en nuestro municipio, al menos en los eventos multitudinarios que el</w:t>
      </w:r>
      <w:r>
        <w:rPr>
          <w:rFonts w:ascii="Arial" w:eastAsia="Arial" w:hAnsi="Arial" w:cs="Arial"/>
        </w:rPr>
        <w:t xml:space="preserve"> propio Ayuntamiento organiza.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51" w:line="248" w:lineRule="auto"/>
        <w:ind w:right="4" w:hanging="360"/>
        <w:jc w:val="both"/>
      </w:pPr>
      <w:r>
        <w:rPr>
          <w:rFonts w:ascii="Arial" w:eastAsia="Arial" w:hAnsi="Arial" w:cs="Arial"/>
        </w:rPr>
        <w:t>Por todo lo expuesto anteriormente, el Grupo Municipal Popular en el Ayuntamiento de Candelaria eleva al Pleno de la Corporación la adopción del siguiente acuerdo: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0" w:line="265" w:lineRule="auto"/>
        <w:ind w:right="4" w:hanging="360"/>
        <w:jc w:val="both"/>
      </w:pPr>
      <w:r>
        <w:rPr>
          <w:rFonts w:ascii="Arial" w:eastAsia="Arial" w:hAnsi="Arial" w:cs="Arial"/>
          <w:b/>
          <w:sz w:val="24"/>
        </w:rPr>
        <w:t>ACUERDO</w:t>
      </w:r>
    </w:p>
    <w:p w:rsidR="00E23B86" w:rsidRDefault="00BA7C13">
      <w:pPr>
        <w:spacing w:after="0"/>
        <w:ind w:left="10" w:right="266" w:hanging="10"/>
        <w:jc w:val="center"/>
      </w:pPr>
      <w:r>
        <w:rPr>
          <w:rFonts w:ascii="Segoe UI Symbol" w:eastAsia="Segoe UI Symbol" w:hAnsi="Segoe UI Symbol" w:cs="Segoe UI Symbol"/>
          <w:sz w:val="20"/>
        </w:rPr>
        <w:t></w:t>
      </w:r>
    </w:p>
    <w:p w:rsidR="00E23B86" w:rsidRDefault="00BA7C13">
      <w:pPr>
        <w:numPr>
          <w:ilvl w:val="0"/>
          <w:numId w:val="221"/>
        </w:numPr>
        <w:spacing w:after="0" w:line="248" w:lineRule="auto"/>
        <w:ind w:right="4" w:hanging="360"/>
        <w:jc w:val="both"/>
      </w:pPr>
      <w:r>
        <w:rPr>
          <w:noProof/>
        </w:rPr>
        <mc:AlternateContent>
          <mc:Choice Requires="wpg">
            <w:drawing>
              <wp:anchor distT="0" distB="0" distL="114300" distR="114300" simplePos="0" relativeHeight="25203609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3105" name="Group 59310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5990" name="Rectangle 5599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5991" name="Rectangle 5599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367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3105" style="width:12.7031pt;height:280.35pt;position:absolute;mso-position-horizontal-relative:page;mso-position-horizontal:absolute;margin-left:681.958pt;mso-position-vertical-relative:page;margin-top:531.65pt;" coordsize="1613,35604">
                <v:rect id="Rectangle 5599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599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367 de 391 </w:t>
                        </w:r>
                      </w:p>
                    </w:txbxContent>
                  </v:textbox>
                </v:rect>
                <w10:wrap type="square"/>
              </v:group>
            </w:pict>
          </mc:Fallback>
        </mc:AlternateContent>
      </w:r>
      <w:r>
        <w:rPr>
          <w:rFonts w:ascii="Arial" w:eastAsia="Arial" w:hAnsi="Arial" w:cs="Arial"/>
          <w:b/>
        </w:rPr>
        <w:t xml:space="preserve">ÚNICO: </w:t>
      </w:r>
      <w:r>
        <w:rPr>
          <w:rFonts w:ascii="Arial" w:eastAsia="Arial" w:hAnsi="Arial" w:cs="Arial"/>
        </w:rPr>
        <w:t>El Ayuntamiento de Candelaria estudiará, si aún no lo ha hecho, y de haberlo contemplado ya, que se materialice, la puesta en marcha de Puntos Violeta en los grandes eventos y fiestas que organiza, como espacios de prevención, sensibilización y de atención</w:t>
      </w:r>
      <w:r>
        <w:rPr>
          <w:rFonts w:ascii="Arial" w:eastAsia="Arial" w:hAnsi="Arial" w:cs="Arial"/>
        </w:rPr>
        <w:t xml:space="preserve"> a aquellas personas que hubiesen sufrido algún tipo de agresión sexual o que se encuentren en riesgo de sufrirlo, así como víctimas o posibles víctimas de violencia de género, dotando de espacios que deben contar con profesionales cualificados y con un pr</w:t>
      </w:r>
      <w:r>
        <w:rPr>
          <w:rFonts w:ascii="Arial" w:eastAsia="Arial" w:hAnsi="Arial" w:cs="Arial"/>
        </w:rPr>
        <w:t>otocolo de actuación para atender a las posibles víctimas de forma coordinada con el resto de servicios públicos. Además, se informará a los establecimientos del Municipio de esta campaña para que puedan adherirse a la misma para el caso de estarse produci</w:t>
      </w:r>
      <w:r>
        <w:rPr>
          <w:rFonts w:ascii="Arial" w:eastAsia="Arial" w:hAnsi="Arial" w:cs="Arial"/>
        </w:rPr>
        <w:t>endo algún acto constitutivo de delito de agresión sexual o violencia sobre la mujer, que las mismas puedan saber que ese lugar es seguro y que van a recibir la protección que necesiten alertando de inmediato a las Fuerzas y Cuerpo de Seguridad.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0"/>
        <w:ind w:left="10" w:right="266" w:hanging="10"/>
        <w:jc w:val="center"/>
      </w:pPr>
      <w:r>
        <w:rPr>
          <w:rFonts w:ascii="Segoe UI Symbol" w:eastAsia="Segoe UI Symbol" w:hAnsi="Segoe UI Symbol" w:cs="Segoe UI Symbol"/>
          <w:sz w:val="20"/>
        </w:rPr>
        <w:t></w:t>
      </w:r>
    </w:p>
    <w:p w:rsidR="00E23B86" w:rsidRDefault="00BA7C13">
      <w:pPr>
        <w:numPr>
          <w:ilvl w:val="0"/>
          <w:numId w:val="221"/>
        </w:numPr>
        <w:spacing w:after="0" w:line="265" w:lineRule="auto"/>
        <w:ind w:right="4" w:hanging="360"/>
        <w:jc w:val="both"/>
      </w:pPr>
      <w:r>
        <w:rPr>
          <w:rFonts w:ascii="Arial" w:eastAsia="Arial" w:hAnsi="Arial" w:cs="Arial"/>
        </w:rPr>
        <w:t>En Can</w:t>
      </w:r>
      <w:r>
        <w:rPr>
          <w:rFonts w:ascii="Arial" w:eastAsia="Arial" w:hAnsi="Arial" w:cs="Arial"/>
        </w:rPr>
        <w:t>delaria, a 13 de febrero de 2020</w:t>
      </w:r>
    </w:p>
    <w:p w:rsidR="00E23B86" w:rsidRDefault="00BA7C13">
      <w:pPr>
        <w:spacing w:after="0"/>
        <w:ind w:left="10" w:right="266" w:hanging="10"/>
        <w:jc w:val="center"/>
      </w:pPr>
      <w:r>
        <w:rPr>
          <w:rFonts w:ascii="Segoe UI Symbol" w:eastAsia="Segoe UI Symbol" w:hAnsi="Segoe UI Symbol" w:cs="Segoe UI Symbol"/>
          <w:sz w:val="20"/>
        </w:rPr>
        <w:t></w:t>
      </w:r>
    </w:p>
    <w:p w:rsidR="00E23B86" w:rsidRDefault="00BA7C13">
      <w:pPr>
        <w:spacing w:after="0"/>
        <w:ind w:left="10" w:right="450" w:hanging="10"/>
        <w:jc w:val="center"/>
      </w:pPr>
      <w:r>
        <w:rPr>
          <w:rFonts w:ascii="Segoe UI Symbol" w:eastAsia="Segoe UI Symbol" w:hAnsi="Segoe UI Symbol" w:cs="Segoe UI Symbol"/>
          <w:sz w:val="20"/>
        </w:rPr>
        <w:t></w:t>
      </w:r>
      <w:r>
        <w:rPr>
          <w:rFonts w:ascii="Arial" w:eastAsia="Arial" w:hAnsi="Arial" w:cs="Arial"/>
        </w:rPr>
        <w:t xml:space="preserve">   </w:t>
      </w:r>
    </w:p>
    <w:p w:rsidR="00E23B86" w:rsidRDefault="00BA7C13">
      <w:pPr>
        <w:spacing w:after="0"/>
        <w:ind w:left="10" w:right="266" w:hanging="10"/>
        <w:jc w:val="center"/>
      </w:pPr>
      <w:r>
        <w:rPr>
          <w:rFonts w:ascii="Segoe UI Symbol" w:eastAsia="Segoe UI Symbol" w:hAnsi="Segoe UI Symbol" w:cs="Segoe UI Symbol"/>
          <w:sz w:val="20"/>
        </w:rPr>
        <w:t></w:t>
      </w:r>
    </w:p>
    <w:p w:rsidR="00E23B86" w:rsidRDefault="00BA7C13">
      <w:pPr>
        <w:numPr>
          <w:ilvl w:val="0"/>
          <w:numId w:val="221"/>
        </w:numPr>
        <w:spacing w:after="0" w:line="265" w:lineRule="auto"/>
        <w:ind w:right="4" w:hanging="360"/>
        <w:jc w:val="both"/>
      </w:pPr>
      <w:r>
        <w:rPr>
          <w:rFonts w:ascii="Arial" w:eastAsia="Arial" w:hAnsi="Arial" w:cs="Arial"/>
        </w:rPr>
        <w:t>Fdo.: Raquel Martín Castro</w:t>
      </w:r>
    </w:p>
    <w:p w:rsidR="00E23B86" w:rsidRDefault="00BA7C13">
      <w:pPr>
        <w:numPr>
          <w:ilvl w:val="0"/>
          <w:numId w:val="221"/>
        </w:numPr>
        <w:spacing w:after="10" w:line="248" w:lineRule="auto"/>
        <w:ind w:right="4" w:hanging="360"/>
        <w:jc w:val="both"/>
      </w:pPr>
      <w:r>
        <w:rPr>
          <w:rFonts w:ascii="Arial" w:eastAsia="Arial" w:hAnsi="Arial" w:cs="Arial"/>
        </w:rPr>
        <w:t>Portavoz adjunta del grupo político municipal del Partido Popular en Candelaria</w:t>
      </w:r>
    </w:p>
    <w:p w:rsidR="00E23B86" w:rsidRDefault="00BA7C13">
      <w:pPr>
        <w:spacing w:after="108" w:line="265" w:lineRule="auto"/>
        <w:ind w:left="-5" w:right="13" w:hanging="10"/>
      </w:pPr>
      <w:r>
        <w:rPr>
          <w:rFonts w:ascii="Segoe UI Symbol" w:eastAsia="Segoe UI Symbol" w:hAnsi="Segoe UI Symbol" w:cs="Segoe UI Symbol"/>
          <w:sz w:val="20"/>
        </w:rPr>
        <w:t></w:t>
      </w:r>
    </w:p>
    <w:p w:rsidR="00E23B86" w:rsidRDefault="00BA7C13">
      <w:pPr>
        <w:spacing w:after="90"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111" w:line="249" w:lineRule="auto"/>
        <w:ind w:right="4" w:hanging="360"/>
        <w:jc w:val="both"/>
      </w:pPr>
      <w:r>
        <w:rPr>
          <w:rFonts w:ascii="Arial" w:eastAsia="Arial" w:hAnsi="Arial" w:cs="Arial"/>
          <w:b/>
        </w:rPr>
        <w:t>DICTAMEN DE LA COMISIÓN INFORMATIVA DE SERVICIOS A LAS PERSONAS.</w:t>
      </w:r>
    </w:p>
    <w:p w:rsidR="00E23B86" w:rsidRDefault="00BA7C13">
      <w:pPr>
        <w:numPr>
          <w:ilvl w:val="0"/>
          <w:numId w:val="221"/>
        </w:numPr>
        <w:spacing w:after="110" w:line="248" w:lineRule="auto"/>
        <w:ind w:right="4" w:hanging="360"/>
        <w:jc w:val="both"/>
      </w:pPr>
      <w:r>
        <w:rPr>
          <w:rFonts w:ascii="Arial" w:eastAsia="Arial" w:hAnsi="Arial" w:cs="Arial"/>
        </w:rPr>
        <w:t>La unanimidad de los 7 concejales presentes.</w:t>
      </w:r>
    </w:p>
    <w:p w:rsidR="00E23B86" w:rsidRDefault="00BA7C13">
      <w:pPr>
        <w:spacing w:after="110" w:line="248" w:lineRule="auto"/>
        <w:ind w:left="373" w:right="4" w:hanging="10"/>
        <w:jc w:val="both"/>
      </w:pPr>
      <w:r>
        <w:rPr>
          <w:rFonts w:ascii="Arial" w:eastAsia="Arial" w:hAnsi="Arial" w:cs="Arial"/>
        </w:rPr>
        <w:t>Los 4 concejales del Grupo Socialista: Doña Olivia Concepción Pérez Díaz, Don José Francisco Pinto Ramos, Doña Margarita Eva Tendero Barroso y Don Olegario Francisco Alonso Bello.</w:t>
      </w:r>
    </w:p>
    <w:p w:rsidR="00E23B86" w:rsidRDefault="00BA7C13">
      <w:pPr>
        <w:numPr>
          <w:ilvl w:val="0"/>
          <w:numId w:val="221"/>
        </w:numPr>
        <w:spacing w:after="110" w:line="248" w:lineRule="auto"/>
        <w:ind w:right="4" w:hanging="360"/>
        <w:jc w:val="both"/>
      </w:pPr>
      <w:r>
        <w:rPr>
          <w:rFonts w:ascii="Arial" w:eastAsia="Arial" w:hAnsi="Arial" w:cs="Arial"/>
        </w:rPr>
        <w:t>1 del concejal del Grupo Popula</w:t>
      </w:r>
      <w:r>
        <w:rPr>
          <w:rFonts w:ascii="Arial" w:eastAsia="Arial" w:hAnsi="Arial" w:cs="Arial"/>
        </w:rPr>
        <w:t>r, Don Juan Miguel Olivera González.</w:t>
      </w:r>
    </w:p>
    <w:p w:rsidR="00E23B86" w:rsidRDefault="00BA7C13">
      <w:pPr>
        <w:numPr>
          <w:ilvl w:val="0"/>
          <w:numId w:val="221"/>
        </w:numPr>
        <w:spacing w:after="110" w:line="248" w:lineRule="auto"/>
        <w:ind w:right="4" w:hanging="360"/>
        <w:jc w:val="both"/>
      </w:pPr>
      <w:r>
        <w:rPr>
          <w:rFonts w:ascii="Arial" w:eastAsia="Arial" w:hAnsi="Arial" w:cs="Arial"/>
        </w:rPr>
        <w:t>Las 2 concejalas del Grupo Mixto: Doña María del Carmen Coello González (SSP) y Doña Ángela Cruz Perera (CC-PNC).</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0" w:line="339" w:lineRule="auto"/>
        <w:ind w:right="4" w:hanging="360"/>
        <w:jc w:val="both"/>
      </w:pPr>
      <w:r>
        <w:rPr>
          <w:rFonts w:ascii="Arial" w:eastAsia="Arial" w:hAnsi="Arial" w:cs="Arial"/>
          <w:b/>
        </w:rPr>
        <w:t xml:space="preserve">JUNTA DE PORTAVOCES </w:t>
      </w:r>
      <w:r>
        <w:rPr>
          <w:rFonts w:ascii="Segoe UI Symbol" w:eastAsia="Segoe UI Symbol" w:hAnsi="Segoe UI Symbol" w:cs="Segoe UI Symbol"/>
          <w:sz w:val="20"/>
        </w:rPr>
        <w:t xml:space="preserve"> </w:t>
      </w:r>
      <w:r>
        <w:rPr>
          <w:rFonts w:ascii="Arial" w:eastAsia="Arial" w:hAnsi="Arial" w:cs="Arial"/>
        </w:rPr>
        <w:t>Quedó oída.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111" w:line="249" w:lineRule="auto"/>
        <w:ind w:right="4" w:hanging="360"/>
        <w:jc w:val="both"/>
      </w:pPr>
      <w:r>
        <w:rPr>
          <w:rFonts w:ascii="Arial" w:eastAsia="Arial" w:hAnsi="Arial" w:cs="Arial"/>
          <w:b/>
        </w:rPr>
        <w:t>VOTACIÓN EN EL PLENO</w:t>
      </w:r>
    </w:p>
    <w:p w:rsidR="00E23B86" w:rsidRDefault="00BA7C13">
      <w:pPr>
        <w:numPr>
          <w:ilvl w:val="0"/>
          <w:numId w:val="221"/>
        </w:numPr>
        <w:spacing w:after="110" w:line="248" w:lineRule="auto"/>
        <w:ind w:right="4" w:hanging="360"/>
        <w:jc w:val="both"/>
      </w:pPr>
      <w:r>
        <w:rPr>
          <w:rFonts w:ascii="Arial" w:eastAsia="Arial" w:hAnsi="Arial" w:cs="Arial"/>
        </w:rPr>
        <w:t>Votos a favor: 17: La unanimidad de los concej</w:t>
      </w:r>
      <w:r>
        <w:rPr>
          <w:rFonts w:ascii="Arial" w:eastAsia="Arial" w:hAnsi="Arial" w:cs="Arial"/>
        </w:rPr>
        <w:t>ales presentes:</w:t>
      </w:r>
    </w:p>
    <w:p w:rsidR="00E23B86" w:rsidRDefault="00BA7C13">
      <w:pPr>
        <w:numPr>
          <w:ilvl w:val="0"/>
          <w:numId w:val="221"/>
        </w:numPr>
        <w:spacing w:after="110" w:line="248" w:lineRule="auto"/>
        <w:ind w:right="4" w:hanging="360"/>
        <w:jc w:val="both"/>
      </w:pPr>
      <w:r>
        <w:rPr>
          <w:rFonts w:ascii="Arial" w:eastAsia="Arial" w:hAnsi="Arial" w:cs="Arial"/>
        </w:rPr>
        <w:t>10 concejales del Grupo Socialista: Doña María Concepción Brito Núñez, Doña Olivia Concepción Pérez Díaz, Don José Francisco Pinto Ramos, Doña Hilaria Cecilia Otazo González, Don Airam Pérez Chinea, Doña Margarita Eva Tendero Barroso, Don M</w:t>
      </w:r>
      <w:r>
        <w:rPr>
          <w:rFonts w:ascii="Arial" w:eastAsia="Arial" w:hAnsi="Arial" w:cs="Arial"/>
        </w:rPr>
        <w:t xml:space="preserve">anuel Alberto González Pestano, Doña María del Carmen Clemente Díaz, Don Olegario Francisco Alonso Bello y Don Reinaldo José Triviño Blanco. </w:t>
      </w:r>
    </w:p>
    <w:p w:rsidR="00E23B86" w:rsidRDefault="00BA7C13">
      <w:pPr>
        <w:numPr>
          <w:ilvl w:val="0"/>
          <w:numId w:val="221"/>
        </w:numPr>
        <w:spacing w:after="110" w:line="248" w:lineRule="auto"/>
        <w:ind w:right="4" w:hanging="360"/>
        <w:jc w:val="both"/>
      </w:pPr>
      <w:r>
        <w:rPr>
          <w:rFonts w:ascii="Arial" w:eastAsia="Arial" w:hAnsi="Arial" w:cs="Arial"/>
        </w:rPr>
        <w:t>3 concejales del Grupo Popular: Don Juan Miguel Olivera González, Don Jacobo López Fariña y Doña Raquel Martín Cas</w:t>
      </w:r>
      <w:r>
        <w:rPr>
          <w:rFonts w:ascii="Arial" w:eastAsia="Arial" w:hAnsi="Arial" w:cs="Arial"/>
        </w:rPr>
        <w:t xml:space="preserve">tro. </w:t>
      </w:r>
    </w:p>
    <w:p w:rsidR="00E23B86" w:rsidRDefault="00BA7C13">
      <w:pPr>
        <w:numPr>
          <w:ilvl w:val="0"/>
          <w:numId w:val="221"/>
        </w:numPr>
        <w:spacing w:after="110" w:line="248" w:lineRule="auto"/>
        <w:ind w:right="4" w:hanging="360"/>
        <w:jc w:val="both"/>
      </w:pPr>
      <w:r>
        <w:rPr>
          <w:noProof/>
        </w:rPr>
        <mc:AlternateContent>
          <mc:Choice Requires="wpg">
            <w:drawing>
              <wp:anchor distT="0" distB="0" distL="114300" distR="114300" simplePos="0" relativeHeight="25203712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3015" name="Group 59301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060" name="Rectangle 5606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061" name="Rectangle 5606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368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3015" style="width:12.7031pt;height:280.35pt;position:absolute;mso-position-horizontal-relative:page;mso-position-horizontal:absolute;margin-left:681.958pt;mso-position-vertical-relative:page;margin-top:531.65pt;" coordsize="1613,35604">
                <v:rect id="Rectangle 5606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06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368 de 391 </w:t>
                        </w:r>
                      </w:p>
                    </w:txbxContent>
                  </v:textbox>
                </v:rect>
                <w10:wrap type="square"/>
              </v:group>
            </w:pict>
          </mc:Fallback>
        </mc:AlternateContent>
      </w:r>
      <w:r>
        <w:rPr>
          <w:rFonts w:ascii="Arial" w:eastAsia="Arial" w:hAnsi="Arial" w:cs="Arial"/>
        </w:rPr>
        <w:t>4 concejales del Grupo Mixto: Doña María del Carmen Coello González y Doña María del Pilar Maceín Núñez (SSP), Doña Ángela Cruz Perera (CC-PNC) y Don José Fernando Gómez Martín (PvxC).</w:t>
      </w:r>
    </w:p>
    <w:p w:rsidR="00E23B86" w:rsidRDefault="00BA7C13">
      <w:pPr>
        <w:numPr>
          <w:ilvl w:val="0"/>
          <w:numId w:val="221"/>
        </w:numPr>
        <w:spacing w:after="110" w:line="248" w:lineRule="auto"/>
        <w:ind w:right="4" w:hanging="360"/>
        <w:jc w:val="both"/>
      </w:pPr>
      <w:r>
        <w:rPr>
          <w:rFonts w:ascii="Arial" w:eastAsia="Arial" w:hAnsi="Arial" w:cs="Arial"/>
        </w:rPr>
        <w:t>Votos en contra: 0.</w:t>
      </w:r>
    </w:p>
    <w:p w:rsidR="00E23B86" w:rsidRDefault="00BA7C13">
      <w:pPr>
        <w:numPr>
          <w:ilvl w:val="0"/>
          <w:numId w:val="221"/>
        </w:numPr>
        <w:spacing w:after="110" w:line="248" w:lineRule="auto"/>
        <w:ind w:right="4" w:hanging="360"/>
        <w:jc w:val="both"/>
      </w:pPr>
      <w:r>
        <w:rPr>
          <w:rFonts w:ascii="Arial" w:eastAsia="Arial" w:hAnsi="Arial" w:cs="Arial"/>
        </w:rPr>
        <w:t>Abstenciones: 0.</w:t>
      </w:r>
    </w:p>
    <w:p w:rsidR="00E23B86" w:rsidRDefault="00BA7C13">
      <w:pPr>
        <w:spacing w:after="104"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5" w:line="250" w:lineRule="auto"/>
        <w:ind w:right="4" w:hanging="360"/>
        <w:jc w:val="both"/>
      </w:pPr>
      <w:r>
        <w:rPr>
          <w:rFonts w:ascii="Arial" w:eastAsia="Arial" w:hAnsi="Arial" w:cs="Arial"/>
          <w:b/>
          <w:sz w:val="24"/>
        </w:rPr>
        <w:t>ACUERDO DEL PLENO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11" w:line="248" w:lineRule="auto"/>
        <w:ind w:right="4" w:hanging="360"/>
        <w:jc w:val="both"/>
      </w:pPr>
      <w:r>
        <w:rPr>
          <w:rFonts w:ascii="Arial" w:eastAsia="Arial" w:hAnsi="Arial" w:cs="Arial"/>
        </w:rPr>
        <w:t>El Ayuntamie</w:t>
      </w:r>
      <w:r>
        <w:rPr>
          <w:rFonts w:ascii="Arial" w:eastAsia="Arial" w:hAnsi="Arial" w:cs="Arial"/>
        </w:rPr>
        <w:t xml:space="preserve">nto de Candelaria estudiará, si aún no lo ha hecho, y de haberlo contemplado ya, que se materialice, la puesta en marcha de Puntos Violeta en los grandes eventos y fiestas que organiza, como espacios de prevención, sensibilización y de atención a aquellas </w:t>
      </w:r>
      <w:r>
        <w:rPr>
          <w:rFonts w:ascii="Arial" w:eastAsia="Arial" w:hAnsi="Arial" w:cs="Arial"/>
        </w:rPr>
        <w:t>personas que hubiesen sufrido algún tipo de agresión sexual o que se encuentren en riesgo de sufrirlo, así como víctimas o posibles víctimas de violencia de género, dotando de espacios que deben contar con profesionales cualificados y con un protocolo de a</w:t>
      </w:r>
      <w:r>
        <w:rPr>
          <w:rFonts w:ascii="Arial" w:eastAsia="Arial" w:hAnsi="Arial" w:cs="Arial"/>
        </w:rPr>
        <w:t>ctuación para atender a las posibles víctimas de forma coordinada con el resto de servicios públicos. Además, se informará a los establecimientos del Municipio de esta campaña para que puedan adherirse a la misma para el caso de estarse produciendo algún a</w:t>
      </w:r>
      <w:r>
        <w:rPr>
          <w:rFonts w:ascii="Arial" w:eastAsia="Arial" w:hAnsi="Arial" w:cs="Arial"/>
        </w:rPr>
        <w:t>cto constitutivo de delito de agresión sexual o violencia sobre la mujer, que las mismas puedan saber que ese lugar es seguro y que van a recibir la protección que necesiten alertando de inmediato a las Fuerzas y Cuerpo de Seguridad.</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E23B86">
      <w:pPr>
        <w:sectPr w:rsidR="00E23B86">
          <w:headerReference w:type="even" r:id="rId132"/>
          <w:headerReference w:type="default" r:id="rId133"/>
          <w:footerReference w:type="even" r:id="rId134"/>
          <w:footerReference w:type="default" r:id="rId135"/>
          <w:headerReference w:type="first" r:id="rId136"/>
          <w:footerReference w:type="first" r:id="rId137"/>
          <w:pgSz w:w="14168" w:h="16840"/>
          <w:pgMar w:top="2005" w:right="2828" w:bottom="1448" w:left="3198" w:header="712" w:footer="712" w:gutter="0"/>
          <w:cols w:space="720"/>
        </w:sectPr>
      </w:pPr>
    </w:p>
    <w:p w:rsidR="00E23B86" w:rsidRDefault="00BA7C13">
      <w:pPr>
        <w:spacing w:after="5" w:line="250" w:lineRule="auto"/>
        <w:ind w:left="355" w:hanging="10"/>
        <w:jc w:val="both"/>
      </w:pPr>
      <w:r>
        <w:rPr>
          <w:rFonts w:ascii="Arial" w:eastAsia="Arial" w:hAnsi="Arial" w:cs="Arial"/>
          <w:b/>
          <w:sz w:val="24"/>
        </w:rPr>
        <w:t>9.- Expediente 1779/2020. Moción del Grupo Mixto por RE 2815/2020 de 17 de febrero de 2020 para la utilización de fuegos artificiales sin ruido en los espectáculos pirotécnicos que se celebren en el municipio de Candelaria, org</w:t>
      </w:r>
      <w:r>
        <w:rPr>
          <w:rFonts w:ascii="Arial" w:eastAsia="Arial" w:hAnsi="Arial" w:cs="Arial"/>
          <w:b/>
          <w:sz w:val="24"/>
        </w:rPr>
        <w:t>anizados por el propio consistorio o que reciban financiación municipal.</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21"/>
        </w:numPr>
        <w:spacing w:after="0" w:line="249" w:lineRule="auto"/>
        <w:ind w:right="4" w:hanging="360"/>
        <w:jc w:val="both"/>
      </w:pPr>
      <w:r>
        <w:rPr>
          <w:rFonts w:ascii="Arial" w:eastAsia="Arial" w:hAnsi="Arial" w:cs="Arial"/>
          <w:b/>
        </w:rPr>
        <w:t>Consta en el expediente electrónico la referida moción que se inserta literalmente:</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75"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940" w:right="13" w:hanging="10"/>
      </w:pPr>
      <w:r>
        <w:rPr>
          <w:noProof/>
        </w:rPr>
        <mc:AlternateContent>
          <mc:Choice Requires="wpg">
            <w:drawing>
              <wp:anchor distT="0" distB="0" distL="114300" distR="114300" simplePos="0" relativeHeight="25203814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3842" name="Group 60384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146" name="Rectangle 5614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147" name="Rectangle 5614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369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3842" style="width:12.7031pt;height:280.35pt;position:absolute;mso-position-horizontal-relative:page;mso-position-horizontal:absolute;margin-left:681.958pt;mso-position-vertical-relative:page;margin-top:531.65pt;" coordsize="1613,35604">
                <v:rect id="Rectangle 5614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14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369 de 391 </w:t>
                        </w:r>
                      </w:p>
                    </w:txbxContent>
                  </v:textbox>
                </v:rect>
                <w10:wrap type="square"/>
              </v:group>
            </w:pict>
          </mc:Fallback>
        </mc:AlternateContent>
      </w:r>
      <w:r>
        <w:rPr>
          <w:rFonts w:ascii="Segoe UI Symbol" w:eastAsia="Segoe UI Symbol" w:hAnsi="Segoe UI Symbol" w:cs="Segoe UI Symbol"/>
          <w:sz w:val="20"/>
        </w:rPr>
        <w:t xml:space="preserve"> </w:t>
      </w:r>
      <w:r>
        <w:rPr>
          <w:noProof/>
        </w:rPr>
        <w:drawing>
          <wp:inline distT="0" distB="0" distL="0" distR="0">
            <wp:extent cx="3761232" cy="1325880"/>
            <wp:effectExtent l="0" t="0" r="0" b="0"/>
            <wp:docPr id="609811" name="Picture 609811"/>
            <wp:cNvGraphicFramePr/>
            <a:graphic xmlns:a="http://schemas.openxmlformats.org/drawingml/2006/main">
              <a:graphicData uri="http://schemas.openxmlformats.org/drawingml/2006/picture">
                <pic:pic xmlns:pic="http://schemas.openxmlformats.org/drawingml/2006/picture">
                  <pic:nvPicPr>
                    <pic:cNvPr id="609811" name="Picture 609811"/>
                    <pic:cNvPicPr/>
                  </pic:nvPicPr>
                  <pic:blipFill>
                    <a:blip r:embed="rId138"/>
                    <a:stretch>
                      <a:fillRect/>
                    </a:stretch>
                  </pic:blipFill>
                  <pic:spPr>
                    <a:xfrm>
                      <a:off x="0" y="0"/>
                      <a:ext cx="3761232" cy="1325880"/>
                    </a:xfrm>
                    <a:prstGeom prst="rect">
                      <a:avLst/>
                    </a:prstGeom>
                  </pic:spPr>
                </pic:pic>
              </a:graphicData>
            </a:graphic>
          </wp:inline>
        </w:drawing>
      </w:r>
    </w:p>
    <w:tbl>
      <w:tblPr>
        <w:tblStyle w:val="TableGrid"/>
        <w:tblW w:w="8136" w:type="dxa"/>
        <w:tblInd w:w="2" w:type="dxa"/>
        <w:tblCellMar>
          <w:top w:w="13" w:type="dxa"/>
          <w:left w:w="0" w:type="dxa"/>
          <w:bottom w:w="0" w:type="dxa"/>
          <w:right w:w="15" w:type="dxa"/>
        </w:tblCellMar>
        <w:tblLook w:val="04A0" w:firstRow="1" w:lastRow="0" w:firstColumn="1" w:lastColumn="0" w:noHBand="0" w:noVBand="1"/>
      </w:tblPr>
      <w:tblGrid>
        <w:gridCol w:w="358"/>
        <w:gridCol w:w="7778"/>
      </w:tblGrid>
      <w:tr w:rsidR="00E23B86">
        <w:trPr>
          <w:trHeight w:val="1116"/>
        </w:trPr>
        <w:tc>
          <w:tcPr>
            <w:tcW w:w="358" w:type="dxa"/>
            <w:tcBorders>
              <w:top w:val="single" w:sz="3" w:space="0" w:color="000001"/>
              <w:left w:val="single" w:sz="3" w:space="0" w:color="000001"/>
              <w:bottom w:val="single" w:sz="3" w:space="0" w:color="000001"/>
              <w:right w:val="nil"/>
            </w:tcBorders>
          </w:tcPr>
          <w:p w:rsidR="00E23B86" w:rsidRDefault="00BA7C13">
            <w:pPr>
              <w:spacing w:after="0"/>
              <w:ind w:left="8"/>
            </w:pPr>
            <w:r>
              <w:rPr>
                <w:rFonts w:ascii="Segoe UI Symbol" w:eastAsia="Segoe UI Symbol" w:hAnsi="Segoe UI Symbol" w:cs="Segoe UI Symbol"/>
                <w:sz w:val="20"/>
              </w:rPr>
              <w:t></w:t>
            </w:r>
          </w:p>
        </w:tc>
        <w:tc>
          <w:tcPr>
            <w:tcW w:w="7778" w:type="dxa"/>
            <w:tcBorders>
              <w:top w:val="single" w:sz="3" w:space="0" w:color="000001"/>
              <w:left w:val="nil"/>
              <w:bottom w:val="single" w:sz="3" w:space="0" w:color="000001"/>
              <w:right w:val="single" w:sz="3" w:space="0" w:color="000001"/>
            </w:tcBorders>
          </w:tcPr>
          <w:p w:rsidR="00E23B86" w:rsidRDefault="00BA7C13">
            <w:pPr>
              <w:spacing w:after="0"/>
              <w:ind w:left="10" w:hanging="10"/>
              <w:jc w:val="both"/>
            </w:pPr>
            <w:r>
              <w:rPr>
                <w:rFonts w:ascii="Arial" w:eastAsia="Arial" w:hAnsi="Arial" w:cs="Arial"/>
                <w:b/>
                <w:sz w:val="24"/>
              </w:rPr>
              <w:t>Moción para la utilización de fuegos artificiales sin r</w:t>
            </w:r>
            <w:r>
              <w:rPr>
                <w:rFonts w:ascii="Arial" w:eastAsia="Arial" w:hAnsi="Arial" w:cs="Arial"/>
                <w:b/>
                <w:sz w:val="24"/>
              </w:rPr>
              <w:t>uido en los espectáculos pirotécnicos que se celebren en el Municipio de Candelaria, organizados por el propio consistorio o que reciban financiación municipal.</w:t>
            </w:r>
          </w:p>
        </w:tc>
      </w:tr>
    </w:tbl>
    <w:p w:rsidR="00E23B86" w:rsidRDefault="00BA7C13">
      <w:pPr>
        <w:numPr>
          <w:ilvl w:val="0"/>
          <w:numId w:val="221"/>
        </w:numPr>
        <w:spacing w:after="11" w:line="248" w:lineRule="auto"/>
        <w:ind w:right="4" w:hanging="360"/>
        <w:jc w:val="both"/>
      </w:pPr>
      <w:r>
        <w:rPr>
          <w:rFonts w:ascii="Arial" w:eastAsia="Arial" w:hAnsi="Arial" w:cs="Arial"/>
        </w:rPr>
        <w:t xml:space="preserve">Pilar Maceín Núñez, Concejala del Grupo Municipal Mixto por la formación </w:t>
      </w:r>
      <w:r>
        <w:rPr>
          <w:rFonts w:ascii="Arial" w:eastAsia="Arial" w:hAnsi="Arial" w:cs="Arial"/>
          <w:i/>
        </w:rPr>
        <w:t xml:space="preserve">Sí se puede </w:t>
      </w:r>
      <w:r>
        <w:rPr>
          <w:rFonts w:ascii="Arial" w:eastAsia="Arial" w:hAnsi="Arial" w:cs="Arial"/>
        </w:rPr>
        <w:t>en Candelaria, en uso de las atribuciones que le confiere el Reglamento Orgánico Municipal, presenta al Pleno del Ilustre Ayuntamiento de Candelaria la presente MOCIÓN para su debate y aprobación si procede, de acuerdo con la siguiente</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spacing w:line="265" w:lineRule="auto"/>
        <w:ind w:left="682" w:right="677"/>
        <w:jc w:val="center"/>
      </w:pPr>
      <w:r>
        <w:rPr>
          <w:rFonts w:ascii="Segoe UI Symbol" w:eastAsia="Segoe UI Symbol" w:hAnsi="Segoe UI Symbol" w:cs="Segoe UI Symbol"/>
          <w:b w:val="0"/>
          <w:i w:val="0"/>
          <w:color w:val="000000"/>
          <w:sz w:val="20"/>
        </w:rPr>
        <w:t xml:space="preserve"> </w:t>
      </w:r>
      <w:r>
        <w:rPr>
          <w:i w:val="0"/>
          <w:color w:val="000000"/>
        </w:rPr>
        <w:t>EXPOSICIÓN DE MOTIVOS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2"/>
        </w:numPr>
        <w:spacing w:after="0" w:line="248" w:lineRule="auto"/>
        <w:ind w:right="5" w:hanging="360"/>
        <w:jc w:val="both"/>
      </w:pPr>
      <w:r>
        <w:rPr>
          <w:rFonts w:ascii="Arial" w:eastAsia="Arial" w:hAnsi="Arial" w:cs="Arial"/>
        </w:rPr>
        <w:t>Como antecedente de esta Moción debemos recordar que en la Comisión Plenaria Permanente ordinaria del Cabildo de Tenerife de  23 de Mayo de 2017 se adoptó un acuerdo con los votos favorables de Si se puede, Psoe y CC relativo a la p</w:t>
      </w:r>
      <w:r>
        <w:rPr>
          <w:rFonts w:ascii="Arial" w:eastAsia="Arial" w:hAnsi="Arial" w:cs="Arial"/>
        </w:rPr>
        <w:t>ráctica de la pirotecnia tradicional que incluía el siguiente acuerdo: “Estudiar la viabilidad de que se utilizara la pirotecnia sin ruido ni explosiones en aquellos espectáculos subvencionados totalmente o parcialmente por el Cabildo, así como que se inst</w:t>
      </w:r>
      <w:r>
        <w:rPr>
          <w:rFonts w:ascii="Arial" w:eastAsia="Arial" w:hAnsi="Arial" w:cs="Arial"/>
        </w:rPr>
        <w:t xml:space="preserve">ara a los Ayuntamientos de la isla a dictar bandos que regulen el uso de petardos y material pirotécnico en espacios públicos para minimizar los efectos adversos y molestias que ocasiona sobre una parte de la población y los animales”. </w:t>
      </w:r>
    </w:p>
    <w:p w:rsidR="00E23B86" w:rsidRDefault="00BA7C13">
      <w:pPr>
        <w:numPr>
          <w:ilvl w:val="0"/>
          <w:numId w:val="222"/>
        </w:numPr>
        <w:spacing w:after="0" w:line="248" w:lineRule="auto"/>
        <w:ind w:right="5" w:hanging="360"/>
        <w:jc w:val="both"/>
      </w:pPr>
      <w:r>
        <w:rPr>
          <w:rFonts w:ascii="Arial" w:eastAsia="Arial" w:hAnsi="Arial" w:cs="Arial"/>
        </w:rPr>
        <w:t xml:space="preserve">Desconocemos si se </w:t>
      </w:r>
      <w:r>
        <w:rPr>
          <w:rFonts w:ascii="Arial" w:eastAsia="Arial" w:hAnsi="Arial" w:cs="Arial"/>
        </w:rPr>
        <w:t>les dio cumplimiento a estos acuerdos por parte del Cabildo de Tenerife, pero en el caso de nuestro Ayuntamiento sí tenemos conocimiento de que no ha existido ningún bando ni aplicación efectiva en este sentido.</w:t>
      </w:r>
    </w:p>
    <w:p w:rsidR="00E23B86" w:rsidRDefault="00BA7C13">
      <w:pPr>
        <w:numPr>
          <w:ilvl w:val="0"/>
          <w:numId w:val="222"/>
        </w:numPr>
        <w:spacing w:after="0" w:line="248" w:lineRule="auto"/>
        <w:ind w:right="5" w:hanging="360"/>
        <w:jc w:val="both"/>
      </w:pPr>
      <w:r>
        <w:rPr>
          <w:rFonts w:ascii="Arial" w:eastAsia="Arial" w:hAnsi="Arial" w:cs="Arial"/>
        </w:rPr>
        <w:t>Por otra parte, debemos recordar que en el B</w:t>
      </w:r>
      <w:r>
        <w:rPr>
          <w:rFonts w:ascii="Arial" w:eastAsia="Arial" w:hAnsi="Arial" w:cs="Arial"/>
        </w:rPr>
        <w:t>OE del 6 de noviembre de 2018 se publicó la Ley Orgánica 1/2018, de 5 de noviembre, de reforma del Estatuto de Autonomía de Canarias, que incorpora y consolida derechos, además de asumir la protección y el bienestar de los animales. Su artículo 35 señala “</w:t>
      </w:r>
      <w:r>
        <w:rPr>
          <w:rFonts w:ascii="Arial" w:eastAsia="Arial" w:hAnsi="Arial" w:cs="Arial"/>
        </w:rPr>
        <w:t>que los animales son seres que sienten, que poseen sensibilidad y que las administraciones públicas canarias velarán por su salvaguarda, sin que puedan, incluso, ser utilizados en actividades que conlleven maltrato o crueldad”.</w:t>
      </w:r>
    </w:p>
    <w:p w:rsidR="00E23B86" w:rsidRDefault="00BA7C13">
      <w:pPr>
        <w:numPr>
          <w:ilvl w:val="0"/>
          <w:numId w:val="222"/>
        </w:numPr>
        <w:spacing w:after="0" w:line="248" w:lineRule="auto"/>
        <w:ind w:right="5" w:hanging="360"/>
        <w:jc w:val="both"/>
      </w:pPr>
      <w:r>
        <w:rPr>
          <w:rFonts w:ascii="Arial" w:eastAsia="Arial" w:hAnsi="Arial" w:cs="Arial"/>
        </w:rPr>
        <w:t>Las explosiones pirotécnicas</w:t>
      </w:r>
      <w:r>
        <w:rPr>
          <w:rFonts w:ascii="Arial" w:eastAsia="Arial" w:hAnsi="Arial" w:cs="Arial"/>
        </w:rPr>
        <w:t xml:space="preserve"> son realmente molestas y provocan el miedo y el pánico en los animales, causándoles reacciones incontroladas y peligrosas, generándoles estrés y ansiedad y en algunos casos hasta la muerte. </w:t>
      </w:r>
    </w:p>
    <w:p w:rsidR="00E23B86" w:rsidRDefault="00BA7C13">
      <w:pPr>
        <w:numPr>
          <w:ilvl w:val="0"/>
          <w:numId w:val="222"/>
        </w:numPr>
        <w:spacing w:after="0" w:line="248" w:lineRule="auto"/>
        <w:ind w:right="5" w:hanging="360"/>
        <w:jc w:val="both"/>
      </w:pPr>
      <w:r>
        <w:rPr>
          <w:rFonts w:ascii="Arial" w:eastAsia="Arial" w:hAnsi="Arial" w:cs="Arial"/>
        </w:rPr>
        <w:t>Los daños que provocan en los animales salvajes también son graves. Las explosiones repentinas e incontroladas (como las ocasionadas en vísperas de fiestas locales o los propios de fines de fiestas) hacen que las colonias de aves, al escuchar las explosion</w:t>
      </w:r>
      <w:r>
        <w:rPr>
          <w:rFonts w:ascii="Arial" w:eastAsia="Arial" w:hAnsi="Arial" w:cs="Arial"/>
        </w:rPr>
        <w:t>es, escapen sin control, muchas veces sin visibilidad, lo que puede causarles la muerte colisionando con las estructuras urbanas (casas, farolas, coches, etc.), además de sufrir taquicardias y muertes en el acto.</w:t>
      </w:r>
    </w:p>
    <w:p w:rsidR="00E23B86" w:rsidRDefault="00BA7C13">
      <w:pPr>
        <w:numPr>
          <w:ilvl w:val="0"/>
          <w:numId w:val="222"/>
        </w:numPr>
        <w:spacing w:after="0" w:line="248" w:lineRule="auto"/>
        <w:ind w:right="5" w:hanging="360"/>
        <w:jc w:val="both"/>
      </w:pPr>
      <w:r>
        <w:rPr>
          <w:rFonts w:ascii="Arial" w:eastAsia="Arial" w:hAnsi="Arial" w:cs="Arial"/>
        </w:rPr>
        <w:t>Por otro lado, las personas sensibles que s</w:t>
      </w:r>
      <w:r>
        <w:rPr>
          <w:rFonts w:ascii="Arial" w:eastAsia="Arial" w:hAnsi="Arial" w:cs="Arial"/>
        </w:rPr>
        <w:t>ufren trastornos como TEA (Trastorno Espectro Autista) son muy sensibles a los estímulos externos. Tienen los sentidos exacerbados, especialmente el oído, percibiendo los ruidos de manera aumentada generando un alto nivel de ansiedad y estrés pudiendo caus</w:t>
      </w:r>
      <w:r>
        <w:rPr>
          <w:rFonts w:ascii="Arial" w:eastAsia="Arial" w:hAnsi="Arial" w:cs="Arial"/>
        </w:rPr>
        <w:t>arles crisis y episodios traumáticos. Son hipersensibles a los sonidos y a las luces, por lo que los espectáculos de fuegos artificiales se convierten en una auténtica tortura para ellas. Existe un video en internet, “Un minuto en la vida de un niño autist</w:t>
      </w:r>
      <w:r>
        <w:rPr>
          <w:rFonts w:ascii="Arial" w:eastAsia="Arial" w:hAnsi="Arial" w:cs="Arial"/>
        </w:rPr>
        <w:t xml:space="preserve">a”, que muestra cómo se llega a sentir un niño/a que padece este trastorno para entender a qué nos referimos. </w:t>
      </w:r>
    </w:p>
    <w:p w:rsidR="00E23B86" w:rsidRDefault="00BA7C13">
      <w:pPr>
        <w:numPr>
          <w:ilvl w:val="0"/>
          <w:numId w:val="222"/>
        </w:numPr>
        <w:spacing w:after="0" w:line="248" w:lineRule="auto"/>
        <w:ind w:right="5" w:hanging="360"/>
        <w:jc w:val="both"/>
      </w:pPr>
      <w:r>
        <w:rPr>
          <w:noProof/>
        </w:rPr>
        <mc:AlternateContent>
          <mc:Choice Requires="wpg">
            <w:drawing>
              <wp:anchor distT="0" distB="0" distL="114300" distR="114300" simplePos="0" relativeHeight="25203916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3917" name="Group 59391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224" name="Rectangle 5622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225" name="Rectangle 5622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w:t>
                              </w:r>
                              <w:r>
                                <w:rPr>
                                  <w:rFonts w:ascii="Arial" w:eastAsia="Arial" w:hAnsi="Arial" w:cs="Arial"/>
                                  <w:sz w:val="12"/>
                                </w:rPr>
                                <w:t xml:space="preserve">a plataforma esPublico Gestiona | Página 370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3917" style="width:12.7031pt;height:280.35pt;position:absolute;mso-position-horizontal-relative:page;mso-position-horizontal:absolute;margin-left:681.958pt;mso-position-vertical-relative:page;margin-top:531.65pt;" coordsize="1613,35604">
                <v:rect id="Rectangle 5622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22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370 de 391 </w:t>
                        </w:r>
                      </w:p>
                    </w:txbxContent>
                  </v:textbox>
                </v:rect>
                <w10:wrap type="square"/>
              </v:group>
            </w:pict>
          </mc:Fallback>
        </mc:AlternateContent>
      </w:r>
      <w:r>
        <w:rPr>
          <w:rFonts w:ascii="Arial" w:eastAsia="Arial" w:hAnsi="Arial" w:cs="Arial"/>
        </w:rPr>
        <w:t>La gran cantidad de efectos negativos que provoca la pirotecnia tradicional en la salud de los seres humanos sensibles, niños/as autistas, personas mayores, personas con diversidad funcional, recién naci</w:t>
      </w:r>
      <w:r>
        <w:rPr>
          <w:rFonts w:ascii="Arial" w:eastAsia="Arial" w:hAnsi="Arial" w:cs="Arial"/>
        </w:rPr>
        <w:t>dos y animales, han hecho que en muchos lugares se haya eliminado su uso, como por ejemplo, entre otros: la ciudad italiana de Collecchio, en Parma; en las recientes fiestas en honor a San Antonio Abad, en Fuencaliente (La Palma), vinculadas a los animales</w:t>
      </w:r>
      <w:r>
        <w:rPr>
          <w:rFonts w:ascii="Arial" w:eastAsia="Arial" w:hAnsi="Arial" w:cs="Arial"/>
        </w:rPr>
        <w:t>; o en Santa Cruz de Tenerife, donde recientemente una moción presentada por Unidas Podemos, logró el apoyo de todo el Pleno, y estableciendo el uso municipales de fuegos artificiales sin ruido.</w:t>
      </w:r>
    </w:p>
    <w:p w:rsidR="00E23B86" w:rsidRDefault="00BA7C13">
      <w:pPr>
        <w:numPr>
          <w:ilvl w:val="0"/>
          <w:numId w:val="222"/>
        </w:numPr>
        <w:spacing w:after="6" w:line="248" w:lineRule="auto"/>
        <w:ind w:right="5" w:hanging="360"/>
        <w:jc w:val="both"/>
      </w:pPr>
      <w:r>
        <w:rPr>
          <w:rFonts w:ascii="Arial" w:eastAsia="Arial" w:hAnsi="Arial" w:cs="Arial"/>
        </w:rPr>
        <w:t>Por todo lo expuesto sometemos a la consideración del Pleno l</w:t>
      </w:r>
      <w:r>
        <w:rPr>
          <w:rFonts w:ascii="Arial" w:eastAsia="Arial" w:hAnsi="Arial" w:cs="Arial"/>
        </w:rPr>
        <w:t xml:space="preserve">os siguientes </w:t>
      </w: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pStyle w:val="Ttulo3"/>
        <w:spacing w:line="265" w:lineRule="auto"/>
        <w:ind w:left="682" w:right="676"/>
        <w:jc w:val="center"/>
      </w:pPr>
      <w:r>
        <w:rPr>
          <w:rFonts w:ascii="Segoe UI Symbol" w:eastAsia="Segoe UI Symbol" w:hAnsi="Segoe UI Symbol" w:cs="Segoe UI Symbol"/>
          <w:b w:val="0"/>
          <w:i w:val="0"/>
          <w:color w:val="000000"/>
          <w:sz w:val="20"/>
        </w:rPr>
        <w:t xml:space="preserve"> </w:t>
      </w:r>
      <w:r>
        <w:rPr>
          <w:i w:val="0"/>
          <w:color w:val="000000"/>
        </w:rPr>
        <w:t>ACUERDOS</w:t>
      </w:r>
    </w:p>
    <w:p w:rsidR="00E23B86" w:rsidRDefault="00BA7C13">
      <w:pPr>
        <w:numPr>
          <w:ilvl w:val="0"/>
          <w:numId w:val="223"/>
        </w:numPr>
        <w:spacing w:after="0" w:line="249" w:lineRule="auto"/>
        <w:ind w:right="5" w:hanging="2476"/>
        <w:jc w:val="both"/>
      </w:pPr>
      <w:r>
        <w:rPr>
          <w:rFonts w:ascii="Arial" w:eastAsia="Arial" w:hAnsi="Arial" w:cs="Arial"/>
          <w:b/>
        </w:rPr>
        <w:t xml:space="preserve">1.- Que en Candelaria se utilicen fuegos artificiales silenciosos en todos los espectáculos pirotécnicos que se celebren en el municipio, organizados por el propio consistorio o que reciban financiación municipal. </w:t>
      </w:r>
    </w:p>
    <w:p w:rsidR="00E23B86" w:rsidRDefault="00BA7C13">
      <w:pPr>
        <w:numPr>
          <w:ilvl w:val="0"/>
          <w:numId w:val="223"/>
        </w:numPr>
        <w:spacing w:after="11" w:line="249" w:lineRule="auto"/>
        <w:ind w:right="5" w:hanging="2476"/>
        <w:jc w:val="both"/>
      </w:pPr>
      <w:r>
        <w:rPr>
          <w:rFonts w:ascii="Arial" w:eastAsia="Arial" w:hAnsi="Arial" w:cs="Arial"/>
          <w:b/>
        </w:rPr>
        <w:t>2.- Que el A</w:t>
      </w:r>
      <w:r>
        <w:rPr>
          <w:rFonts w:ascii="Arial" w:eastAsia="Arial" w:hAnsi="Arial" w:cs="Arial"/>
          <w:b/>
        </w:rPr>
        <w:t>yuntamiento ponga en marcha campañas informativas y campañas de concienciación sobre los efectos negativos en el uso de la pirotecnia convencional y el fomento de este tipo de fuegos artificiales sin ruido entre la población y sus efectos positivos diferen</w:t>
      </w:r>
      <w:r>
        <w:rPr>
          <w:rFonts w:ascii="Arial" w:eastAsia="Arial" w:hAnsi="Arial" w:cs="Arial"/>
          <w:b/>
        </w:rPr>
        <w:t>ciales.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3"/>
        </w:numPr>
        <w:spacing w:after="110" w:line="248" w:lineRule="auto"/>
        <w:ind w:right="5" w:hanging="2476"/>
        <w:jc w:val="both"/>
      </w:pPr>
      <w:r>
        <w:rPr>
          <w:rFonts w:ascii="Arial" w:eastAsia="Arial" w:hAnsi="Arial" w:cs="Arial"/>
        </w:rPr>
        <w:t>En Candelaria, a 13 de febrero de 2020</w:t>
      </w:r>
    </w:p>
    <w:p w:rsidR="00E23B86" w:rsidRDefault="00BA7C13">
      <w:pPr>
        <w:spacing w:after="68" w:line="265" w:lineRule="auto"/>
        <w:ind w:left="-5" w:right="13" w:hanging="10"/>
      </w:pPr>
      <w:r>
        <w:rPr>
          <w:rFonts w:ascii="Segoe UI Symbol" w:eastAsia="Segoe UI Symbol" w:hAnsi="Segoe UI Symbol" w:cs="Segoe UI Symbol"/>
          <w:sz w:val="20"/>
        </w:rPr>
        <w:t></w:t>
      </w:r>
    </w:p>
    <w:p w:rsidR="00E23B86" w:rsidRDefault="00BA7C13">
      <w:pPr>
        <w:numPr>
          <w:ilvl w:val="0"/>
          <w:numId w:val="223"/>
        </w:numPr>
        <w:spacing w:after="110" w:line="248" w:lineRule="auto"/>
        <w:ind w:right="5" w:hanging="2476"/>
        <w:jc w:val="both"/>
      </w:pPr>
      <w:r>
        <w:rPr>
          <w:rFonts w:ascii="Arial" w:eastAsia="Arial" w:hAnsi="Arial" w:cs="Arial"/>
        </w:rPr>
        <w:t>Fdo: Pilar Maceín Núñez</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83" w:line="265" w:lineRule="auto"/>
        <w:ind w:left="-5" w:right="13" w:hanging="10"/>
      </w:pPr>
      <w:r>
        <w:rPr>
          <w:rFonts w:ascii="Segoe UI Symbol" w:eastAsia="Segoe UI Symbol" w:hAnsi="Segoe UI Symbol" w:cs="Segoe UI Symbol"/>
          <w:sz w:val="20"/>
        </w:rPr>
        <w:t></w:t>
      </w:r>
      <w:r>
        <w:rPr>
          <w:rFonts w:ascii="Arial" w:eastAsia="Arial" w:hAnsi="Arial" w:cs="Arial"/>
        </w:rPr>
        <w:t xml:space="preserve"> </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3"/>
        </w:numPr>
        <w:spacing w:after="111" w:line="249" w:lineRule="auto"/>
        <w:ind w:right="5" w:hanging="2476"/>
        <w:jc w:val="both"/>
      </w:pPr>
      <w:r>
        <w:rPr>
          <w:rFonts w:ascii="Arial" w:eastAsia="Arial" w:hAnsi="Arial" w:cs="Arial"/>
          <w:b/>
        </w:rPr>
        <w:t>DICTAMEN DE LA COMISIÓN INFORMATIVA DE SERVICIOS A LAS PERSONAS.</w:t>
      </w:r>
    </w:p>
    <w:p w:rsidR="00E23B86" w:rsidRDefault="00BA7C13">
      <w:pPr>
        <w:numPr>
          <w:ilvl w:val="0"/>
          <w:numId w:val="223"/>
        </w:numPr>
        <w:spacing w:after="89"/>
        <w:ind w:right="5" w:hanging="2476"/>
        <w:jc w:val="both"/>
      </w:pPr>
      <w:r>
        <w:t>Votos a favor: 1.</w:t>
      </w:r>
    </w:p>
    <w:p w:rsidR="00E23B86" w:rsidRDefault="00BA7C13">
      <w:pPr>
        <w:numPr>
          <w:ilvl w:val="0"/>
          <w:numId w:val="223"/>
        </w:numPr>
        <w:spacing w:after="110" w:line="248" w:lineRule="auto"/>
        <w:ind w:right="5" w:hanging="2476"/>
        <w:jc w:val="both"/>
      </w:pPr>
      <w:r>
        <w:rPr>
          <w:rFonts w:ascii="Arial" w:eastAsia="Arial" w:hAnsi="Arial" w:cs="Arial"/>
        </w:rPr>
        <w:t>1 de la concejal del Grupo Mixto: Doña María del Carmen Coello González.</w:t>
      </w:r>
    </w:p>
    <w:p w:rsidR="00E23B86" w:rsidRDefault="00BA7C13">
      <w:pPr>
        <w:numPr>
          <w:ilvl w:val="0"/>
          <w:numId w:val="223"/>
        </w:numPr>
        <w:spacing w:after="89"/>
        <w:ind w:right="5" w:hanging="2476"/>
        <w:jc w:val="both"/>
      </w:pPr>
      <w:r>
        <w:t>Votos en contra: 0.</w:t>
      </w:r>
    </w:p>
    <w:p w:rsidR="00E23B86" w:rsidRDefault="00BA7C13">
      <w:pPr>
        <w:numPr>
          <w:ilvl w:val="0"/>
          <w:numId w:val="223"/>
        </w:numPr>
        <w:spacing w:after="89"/>
        <w:ind w:right="5" w:hanging="2476"/>
        <w:jc w:val="both"/>
      </w:pPr>
      <w:r>
        <w:t>Abstenciones: 6:</w:t>
      </w:r>
    </w:p>
    <w:p w:rsidR="00E23B86" w:rsidRDefault="00BA7C13">
      <w:pPr>
        <w:numPr>
          <w:ilvl w:val="0"/>
          <w:numId w:val="223"/>
        </w:numPr>
        <w:spacing w:after="89"/>
        <w:ind w:right="5" w:hanging="2476"/>
        <w:jc w:val="both"/>
      </w:pPr>
      <w:r>
        <w:t>Los 4 concejales del Grupo Socialista: Doña Olivia Concepción Pérez Díaz, Don José Francisco Pinto Ramos, Doña Margarita Eva Tendero Barroso y Don Olegario Francisco Alonso Bello.</w:t>
      </w:r>
    </w:p>
    <w:p w:rsidR="00E23B86" w:rsidRDefault="00BA7C13">
      <w:pPr>
        <w:numPr>
          <w:ilvl w:val="0"/>
          <w:numId w:val="223"/>
        </w:numPr>
        <w:spacing w:after="110" w:line="248" w:lineRule="auto"/>
        <w:ind w:right="5" w:hanging="2476"/>
        <w:jc w:val="both"/>
      </w:pPr>
      <w:r>
        <w:rPr>
          <w:rFonts w:ascii="Arial" w:eastAsia="Arial" w:hAnsi="Arial" w:cs="Arial"/>
        </w:rPr>
        <w:t>1 del concejal del Grupo Popular, Don J</w:t>
      </w:r>
      <w:r>
        <w:rPr>
          <w:rFonts w:ascii="Arial" w:eastAsia="Arial" w:hAnsi="Arial" w:cs="Arial"/>
        </w:rPr>
        <w:t>uan Miguel Olivera González.</w:t>
      </w:r>
    </w:p>
    <w:p w:rsidR="00E23B86" w:rsidRDefault="00BA7C13">
      <w:pPr>
        <w:spacing w:after="136" w:line="248" w:lineRule="auto"/>
        <w:ind w:left="730" w:hanging="10"/>
        <w:jc w:val="both"/>
      </w:pPr>
      <w:r>
        <w:rPr>
          <w:rFonts w:ascii="Courier New" w:eastAsia="Courier New" w:hAnsi="Courier New" w:cs="Courier New"/>
          <w:sz w:val="20"/>
        </w:rPr>
        <w:t xml:space="preserve">o </w:t>
      </w:r>
      <w:r>
        <w:rPr>
          <w:rFonts w:ascii="Arial" w:eastAsia="Arial" w:hAnsi="Arial" w:cs="Arial"/>
        </w:rPr>
        <w:t>de la concejal del Grupo Mixto: Doña Ángela Cruz Perera (CC-PNC).</w:t>
      </w:r>
    </w:p>
    <w:p w:rsidR="00E23B86" w:rsidRDefault="00BA7C13">
      <w:pPr>
        <w:spacing w:after="143"/>
        <w:ind w:left="720"/>
      </w:pPr>
      <w:r>
        <w:rPr>
          <w:rFonts w:ascii="Courier New" w:eastAsia="Courier New" w:hAnsi="Courier New" w:cs="Courier New"/>
          <w:sz w:val="20"/>
        </w:rPr>
        <w:t>o</w:t>
      </w:r>
    </w:p>
    <w:p w:rsidR="00E23B86" w:rsidRDefault="00BA7C13">
      <w:pPr>
        <w:numPr>
          <w:ilvl w:val="0"/>
          <w:numId w:val="223"/>
        </w:numPr>
        <w:spacing w:after="0" w:line="339" w:lineRule="auto"/>
        <w:ind w:right="5" w:hanging="2476"/>
        <w:jc w:val="both"/>
      </w:pPr>
      <w:r>
        <w:rPr>
          <w:rFonts w:ascii="Arial" w:eastAsia="Arial" w:hAnsi="Arial" w:cs="Arial"/>
          <w:b/>
        </w:rPr>
        <w:t xml:space="preserve">JUNTA DE PORTAVOCES </w:t>
      </w:r>
      <w:r>
        <w:rPr>
          <w:rFonts w:ascii="Segoe UI Symbol" w:eastAsia="Segoe UI Symbol" w:hAnsi="Segoe UI Symbol" w:cs="Segoe UI Symbol"/>
          <w:sz w:val="20"/>
        </w:rPr>
        <w:t xml:space="preserve"> </w:t>
      </w:r>
      <w:r>
        <w:rPr>
          <w:rFonts w:ascii="Arial" w:eastAsia="Arial" w:hAnsi="Arial" w:cs="Arial"/>
        </w:rPr>
        <w:t>Quedó oída.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23"/>
        </w:numPr>
        <w:spacing w:after="111" w:line="249" w:lineRule="auto"/>
        <w:ind w:right="5" w:hanging="2476"/>
        <w:jc w:val="both"/>
      </w:pPr>
      <w:r>
        <w:rPr>
          <w:noProof/>
        </w:rPr>
        <mc:AlternateContent>
          <mc:Choice Requires="wpg">
            <w:drawing>
              <wp:anchor distT="0" distB="0" distL="114300" distR="114300" simplePos="0" relativeHeight="25204019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4249" name="Group 594249"/>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300" name="Rectangle 5630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301" name="Rectangle 5630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371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4249" style="width:12.7031pt;height:280.35pt;position:absolute;mso-position-horizontal-relative:page;mso-position-horizontal:absolute;margin-left:681.958pt;mso-position-vertical-relative:page;margin-top:531.65pt;" coordsize="1613,35604">
                <v:rect id="Rectangle 5630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30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371 de 391 </w:t>
                        </w:r>
                      </w:p>
                    </w:txbxContent>
                  </v:textbox>
                </v:rect>
                <w10:wrap type="square"/>
              </v:group>
            </w:pict>
          </mc:Fallback>
        </mc:AlternateContent>
      </w:r>
      <w:r>
        <w:rPr>
          <w:rFonts w:ascii="Arial" w:eastAsia="Arial" w:hAnsi="Arial" w:cs="Arial"/>
          <w:b/>
        </w:rPr>
        <w:t>Durante el transcurso de la sesión plenaria se presentó una enmiendapor el Grupo Socialista que fue consensuada por el resto de los Grupos, o sea, el Grupo Popul</w:t>
      </w:r>
      <w:r>
        <w:rPr>
          <w:rFonts w:ascii="Arial" w:eastAsia="Arial" w:hAnsi="Arial" w:cs="Arial"/>
          <w:b/>
        </w:rPr>
        <w:t>ar y el Grupo Mixto, y que se sometió a votación.</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23"/>
        </w:numPr>
        <w:spacing w:after="111" w:line="249" w:lineRule="auto"/>
        <w:ind w:right="5" w:hanging="2476"/>
        <w:jc w:val="both"/>
      </w:pPr>
      <w:r>
        <w:rPr>
          <w:rFonts w:ascii="Arial" w:eastAsia="Arial" w:hAnsi="Arial" w:cs="Arial"/>
          <w:b/>
        </w:rPr>
        <w:t>VOTACIÓN EN EL PLENO (votada conjuntamente con el punto 11 al ser puntos con el mismo contenido)</w:t>
      </w:r>
    </w:p>
    <w:p w:rsidR="00E23B86" w:rsidRDefault="00BA7C13">
      <w:pPr>
        <w:numPr>
          <w:ilvl w:val="0"/>
          <w:numId w:val="223"/>
        </w:numPr>
        <w:spacing w:after="110" w:line="248" w:lineRule="auto"/>
        <w:ind w:right="5" w:hanging="2476"/>
        <w:jc w:val="both"/>
      </w:pPr>
      <w:r>
        <w:rPr>
          <w:rFonts w:ascii="Arial" w:eastAsia="Arial" w:hAnsi="Arial" w:cs="Arial"/>
        </w:rPr>
        <w:t>Votos a favor: 17: La unanimidad de los concejales presentes.</w:t>
      </w:r>
    </w:p>
    <w:p w:rsidR="00E23B86" w:rsidRDefault="00BA7C13">
      <w:pPr>
        <w:numPr>
          <w:ilvl w:val="0"/>
          <w:numId w:val="223"/>
        </w:numPr>
        <w:spacing w:after="0" w:line="248" w:lineRule="auto"/>
        <w:ind w:right="5" w:hanging="2476"/>
        <w:jc w:val="both"/>
      </w:pPr>
      <w:r>
        <w:rPr>
          <w:rFonts w:ascii="Arial" w:eastAsia="Arial" w:hAnsi="Arial" w:cs="Arial"/>
        </w:rPr>
        <w:t>11 concejales del Grupo Socialista: Doña Marí</w:t>
      </w:r>
      <w:r>
        <w:rPr>
          <w:rFonts w:ascii="Arial" w:eastAsia="Arial" w:hAnsi="Arial" w:cs="Arial"/>
        </w:rPr>
        <w:t>a Concepción Brito Núñez, Don Jorge Baute Delgado, Doña Olivia Concepción Pérez Díaz, Don José Francisco</w:t>
      </w:r>
    </w:p>
    <w:p w:rsidR="00E23B86" w:rsidRDefault="00BA7C13">
      <w:pPr>
        <w:spacing w:after="110" w:line="248" w:lineRule="auto"/>
        <w:ind w:left="373" w:right="6" w:hanging="10"/>
        <w:jc w:val="both"/>
      </w:pPr>
      <w:r>
        <w:rPr>
          <w:rFonts w:ascii="Arial" w:eastAsia="Arial" w:hAnsi="Arial" w:cs="Arial"/>
        </w:rPr>
        <w:t>Pinto Ramos, Doña Hilaria Cecilia Otazo González, Don Airam Pérez Chinea, Doña Margarita Eva Tendero Barroso, Don Manuel Alberto González Pestano, Doña</w:t>
      </w:r>
      <w:r>
        <w:rPr>
          <w:rFonts w:ascii="Arial" w:eastAsia="Arial" w:hAnsi="Arial" w:cs="Arial"/>
        </w:rPr>
        <w:t xml:space="preserve"> María del Carmen Clemente Díaz, Don Olegario Francisco Alonso Bello y Don Reinaldo José Triviño Blanco. </w:t>
      </w:r>
    </w:p>
    <w:p w:rsidR="00E23B86" w:rsidRDefault="00BA7C13">
      <w:pPr>
        <w:numPr>
          <w:ilvl w:val="0"/>
          <w:numId w:val="223"/>
        </w:numPr>
        <w:spacing w:after="110" w:line="248" w:lineRule="auto"/>
        <w:ind w:right="5" w:hanging="2476"/>
        <w:jc w:val="both"/>
      </w:pPr>
      <w:r>
        <w:rPr>
          <w:rFonts w:ascii="Arial" w:eastAsia="Arial" w:hAnsi="Arial" w:cs="Arial"/>
        </w:rPr>
        <w:t>2 concejales del Grupo Popular: Don Juan Miguel Olivera González y Don Jacobo López Fariña.</w:t>
      </w:r>
    </w:p>
    <w:p w:rsidR="00E23B86" w:rsidRDefault="00BA7C13">
      <w:pPr>
        <w:numPr>
          <w:ilvl w:val="0"/>
          <w:numId w:val="223"/>
        </w:numPr>
        <w:spacing w:after="110" w:line="248" w:lineRule="auto"/>
        <w:ind w:right="5" w:hanging="2476"/>
        <w:jc w:val="both"/>
      </w:pPr>
      <w:r>
        <w:rPr>
          <w:rFonts w:ascii="Arial" w:eastAsia="Arial" w:hAnsi="Arial" w:cs="Arial"/>
        </w:rPr>
        <w:t>4 concejales del Grupo Mixto: Doña María del Carmen Coello</w:t>
      </w:r>
      <w:r>
        <w:rPr>
          <w:rFonts w:ascii="Arial" w:eastAsia="Arial" w:hAnsi="Arial" w:cs="Arial"/>
        </w:rPr>
        <w:t xml:space="preserve"> González y Doña María del Pilar Maceín Núñez (SSP), Doña Ángela Cruz Perera y Don José Fernando Gómez Martín (PvxC).</w:t>
      </w:r>
    </w:p>
    <w:p w:rsidR="00E23B86" w:rsidRDefault="00BA7C13">
      <w:pPr>
        <w:numPr>
          <w:ilvl w:val="0"/>
          <w:numId w:val="223"/>
        </w:numPr>
        <w:spacing w:after="110" w:line="248" w:lineRule="auto"/>
        <w:ind w:right="5" w:hanging="2476"/>
        <w:jc w:val="both"/>
      </w:pPr>
      <w:r>
        <w:rPr>
          <w:rFonts w:ascii="Arial" w:eastAsia="Arial" w:hAnsi="Arial" w:cs="Arial"/>
        </w:rPr>
        <w:t>Votos en contra: 0.</w:t>
      </w:r>
    </w:p>
    <w:p w:rsidR="00E23B86" w:rsidRDefault="00BA7C13">
      <w:pPr>
        <w:numPr>
          <w:ilvl w:val="0"/>
          <w:numId w:val="223"/>
        </w:numPr>
        <w:spacing w:after="110" w:line="248" w:lineRule="auto"/>
        <w:ind w:right="5" w:hanging="2476"/>
        <w:jc w:val="both"/>
      </w:pPr>
      <w:r>
        <w:rPr>
          <w:rFonts w:ascii="Arial" w:eastAsia="Arial" w:hAnsi="Arial" w:cs="Arial"/>
        </w:rPr>
        <w:t>Abstenciones: 0.</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98" w:line="265" w:lineRule="auto"/>
        <w:ind w:left="-5" w:right="13" w:hanging="10"/>
      </w:pPr>
      <w:r>
        <w:rPr>
          <w:rFonts w:ascii="Segoe UI Symbol" w:eastAsia="Segoe UI Symbol" w:hAnsi="Segoe UI Symbol" w:cs="Segoe UI Symbol"/>
          <w:sz w:val="20"/>
        </w:rPr>
        <w:t></w:t>
      </w:r>
    </w:p>
    <w:p w:rsidR="00E23B86" w:rsidRDefault="00BA7C13">
      <w:pPr>
        <w:spacing w:after="0"/>
        <w:ind w:left="10" w:right="268" w:hanging="10"/>
        <w:jc w:val="center"/>
      </w:pPr>
      <w:r>
        <w:rPr>
          <w:rFonts w:ascii="Segoe UI Symbol" w:eastAsia="Segoe UI Symbol" w:hAnsi="Segoe UI Symbol" w:cs="Segoe UI Symbol"/>
          <w:sz w:val="20"/>
        </w:rPr>
        <w:t></w:t>
      </w:r>
    </w:p>
    <w:p w:rsidR="00E23B86" w:rsidRDefault="00BA7C13">
      <w:pPr>
        <w:spacing w:after="0"/>
        <w:ind w:left="10" w:right="268" w:hanging="10"/>
        <w:jc w:val="center"/>
      </w:pPr>
      <w:r>
        <w:rPr>
          <w:rFonts w:ascii="Segoe UI Symbol" w:eastAsia="Segoe UI Symbol" w:hAnsi="Segoe UI Symbol" w:cs="Segoe UI Symbol"/>
          <w:sz w:val="20"/>
        </w:rPr>
        <w:t></w:t>
      </w:r>
    </w:p>
    <w:p w:rsidR="00E23B86" w:rsidRDefault="00BA7C13">
      <w:pPr>
        <w:numPr>
          <w:ilvl w:val="0"/>
          <w:numId w:val="223"/>
        </w:numPr>
        <w:spacing w:after="0" w:line="265" w:lineRule="auto"/>
        <w:ind w:right="5" w:hanging="2476"/>
        <w:jc w:val="both"/>
      </w:pPr>
      <w:r>
        <w:rPr>
          <w:rFonts w:ascii="Arial" w:eastAsia="Arial" w:hAnsi="Arial" w:cs="Arial"/>
          <w:b/>
          <w:sz w:val="24"/>
        </w:rPr>
        <w:t>ACUERDO DEL PLENO</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3"/>
        </w:numPr>
        <w:spacing w:after="0" w:line="248" w:lineRule="auto"/>
        <w:ind w:right="5" w:hanging="2476"/>
        <w:jc w:val="both"/>
      </w:pPr>
      <w:r>
        <w:rPr>
          <w:rFonts w:ascii="Arial" w:eastAsia="Arial" w:hAnsi="Arial" w:cs="Arial"/>
        </w:rPr>
        <w:t>Primero.- El Ayuntamiento de Candelaria adecuará la práctica pirotécnica ubicando la quema del material en los entornos más alejados posibles de los núcleos urbanos y en condiciones de seguridad, así como la ubicación de los asistentes de los distintos eve</w:t>
      </w:r>
      <w:r>
        <w:rPr>
          <w:rFonts w:ascii="Arial" w:eastAsia="Arial" w:hAnsi="Arial" w:cs="Arial"/>
        </w:rPr>
        <w:t xml:space="preserve">ntos festivos, minimizando de este modo el impacto sonoro que produce, garantizando la continuidad de este elemento innato a las tradiciones festivas y culturales de nuestro pueblo. </w:t>
      </w:r>
      <w:r>
        <w:rPr>
          <w:rFonts w:ascii="Segoe UI Symbol" w:eastAsia="Segoe UI Symbol" w:hAnsi="Segoe UI Symbol" w:cs="Segoe UI Symbol"/>
          <w:sz w:val="20"/>
        </w:rPr>
        <w:t></w:t>
      </w:r>
    </w:p>
    <w:p w:rsidR="00E23B86" w:rsidRDefault="00BA7C13">
      <w:pPr>
        <w:numPr>
          <w:ilvl w:val="0"/>
          <w:numId w:val="223"/>
        </w:numPr>
        <w:spacing w:after="0" w:line="248" w:lineRule="auto"/>
        <w:ind w:right="5" w:hanging="2476"/>
        <w:jc w:val="both"/>
      </w:pPr>
      <w:r>
        <w:rPr>
          <w:rFonts w:ascii="Arial" w:eastAsia="Arial" w:hAnsi="Arial" w:cs="Arial"/>
        </w:rPr>
        <w:t>Segundo.- El Ayuntamiento de Candelaria dictará bandos que regulen el us</w:t>
      </w:r>
      <w:r>
        <w:rPr>
          <w:rFonts w:ascii="Arial" w:eastAsia="Arial" w:hAnsi="Arial" w:cs="Arial"/>
        </w:rPr>
        <w:t>o de petardos y material pirotécnico en espacios públicos para minimizar los efectos adversos y molestias que ocasiona sobre una parte de la población y los animales.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3"/>
        </w:numPr>
        <w:spacing w:after="0" w:line="248" w:lineRule="auto"/>
        <w:ind w:right="5" w:hanging="2476"/>
        <w:jc w:val="both"/>
      </w:pPr>
      <w:r>
        <w:rPr>
          <w:rFonts w:ascii="Arial" w:eastAsia="Arial" w:hAnsi="Arial" w:cs="Arial"/>
        </w:rPr>
        <w:t>Tercero.- Promover una campaña de difusión o concienciación para toda la población, sobre los problemas que la pirotecnia genera en los animales y en sectores sensibles de la sociedad como ancianos, enfermos y bebés, encaminada a reducir o evitar el uso de</w:t>
      </w:r>
      <w:r>
        <w:rPr>
          <w:rFonts w:ascii="Arial" w:eastAsia="Arial" w:hAnsi="Arial" w:cs="Arial"/>
        </w:rPr>
        <w:t xml:space="preserve"> estos artefactos. </w:t>
      </w:r>
      <w:r>
        <w:rPr>
          <w:rFonts w:ascii="Segoe UI Symbol" w:eastAsia="Segoe UI Symbol" w:hAnsi="Segoe UI Symbol" w:cs="Segoe UI Symbol"/>
          <w:sz w:val="20"/>
        </w:rPr>
        <w:t></w:t>
      </w:r>
    </w:p>
    <w:p w:rsidR="00E23B86" w:rsidRDefault="00BA7C13">
      <w:pPr>
        <w:numPr>
          <w:ilvl w:val="0"/>
          <w:numId w:val="223"/>
        </w:numPr>
        <w:spacing w:after="0" w:line="248" w:lineRule="auto"/>
        <w:ind w:right="5" w:hanging="2476"/>
        <w:jc w:val="both"/>
      </w:pPr>
      <w:r>
        <w:rPr>
          <w:noProof/>
        </w:rPr>
        <mc:AlternateContent>
          <mc:Choice Requires="wpg">
            <w:drawing>
              <wp:anchor distT="0" distB="0" distL="114300" distR="114300" simplePos="0" relativeHeight="25204121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4488" name="Group 59448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378" name="Rectangle 5637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379" name="Rectangle 5637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372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4488" style="width:12.7031pt;height:280.35pt;position:absolute;mso-position-horizontal-relative:page;mso-position-horizontal:absolute;margin-left:681.958pt;mso-position-vertical-relative:page;margin-top:531.65pt;" coordsize="1613,35604">
                <v:rect id="Rectangle 5637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37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372 de 391 </w:t>
                        </w:r>
                      </w:p>
                    </w:txbxContent>
                  </v:textbox>
                </v:rect>
                <w10:wrap type="square"/>
              </v:group>
            </w:pict>
          </mc:Fallback>
        </mc:AlternateContent>
      </w:r>
      <w:r>
        <w:rPr>
          <w:rFonts w:ascii="Arial" w:eastAsia="Arial" w:hAnsi="Arial" w:cs="Arial"/>
        </w:rPr>
        <w:t>Cuarto.- Apostar, en la medida de lo posible, por el material pirotécnico del mercado que cause el menor impacto sonoro, siempre y cuando mantengan su finalidad visual, decorativa y embellecedora de las fiestas en las que se empleen.</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3"/>
        </w:numPr>
        <w:spacing w:after="0" w:line="248" w:lineRule="auto"/>
        <w:ind w:right="5" w:hanging="2476"/>
        <w:jc w:val="both"/>
      </w:pPr>
      <w:r>
        <w:rPr>
          <w:rFonts w:ascii="Arial" w:eastAsia="Arial" w:hAnsi="Arial" w:cs="Arial"/>
        </w:rPr>
        <w:t xml:space="preserve">Quinto.- Adaptar el </w:t>
      </w:r>
      <w:r>
        <w:rPr>
          <w:rFonts w:ascii="Arial" w:eastAsia="Arial" w:hAnsi="Arial" w:cs="Arial"/>
        </w:rPr>
        <w:t>consumo de material pirotécnico a los avances de la industria, adquiriendo siempre los productos menos ruidosos y contaminantes que vayan apareciendo en el mercado, sin renunciar a la espectacularidad que se les presupone.</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3"/>
        </w:numPr>
        <w:spacing w:after="0" w:line="248" w:lineRule="auto"/>
        <w:ind w:right="5" w:hanging="2476"/>
        <w:jc w:val="both"/>
      </w:pPr>
      <w:r>
        <w:rPr>
          <w:rFonts w:ascii="Arial" w:eastAsia="Arial" w:hAnsi="Arial" w:cs="Arial"/>
        </w:rPr>
        <w:t>Sexto.- Se hará un esfuerzo esp</w:t>
      </w:r>
      <w:r>
        <w:rPr>
          <w:rFonts w:ascii="Arial" w:eastAsia="Arial" w:hAnsi="Arial" w:cs="Arial"/>
        </w:rPr>
        <w:t xml:space="preserve">ecial en la comunicación municipal para que la ciudadanía esté advertida y avisada con antelación sobre las festividades, emplazamientos y horarios en los que se hará uso de material pirotécnico. </w:t>
      </w: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110" w:line="250" w:lineRule="auto"/>
        <w:ind w:left="355" w:hanging="10"/>
        <w:jc w:val="both"/>
      </w:pPr>
      <w:r>
        <w:rPr>
          <w:rFonts w:ascii="Arial" w:eastAsia="Arial" w:hAnsi="Arial" w:cs="Arial"/>
          <w:b/>
          <w:sz w:val="24"/>
        </w:rPr>
        <w:t>10.- Expediente 800/2020. Moción</w:t>
      </w:r>
      <w:r>
        <w:rPr>
          <w:rFonts w:ascii="Arial" w:eastAsia="Arial" w:hAnsi="Arial" w:cs="Arial"/>
          <w:b/>
          <w:sz w:val="24"/>
        </w:rPr>
        <w:t xml:space="preserve"> de Grupo Mixto por RE 1413/2020 de 27 de enero de 2020 en defensa del mar canario.</w:t>
      </w:r>
    </w:p>
    <w:p w:rsidR="00E23B86" w:rsidRDefault="00BA7C13">
      <w:pPr>
        <w:spacing w:after="86" w:line="265" w:lineRule="auto"/>
        <w:ind w:left="-5" w:right="13" w:hanging="10"/>
      </w:pPr>
      <w:r>
        <w:rPr>
          <w:rFonts w:ascii="Segoe UI Symbol" w:eastAsia="Segoe UI Symbol" w:hAnsi="Segoe UI Symbol" w:cs="Segoe UI Symbol"/>
          <w:sz w:val="20"/>
        </w:rPr>
        <w:t></w:t>
      </w:r>
    </w:p>
    <w:p w:rsidR="00E23B86" w:rsidRDefault="00BA7C13">
      <w:pPr>
        <w:numPr>
          <w:ilvl w:val="0"/>
          <w:numId w:val="224"/>
        </w:numPr>
        <w:spacing w:after="0" w:line="249" w:lineRule="auto"/>
        <w:ind w:right="1" w:hanging="360"/>
        <w:jc w:val="both"/>
      </w:pPr>
      <w:r>
        <w:rPr>
          <w:rFonts w:ascii="Arial" w:eastAsia="Arial" w:hAnsi="Arial" w:cs="Arial"/>
          <w:b/>
        </w:rPr>
        <w:t>Consta en el expediente electrónico la referida moción que se inserta literalmente:</w:t>
      </w:r>
    </w:p>
    <w:p w:rsidR="00E23B86" w:rsidRDefault="00BA7C13">
      <w:pPr>
        <w:spacing w:after="83" w:line="265" w:lineRule="auto"/>
        <w:ind w:left="-5" w:right="13" w:hanging="10"/>
      </w:pPr>
      <w:r>
        <w:rPr>
          <w:rFonts w:ascii="Segoe UI Symbol" w:eastAsia="Segoe UI Symbol" w:hAnsi="Segoe UI Symbol" w:cs="Segoe UI Symbol"/>
          <w:sz w:val="20"/>
        </w:rPr>
        <w:t></w:t>
      </w:r>
      <w:r>
        <w:rPr>
          <w:rFonts w:ascii="Arial" w:eastAsia="Arial" w:hAnsi="Arial" w:cs="Arial"/>
          <w:b/>
        </w:rPr>
        <w:t xml:space="preserve"> </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100"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tbl>
      <w:tblPr>
        <w:tblStyle w:val="TableGrid"/>
        <w:tblW w:w="8144" w:type="dxa"/>
        <w:tblInd w:w="-2" w:type="dxa"/>
        <w:tblCellMar>
          <w:top w:w="5" w:type="dxa"/>
          <w:left w:w="0" w:type="dxa"/>
          <w:bottom w:w="0" w:type="dxa"/>
          <w:right w:w="115" w:type="dxa"/>
        </w:tblCellMar>
        <w:tblLook w:val="04A0" w:firstRow="1" w:lastRow="0" w:firstColumn="1" w:lastColumn="0" w:noHBand="0" w:noVBand="1"/>
      </w:tblPr>
      <w:tblGrid>
        <w:gridCol w:w="1486"/>
        <w:gridCol w:w="6658"/>
      </w:tblGrid>
      <w:tr w:rsidR="00E23B86">
        <w:trPr>
          <w:trHeight w:val="506"/>
        </w:trPr>
        <w:tc>
          <w:tcPr>
            <w:tcW w:w="1486" w:type="dxa"/>
            <w:tcBorders>
              <w:top w:val="nil"/>
              <w:left w:val="nil"/>
              <w:bottom w:val="nil"/>
              <w:right w:val="nil"/>
            </w:tcBorders>
            <w:shd w:val="clear" w:color="auto" w:fill="F3F3F3"/>
          </w:tcPr>
          <w:p w:rsidR="00E23B86" w:rsidRDefault="00BA7C13">
            <w:pPr>
              <w:spacing w:after="0"/>
              <w:ind w:left="1126"/>
            </w:pPr>
            <w:r>
              <w:rPr>
                <w:rFonts w:ascii="Segoe UI Symbol" w:eastAsia="Segoe UI Symbol" w:hAnsi="Segoe UI Symbol" w:cs="Segoe UI Symbol"/>
                <w:sz w:val="20"/>
              </w:rPr>
              <w:t></w:t>
            </w:r>
          </w:p>
        </w:tc>
        <w:tc>
          <w:tcPr>
            <w:tcW w:w="6658" w:type="dxa"/>
            <w:tcBorders>
              <w:top w:val="nil"/>
              <w:left w:val="nil"/>
              <w:bottom w:val="nil"/>
              <w:right w:val="nil"/>
            </w:tcBorders>
            <w:shd w:val="clear" w:color="auto" w:fill="F3F3F3"/>
          </w:tcPr>
          <w:p w:rsidR="00E23B86" w:rsidRDefault="00BA7C13">
            <w:pPr>
              <w:spacing w:after="0"/>
              <w:ind w:left="630" w:right="920" w:hanging="630"/>
            </w:pPr>
            <w:r>
              <w:rPr>
                <w:rFonts w:ascii="Arial" w:eastAsia="Arial" w:hAnsi="Arial" w:cs="Arial"/>
                <w:b/>
              </w:rPr>
              <w:t xml:space="preserve">MOCIÓN CON CARÁCTER DE URGENTE DE CC-PNC </w:t>
            </w:r>
            <w:r>
              <w:rPr>
                <w:rFonts w:ascii="Segoe UI Symbol" w:eastAsia="Segoe UI Symbol" w:hAnsi="Segoe UI Symbol" w:cs="Segoe UI Symbol"/>
                <w:sz w:val="20"/>
              </w:rPr>
              <w:t xml:space="preserve"> </w:t>
            </w:r>
            <w:r>
              <w:rPr>
                <w:rFonts w:ascii="Arial" w:eastAsia="Arial" w:hAnsi="Arial" w:cs="Arial"/>
                <w:b/>
              </w:rPr>
              <w:t>EN EL GRUPO MUNICIPAL MIXTO</w:t>
            </w:r>
          </w:p>
        </w:tc>
      </w:tr>
    </w:tbl>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4"/>
        </w:numPr>
        <w:spacing w:after="0" w:line="360" w:lineRule="auto"/>
        <w:ind w:right="1" w:hanging="360"/>
        <w:jc w:val="both"/>
      </w:pPr>
      <w:r>
        <w:rPr>
          <w:rFonts w:ascii="Arial" w:eastAsia="Arial" w:hAnsi="Arial" w:cs="Arial"/>
        </w:rPr>
        <w:t xml:space="preserve">Dña. Ángela Cruz Perera, con DNI ***4786**, en calidad de portavoz de </w:t>
      </w:r>
      <w:r>
        <w:rPr>
          <w:rFonts w:ascii="Arial" w:eastAsia="Arial" w:hAnsi="Arial" w:cs="Arial"/>
          <w:b/>
        </w:rPr>
        <w:t>Coalición Canaria (CC-PNC) en el Grupo Municipal Mixto</w:t>
      </w:r>
      <w:r>
        <w:rPr>
          <w:rFonts w:ascii="Arial" w:eastAsia="Arial" w:hAnsi="Arial" w:cs="Arial"/>
        </w:rPr>
        <w:t>, conforme establece el artículo 97.3 del Reglamento de Organización, Funcionamiento y Régimen Jurídico de las Entidades Locales, aprobado por R.D. 2568/1986, de 28 de noviembre, y los artículos 19.1b y 80 del Reglamento Orgánico y de la</w:t>
      </w:r>
    </w:p>
    <w:p w:rsidR="00E23B86" w:rsidRDefault="00BA7C13">
      <w:pPr>
        <w:spacing w:after="99" w:line="265" w:lineRule="auto"/>
        <w:ind w:left="10" w:hanging="10"/>
        <w:jc w:val="right"/>
      </w:pPr>
      <w:r>
        <w:rPr>
          <w:rFonts w:ascii="Arial" w:eastAsia="Arial" w:hAnsi="Arial" w:cs="Arial"/>
        </w:rPr>
        <w:t>Administración del</w:t>
      </w:r>
      <w:r>
        <w:rPr>
          <w:rFonts w:ascii="Arial" w:eastAsia="Arial" w:hAnsi="Arial" w:cs="Arial"/>
        </w:rPr>
        <w:t xml:space="preserve"> Ayuntamiento de Candelaria, presenta la siguiente </w:t>
      </w:r>
      <w:r>
        <w:rPr>
          <w:rFonts w:ascii="Arial" w:eastAsia="Arial" w:hAnsi="Arial" w:cs="Arial"/>
          <w:b/>
        </w:rPr>
        <w:t>MOCIÓN</w:t>
      </w:r>
    </w:p>
    <w:p w:rsidR="00E23B86" w:rsidRDefault="00BA7C13">
      <w:pPr>
        <w:spacing w:after="134" w:line="249" w:lineRule="auto"/>
        <w:ind w:left="355" w:right="554" w:hanging="10"/>
        <w:jc w:val="both"/>
      </w:pPr>
      <w:r>
        <w:rPr>
          <w:noProof/>
        </w:rPr>
        <mc:AlternateContent>
          <mc:Choice Requires="wpg">
            <w:drawing>
              <wp:anchor distT="0" distB="0" distL="114300" distR="114300" simplePos="0" relativeHeight="25204224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602875" name="Group 60287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439" name="Rectangle 56439"/>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440" name="Rectangle 56440"/>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373 de 391 </w:t>
                              </w:r>
                            </w:p>
                          </w:txbxContent>
                        </wps:txbx>
                        <wps:bodyPr horzOverflow="overflow" vert="horz" lIns="0" tIns="0" rIns="0" bIns="0" rtlCol="0">
                          <a:noAutofit/>
                        </wps:bodyPr>
                      </wps:wsp>
                    </wpg:wgp>
                  </a:graphicData>
                </a:graphic>
              </wp:anchor>
            </w:drawing>
          </mc:Choice>
          <mc:Fallback xmlns:a="http://schemas.openxmlformats.org/drawingml/2006/main">
            <w:pict>
              <v:group id="Group 602875" style="width:12.7031pt;height:280.35pt;position:absolute;mso-position-horizontal-relative:page;mso-position-horizontal:absolute;margin-left:681.958pt;mso-position-vertical-relative:page;margin-top:531.65pt;" coordsize="1613,35604">
                <v:rect id="Rectangle 56439"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440"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373 de 391 </w:t>
                        </w:r>
                      </w:p>
                    </w:txbxContent>
                  </v:textbox>
                </v:rect>
                <w10:wrap type="square"/>
              </v:group>
            </w:pict>
          </mc:Fallback>
        </mc:AlternateContent>
      </w:r>
      <w:r>
        <w:rPr>
          <w:rFonts w:ascii="Arial" w:eastAsia="Arial" w:hAnsi="Arial" w:cs="Arial"/>
          <w:b/>
        </w:rPr>
        <w:t>EN DEFENSA DEL MAR CANARIO</w:t>
      </w:r>
    </w:p>
    <w:p w:rsidR="00E23B86" w:rsidRDefault="00BA7C13">
      <w:pPr>
        <w:spacing w:after="330" w:line="265" w:lineRule="auto"/>
        <w:ind w:left="-5" w:right="13" w:hanging="10"/>
      </w:pPr>
      <w:r>
        <w:rPr>
          <w:rFonts w:ascii="Segoe UI Symbol" w:eastAsia="Segoe UI Symbol" w:hAnsi="Segoe UI Symbol" w:cs="Segoe UI Symbol"/>
          <w:sz w:val="20"/>
        </w:rPr>
        <w:t></w:t>
      </w:r>
    </w:p>
    <w:p w:rsidR="00E23B86" w:rsidRDefault="00BA7C13">
      <w:pPr>
        <w:pStyle w:val="Ttulo3"/>
        <w:spacing w:after="84" w:line="265" w:lineRule="auto"/>
        <w:ind w:left="682" w:right="677"/>
        <w:jc w:val="center"/>
      </w:pPr>
      <w:r>
        <w:rPr>
          <w:rFonts w:ascii="Segoe UI Symbol" w:eastAsia="Segoe UI Symbol" w:hAnsi="Segoe UI Symbol" w:cs="Segoe UI Symbol"/>
          <w:b w:val="0"/>
          <w:i w:val="0"/>
          <w:color w:val="000000"/>
          <w:sz w:val="20"/>
        </w:rPr>
        <w:t xml:space="preserve"> </w:t>
      </w:r>
      <w:r>
        <w:rPr>
          <w:i w:val="0"/>
          <w:color w:val="000000"/>
        </w:rPr>
        <w:t>EXPOSICIÓN DE MOTIVOS</w:t>
      </w:r>
    </w:p>
    <w:p w:rsidR="00E23B86" w:rsidRDefault="00BA7C13">
      <w:pPr>
        <w:spacing w:after="90"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0" w:line="361" w:lineRule="auto"/>
        <w:ind w:right="5" w:hanging="360"/>
        <w:jc w:val="both"/>
      </w:pPr>
      <w:r>
        <w:rPr>
          <w:rFonts w:ascii="Arial" w:eastAsia="Arial" w:hAnsi="Arial" w:cs="Arial"/>
        </w:rPr>
        <w:t xml:space="preserve">La delimitación de las aguas canarias siempre ha sido asunto de controversia, dada la complejidad del derecho marítimo y la condición de Archipiélago perteneciente a un Estado, a lo que se une la cercanía a las islas portuguesas, a Marruecos y a las aguas </w:t>
      </w:r>
      <w:r>
        <w:rPr>
          <w:rFonts w:ascii="Arial" w:eastAsia="Arial" w:hAnsi="Arial" w:cs="Arial"/>
        </w:rPr>
        <w:t>costeras de la zona del Sahara Occidental.</w:t>
      </w:r>
    </w:p>
    <w:p w:rsidR="00E23B86" w:rsidRDefault="00BA7C13">
      <w:pPr>
        <w:spacing w:after="86"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110" w:line="360" w:lineRule="auto"/>
        <w:ind w:right="5" w:hanging="360"/>
        <w:jc w:val="both"/>
      </w:pPr>
      <w:r>
        <w:rPr>
          <w:rFonts w:ascii="Arial" w:eastAsia="Arial" w:hAnsi="Arial" w:cs="Arial"/>
        </w:rPr>
        <w:t xml:space="preserve">A lo largo de los años, establecer las normas que deben regir las fronteras marítimas entre los países no ha estado exento de dificultades y si nos remontamos a la última Convención sobre el Derecho del Mar que </w:t>
      </w:r>
      <w:r>
        <w:rPr>
          <w:rFonts w:ascii="Arial" w:eastAsia="Arial" w:hAnsi="Arial" w:cs="Arial"/>
        </w:rPr>
        <w:t>tuvo lugar en Montengo Bay, en 1982, quedaba establecido que la soberanía sobre las aguas abarcaba hasta las 12 primeras millas de la costa; hasta las 200 millas se extendía la Zona Económica Exclusiva (ZEE), sobre la que se tiene una soberanía limitada qu</w:t>
      </w:r>
      <w:r>
        <w:rPr>
          <w:rFonts w:ascii="Arial" w:eastAsia="Arial" w:hAnsi="Arial" w:cs="Arial"/>
        </w:rPr>
        <w:t>e se refleja en el modo previsto para su establecimiento ya que la convención acordó que no se puede establecer</w:t>
      </w:r>
      <w:r>
        <w:rPr>
          <w:rFonts w:ascii="Times New Roman" w:eastAsia="Times New Roman" w:hAnsi="Times New Roman" w:cs="Times New Roman"/>
          <w:sz w:val="24"/>
        </w:rPr>
        <w:t xml:space="preserve"> unilateralmente; y la plataforma continental que se extendería hasta las 350 </w:t>
      </w:r>
      <w:r>
        <w:rPr>
          <w:rFonts w:ascii="Arial" w:eastAsia="Arial" w:hAnsi="Arial" w:cs="Arial"/>
        </w:rPr>
        <w:t>millas.</w:t>
      </w:r>
    </w:p>
    <w:p w:rsidR="00E23B86" w:rsidRDefault="00BA7C13">
      <w:pPr>
        <w:spacing w:after="86"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1" w:line="360" w:lineRule="auto"/>
        <w:ind w:right="5" w:hanging="360"/>
        <w:jc w:val="both"/>
      </w:pPr>
      <w:r>
        <w:rPr>
          <w:rFonts w:ascii="Arial" w:eastAsia="Arial" w:hAnsi="Arial" w:cs="Arial"/>
        </w:rPr>
        <w:t>Para el trazado de la ZEE se requiere un acuerdo entre lo</w:t>
      </w:r>
      <w:r>
        <w:rPr>
          <w:rFonts w:ascii="Arial" w:eastAsia="Arial" w:hAnsi="Arial" w:cs="Arial"/>
        </w:rPr>
        <w:t xml:space="preserve">s Estados con costas adyacentes o situadas frente a frente. Si el acuerdo definitivo no es posible, el convenio establece que los estados harán todo lo posible por alcanzar un arreglo provisional. </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19" w:line="360" w:lineRule="auto"/>
        <w:ind w:right="5" w:hanging="360"/>
        <w:jc w:val="both"/>
      </w:pPr>
      <w:r>
        <w:rPr>
          <w:rFonts w:ascii="Arial" w:eastAsia="Arial" w:hAnsi="Arial" w:cs="Arial"/>
        </w:rPr>
        <w:t xml:space="preserve">Con esta situación de indefinición, en la que todavía no están claros los límites marítimos de España, Marruecos ha decidido unilateralmente fijar sus fronteras marítimas mediante la aprobación de dos proyectos de ley, por los que se anexionaría las aguas </w:t>
      </w:r>
      <w:r>
        <w:rPr>
          <w:rFonts w:ascii="Arial" w:eastAsia="Arial" w:hAnsi="Arial" w:cs="Arial"/>
        </w:rPr>
        <w:t>del Sahara Occidental, afectando a los intereses del Archipiélago y del Estado español en un amplio espacio al suroeste de las islas, tanto en su delimitación de la Zona Económica Exclusiva como de la plataforma continental.</w:t>
      </w:r>
    </w:p>
    <w:p w:rsidR="00E23B86" w:rsidRDefault="00BA7C13">
      <w:pPr>
        <w:spacing w:after="90"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0" w:line="360" w:lineRule="auto"/>
        <w:ind w:right="5" w:hanging="360"/>
        <w:jc w:val="both"/>
      </w:pPr>
      <w:r>
        <w:rPr>
          <w:noProof/>
        </w:rPr>
        <mc:AlternateContent>
          <mc:Choice Requires="wpg">
            <w:drawing>
              <wp:anchor distT="0" distB="0" distL="114300" distR="114300" simplePos="0" relativeHeight="25204326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5772" name="Group 59577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496" name="Rectangle 5649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w:t>
                              </w:r>
                              <w:r>
                                <w:rPr>
                                  <w:rFonts w:ascii="Arial" w:eastAsia="Arial" w:hAnsi="Arial" w:cs="Arial"/>
                                  <w:sz w:val="12"/>
                                </w:rPr>
                                <w:t xml:space="preserve">K3P9GMGZC2N3FZWC | Verificación: https://candelaria.sedelectronica.es/ </w:t>
                              </w:r>
                            </w:p>
                          </w:txbxContent>
                        </wps:txbx>
                        <wps:bodyPr horzOverflow="overflow" vert="horz" lIns="0" tIns="0" rIns="0" bIns="0" rtlCol="0">
                          <a:noAutofit/>
                        </wps:bodyPr>
                      </wps:wsp>
                      <wps:wsp>
                        <wps:cNvPr id="56497" name="Rectangle 5649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374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5772" style="width:12.7031pt;height:280.35pt;position:absolute;mso-position-horizontal-relative:page;mso-position-horizontal:absolute;margin-left:681.958pt;mso-position-vertical-relative:page;margin-top:531.65pt;" coordsize="1613,35604">
                <v:rect id="Rectangle 5649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49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374 de 391 </w:t>
                        </w:r>
                      </w:p>
                    </w:txbxContent>
                  </v:textbox>
                </v:rect>
                <w10:wrap type="square"/>
              </v:group>
            </w:pict>
          </mc:Fallback>
        </mc:AlternateContent>
      </w:r>
      <w:r>
        <w:rPr>
          <w:rFonts w:ascii="Arial" w:eastAsia="Arial" w:hAnsi="Arial" w:cs="Arial"/>
        </w:rPr>
        <w:t>Marruecos considera que esta decisión responde a sus derechos como país soberano a esta</w:t>
      </w:r>
      <w:r>
        <w:rPr>
          <w:rFonts w:ascii="Arial" w:eastAsia="Arial" w:hAnsi="Arial" w:cs="Arial"/>
        </w:rPr>
        <w:t xml:space="preserve">blecer sus límites territoriales y prevé la integración del mar frente al Sahara Occidental, territorio del que no es soberano y por lo que contraviene las leyes vigentes que fijan el límite sur de su costa en la ciudad de Tarfaya. </w:t>
      </w:r>
    </w:p>
    <w:p w:rsidR="00E23B86" w:rsidRDefault="00BA7C13">
      <w:pPr>
        <w:spacing w:after="86"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1" w:line="360" w:lineRule="auto"/>
        <w:ind w:right="5" w:hanging="360"/>
        <w:jc w:val="both"/>
      </w:pPr>
      <w:r>
        <w:rPr>
          <w:rFonts w:ascii="Arial" w:eastAsia="Arial" w:hAnsi="Arial" w:cs="Arial"/>
        </w:rPr>
        <w:t>Con la nueva normativ</w:t>
      </w:r>
      <w:r>
        <w:rPr>
          <w:rFonts w:ascii="Arial" w:eastAsia="Arial" w:hAnsi="Arial" w:cs="Arial"/>
        </w:rPr>
        <w:t>a, Marruecos extiende su tutela jurídica sobre el espacio marítimo que incluye el Sahara Occidental hasta la ciudad de Lagüera y en el noreste hasta Saidia, fronteriza con Argelia; y hacia la zona suroeste del Archipiélago, estableciendo un contencioso sob</w:t>
      </w:r>
      <w:r>
        <w:rPr>
          <w:rFonts w:ascii="Arial" w:eastAsia="Arial" w:hAnsi="Arial" w:cs="Arial"/>
        </w:rPr>
        <w:t>re España que ya presentó ante Nacionales Unidas una solicitud de ampliación de la plataforma continental más allá de las 200 millas marinas.</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16" w:line="361" w:lineRule="auto"/>
        <w:ind w:right="5" w:hanging="360"/>
        <w:jc w:val="both"/>
      </w:pPr>
      <w:r>
        <w:rPr>
          <w:rFonts w:ascii="Arial" w:eastAsia="Arial" w:hAnsi="Arial" w:cs="Arial"/>
        </w:rPr>
        <w:t>Sin duda Marruecos aprovecha la controversia sobre nuestras aguas y sobre los límites marítimos de España, así como el inconcluso conflicto internacional sobre el Sahara, para lanzar este órdago al que debe darse respuesta desde los organismos internaciona</w:t>
      </w:r>
      <w:r>
        <w:rPr>
          <w:rFonts w:ascii="Arial" w:eastAsia="Arial" w:hAnsi="Arial" w:cs="Arial"/>
        </w:rPr>
        <w:t>les a instancias del Estado español.</w:t>
      </w:r>
    </w:p>
    <w:p w:rsidR="00E23B86" w:rsidRDefault="00BA7C13">
      <w:pPr>
        <w:spacing w:after="90"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17" w:line="361" w:lineRule="auto"/>
        <w:ind w:right="5" w:hanging="360"/>
        <w:jc w:val="both"/>
      </w:pPr>
      <w:r>
        <w:rPr>
          <w:rFonts w:ascii="Arial" w:eastAsia="Arial" w:hAnsi="Arial" w:cs="Arial"/>
        </w:rPr>
        <w:t>Las instituciones canarias no pueden quedar impasibles a este nuevo intento de Marruecos de extender su soberanía sobre aguas que no le corresponden, interfiriendo sobre el control sobre las aguas Canarias, que corres</w:t>
      </w:r>
      <w:r>
        <w:rPr>
          <w:rFonts w:ascii="Arial" w:eastAsia="Arial" w:hAnsi="Arial" w:cs="Arial"/>
        </w:rPr>
        <w:t xml:space="preserve">ponde al Estado y a la Comunidad Autónoma de Canarias, según la distribución de competencias legalmente establecidas, especialmente por el Estatuto de Autonomía que establece en el artículo 3 que </w:t>
      </w:r>
      <w:r>
        <w:rPr>
          <w:rFonts w:ascii="Arial" w:eastAsia="Arial" w:hAnsi="Arial" w:cs="Arial"/>
          <w:i/>
        </w:rPr>
        <w:t>“el ejercicio de las competencias estatales o autonómicas so</w:t>
      </w:r>
      <w:r>
        <w:rPr>
          <w:rFonts w:ascii="Arial" w:eastAsia="Arial" w:hAnsi="Arial" w:cs="Arial"/>
          <w:i/>
        </w:rPr>
        <w:t>bre las aguas canarias y, en su caso, sobre los restantes espacios marítimos que rodean a Canarias sobre los que el Estado español ejerza soberanía o jurisdicción se realizará teniendo en cuenta la distribución material de competencias establecidas constit</w:t>
      </w:r>
      <w:r>
        <w:rPr>
          <w:rFonts w:ascii="Arial" w:eastAsia="Arial" w:hAnsi="Arial" w:cs="Arial"/>
          <w:i/>
        </w:rPr>
        <w:t>ucional y estatutariamente tanto para dichos espacios como para los terrestres”,</w:t>
      </w:r>
      <w:r>
        <w:rPr>
          <w:rFonts w:ascii="Arial" w:eastAsia="Arial" w:hAnsi="Arial" w:cs="Arial"/>
        </w:rPr>
        <w:t xml:space="preserve"> y en el artículo 4 que “</w:t>
      </w:r>
      <w:r>
        <w:rPr>
          <w:rFonts w:ascii="Arial" w:eastAsia="Arial" w:hAnsi="Arial" w:cs="Arial"/>
          <w:i/>
        </w:rPr>
        <w:t>el Estado, en el ejercicio de sus competencias, tendrá en cuenta las singularidades derivadas del carácter archipielágico y promoverá la participación de la Comunidad Autónoma en las actuaciones de competencia estatal en dichas aguas”.</w:t>
      </w:r>
    </w:p>
    <w:p w:rsidR="00E23B86" w:rsidRDefault="00BA7C13">
      <w:pPr>
        <w:spacing w:after="90"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0" w:line="362" w:lineRule="auto"/>
        <w:ind w:right="5" w:hanging="360"/>
        <w:jc w:val="both"/>
      </w:pPr>
      <w:r>
        <w:rPr>
          <w:rFonts w:ascii="Arial" w:eastAsia="Arial" w:hAnsi="Arial" w:cs="Arial"/>
          <w:b/>
        </w:rPr>
        <w:t>Por todo lo expues</w:t>
      </w:r>
      <w:r>
        <w:rPr>
          <w:rFonts w:ascii="Arial" w:eastAsia="Arial" w:hAnsi="Arial" w:cs="Arial"/>
          <w:b/>
        </w:rPr>
        <w:t>to, solicitamos al Ayuntamiento en Pleno la adopción de los siguientes ACUERDOS:</w:t>
      </w:r>
    </w:p>
    <w:p w:rsidR="00E23B86" w:rsidRDefault="00BA7C13">
      <w:pPr>
        <w:spacing w:after="86"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0" w:line="360" w:lineRule="auto"/>
        <w:ind w:right="5" w:hanging="360"/>
        <w:jc w:val="both"/>
      </w:pPr>
      <w:r>
        <w:rPr>
          <w:noProof/>
        </w:rPr>
        <mc:AlternateContent>
          <mc:Choice Requires="wpg">
            <w:drawing>
              <wp:anchor distT="0" distB="0" distL="114300" distR="114300" simplePos="0" relativeHeight="25204428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6116" name="Group 59611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552" name="Rectangle 5655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553" name="Rectangle 5655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esPublico Gesti</w:t>
                              </w:r>
                              <w:r>
                                <w:rPr>
                                  <w:rFonts w:ascii="Arial" w:eastAsia="Arial" w:hAnsi="Arial" w:cs="Arial"/>
                                  <w:sz w:val="12"/>
                                </w:rPr>
                                <w:t xml:space="preserve">ona | Página 375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6116" style="width:12.7031pt;height:280.35pt;position:absolute;mso-position-horizontal-relative:page;mso-position-horizontal:absolute;margin-left:681.958pt;mso-position-vertical-relative:page;margin-top:531.65pt;" coordsize="1613,35604">
                <v:rect id="Rectangle 5655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55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375 de 391 </w:t>
                        </w:r>
                      </w:p>
                    </w:txbxContent>
                  </v:textbox>
                </v:rect>
                <w10:wrap type="square"/>
              </v:group>
            </w:pict>
          </mc:Fallback>
        </mc:AlternateContent>
      </w:r>
      <w:r>
        <w:rPr>
          <w:rFonts w:ascii="Arial" w:eastAsia="Arial" w:hAnsi="Arial" w:cs="Arial"/>
          <w:b/>
        </w:rPr>
        <w:t>Instar al Gobierno de España para que, de forma inmediata, eleve una queja ante la Naciones Unidas debida a la decisión de Marruecos de aprobar unilateralmente una delimitación de su frontera marítima que se apropia de unas aguas j</w:t>
      </w:r>
      <w:r>
        <w:rPr>
          <w:rFonts w:ascii="Arial" w:eastAsia="Arial" w:hAnsi="Arial" w:cs="Arial"/>
          <w:b/>
        </w:rPr>
        <w:t>urisdiccionales que no le pertenecen y que afectan de lleno a las Islas Canarias y al Sahara Occidental.</w:t>
      </w:r>
    </w:p>
    <w:p w:rsidR="00E23B86" w:rsidRDefault="00BA7C13">
      <w:pPr>
        <w:spacing w:after="86"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0" w:line="360" w:lineRule="auto"/>
        <w:ind w:right="5" w:hanging="360"/>
        <w:jc w:val="both"/>
      </w:pPr>
      <w:r>
        <w:rPr>
          <w:rFonts w:ascii="Arial" w:eastAsia="Arial" w:hAnsi="Arial" w:cs="Arial"/>
          <w:b/>
        </w:rPr>
        <w:t>Instar al Gobierno de España a que abra de forma inmediata una vía diplomática con el reino de Marruecos para que desista de sus ínfulas soberanistas</w:t>
      </w:r>
      <w:r>
        <w:rPr>
          <w:rFonts w:ascii="Arial" w:eastAsia="Arial" w:hAnsi="Arial" w:cs="Arial"/>
          <w:b/>
        </w:rPr>
        <w:t xml:space="preserve"> sobre el mar que rodea a Canarias y que se avenga a las soluciones previstas para estos casos en los acuerdos de la Convención de Montego Bay</w:t>
      </w:r>
      <w:r>
        <w:rPr>
          <w:rFonts w:ascii="Arial" w:eastAsia="Arial" w:hAnsi="Arial" w:cs="Arial"/>
          <w:b/>
          <w:i/>
        </w:rPr>
        <w:t xml:space="preserve"> </w:t>
      </w:r>
      <w:r>
        <w:rPr>
          <w:rFonts w:ascii="Arial" w:eastAsia="Arial" w:hAnsi="Arial" w:cs="Arial"/>
          <w:b/>
        </w:rPr>
        <w:t>sobre el Derecho del Mar.</w:t>
      </w:r>
    </w:p>
    <w:p w:rsidR="00E23B86" w:rsidRDefault="00BA7C13">
      <w:pPr>
        <w:spacing w:after="86"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1" w:line="360" w:lineRule="auto"/>
        <w:ind w:right="5" w:hanging="360"/>
        <w:jc w:val="both"/>
      </w:pPr>
      <w:r>
        <w:rPr>
          <w:rFonts w:ascii="Arial" w:eastAsia="Arial" w:hAnsi="Arial" w:cs="Arial"/>
          <w:b/>
        </w:rPr>
        <w:t xml:space="preserve">Comunicar y solicitar a todos los colectivos y asociaciones de ámbito local o insular o canario, con los que esta Corporación tenga relaciones, a que apoyen los contenidos de esta moción y lo manifiesten públicamente como una muestra de defensa de nuestro </w:t>
      </w:r>
      <w:r>
        <w:rPr>
          <w:rFonts w:ascii="Arial" w:eastAsia="Arial" w:hAnsi="Arial" w:cs="Arial"/>
          <w:b/>
        </w:rPr>
        <w:t>mar y de Canarias.</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1" w:line="362" w:lineRule="auto"/>
        <w:ind w:right="5" w:hanging="360"/>
        <w:jc w:val="both"/>
      </w:pPr>
      <w:r>
        <w:rPr>
          <w:rFonts w:ascii="Arial" w:eastAsia="Arial" w:hAnsi="Arial" w:cs="Arial"/>
          <w:b/>
        </w:rPr>
        <w:t>Instar a los Grupos Parlamentarios en las Cortes Generales y en el Parlamento de Canarias, así como a los Grupos en el Parlamento Europeo, a que adopten acuerdos en defensa de nuestro mar haciendo ver a Marruecos que sus medidas unilat</w:t>
      </w:r>
      <w:r>
        <w:rPr>
          <w:rFonts w:ascii="Arial" w:eastAsia="Arial" w:hAnsi="Arial" w:cs="Arial"/>
          <w:b/>
        </w:rPr>
        <w:t>erales en esta pretensión son inútiles.</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14" w:line="362" w:lineRule="auto"/>
        <w:ind w:right="5" w:hanging="360"/>
        <w:jc w:val="both"/>
      </w:pPr>
      <w:r>
        <w:rPr>
          <w:rFonts w:ascii="Arial" w:eastAsia="Arial" w:hAnsi="Arial" w:cs="Arial"/>
          <w:b/>
        </w:rPr>
        <w:t>Hacer público este acuerdo de la Corporación por todos los medios que tenga a su alcance.</w:t>
      </w:r>
    </w:p>
    <w:p w:rsidR="00E23B86" w:rsidRDefault="00BA7C13">
      <w:pPr>
        <w:spacing w:after="106" w:line="265" w:lineRule="auto"/>
        <w:ind w:left="-5" w:right="13" w:hanging="10"/>
      </w:pPr>
      <w:r>
        <w:rPr>
          <w:rFonts w:ascii="Segoe UI Symbol" w:eastAsia="Segoe UI Symbol" w:hAnsi="Segoe UI Symbol" w:cs="Segoe UI Symbol"/>
          <w:sz w:val="20"/>
        </w:rPr>
        <w:t></w:t>
      </w:r>
    </w:p>
    <w:p w:rsidR="00E23B86" w:rsidRDefault="00BA7C13">
      <w:pPr>
        <w:spacing w:after="106" w:line="265" w:lineRule="auto"/>
        <w:ind w:left="-5" w:right="13" w:hanging="10"/>
      </w:pPr>
      <w:r>
        <w:rPr>
          <w:rFonts w:ascii="Segoe UI Symbol" w:eastAsia="Segoe UI Symbol" w:hAnsi="Segoe UI Symbol" w:cs="Segoe UI Symbol"/>
          <w:sz w:val="20"/>
        </w:rPr>
        <w:t></w:t>
      </w:r>
    </w:p>
    <w:p w:rsidR="00E23B86" w:rsidRDefault="00BA7C13">
      <w:pPr>
        <w:spacing w:after="90" w:line="265" w:lineRule="auto"/>
        <w:ind w:left="-5" w:right="13" w:hanging="10"/>
      </w:pPr>
      <w:r>
        <w:rPr>
          <w:rFonts w:ascii="Segoe UI Symbol" w:eastAsia="Segoe UI Symbol" w:hAnsi="Segoe UI Symbol" w:cs="Segoe UI Symbol"/>
          <w:sz w:val="20"/>
        </w:rPr>
        <w:t></w:t>
      </w:r>
    </w:p>
    <w:p w:rsidR="00E23B86" w:rsidRDefault="00BA7C13">
      <w:pPr>
        <w:numPr>
          <w:ilvl w:val="0"/>
          <w:numId w:val="225"/>
        </w:numPr>
        <w:spacing w:after="0" w:line="361" w:lineRule="auto"/>
        <w:ind w:right="5" w:hanging="360"/>
        <w:jc w:val="both"/>
      </w:pPr>
      <w:r>
        <w:rPr>
          <w:rFonts w:ascii="Arial" w:eastAsia="Arial" w:hAnsi="Arial" w:cs="Arial"/>
        </w:rPr>
        <w:t xml:space="preserve">En el municipio de Candelaria, a 27 de enero de 2020 </w:t>
      </w:r>
      <w:r>
        <w:rPr>
          <w:rFonts w:ascii="Segoe UI Symbol" w:eastAsia="Segoe UI Symbol" w:hAnsi="Segoe UI Symbol" w:cs="Segoe UI Symbol"/>
          <w:sz w:val="20"/>
        </w:rPr>
        <w:t></w:t>
      </w:r>
    </w:p>
    <w:p w:rsidR="00E23B86" w:rsidRDefault="00BA7C13">
      <w:pPr>
        <w:pStyle w:val="Ttulo3"/>
        <w:spacing w:after="84" w:line="265" w:lineRule="auto"/>
        <w:ind w:left="682" w:right="673"/>
        <w:jc w:val="center"/>
      </w:pPr>
      <w:r>
        <w:rPr>
          <w:rFonts w:ascii="Segoe UI Symbol" w:eastAsia="Segoe UI Symbol" w:hAnsi="Segoe UI Symbol" w:cs="Segoe UI Symbol"/>
          <w:b w:val="0"/>
          <w:i w:val="0"/>
          <w:color w:val="000000"/>
          <w:sz w:val="20"/>
        </w:rPr>
        <w:t xml:space="preserve"> </w:t>
      </w:r>
      <w:r>
        <w:rPr>
          <w:b w:val="0"/>
          <w:i w:val="0"/>
          <w:color w:val="000000"/>
        </w:rPr>
        <w:t xml:space="preserve">Fdo: </w:t>
      </w:r>
      <w:r>
        <w:rPr>
          <w:i w:val="0"/>
          <w:color w:val="000000"/>
        </w:rPr>
        <w:t>Ángela Cruz Perera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111" w:line="249" w:lineRule="auto"/>
        <w:ind w:right="4" w:hanging="360"/>
        <w:jc w:val="both"/>
      </w:pPr>
      <w:r>
        <w:rPr>
          <w:noProof/>
        </w:rPr>
        <mc:AlternateContent>
          <mc:Choice Requires="wpg">
            <w:drawing>
              <wp:anchor distT="0" distB="0" distL="114300" distR="114300" simplePos="0" relativeHeight="25204531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6695" name="Group 59669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616" name="Rectangle 5661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617" name="Rectangle 5661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376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6695" style="width:12.7031pt;height:280.35pt;position:absolute;mso-position-horizontal-relative:page;mso-position-horizontal:absolute;margin-left:681.958pt;mso-position-vertical-relative:page;margin-top:531.65pt;" coordsize="1613,35604">
                <v:rect id="Rectangle 5661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61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376 de 391 </w:t>
                        </w:r>
                      </w:p>
                    </w:txbxContent>
                  </v:textbox>
                </v:rect>
                <w10:wrap type="square"/>
              </v:group>
            </w:pict>
          </mc:Fallback>
        </mc:AlternateContent>
      </w:r>
      <w:r>
        <w:rPr>
          <w:rFonts w:ascii="Arial" w:eastAsia="Arial" w:hAnsi="Arial" w:cs="Arial"/>
          <w:b/>
        </w:rPr>
        <w:t xml:space="preserve">DICTAMEN DE LA COMISIÓN INFORMATIVA DE P. y G. URBANÍSTICA Y </w:t>
      </w:r>
      <w:r>
        <w:rPr>
          <w:rFonts w:ascii="Arial" w:eastAsia="Arial" w:hAnsi="Arial" w:cs="Arial"/>
          <w:b/>
        </w:rPr>
        <w:t>AMBIENTAL, OBRAS Y SERVICIOS PUBLICOS.</w:t>
      </w:r>
    </w:p>
    <w:p w:rsidR="00E23B86" w:rsidRDefault="00BA7C13">
      <w:pPr>
        <w:numPr>
          <w:ilvl w:val="0"/>
          <w:numId w:val="226"/>
        </w:numPr>
        <w:spacing w:after="89"/>
        <w:ind w:right="4" w:hanging="360"/>
        <w:jc w:val="both"/>
      </w:pPr>
      <w:r>
        <w:t>Votos a favor: 1.</w:t>
      </w:r>
    </w:p>
    <w:p w:rsidR="00E23B86" w:rsidRDefault="00BA7C13">
      <w:pPr>
        <w:numPr>
          <w:ilvl w:val="0"/>
          <w:numId w:val="226"/>
        </w:numPr>
        <w:spacing w:after="110" w:line="248" w:lineRule="auto"/>
        <w:ind w:right="4" w:hanging="360"/>
        <w:jc w:val="both"/>
      </w:pPr>
      <w:r>
        <w:rPr>
          <w:rFonts w:ascii="Arial" w:eastAsia="Arial" w:hAnsi="Arial" w:cs="Arial"/>
        </w:rPr>
        <w:t xml:space="preserve">1 de la concejal del Grupo Mixto: Doña Ángela Cruz Perera (CC-PNC). </w:t>
      </w:r>
    </w:p>
    <w:p w:rsidR="00E23B86" w:rsidRDefault="00BA7C13">
      <w:pPr>
        <w:numPr>
          <w:ilvl w:val="0"/>
          <w:numId w:val="226"/>
        </w:numPr>
        <w:spacing w:after="89"/>
        <w:ind w:right="4" w:hanging="360"/>
        <w:jc w:val="both"/>
      </w:pPr>
      <w:r>
        <w:t>Votos en contra:  0.</w:t>
      </w:r>
    </w:p>
    <w:p w:rsidR="00E23B86" w:rsidRDefault="00BA7C13">
      <w:pPr>
        <w:numPr>
          <w:ilvl w:val="0"/>
          <w:numId w:val="226"/>
        </w:numPr>
        <w:spacing w:after="89"/>
        <w:ind w:right="4" w:hanging="360"/>
        <w:jc w:val="both"/>
      </w:pPr>
      <w:r>
        <w:t>Abstenciones: 6:</w:t>
      </w:r>
    </w:p>
    <w:p w:rsidR="00E23B86" w:rsidRDefault="00BA7C13">
      <w:pPr>
        <w:numPr>
          <w:ilvl w:val="0"/>
          <w:numId w:val="226"/>
        </w:numPr>
        <w:spacing w:after="89"/>
        <w:ind w:right="4" w:hanging="360"/>
        <w:jc w:val="both"/>
      </w:pPr>
      <w:r>
        <w:t>Los 4 concejales del Grupo Socialista: Doña Olivia Concepción Pérez Díaz, Don José Francisco Pinto Ramos, Doña Margarita Eva Tendero Barroso y Don Olegario Francisco Alonso Bello.</w:t>
      </w:r>
    </w:p>
    <w:p w:rsidR="00E23B86" w:rsidRDefault="00BA7C13">
      <w:pPr>
        <w:numPr>
          <w:ilvl w:val="0"/>
          <w:numId w:val="226"/>
        </w:numPr>
        <w:spacing w:after="110" w:line="248" w:lineRule="auto"/>
        <w:ind w:right="4" w:hanging="360"/>
        <w:jc w:val="both"/>
      </w:pPr>
      <w:r>
        <w:rPr>
          <w:rFonts w:ascii="Arial" w:eastAsia="Arial" w:hAnsi="Arial" w:cs="Arial"/>
        </w:rPr>
        <w:t>1 del concejal del Grupo Popular, Don Juan Miguel Olivera González.</w:t>
      </w:r>
    </w:p>
    <w:p w:rsidR="00E23B86" w:rsidRDefault="00BA7C13">
      <w:pPr>
        <w:numPr>
          <w:ilvl w:val="0"/>
          <w:numId w:val="226"/>
        </w:numPr>
        <w:spacing w:after="110" w:line="248" w:lineRule="auto"/>
        <w:ind w:right="4" w:hanging="360"/>
        <w:jc w:val="both"/>
      </w:pPr>
      <w:r>
        <w:rPr>
          <w:rFonts w:ascii="Arial" w:eastAsia="Arial" w:hAnsi="Arial" w:cs="Arial"/>
        </w:rPr>
        <w:t xml:space="preserve">1 de la </w:t>
      </w:r>
      <w:r>
        <w:rPr>
          <w:rFonts w:ascii="Arial" w:eastAsia="Arial" w:hAnsi="Arial" w:cs="Arial"/>
        </w:rPr>
        <w:t>concejal del Grupo Mixto: Doña María del Carmen Coello González (SSP).</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0" w:line="339" w:lineRule="auto"/>
        <w:ind w:right="4" w:hanging="360"/>
        <w:jc w:val="both"/>
      </w:pPr>
      <w:r>
        <w:rPr>
          <w:rFonts w:ascii="Arial" w:eastAsia="Arial" w:hAnsi="Arial" w:cs="Arial"/>
          <w:b/>
        </w:rPr>
        <w:t xml:space="preserve">JUNTA DE PORTAVOCES </w:t>
      </w:r>
      <w:r>
        <w:rPr>
          <w:rFonts w:ascii="Segoe UI Symbol" w:eastAsia="Segoe UI Symbol" w:hAnsi="Segoe UI Symbol" w:cs="Segoe UI Symbol"/>
          <w:sz w:val="20"/>
        </w:rPr>
        <w:t xml:space="preserve"> </w:t>
      </w:r>
      <w:r>
        <w:rPr>
          <w:rFonts w:ascii="Arial" w:eastAsia="Arial" w:hAnsi="Arial" w:cs="Arial"/>
        </w:rPr>
        <w:t>Quedó oída.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111" w:line="249" w:lineRule="auto"/>
        <w:ind w:right="4" w:hanging="360"/>
        <w:jc w:val="both"/>
      </w:pPr>
      <w:r>
        <w:rPr>
          <w:rFonts w:ascii="Arial" w:eastAsia="Arial" w:hAnsi="Arial" w:cs="Arial"/>
          <w:b/>
        </w:rPr>
        <w:t xml:space="preserve">Durante el transcurso del Pleno se presenta una enmienda por el GrupoSocialista que es consensuada con el resto de los Grupos, o sea, con el Grupo </w:t>
      </w:r>
      <w:r>
        <w:rPr>
          <w:rFonts w:ascii="Arial" w:eastAsia="Arial" w:hAnsi="Arial" w:cs="Arial"/>
          <w:b/>
        </w:rPr>
        <w:t>Popular y con el Grupo Mixto y se procede a votar dicha enmienda.</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111" w:line="249" w:lineRule="auto"/>
        <w:ind w:right="4" w:hanging="360"/>
        <w:jc w:val="both"/>
      </w:pPr>
      <w:r>
        <w:rPr>
          <w:rFonts w:ascii="Arial" w:eastAsia="Arial" w:hAnsi="Arial" w:cs="Arial"/>
          <w:b/>
        </w:rPr>
        <w:t>VOTACIÓN EN EL PLENO</w:t>
      </w:r>
    </w:p>
    <w:p w:rsidR="00E23B86" w:rsidRDefault="00E23B86">
      <w:pPr>
        <w:sectPr w:rsidR="00E23B86">
          <w:headerReference w:type="even" r:id="rId139"/>
          <w:headerReference w:type="default" r:id="rId140"/>
          <w:footerReference w:type="even" r:id="rId141"/>
          <w:footerReference w:type="default" r:id="rId142"/>
          <w:headerReference w:type="first" r:id="rId143"/>
          <w:footerReference w:type="first" r:id="rId144"/>
          <w:pgSz w:w="14168" w:h="16840"/>
          <w:pgMar w:top="2003" w:right="2826" w:bottom="1473" w:left="3198" w:header="712" w:footer="712" w:gutter="0"/>
          <w:cols w:space="720"/>
        </w:sectPr>
      </w:pPr>
    </w:p>
    <w:p w:rsidR="00E23B86" w:rsidRDefault="00BA7C13">
      <w:pPr>
        <w:spacing w:after="110" w:line="248" w:lineRule="auto"/>
        <w:ind w:left="373" w:right="552" w:hanging="10"/>
        <w:jc w:val="both"/>
      </w:pPr>
      <w:r>
        <w:rPr>
          <w:rFonts w:ascii="Arial" w:eastAsia="Arial" w:hAnsi="Arial" w:cs="Arial"/>
        </w:rPr>
        <w:t>Votos a favor: 16: La unanimidad de los 16 concejales presentes:</w:t>
      </w:r>
    </w:p>
    <w:p w:rsidR="00E23B86" w:rsidRDefault="00BA7C13">
      <w:pPr>
        <w:numPr>
          <w:ilvl w:val="0"/>
          <w:numId w:val="226"/>
        </w:numPr>
        <w:spacing w:after="0" w:line="248" w:lineRule="auto"/>
        <w:ind w:right="4" w:hanging="360"/>
        <w:jc w:val="both"/>
      </w:pPr>
      <w:r>
        <w:rPr>
          <w:rFonts w:ascii="Arial" w:eastAsia="Arial" w:hAnsi="Arial" w:cs="Arial"/>
        </w:rPr>
        <w:t>11 concejales del Grupo Socialista: Doña María Concepción Brito Núñez, Don Jorge Baute Delgado, Doña Olivia Concepción Pérez Díaz, Don José Francisco</w:t>
      </w:r>
    </w:p>
    <w:p w:rsidR="00E23B86" w:rsidRDefault="00BA7C13">
      <w:pPr>
        <w:spacing w:after="110" w:line="248" w:lineRule="auto"/>
        <w:ind w:left="373" w:right="2" w:hanging="10"/>
        <w:jc w:val="both"/>
      </w:pPr>
      <w:r>
        <w:rPr>
          <w:rFonts w:ascii="Arial" w:eastAsia="Arial" w:hAnsi="Arial" w:cs="Arial"/>
        </w:rPr>
        <w:t>Pinto Ramos, Doña Hilaria Cecilia Otazo González, Don Airam Pérez Chinea, 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E23B86" w:rsidRDefault="00BA7C13">
      <w:pPr>
        <w:numPr>
          <w:ilvl w:val="0"/>
          <w:numId w:val="226"/>
        </w:numPr>
        <w:spacing w:after="110" w:line="248" w:lineRule="auto"/>
        <w:ind w:right="4" w:hanging="360"/>
        <w:jc w:val="both"/>
      </w:pPr>
      <w:r>
        <w:rPr>
          <w:rFonts w:ascii="Arial" w:eastAsia="Arial" w:hAnsi="Arial" w:cs="Arial"/>
        </w:rPr>
        <w:t>2 concejales del Grupo Popular: Don Juan Miguel Olivera González y Don Jacobo López Fariña.</w:t>
      </w:r>
    </w:p>
    <w:p w:rsidR="00E23B86" w:rsidRDefault="00BA7C13">
      <w:pPr>
        <w:numPr>
          <w:ilvl w:val="0"/>
          <w:numId w:val="226"/>
        </w:numPr>
        <w:spacing w:after="110" w:line="248" w:lineRule="auto"/>
        <w:ind w:right="4" w:hanging="360"/>
        <w:jc w:val="both"/>
      </w:pPr>
      <w:r>
        <w:rPr>
          <w:rFonts w:ascii="Arial" w:eastAsia="Arial" w:hAnsi="Arial" w:cs="Arial"/>
        </w:rPr>
        <w:t xml:space="preserve">3 concejales </w:t>
      </w:r>
      <w:r>
        <w:rPr>
          <w:rFonts w:ascii="Arial" w:eastAsia="Arial" w:hAnsi="Arial" w:cs="Arial"/>
        </w:rPr>
        <w:t>del Grupo Mixto: Doña María del Carmen Coello González (SSP), Doña Ángela Cruz Perera (CC-PNC) y Don José Fernando Gómez Martín (PvxC).</w:t>
      </w:r>
    </w:p>
    <w:p w:rsidR="00E23B86" w:rsidRDefault="00BA7C13">
      <w:pPr>
        <w:numPr>
          <w:ilvl w:val="0"/>
          <w:numId w:val="226"/>
        </w:numPr>
        <w:spacing w:after="110" w:line="248" w:lineRule="auto"/>
        <w:ind w:right="4" w:hanging="360"/>
        <w:jc w:val="both"/>
      </w:pPr>
      <w:r>
        <w:rPr>
          <w:rFonts w:ascii="Arial" w:eastAsia="Arial" w:hAnsi="Arial" w:cs="Arial"/>
        </w:rPr>
        <w:t>Votos en contra: 0.</w:t>
      </w:r>
    </w:p>
    <w:p w:rsidR="00E23B86" w:rsidRDefault="00BA7C13">
      <w:pPr>
        <w:numPr>
          <w:ilvl w:val="0"/>
          <w:numId w:val="226"/>
        </w:numPr>
        <w:spacing w:after="110" w:line="248" w:lineRule="auto"/>
        <w:ind w:right="4" w:hanging="360"/>
        <w:jc w:val="both"/>
      </w:pPr>
      <w:r>
        <w:rPr>
          <w:rFonts w:ascii="Arial" w:eastAsia="Arial" w:hAnsi="Arial" w:cs="Arial"/>
        </w:rPr>
        <w:t>Abstenciones: 0.</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98" w:line="265" w:lineRule="auto"/>
        <w:ind w:left="-5" w:right="13" w:hanging="10"/>
      </w:pPr>
      <w:r>
        <w:rPr>
          <w:rFonts w:ascii="Segoe UI Symbol" w:eastAsia="Segoe UI Symbol" w:hAnsi="Segoe UI Symbol" w:cs="Segoe UI Symbol"/>
          <w:sz w:val="20"/>
        </w:rPr>
        <w:t></w:t>
      </w:r>
    </w:p>
    <w:p w:rsidR="00E23B86" w:rsidRDefault="00BA7C13">
      <w:pPr>
        <w:spacing w:after="0"/>
        <w:ind w:left="10" w:right="265" w:hanging="10"/>
        <w:jc w:val="center"/>
      </w:pPr>
      <w:r>
        <w:rPr>
          <w:rFonts w:ascii="Segoe UI Symbol" w:eastAsia="Segoe UI Symbol" w:hAnsi="Segoe UI Symbol" w:cs="Segoe UI Symbol"/>
          <w:sz w:val="20"/>
        </w:rPr>
        <w:t></w:t>
      </w:r>
    </w:p>
    <w:p w:rsidR="00E23B86" w:rsidRDefault="00BA7C13">
      <w:pPr>
        <w:spacing w:after="0"/>
        <w:ind w:left="10" w:right="265" w:hanging="10"/>
        <w:jc w:val="center"/>
      </w:pPr>
      <w:r>
        <w:rPr>
          <w:rFonts w:ascii="Segoe UI Symbol" w:eastAsia="Segoe UI Symbol" w:hAnsi="Segoe UI Symbol" w:cs="Segoe UI Symbol"/>
          <w:sz w:val="20"/>
        </w:rPr>
        <w:t></w:t>
      </w:r>
    </w:p>
    <w:p w:rsidR="00E23B86" w:rsidRDefault="00BA7C13">
      <w:pPr>
        <w:numPr>
          <w:ilvl w:val="0"/>
          <w:numId w:val="226"/>
        </w:numPr>
        <w:spacing w:after="0" w:line="265" w:lineRule="auto"/>
        <w:ind w:right="4" w:hanging="360"/>
        <w:jc w:val="both"/>
      </w:pPr>
      <w:r>
        <w:rPr>
          <w:rFonts w:ascii="Arial" w:eastAsia="Arial" w:hAnsi="Arial" w:cs="Arial"/>
          <w:b/>
          <w:sz w:val="24"/>
        </w:rPr>
        <w:t>ACUERDO DEL PLENO</w:t>
      </w:r>
    </w:p>
    <w:p w:rsidR="00E23B86" w:rsidRDefault="00BA7C13">
      <w:pPr>
        <w:spacing w:after="90"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110" w:line="248" w:lineRule="auto"/>
        <w:ind w:right="4" w:hanging="360"/>
        <w:jc w:val="both"/>
      </w:pPr>
      <w:r>
        <w:rPr>
          <w:noProof/>
        </w:rPr>
        <mc:AlternateContent>
          <mc:Choice Requires="wpg">
            <w:drawing>
              <wp:anchor distT="0" distB="0" distL="114300" distR="114300" simplePos="0" relativeHeight="25204633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6831" name="Group 59683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698" name="Rectangle 5669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699" name="Rectangle 5669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377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6831" style="width:12.7031pt;height:280.35pt;position:absolute;mso-position-horizontal-relative:page;mso-position-horizontal:absolute;margin-left:681.958pt;mso-position-vertical-relative:page;margin-top:531.65pt;" coordsize="1613,35604">
                <v:rect id="Rectangle 5669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69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377 de 391 </w:t>
                        </w:r>
                      </w:p>
                    </w:txbxContent>
                  </v:textbox>
                </v:rect>
                <w10:wrap type="square"/>
              </v:group>
            </w:pict>
          </mc:Fallback>
        </mc:AlternateContent>
      </w:r>
      <w:r>
        <w:rPr>
          <w:rFonts w:ascii="Arial" w:eastAsia="Arial" w:hAnsi="Arial" w:cs="Arial"/>
        </w:rPr>
        <w:t>El Ayuntamiento de Candelaria insta al Gobierno de España a</w:t>
      </w:r>
      <w:r>
        <w:rPr>
          <w:rFonts w:ascii="Arial" w:eastAsia="Arial" w:hAnsi="Arial" w:cs="Arial"/>
          <w:b/>
        </w:rPr>
        <w:t>:</w:t>
      </w:r>
    </w:p>
    <w:p w:rsidR="00E23B86" w:rsidRDefault="00BA7C13">
      <w:pPr>
        <w:numPr>
          <w:ilvl w:val="0"/>
          <w:numId w:val="226"/>
        </w:numPr>
        <w:spacing w:after="0" w:line="248" w:lineRule="auto"/>
        <w:ind w:right="4" w:hanging="360"/>
        <w:jc w:val="both"/>
      </w:pPr>
      <w:r>
        <w:rPr>
          <w:rFonts w:ascii="Arial" w:eastAsia="Arial" w:hAnsi="Arial" w:cs="Arial"/>
        </w:rPr>
        <w:t>1.- Seguir manteniendo una posición firme en defensa de la integridad del territorio terrestre y marítimo del Archipiélago Canario, aguas de soberanía española.</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0" w:line="248" w:lineRule="auto"/>
        <w:ind w:right="4" w:hanging="360"/>
        <w:jc w:val="both"/>
      </w:pPr>
      <w:r>
        <w:rPr>
          <w:rFonts w:ascii="Arial" w:eastAsia="Arial" w:hAnsi="Arial" w:cs="Arial"/>
        </w:rPr>
        <w:t>2.- Seguir tratando como prioridad este asunto con Marruecos, dentro del diálogo fluido que caracteriza las relaciones de amistad y confianza mutua entre ambos países, sobre la base del convencimiento compartido de que, en el caso de solapamiento de los es</w:t>
      </w:r>
      <w:r>
        <w:rPr>
          <w:rFonts w:ascii="Arial" w:eastAsia="Arial" w:hAnsi="Arial" w:cs="Arial"/>
        </w:rPr>
        <w:t xml:space="preserve">pacios marítimos, no hay lugar para actos unilaterales. </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0" w:line="248" w:lineRule="auto"/>
        <w:ind w:right="4" w:hanging="360"/>
        <w:jc w:val="both"/>
      </w:pPr>
      <w:r>
        <w:rPr>
          <w:rFonts w:ascii="Arial" w:eastAsia="Arial" w:hAnsi="Arial" w:cs="Arial"/>
        </w:rPr>
        <w:t>La delimitación de la mediana marítima deberá hacerse mediante acuerdo entre ambos Estados, respetando la Convención de las Naciones Unidas sobre Derecho del Mar, que ambos países han ratificado, y</w:t>
      </w:r>
      <w:r>
        <w:rPr>
          <w:rFonts w:ascii="Arial" w:eastAsia="Arial" w:hAnsi="Arial" w:cs="Arial"/>
        </w:rPr>
        <w:t xml:space="preserve"> el Derecho Internacional Marítimo.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0" w:line="248" w:lineRule="auto"/>
        <w:ind w:right="4" w:hanging="360"/>
        <w:jc w:val="both"/>
      </w:pPr>
      <w:r>
        <w:rPr>
          <w:rFonts w:ascii="Arial" w:eastAsia="Arial" w:hAnsi="Arial" w:cs="Arial"/>
        </w:rPr>
        <w:t>3.- Seguir impulsando el proceso de diálogo establecido en el seno de laOrganización de Naciones Unidas (ONU) entre Marruecos y el Frente Polisario, a fin de obtener una solución justa, duradera y mutuamente aceptada p</w:t>
      </w:r>
      <w:r>
        <w:rPr>
          <w:rFonts w:ascii="Arial" w:eastAsia="Arial" w:hAnsi="Arial" w:cs="Arial"/>
        </w:rPr>
        <w:t>or las Partes para el Sahara Occidental, tal y como recogen sucesivas resoluciones de la ONU.</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0" w:line="248" w:lineRule="auto"/>
        <w:ind w:right="4" w:hanging="360"/>
        <w:jc w:val="both"/>
      </w:pPr>
      <w:r>
        <w:rPr>
          <w:rFonts w:ascii="Arial" w:eastAsia="Arial" w:hAnsi="Arial" w:cs="Arial"/>
        </w:rPr>
        <w:t xml:space="preserve">4.- Facilitar los trámites y autorizaciones de certificados administrativos para la población saharaui con nacionalidad española y sus descendientes. </w:t>
      </w:r>
      <w:r>
        <w:rPr>
          <w:rFonts w:ascii="Segoe UI Symbol" w:eastAsia="Segoe UI Symbol" w:hAnsi="Segoe UI Symbol" w:cs="Segoe UI Symbol"/>
          <w:sz w:val="20"/>
        </w:rPr>
        <w:t></w:t>
      </w:r>
    </w:p>
    <w:p w:rsidR="00E23B86" w:rsidRDefault="00BA7C13">
      <w:pPr>
        <w:numPr>
          <w:ilvl w:val="0"/>
          <w:numId w:val="226"/>
        </w:numPr>
        <w:spacing w:after="10" w:line="248" w:lineRule="auto"/>
        <w:ind w:right="4" w:hanging="360"/>
        <w:jc w:val="both"/>
      </w:pPr>
      <w:r>
        <w:rPr>
          <w:rFonts w:ascii="Arial" w:eastAsia="Arial" w:hAnsi="Arial" w:cs="Arial"/>
        </w:rPr>
        <w:t>5.- Hace</w:t>
      </w:r>
      <w:r>
        <w:rPr>
          <w:rFonts w:ascii="Arial" w:eastAsia="Arial" w:hAnsi="Arial" w:cs="Arial"/>
        </w:rPr>
        <w:t>r público el acuerdo en los medios de comunicación.</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407" w:line="248" w:lineRule="auto"/>
        <w:ind w:right="4" w:hanging="360"/>
        <w:jc w:val="both"/>
      </w:pPr>
      <w:r>
        <w:rPr>
          <w:rFonts w:ascii="Arial" w:eastAsia="Arial" w:hAnsi="Arial" w:cs="Arial"/>
        </w:rPr>
        <w:t>6.- Que inicie la negociación en las Naciones Unidas en el marco de la Convención de los derechos del mar para que la situación de las aguas del archipiélago canario pueda ser equiparada a la de los Est</w:t>
      </w:r>
      <w:r>
        <w:rPr>
          <w:rFonts w:ascii="Arial" w:eastAsia="Arial" w:hAnsi="Arial" w:cs="Arial"/>
        </w:rPr>
        <w:t>ados archipiélagos regulados en la parte IV de dicha Convención.</w:t>
      </w:r>
    </w:p>
    <w:p w:rsidR="00E23B86" w:rsidRDefault="00BA7C13">
      <w:pPr>
        <w:spacing w:after="90" w:line="250" w:lineRule="auto"/>
        <w:ind w:left="355" w:hanging="10"/>
        <w:jc w:val="both"/>
      </w:pPr>
      <w:r>
        <w:rPr>
          <w:rFonts w:ascii="Arial" w:eastAsia="Arial" w:hAnsi="Arial" w:cs="Arial"/>
          <w:b/>
          <w:sz w:val="24"/>
        </w:rPr>
        <w:t>11.- Expediente 1676/2020. Moción del Grupo Mixto por RE 2780/2020 de 14 de febrero de 2020 para implantar medidas en la Villa de Candelaria sobre fuegos artificiales silenciosos en los espec</w:t>
      </w:r>
      <w:r>
        <w:rPr>
          <w:rFonts w:ascii="Arial" w:eastAsia="Arial" w:hAnsi="Arial" w:cs="Arial"/>
          <w:b/>
          <w:sz w:val="24"/>
        </w:rPr>
        <w:t>táculos pirotécnicos organizados o financiados por la Administración Local.</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6"/>
        </w:numPr>
        <w:spacing w:after="0" w:line="249" w:lineRule="auto"/>
        <w:ind w:right="4" w:hanging="360"/>
        <w:jc w:val="both"/>
      </w:pPr>
      <w:r>
        <w:rPr>
          <w:rFonts w:ascii="Arial" w:eastAsia="Arial" w:hAnsi="Arial" w:cs="Arial"/>
          <w:b/>
        </w:rPr>
        <w:t>Consta en el expediente electrónico la referida moción que se insertaliteralmente</w:t>
      </w:r>
      <w:r>
        <w:rPr>
          <w:rFonts w:ascii="Times New Roman" w:eastAsia="Times New Roman" w:hAnsi="Times New Roman" w:cs="Times New Roman"/>
          <w:b/>
          <w:sz w:val="24"/>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noProof/>
        </w:rPr>
        <mc:AlternateContent>
          <mc:Choice Requires="wpg">
            <w:drawing>
              <wp:anchor distT="0" distB="0" distL="114300" distR="114300" simplePos="0" relativeHeight="25204736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6726" name="Group 596726"/>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758" name="Rectangle 5675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759" name="Rectangle 5675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378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6726" style="width:12.7031pt;height:280.35pt;position:absolute;mso-position-horizontal-relative:page;mso-position-horizontal:absolute;margin-left:681.958pt;mso-position-vertical-relative:page;margin-top:531.65pt;" coordsize="1613,35604">
                <v:rect id="Rectangle 5675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75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378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127"/>
        <w:ind w:left="-2"/>
      </w:pPr>
      <w:r>
        <w:rPr>
          <w:noProof/>
        </w:rPr>
        <w:drawing>
          <wp:inline distT="0" distB="0" distL="0" distR="0">
            <wp:extent cx="5095240" cy="5257800"/>
            <wp:effectExtent l="0" t="0" r="0" b="0"/>
            <wp:docPr id="56773" name="Picture 56773"/>
            <wp:cNvGraphicFramePr/>
            <a:graphic xmlns:a="http://schemas.openxmlformats.org/drawingml/2006/main">
              <a:graphicData uri="http://schemas.openxmlformats.org/drawingml/2006/picture">
                <pic:pic xmlns:pic="http://schemas.openxmlformats.org/drawingml/2006/picture">
                  <pic:nvPicPr>
                    <pic:cNvPr id="56773" name="Picture 56773"/>
                    <pic:cNvPicPr/>
                  </pic:nvPicPr>
                  <pic:blipFill>
                    <a:blip r:embed="rId145"/>
                    <a:stretch>
                      <a:fillRect/>
                    </a:stretch>
                  </pic:blipFill>
                  <pic:spPr>
                    <a:xfrm>
                      <a:off x="0" y="0"/>
                      <a:ext cx="5095240" cy="5257800"/>
                    </a:xfrm>
                    <a:prstGeom prst="rect">
                      <a:avLst/>
                    </a:prstGeom>
                  </pic:spPr>
                </pic:pic>
              </a:graphicData>
            </a:graphic>
          </wp:inline>
        </w:drawing>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3" w:line="265" w:lineRule="auto"/>
        <w:ind w:left="-5" w:right="13" w:hanging="10"/>
      </w:pPr>
      <w:r>
        <w:rPr>
          <w:rFonts w:ascii="Segoe UI Symbol" w:eastAsia="Segoe UI Symbol" w:hAnsi="Segoe UI Symbol" w:cs="Segoe UI Symbol"/>
          <w:sz w:val="20"/>
        </w:rPr>
        <w:t></w:t>
      </w:r>
      <w:r>
        <w:rPr>
          <w:rFonts w:ascii="Arial" w:eastAsia="Arial" w:hAnsi="Arial" w:cs="Arial"/>
        </w:rPr>
        <w:t xml:space="preserve"> </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noProof/>
        </w:rPr>
        <mc:AlternateContent>
          <mc:Choice Requires="wpg">
            <w:drawing>
              <wp:anchor distT="0" distB="0" distL="114300" distR="114300" simplePos="0" relativeHeight="25204838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6605" name="Group 59660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786" name="Rectangle 5678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787" name="Rectangle 5678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379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6605" style="width:12.7031pt;height:280.35pt;position:absolute;mso-position-horizontal-relative:page;mso-position-horizontal:absolute;margin-left:681.958pt;mso-position-vertical-relative:page;margin-top:531.65pt;" coordsize="1613,35604">
                <v:rect id="Rectangle 5678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78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379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spacing w:after="80"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9022" w:line="265" w:lineRule="auto"/>
        <w:ind w:left="-5" w:right="13" w:hanging="10"/>
      </w:pPr>
      <w:r>
        <w:rPr>
          <w:noProof/>
        </w:rPr>
        <mc:AlternateContent>
          <mc:Choice Requires="wpg">
            <w:drawing>
              <wp:anchor distT="0" distB="0" distL="114300" distR="114300" simplePos="0" relativeHeight="25204940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7087" name="Group 59708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805" name="Rectangle 5680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806" name="Rectangle 5680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7087" style="width:12.7031pt;height:280.35pt;position:absolute;mso-position-horizontal-relative:page;mso-position-horizontal:absolute;margin-left:681.958pt;mso-position-vertical-relative:page;margin-top:531.65pt;" coordsize="1613,35604">
                <v:rect id="Rectangle 5680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80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380 de 391 </w:t>
                        </w:r>
                      </w:p>
                    </w:txbxContent>
                  </v:textbox>
                </v:rect>
                <w10:wrap type="square"/>
              </v:group>
            </w:pict>
          </mc:Fallback>
        </mc:AlternateContent>
      </w:r>
      <w:r>
        <w:rPr>
          <w:noProof/>
        </w:rPr>
        <mc:AlternateContent>
          <mc:Choice Requires="wpg">
            <w:drawing>
              <wp:anchor distT="0" distB="0" distL="114300" distR="114300" simplePos="0" relativeHeight="252050432" behindDoc="0" locked="0" layoutInCell="1" allowOverlap="1">
                <wp:simplePos x="0" y="0"/>
                <wp:positionH relativeFrom="column">
                  <wp:posOffset>227330</wp:posOffset>
                </wp:positionH>
                <wp:positionV relativeFrom="paragraph">
                  <wp:posOffset>-1969087</wp:posOffset>
                </wp:positionV>
                <wp:extent cx="4933950" cy="8009890"/>
                <wp:effectExtent l="0" t="0" r="0" b="0"/>
                <wp:wrapSquare wrapText="bothSides"/>
                <wp:docPr id="597086" name="Group 597086"/>
                <wp:cNvGraphicFramePr/>
                <a:graphic xmlns:a="http://schemas.openxmlformats.org/drawingml/2006/main">
                  <a:graphicData uri="http://schemas.microsoft.com/office/word/2010/wordprocessingGroup">
                    <wpg:wgp>
                      <wpg:cNvGrpSpPr/>
                      <wpg:grpSpPr>
                        <a:xfrm>
                          <a:off x="0" y="0"/>
                          <a:ext cx="4933950" cy="8009890"/>
                          <a:chOff x="0" y="0"/>
                          <a:chExt cx="4933950" cy="8009890"/>
                        </a:xfrm>
                      </wpg:grpSpPr>
                      <pic:pic xmlns:pic="http://schemas.openxmlformats.org/drawingml/2006/picture">
                        <pic:nvPicPr>
                          <pic:cNvPr id="56795" name="Picture 56795"/>
                          <pic:cNvPicPr/>
                        </pic:nvPicPr>
                        <pic:blipFill>
                          <a:blip r:embed="rId146"/>
                          <a:stretch>
                            <a:fillRect/>
                          </a:stretch>
                        </pic:blipFill>
                        <pic:spPr>
                          <a:xfrm>
                            <a:off x="0" y="0"/>
                            <a:ext cx="4923790" cy="2095500"/>
                          </a:xfrm>
                          <a:prstGeom prst="rect">
                            <a:avLst/>
                          </a:prstGeom>
                        </pic:spPr>
                      </pic:pic>
                      <pic:pic xmlns:pic="http://schemas.openxmlformats.org/drawingml/2006/picture">
                        <pic:nvPicPr>
                          <pic:cNvPr id="56798" name="Picture 56798"/>
                          <pic:cNvPicPr/>
                        </pic:nvPicPr>
                        <pic:blipFill>
                          <a:blip r:embed="rId147"/>
                          <a:stretch>
                            <a:fillRect/>
                          </a:stretch>
                        </pic:blipFill>
                        <pic:spPr>
                          <a:xfrm>
                            <a:off x="0" y="2199640"/>
                            <a:ext cx="4933950" cy="5810250"/>
                          </a:xfrm>
                          <a:prstGeom prst="rect">
                            <a:avLst/>
                          </a:prstGeom>
                        </pic:spPr>
                      </pic:pic>
                    </wpg:wgp>
                  </a:graphicData>
                </a:graphic>
              </wp:anchor>
            </w:drawing>
          </mc:Choice>
          <mc:Fallback xmlns:a="http://schemas.openxmlformats.org/drawingml/2006/main">
            <w:pict>
              <v:group id="Group 597086" style="width:388.5pt;height:630.7pt;position:absolute;mso-position-horizontal-relative:text;mso-position-horizontal:absolute;margin-left:17.9pt;mso-position-vertical-relative:text;margin-top:-155.046pt;" coordsize="49339,80098">
                <v:shape id="Picture 56795" style="position:absolute;width:49237;height:20955;left:0;top:0;" filled="f">
                  <v:imagedata r:id="rId152"/>
                </v:shape>
                <v:shape id="Picture 56798" style="position:absolute;width:49339;height:58102;left:0;top:21996;" filled="f">
                  <v:imagedata r:id="rId153"/>
                </v:shape>
                <w10:wrap type="square"/>
              </v:group>
            </w:pict>
          </mc:Fallback>
        </mc:AlternateContent>
      </w:r>
      <w:r>
        <w:rPr>
          <w:rFonts w:ascii="Segoe UI Symbol" w:eastAsia="Segoe UI Symbol" w:hAnsi="Segoe UI Symbol" w:cs="Segoe UI Symbol"/>
          <w:sz w:val="20"/>
        </w:rPr>
        <w:t></w:t>
      </w:r>
    </w:p>
    <w:p w:rsidR="00E23B86" w:rsidRDefault="00BA7C13">
      <w:pPr>
        <w:spacing w:after="78" w:line="265" w:lineRule="auto"/>
        <w:ind w:left="-5" w:right="13" w:hanging="10"/>
      </w:pPr>
      <w:r>
        <w:rPr>
          <w:rFonts w:ascii="Segoe UI Symbol" w:eastAsia="Segoe UI Symbol" w:hAnsi="Segoe UI Symbol" w:cs="Segoe UI Symbol"/>
          <w:sz w:val="20"/>
        </w:rPr>
        <w:t></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80" w:line="265" w:lineRule="auto"/>
        <w:ind w:right="452" w:hanging="360"/>
        <w:jc w:val="both"/>
      </w:pPr>
      <w:r>
        <w:rPr>
          <w:rFonts w:ascii="Segoe UI Symbol" w:eastAsia="Segoe UI Symbol" w:hAnsi="Segoe UI Symbol" w:cs="Segoe UI Symbol"/>
          <w:sz w:val="20"/>
        </w:rPr>
        <w:t></w:t>
      </w:r>
    </w:p>
    <w:p w:rsidR="00E23B86" w:rsidRDefault="00BA7C13">
      <w:pPr>
        <w:spacing w:after="82" w:line="265" w:lineRule="auto"/>
        <w:ind w:left="-5" w:right="13" w:hanging="10"/>
      </w:pPr>
      <w:r>
        <w:rPr>
          <w:noProof/>
        </w:rPr>
        <mc:AlternateContent>
          <mc:Choice Requires="wpg">
            <w:drawing>
              <wp:anchor distT="0" distB="0" distL="114300" distR="114300" simplePos="0" relativeHeight="252051456"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97332" name="Group 59733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822" name="Rectangle 5682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w:t>
                              </w:r>
                              <w:r>
                                <w:rPr>
                                  <w:rFonts w:ascii="Arial" w:eastAsia="Arial" w:hAnsi="Arial" w:cs="Arial"/>
                                  <w:sz w:val="12"/>
                                </w:rPr>
                                <w:t xml:space="preserve">ficación: https://candelaria.sedelectronica.es/ </w:t>
                              </w:r>
                            </w:p>
                          </w:txbxContent>
                        </wps:txbx>
                        <wps:bodyPr horzOverflow="overflow" vert="horz" lIns="0" tIns="0" rIns="0" bIns="0" rtlCol="0">
                          <a:noAutofit/>
                        </wps:bodyPr>
                      </wps:wsp>
                      <wps:wsp>
                        <wps:cNvPr id="56823" name="Rectangle 5682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7332" style="width:12.7031pt;height:280.35pt;position:absolute;mso-position-horizontal-relative:page;mso-position-horizontal:absolute;margin-left:681.958pt;mso-position-vertical-relative:page;margin-top:531.65pt;" coordsize="1613,35604">
                <v:rect id="Rectangle 5682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82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381 de 391 </w:t>
                        </w:r>
                      </w:p>
                    </w:txbxContent>
                  </v:textbox>
                </v:rect>
                <w10:wrap type="topAndBottom"/>
              </v:group>
            </w:pict>
          </mc:Fallback>
        </mc:AlternateContent>
      </w: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0"/>
        <w:ind w:left="-2"/>
      </w:pPr>
      <w:r>
        <w:rPr>
          <w:noProof/>
        </w:rPr>
        <w:drawing>
          <wp:inline distT="0" distB="0" distL="0" distR="0">
            <wp:extent cx="5010150" cy="1610360"/>
            <wp:effectExtent l="0" t="0" r="0" b="0"/>
            <wp:docPr id="56817" name="Picture 56817"/>
            <wp:cNvGraphicFramePr/>
            <a:graphic xmlns:a="http://schemas.openxmlformats.org/drawingml/2006/main">
              <a:graphicData uri="http://schemas.openxmlformats.org/drawingml/2006/picture">
                <pic:pic xmlns:pic="http://schemas.openxmlformats.org/drawingml/2006/picture">
                  <pic:nvPicPr>
                    <pic:cNvPr id="56817" name="Picture 56817"/>
                    <pic:cNvPicPr/>
                  </pic:nvPicPr>
                  <pic:blipFill>
                    <a:blip r:embed="rId154"/>
                    <a:stretch>
                      <a:fillRect/>
                    </a:stretch>
                  </pic:blipFill>
                  <pic:spPr>
                    <a:xfrm>
                      <a:off x="0" y="0"/>
                      <a:ext cx="5010150" cy="1610360"/>
                    </a:xfrm>
                    <a:prstGeom prst="rect">
                      <a:avLst/>
                    </a:prstGeom>
                  </pic:spPr>
                </pic:pic>
              </a:graphicData>
            </a:graphic>
          </wp:inline>
        </w:drawing>
      </w:r>
      <w:r>
        <w:br w:type="page"/>
      </w:r>
    </w:p>
    <w:p w:rsidR="00E23B86" w:rsidRDefault="00BA7C13">
      <w:pPr>
        <w:spacing w:after="3" w:line="265" w:lineRule="auto"/>
        <w:ind w:left="-5" w:right="13" w:hanging="10"/>
      </w:pPr>
      <w:r>
        <w:rPr>
          <w:rFonts w:ascii="Segoe UI Symbol" w:eastAsia="Segoe UI Symbol" w:hAnsi="Segoe UI Symbol" w:cs="Segoe UI Symbol"/>
          <w:sz w:val="20"/>
        </w:rPr>
        <w:t xml:space="preserve"> </w:t>
      </w:r>
      <w:r>
        <w:rPr>
          <w:noProof/>
        </w:rPr>
        <w:drawing>
          <wp:inline distT="0" distB="0" distL="0" distR="0">
            <wp:extent cx="4657090" cy="6087110"/>
            <wp:effectExtent l="0" t="0" r="0" b="0"/>
            <wp:docPr id="56831" name="Picture 56831"/>
            <wp:cNvGraphicFramePr/>
            <a:graphic xmlns:a="http://schemas.openxmlformats.org/drawingml/2006/main">
              <a:graphicData uri="http://schemas.openxmlformats.org/drawingml/2006/picture">
                <pic:pic xmlns:pic="http://schemas.openxmlformats.org/drawingml/2006/picture">
                  <pic:nvPicPr>
                    <pic:cNvPr id="56831" name="Picture 56831"/>
                    <pic:cNvPicPr/>
                  </pic:nvPicPr>
                  <pic:blipFill>
                    <a:blip r:embed="rId155"/>
                    <a:stretch>
                      <a:fillRect/>
                    </a:stretch>
                  </pic:blipFill>
                  <pic:spPr>
                    <a:xfrm>
                      <a:off x="0" y="0"/>
                      <a:ext cx="4657090" cy="6087110"/>
                    </a:xfrm>
                    <a:prstGeom prst="rect">
                      <a:avLst/>
                    </a:prstGeom>
                  </pic:spPr>
                </pic:pic>
              </a:graphicData>
            </a:graphic>
          </wp:inline>
        </w:drawing>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noProof/>
        </w:rPr>
        <mc:AlternateContent>
          <mc:Choice Requires="wpg">
            <w:drawing>
              <wp:anchor distT="0" distB="0" distL="114300" distR="114300" simplePos="0" relativeHeight="25205248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7408" name="Group 59740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841" name="Rectangle 56841"/>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842" name="Rectangle 56842"/>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382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7408" style="width:12.7031pt;height:280.35pt;position:absolute;mso-position-horizontal-relative:page;mso-position-horizontal:absolute;margin-left:681.958pt;mso-position-vertical-relative:page;margin-top:531.65pt;" coordsize="1613,35604">
                <v:rect id="Rectangle 56841"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842"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382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numPr>
          <w:ilvl w:val="0"/>
          <w:numId w:val="227"/>
        </w:numPr>
        <w:spacing w:after="3" w:line="265" w:lineRule="auto"/>
        <w:ind w:right="452" w:hanging="360"/>
        <w:jc w:val="both"/>
      </w:pPr>
      <w:r>
        <w:rPr>
          <w:noProof/>
        </w:rPr>
        <w:drawing>
          <wp:inline distT="0" distB="0" distL="0" distR="0">
            <wp:extent cx="4629150" cy="2028190"/>
            <wp:effectExtent l="0" t="0" r="0" b="0"/>
            <wp:docPr id="56836" name="Picture 56836"/>
            <wp:cNvGraphicFramePr/>
            <a:graphic xmlns:a="http://schemas.openxmlformats.org/drawingml/2006/main">
              <a:graphicData uri="http://schemas.openxmlformats.org/drawingml/2006/picture">
                <pic:pic xmlns:pic="http://schemas.openxmlformats.org/drawingml/2006/picture">
                  <pic:nvPicPr>
                    <pic:cNvPr id="56836" name="Picture 56836"/>
                    <pic:cNvPicPr/>
                  </pic:nvPicPr>
                  <pic:blipFill>
                    <a:blip r:embed="rId156"/>
                    <a:stretch>
                      <a:fillRect/>
                    </a:stretch>
                  </pic:blipFill>
                  <pic:spPr>
                    <a:xfrm>
                      <a:off x="0" y="0"/>
                      <a:ext cx="4629150" cy="2028190"/>
                    </a:xfrm>
                    <a:prstGeom prst="rect">
                      <a:avLst/>
                    </a:prstGeom>
                  </pic:spPr>
                </pic:pic>
              </a:graphicData>
            </a:graphic>
          </wp:inline>
        </w:drawing>
      </w:r>
      <w:r>
        <w:rPr>
          <w:rFonts w:ascii="Segoe UI Symbol" w:eastAsia="Segoe UI Symbol" w:hAnsi="Segoe UI Symbol" w:cs="Segoe UI Symbol"/>
          <w:sz w:val="20"/>
        </w:rPr>
        <w:t xml:space="preserve"> </w:t>
      </w:r>
      <w:r>
        <w:rPr>
          <w:noProof/>
        </w:rPr>
        <w:drawing>
          <wp:inline distT="0" distB="0" distL="0" distR="0">
            <wp:extent cx="4657090" cy="4542790"/>
            <wp:effectExtent l="0" t="0" r="0" b="0"/>
            <wp:docPr id="56851" name="Picture 56851"/>
            <wp:cNvGraphicFramePr/>
            <a:graphic xmlns:a="http://schemas.openxmlformats.org/drawingml/2006/main">
              <a:graphicData uri="http://schemas.openxmlformats.org/drawingml/2006/picture">
                <pic:pic xmlns:pic="http://schemas.openxmlformats.org/drawingml/2006/picture">
                  <pic:nvPicPr>
                    <pic:cNvPr id="56851" name="Picture 56851"/>
                    <pic:cNvPicPr/>
                  </pic:nvPicPr>
                  <pic:blipFill>
                    <a:blip r:embed="rId157"/>
                    <a:stretch>
                      <a:fillRect/>
                    </a:stretch>
                  </pic:blipFill>
                  <pic:spPr>
                    <a:xfrm>
                      <a:off x="0" y="0"/>
                      <a:ext cx="4657090" cy="4542790"/>
                    </a:xfrm>
                    <a:prstGeom prst="rect">
                      <a:avLst/>
                    </a:prstGeom>
                  </pic:spPr>
                </pic:pic>
              </a:graphicData>
            </a:graphic>
          </wp:inline>
        </w:drawing>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noProof/>
        </w:rPr>
        <mc:AlternateContent>
          <mc:Choice Requires="wpg">
            <w:drawing>
              <wp:anchor distT="0" distB="0" distL="114300" distR="114300" simplePos="0" relativeHeight="25205350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7540" name="Group 597540"/>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870" name="Rectangle 56870"/>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w:t>
                              </w:r>
                              <w:r>
                                <w:rPr>
                                  <w:rFonts w:ascii="Arial" w:eastAsia="Arial" w:hAnsi="Arial" w:cs="Arial"/>
                                  <w:sz w:val="12"/>
                                </w:rPr>
                                <w:t xml:space="preserve">rificación: https://candelaria.sedelectronica.es/ </w:t>
                              </w:r>
                            </w:p>
                          </w:txbxContent>
                        </wps:txbx>
                        <wps:bodyPr horzOverflow="overflow" vert="horz" lIns="0" tIns="0" rIns="0" bIns="0" rtlCol="0">
                          <a:noAutofit/>
                        </wps:bodyPr>
                      </wps:wsp>
                      <wps:wsp>
                        <wps:cNvPr id="56871" name="Rectangle 56871"/>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383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7540" style="width:12.7031pt;height:280.35pt;position:absolute;mso-position-horizontal-relative:page;mso-position-horizontal:absolute;margin-left:681.958pt;mso-position-vertical-relative:page;margin-top:531.65pt;" coordsize="1613,35604">
                <v:rect id="Rectangle 56870"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871"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383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 xml:space="preserve"> </w:t>
      </w:r>
      <w:r>
        <w:rPr>
          <w:noProof/>
        </w:rPr>
        <w:drawing>
          <wp:inline distT="0" distB="0" distL="0" distR="0">
            <wp:extent cx="4599940" cy="2294890"/>
            <wp:effectExtent l="0" t="0" r="0" b="0"/>
            <wp:docPr id="56857" name="Picture 56857"/>
            <wp:cNvGraphicFramePr/>
            <a:graphic xmlns:a="http://schemas.openxmlformats.org/drawingml/2006/main">
              <a:graphicData uri="http://schemas.openxmlformats.org/drawingml/2006/picture">
                <pic:pic xmlns:pic="http://schemas.openxmlformats.org/drawingml/2006/picture">
                  <pic:nvPicPr>
                    <pic:cNvPr id="56857" name="Picture 56857"/>
                    <pic:cNvPicPr/>
                  </pic:nvPicPr>
                  <pic:blipFill>
                    <a:blip r:embed="rId158"/>
                    <a:stretch>
                      <a:fillRect/>
                    </a:stretch>
                  </pic:blipFill>
                  <pic:spPr>
                    <a:xfrm>
                      <a:off x="0" y="0"/>
                      <a:ext cx="4599940" cy="2294890"/>
                    </a:xfrm>
                    <a:prstGeom prst="rect">
                      <a:avLst/>
                    </a:prstGeom>
                  </pic:spPr>
                </pic:pic>
              </a:graphicData>
            </a:graphic>
          </wp:inline>
        </w:drawing>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122" w:line="227" w:lineRule="auto"/>
        <w:ind w:right="452" w:hanging="360"/>
        <w:jc w:val="both"/>
      </w:pPr>
      <w:r>
        <w:rPr>
          <w:b/>
        </w:rPr>
        <w:t>DICTAMEN DE LA COMISIÓN INFORMATIVA DE SERVICIOS A LAS PERSONAS.</w:t>
      </w:r>
    </w:p>
    <w:p w:rsidR="00E23B86" w:rsidRDefault="00BA7C13">
      <w:pPr>
        <w:numPr>
          <w:ilvl w:val="0"/>
          <w:numId w:val="227"/>
        </w:numPr>
        <w:spacing w:after="89"/>
        <w:ind w:right="452" w:hanging="360"/>
        <w:jc w:val="both"/>
      </w:pPr>
      <w:r>
        <w:t>Votos a favor: 1.</w:t>
      </w:r>
    </w:p>
    <w:p w:rsidR="00E23B86" w:rsidRDefault="00BA7C13">
      <w:pPr>
        <w:numPr>
          <w:ilvl w:val="0"/>
          <w:numId w:val="227"/>
        </w:numPr>
        <w:spacing w:after="110" w:line="248" w:lineRule="auto"/>
        <w:ind w:right="452" w:hanging="360"/>
        <w:jc w:val="both"/>
      </w:pPr>
      <w:r>
        <w:rPr>
          <w:rFonts w:ascii="Arial" w:eastAsia="Arial" w:hAnsi="Arial" w:cs="Arial"/>
        </w:rPr>
        <w:t>1 de la concejal del Grupo Mixto: Doña María del Carmen Coello González.</w:t>
      </w:r>
    </w:p>
    <w:p w:rsidR="00E23B86" w:rsidRDefault="00BA7C13">
      <w:pPr>
        <w:numPr>
          <w:ilvl w:val="0"/>
          <w:numId w:val="227"/>
        </w:numPr>
        <w:spacing w:after="89"/>
        <w:ind w:right="452" w:hanging="360"/>
        <w:jc w:val="both"/>
      </w:pPr>
      <w:r>
        <w:t>Votos en contra:  0.</w:t>
      </w:r>
    </w:p>
    <w:p w:rsidR="00E23B86" w:rsidRDefault="00BA7C13">
      <w:pPr>
        <w:numPr>
          <w:ilvl w:val="0"/>
          <w:numId w:val="227"/>
        </w:numPr>
        <w:spacing w:after="89"/>
        <w:ind w:right="452" w:hanging="360"/>
        <w:jc w:val="both"/>
      </w:pPr>
      <w:r>
        <w:t>Abstenciones: 6:</w:t>
      </w:r>
    </w:p>
    <w:p w:rsidR="00E23B86" w:rsidRDefault="00BA7C13">
      <w:pPr>
        <w:numPr>
          <w:ilvl w:val="0"/>
          <w:numId w:val="227"/>
        </w:numPr>
        <w:spacing w:after="89"/>
        <w:ind w:right="452" w:hanging="360"/>
        <w:jc w:val="both"/>
      </w:pPr>
      <w:r>
        <w:t>Los 4 concejales del Grupo Socialista: Doña Olivia Concepción Pérez Díaz, Don José Francisco Pinto Ramos, Doña Margarita Eva Tendero Barroso y Do</w:t>
      </w:r>
      <w:r>
        <w:t>n Olegario Francisco Alonso Bello.</w:t>
      </w:r>
    </w:p>
    <w:p w:rsidR="00E23B86" w:rsidRDefault="00BA7C13">
      <w:pPr>
        <w:numPr>
          <w:ilvl w:val="0"/>
          <w:numId w:val="227"/>
        </w:numPr>
        <w:spacing w:after="110" w:line="248" w:lineRule="auto"/>
        <w:ind w:right="452" w:hanging="360"/>
        <w:jc w:val="both"/>
      </w:pPr>
      <w:r>
        <w:rPr>
          <w:rFonts w:ascii="Arial" w:eastAsia="Arial" w:hAnsi="Arial" w:cs="Arial"/>
        </w:rPr>
        <w:t>1 del concejal del Grupo Popular, Don Juan Miguel Olivera González.</w:t>
      </w:r>
    </w:p>
    <w:p w:rsidR="00E23B86" w:rsidRDefault="00BA7C13">
      <w:pPr>
        <w:numPr>
          <w:ilvl w:val="0"/>
          <w:numId w:val="227"/>
        </w:numPr>
        <w:spacing w:after="110" w:line="248" w:lineRule="auto"/>
        <w:ind w:right="452" w:hanging="360"/>
        <w:jc w:val="both"/>
      </w:pPr>
      <w:r>
        <w:rPr>
          <w:rFonts w:ascii="Arial" w:eastAsia="Arial" w:hAnsi="Arial" w:cs="Arial"/>
        </w:rPr>
        <w:t>1 de la concejal del Grupo Mixto: Doña Ángela Cruz Perera (CC-PNC).</w:t>
      </w:r>
    </w:p>
    <w:p w:rsidR="00E23B86" w:rsidRDefault="00BA7C13">
      <w:pPr>
        <w:spacing w:after="82"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0" w:line="341" w:lineRule="auto"/>
        <w:ind w:right="452" w:hanging="360"/>
        <w:jc w:val="both"/>
      </w:pPr>
      <w:r>
        <w:rPr>
          <w:rFonts w:ascii="Arial" w:eastAsia="Arial" w:hAnsi="Arial" w:cs="Arial"/>
          <w:b/>
        </w:rPr>
        <w:t xml:space="preserve">JUNTA DE PORTAVOCES </w:t>
      </w:r>
      <w:r>
        <w:rPr>
          <w:rFonts w:ascii="Segoe UI Symbol" w:eastAsia="Segoe UI Symbol" w:hAnsi="Segoe UI Symbol" w:cs="Segoe UI Symbol"/>
          <w:sz w:val="20"/>
        </w:rPr>
        <w:t xml:space="preserve"> </w:t>
      </w:r>
      <w:r>
        <w:rPr>
          <w:rFonts w:ascii="Arial" w:eastAsia="Arial" w:hAnsi="Arial" w:cs="Arial"/>
        </w:rPr>
        <w:t>Quedó oída.</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111" w:line="249" w:lineRule="auto"/>
        <w:ind w:right="452" w:hanging="360"/>
        <w:jc w:val="both"/>
      </w:pPr>
      <w:r>
        <w:rPr>
          <w:rFonts w:ascii="Arial" w:eastAsia="Arial" w:hAnsi="Arial" w:cs="Arial"/>
          <w:b/>
        </w:rPr>
        <w:t xml:space="preserve">Durante el transcurso de la sesión plenaria se </w:t>
      </w:r>
      <w:r>
        <w:rPr>
          <w:rFonts w:ascii="Arial" w:eastAsia="Arial" w:hAnsi="Arial" w:cs="Arial"/>
          <w:b/>
        </w:rPr>
        <w:t>presentó una enmiendapor el Grupo Socialista que fue consensuada por el resto de los Grupos, o sea, el Grupo Popular y el Grupo Mixto, y que se sometió a votación.</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111" w:line="249" w:lineRule="auto"/>
        <w:ind w:right="452" w:hanging="360"/>
        <w:jc w:val="both"/>
      </w:pPr>
      <w:r>
        <w:rPr>
          <w:rFonts w:ascii="Arial" w:eastAsia="Arial" w:hAnsi="Arial" w:cs="Arial"/>
          <w:b/>
        </w:rPr>
        <w:t>VOTACIÓN EN EL PLENO (votada conjuntamente con el punto 9 al ser puntos de igual contenido).</w:t>
      </w:r>
    </w:p>
    <w:p w:rsidR="00E23B86" w:rsidRDefault="00BA7C13">
      <w:pPr>
        <w:numPr>
          <w:ilvl w:val="0"/>
          <w:numId w:val="227"/>
        </w:numPr>
        <w:spacing w:after="110" w:line="248" w:lineRule="auto"/>
        <w:ind w:right="452" w:hanging="360"/>
        <w:jc w:val="both"/>
      </w:pPr>
      <w:r>
        <w:rPr>
          <w:rFonts w:ascii="Arial" w:eastAsia="Arial" w:hAnsi="Arial" w:cs="Arial"/>
        </w:rPr>
        <w:t>Votos a favor: 17: La unanimidad de los concejales presentes.</w:t>
      </w:r>
    </w:p>
    <w:p w:rsidR="00E23B86" w:rsidRDefault="00BA7C13">
      <w:pPr>
        <w:numPr>
          <w:ilvl w:val="0"/>
          <w:numId w:val="227"/>
        </w:numPr>
        <w:spacing w:after="0" w:line="248" w:lineRule="auto"/>
        <w:ind w:right="452" w:hanging="360"/>
        <w:jc w:val="both"/>
      </w:pPr>
      <w:r>
        <w:rPr>
          <w:rFonts w:ascii="Arial" w:eastAsia="Arial" w:hAnsi="Arial" w:cs="Arial"/>
        </w:rPr>
        <w:t xml:space="preserve">11 concejales del Grupo Socialista: Doña María Concepción Brito Núñez, Don Jorge Baute Delgado, Doña </w:t>
      </w:r>
      <w:r>
        <w:rPr>
          <w:rFonts w:ascii="Arial" w:eastAsia="Arial" w:hAnsi="Arial" w:cs="Arial"/>
        </w:rPr>
        <w:t>Olivia Concepción Pérez Díaz, Don José Francisco</w:t>
      </w:r>
    </w:p>
    <w:p w:rsidR="00E23B86" w:rsidRDefault="00BA7C13">
      <w:pPr>
        <w:spacing w:after="0" w:line="265" w:lineRule="auto"/>
        <w:ind w:left="10" w:right="12" w:hanging="10"/>
        <w:jc w:val="right"/>
      </w:pPr>
      <w:r>
        <w:rPr>
          <w:noProof/>
        </w:rPr>
        <mc:AlternateContent>
          <mc:Choice Requires="wpg">
            <w:drawing>
              <wp:anchor distT="0" distB="0" distL="114300" distR="114300" simplePos="0" relativeHeight="25205452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7851" name="Group 597851"/>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6944" name="Rectangle 56944"/>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6945" name="Rectangle 56945"/>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384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7851" style="width:12.7031pt;height:280.35pt;position:absolute;mso-position-horizontal-relative:page;mso-position-horizontal:absolute;margin-left:681.958pt;mso-position-vertical-relative:page;margin-top:531.65pt;" coordsize="1613,35604">
                <v:rect id="Rectangle 56944"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6945"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384 de 391 </w:t>
                        </w:r>
                      </w:p>
                    </w:txbxContent>
                  </v:textbox>
                </v:rect>
                <w10:wrap type="square"/>
              </v:group>
            </w:pict>
          </mc:Fallback>
        </mc:AlternateContent>
      </w:r>
      <w:r>
        <w:rPr>
          <w:rFonts w:ascii="Arial" w:eastAsia="Arial" w:hAnsi="Arial" w:cs="Arial"/>
        </w:rPr>
        <w:t>Pinto Ramos, Doña Hilaria Cecilia Otazo González, Don Airam Pérez Chinea,</w:t>
      </w:r>
    </w:p>
    <w:p w:rsidR="00E23B86" w:rsidRDefault="00BA7C13">
      <w:pPr>
        <w:spacing w:after="110" w:line="248" w:lineRule="auto"/>
        <w:ind w:left="373" w:right="2" w:hanging="10"/>
        <w:jc w:val="both"/>
      </w:pPr>
      <w:r>
        <w:rPr>
          <w:rFonts w:ascii="Arial" w:eastAsia="Arial" w:hAnsi="Arial" w:cs="Arial"/>
        </w:rPr>
        <w:t xml:space="preserve">Doña Margarita Eva Tendero Barroso, Don Manuel Alberto González Pestano, Doña María del Carmen Clemente Díaz, Don Olegario Francisco Alonso Bello y Don Reinaldo José Triviño Blanco. </w:t>
      </w:r>
    </w:p>
    <w:p w:rsidR="00E23B86" w:rsidRDefault="00BA7C13">
      <w:pPr>
        <w:numPr>
          <w:ilvl w:val="0"/>
          <w:numId w:val="227"/>
        </w:numPr>
        <w:spacing w:after="110" w:line="248" w:lineRule="auto"/>
        <w:ind w:right="452" w:hanging="360"/>
        <w:jc w:val="both"/>
      </w:pPr>
      <w:r>
        <w:rPr>
          <w:rFonts w:ascii="Arial" w:eastAsia="Arial" w:hAnsi="Arial" w:cs="Arial"/>
        </w:rPr>
        <w:t>2 concejales del Grupo Popular: Don Juan Miguel Olivera González y Don Jacobo López Fariña.</w:t>
      </w:r>
    </w:p>
    <w:p w:rsidR="00E23B86" w:rsidRDefault="00BA7C13">
      <w:pPr>
        <w:numPr>
          <w:ilvl w:val="0"/>
          <w:numId w:val="227"/>
        </w:numPr>
        <w:spacing w:after="110" w:line="248" w:lineRule="auto"/>
        <w:ind w:right="452" w:hanging="360"/>
        <w:jc w:val="both"/>
      </w:pPr>
      <w:r>
        <w:rPr>
          <w:rFonts w:ascii="Arial" w:eastAsia="Arial" w:hAnsi="Arial" w:cs="Arial"/>
        </w:rPr>
        <w:t>4 concejales del Grupo Mixto: Doña María del Carmen Coello González y Doña María del Pilar Maceín Núñez (SSP), Doña Ángela Cruz Perera (CC-PNC) y Don José Fernando</w:t>
      </w:r>
      <w:r>
        <w:rPr>
          <w:rFonts w:ascii="Arial" w:eastAsia="Arial" w:hAnsi="Arial" w:cs="Arial"/>
        </w:rPr>
        <w:t xml:space="preserve"> Gómez Martín (PvxC).</w:t>
      </w:r>
    </w:p>
    <w:p w:rsidR="00E23B86" w:rsidRDefault="00BA7C13">
      <w:pPr>
        <w:numPr>
          <w:ilvl w:val="0"/>
          <w:numId w:val="227"/>
        </w:numPr>
        <w:spacing w:after="110" w:line="248" w:lineRule="auto"/>
        <w:ind w:right="452" w:hanging="360"/>
        <w:jc w:val="both"/>
      </w:pPr>
      <w:r>
        <w:rPr>
          <w:rFonts w:ascii="Arial" w:eastAsia="Arial" w:hAnsi="Arial" w:cs="Arial"/>
        </w:rPr>
        <w:t>Votos en contra: 0.</w:t>
      </w:r>
    </w:p>
    <w:p w:rsidR="00E23B86" w:rsidRDefault="00BA7C13">
      <w:pPr>
        <w:numPr>
          <w:ilvl w:val="0"/>
          <w:numId w:val="227"/>
        </w:numPr>
        <w:spacing w:after="110" w:line="248" w:lineRule="auto"/>
        <w:ind w:right="452" w:hanging="360"/>
        <w:jc w:val="both"/>
      </w:pPr>
      <w:r>
        <w:rPr>
          <w:rFonts w:ascii="Arial" w:eastAsia="Arial" w:hAnsi="Arial" w:cs="Arial"/>
        </w:rPr>
        <w:t>Abstenciones: 0.</w:t>
      </w:r>
    </w:p>
    <w:p w:rsidR="00E23B86" w:rsidRDefault="00BA7C13">
      <w:pPr>
        <w:spacing w:after="100"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5" w:line="250" w:lineRule="auto"/>
        <w:ind w:right="452" w:hanging="360"/>
        <w:jc w:val="both"/>
      </w:pPr>
      <w:r>
        <w:rPr>
          <w:rFonts w:ascii="Arial" w:eastAsia="Arial" w:hAnsi="Arial" w:cs="Arial"/>
          <w:b/>
          <w:sz w:val="24"/>
        </w:rPr>
        <w:t>ACUERDO DEL PLENO</w:t>
      </w:r>
    </w:p>
    <w:p w:rsidR="00E23B86" w:rsidRDefault="00BA7C13">
      <w:pPr>
        <w:spacing w:after="84"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0" w:line="248" w:lineRule="auto"/>
        <w:ind w:right="452" w:hanging="360"/>
        <w:jc w:val="both"/>
      </w:pPr>
      <w:r>
        <w:rPr>
          <w:rFonts w:ascii="Arial" w:eastAsia="Arial" w:hAnsi="Arial" w:cs="Arial"/>
        </w:rPr>
        <w:t>Primero.- El Ayuntamiento de Candelaria adecuará la práctica pirotécnica ubicando la quema del material en los entornos más alejados posibles de los núcleos urbanos y en condiciones de seguridad, así como la ubicación de los asistentes de los distintos eve</w:t>
      </w:r>
      <w:r>
        <w:rPr>
          <w:rFonts w:ascii="Arial" w:eastAsia="Arial" w:hAnsi="Arial" w:cs="Arial"/>
        </w:rPr>
        <w:t xml:space="preserve">ntos festivos, minimizando de este modo el impacto sonoro que produce, garantizando la continuidad de este elemento innato a las tradiciones festivas y culturales de nuestro pueblo. </w:t>
      </w:r>
      <w:r>
        <w:rPr>
          <w:rFonts w:ascii="Segoe UI Symbol" w:eastAsia="Segoe UI Symbol" w:hAnsi="Segoe UI Symbol" w:cs="Segoe UI Symbol"/>
          <w:sz w:val="20"/>
        </w:rPr>
        <w:t></w:t>
      </w:r>
    </w:p>
    <w:p w:rsidR="00E23B86" w:rsidRDefault="00BA7C13">
      <w:pPr>
        <w:numPr>
          <w:ilvl w:val="0"/>
          <w:numId w:val="227"/>
        </w:numPr>
        <w:spacing w:after="110" w:line="248" w:lineRule="auto"/>
        <w:ind w:right="452" w:hanging="360"/>
        <w:jc w:val="both"/>
      </w:pPr>
      <w:r>
        <w:rPr>
          <w:rFonts w:ascii="Arial" w:eastAsia="Arial" w:hAnsi="Arial" w:cs="Arial"/>
        </w:rPr>
        <w:t>Segundo.- El Ayuntamiento de Candelaria dictará bandos que regulen el us</w:t>
      </w:r>
      <w:r>
        <w:rPr>
          <w:rFonts w:ascii="Arial" w:eastAsia="Arial" w:hAnsi="Arial" w:cs="Arial"/>
        </w:rPr>
        <w:t>o de petardos y material pirotécnico en espacios públicos para minimizar los</w:t>
      </w:r>
    </w:p>
    <w:p w:rsidR="00E23B86" w:rsidRDefault="00E23B86">
      <w:pPr>
        <w:sectPr w:rsidR="00E23B86">
          <w:headerReference w:type="even" r:id="rId159"/>
          <w:headerReference w:type="default" r:id="rId160"/>
          <w:footerReference w:type="even" r:id="rId161"/>
          <w:footerReference w:type="default" r:id="rId162"/>
          <w:headerReference w:type="first" r:id="rId163"/>
          <w:footerReference w:type="first" r:id="rId164"/>
          <w:pgSz w:w="14168" w:h="16840"/>
          <w:pgMar w:top="1996" w:right="2829" w:bottom="1440" w:left="3198" w:header="712" w:footer="712" w:gutter="0"/>
          <w:cols w:space="720"/>
        </w:sectPr>
      </w:pPr>
    </w:p>
    <w:p w:rsidR="00E23B86" w:rsidRDefault="00BA7C13">
      <w:pPr>
        <w:spacing w:after="0" w:line="248" w:lineRule="auto"/>
        <w:ind w:left="373" w:hanging="10"/>
        <w:jc w:val="both"/>
      </w:pPr>
      <w:r>
        <w:rPr>
          <w:rFonts w:ascii="Arial" w:eastAsia="Arial" w:hAnsi="Arial" w:cs="Arial"/>
        </w:rPr>
        <w:t>efectos adversos y molestias que ocasiona sobre una parte de la población y los animales.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0" w:line="248" w:lineRule="auto"/>
        <w:ind w:right="452" w:hanging="360"/>
        <w:jc w:val="both"/>
      </w:pPr>
      <w:r>
        <w:rPr>
          <w:rFonts w:ascii="Arial" w:eastAsia="Arial" w:hAnsi="Arial" w:cs="Arial"/>
        </w:rPr>
        <w:t>Tercero.- Promover una campaña de difusión o concienciación para toda la población, sobre los problemas que la pirotecnia genera en los animales y en sectores sensibles de la sociedad como ancianos, enfermos y bebés, encaminada a reducir o evitar el uso de</w:t>
      </w:r>
      <w:r>
        <w:rPr>
          <w:rFonts w:ascii="Arial" w:eastAsia="Arial" w:hAnsi="Arial" w:cs="Arial"/>
        </w:rPr>
        <w:t xml:space="preserve"> estos artefactos. </w:t>
      </w:r>
      <w:r>
        <w:rPr>
          <w:rFonts w:ascii="Segoe UI Symbol" w:eastAsia="Segoe UI Symbol" w:hAnsi="Segoe UI Symbol" w:cs="Segoe UI Symbol"/>
          <w:sz w:val="20"/>
        </w:rPr>
        <w:t></w:t>
      </w:r>
    </w:p>
    <w:p w:rsidR="00E23B86" w:rsidRDefault="00BA7C13">
      <w:pPr>
        <w:numPr>
          <w:ilvl w:val="0"/>
          <w:numId w:val="227"/>
        </w:numPr>
        <w:spacing w:after="0" w:line="248" w:lineRule="auto"/>
        <w:ind w:right="452" w:hanging="360"/>
        <w:jc w:val="both"/>
      </w:pPr>
      <w:r>
        <w:rPr>
          <w:rFonts w:ascii="Arial" w:eastAsia="Arial" w:hAnsi="Arial" w:cs="Arial"/>
        </w:rPr>
        <w:t>Cuarto.- Apostar, en la medida de lo posible, por el material pirotécnico del mercado que cause el menor impacto sonoro, siempre y cuando mantengan su finalidad visual, decorativa y embellecedora de las fiestas en las que se empleen.</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0" w:line="248" w:lineRule="auto"/>
        <w:ind w:right="452" w:hanging="360"/>
        <w:jc w:val="both"/>
      </w:pPr>
      <w:r>
        <w:rPr>
          <w:rFonts w:ascii="Arial" w:eastAsia="Arial" w:hAnsi="Arial" w:cs="Arial"/>
        </w:rPr>
        <w:t>Quinto.- Adaptar el consumo de material pirotécnico a los avances de la industria, adquiriendo siempre los productos menos ruidosos y contaminantes que vayan apareciendo en el mercado, sin renunciar a la espectacularidad que se les presupone.</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0" w:line="248" w:lineRule="auto"/>
        <w:ind w:right="452" w:hanging="360"/>
        <w:jc w:val="both"/>
      </w:pPr>
      <w:r>
        <w:rPr>
          <w:rFonts w:ascii="Arial" w:eastAsia="Arial" w:hAnsi="Arial" w:cs="Arial"/>
        </w:rPr>
        <w:t>Sexto.- Se</w:t>
      </w:r>
      <w:r>
        <w:rPr>
          <w:rFonts w:ascii="Arial" w:eastAsia="Arial" w:hAnsi="Arial" w:cs="Arial"/>
        </w:rPr>
        <w:t xml:space="preserve"> hará un esfuerzo especial en la comunicación municipal para que la ciudadanía esté advertida y avisada con antelación sobre las festividades, emplazamientos y horarios en los que se hará uso de material pirotécnico. </w:t>
      </w: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9" w:line="249" w:lineRule="auto"/>
        <w:ind w:right="452" w:hanging="360"/>
        <w:jc w:val="both"/>
      </w:pPr>
      <w:r>
        <w:rPr>
          <w:rFonts w:ascii="Arial" w:eastAsia="Arial" w:hAnsi="Arial" w:cs="Arial"/>
          <w:b/>
        </w:rPr>
        <w:t>12.- Urgencias</w:t>
      </w:r>
    </w:p>
    <w:p w:rsidR="00E23B86" w:rsidRDefault="00BA7C13">
      <w:pPr>
        <w:spacing w:after="3" w:line="265" w:lineRule="auto"/>
        <w:ind w:left="-5" w:right="13" w:hanging="10"/>
      </w:pPr>
      <w:r>
        <w:rPr>
          <w:noProof/>
        </w:rPr>
        <mc:AlternateContent>
          <mc:Choice Requires="wpg">
            <w:drawing>
              <wp:anchor distT="0" distB="0" distL="114300" distR="114300" simplePos="0" relativeHeight="25205555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7737" name="Group 59773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7028" name="Rectangle 57028"/>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7029" name="Rectangle 57029"/>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385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7737" style="width:12.7031pt;height:280.35pt;position:absolute;mso-position-horizontal-relative:page;mso-position-horizontal:absolute;margin-left:681.958pt;mso-position-vertical-relative:page;margin-top:531.65pt;" coordsize="1613,35604">
                <v:rect id="Rectangle 57028"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7029"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385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numPr>
          <w:ilvl w:val="0"/>
          <w:numId w:val="227"/>
        </w:numPr>
        <w:spacing w:after="10" w:line="248" w:lineRule="auto"/>
        <w:ind w:right="452" w:hanging="360"/>
        <w:jc w:val="both"/>
      </w:pPr>
      <w:r>
        <w:rPr>
          <w:rFonts w:ascii="Arial" w:eastAsia="Arial" w:hAnsi="Arial" w:cs="Arial"/>
        </w:rPr>
        <w:t>No hubo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5" w:line="250" w:lineRule="auto"/>
        <w:ind w:right="452" w:hanging="360"/>
        <w:jc w:val="both"/>
      </w:pPr>
      <w:r>
        <w:rPr>
          <w:rFonts w:ascii="Arial" w:eastAsia="Arial" w:hAnsi="Arial" w:cs="Arial"/>
          <w:b/>
          <w:sz w:val="24"/>
        </w:rPr>
        <w:t xml:space="preserve">CONTROL Y FISCALIZACIÓN DE LOS ÓRGANOS </w:t>
      </w:r>
      <w:r>
        <w:rPr>
          <w:rFonts w:ascii="Arial" w:eastAsia="Arial" w:hAnsi="Arial" w:cs="Arial"/>
          <w:b/>
          <w:sz w:val="24"/>
        </w:rPr>
        <w:t>DE GOBIERNO</w:t>
      </w:r>
      <w:r>
        <w:rPr>
          <w:rFonts w:ascii="Times New Roman" w:eastAsia="Times New Roman" w:hAnsi="Times New Roman" w:cs="Times New Roman"/>
          <w:sz w:val="24"/>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0" w:line="249" w:lineRule="auto"/>
        <w:ind w:right="452" w:hanging="360"/>
        <w:jc w:val="both"/>
      </w:pPr>
      <w:r>
        <w:rPr>
          <w:rFonts w:ascii="Arial" w:eastAsia="Arial" w:hAnsi="Arial" w:cs="Arial"/>
          <w:b/>
        </w:rPr>
        <w:t>13.- Dación de Cuenta de los Decretos de la Alcaldía-Presidencia y de los Concejales delegados.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0" w:line="240" w:lineRule="auto"/>
        <w:ind w:right="452" w:hanging="360"/>
        <w:jc w:val="both"/>
      </w:pPr>
      <w:r>
        <w:rPr>
          <w:rFonts w:ascii="Arial" w:eastAsia="Arial" w:hAnsi="Arial" w:cs="Arial"/>
          <w:b/>
        </w:rPr>
        <w:t>14.- Informe del Interventor en su caso de las resoluciones adoptadas por la Presidenta de la Corporación Local contrarias a los reparos efectuados en cumplimiento de la Ley 27/2013, de 27 de diciembre de racionalización y sostenibilidad de la Administraci</w:t>
      </w:r>
      <w:r>
        <w:rPr>
          <w:rFonts w:ascii="Arial" w:eastAsia="Arial" w:hAnsi="Arial" w:cs="Arial"/>
          <w:b/>
        </w:rPr>
        <w:t>ón Local.</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9" w:line="249" w:lineRule="auto"/>
        <w:ind w:right="452" w:hanging="360"/>
        <w:jc w:val="both"/>
      </w:pPr>
      <w:r>
        <w:rPr>
          <w:rFonts w:ascii="Arial" w:eastAsia="Arial" w:hAnsi="Arial" w:cs="Arial"/>
          <w:b/>
        </w:rPr>
        <w:t>RUEGOS Y PREGUNTAS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9" w:line="249" w:lineRule="auto"/>
        <w:ind w:right="452" w:hanging="360"/>
        <w:jc w:val="both"/>
      </w:pPr>
      <w:r>
        <w:rPr>
          <w:rFonts w:ascii="Arial" w:eastAsia="Arial" w:hAnsi="Arial" w:cs="Arial"/>
          <w:b/>
        </w:rPr>
        <w:t>15.- Ruegos y preguntas.</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0"/>
        <w:ind w:right="452" w:hanging="360"/>
        <w:jc w:val="both"/>
      </w:pPr>
      <w:r>
        <w:rPr>
          <w:rFonts w:ascii="Arial" w:eastAsia="Arial" w:hAnsi="Arial" w:cs="Arial"/>
        </w:rPr>
        <w:t>…..</w:t>
      </w:r>
      <w:r>
        <w:rPr>
          <w:rFonts w:ascii="Arial" w:eastAsia="Arial" w:hAnsi="Arial" w:cs="Arial"/>
          <w:b/>
          <w:color w:val="141823"/>
        </w:rPr>
        <w:t xml:space="preserve"> - RUEGOS Y PREGUNTAS. –</w:t>
      </w:r>
    </w:p>
    <w:p w:rsidR="00E23B86" w:rsidRDefault="00BA7C13">
      <w:pPr>
        <w:spacing w:after="0"/>
      </w:pPr>
      <w:r>
        <w:rPr>
          <w:rFonts w:ascii="Segoe UI Symbol" w:eastAsia="Segoe UI Symbol" w:hAnsi="Segoe UI Symbol" w:cs="Segoe UI Symbol"/>
          <w:color w:val="141823"/>
          <w:sz w:val="20"/>
        </w:rPr>
        <w:t></w:t>
      </w:r>
    </w:p>
    <w:p w:rsidR="00E23B86" w:rsidRDefault="00BA7C13">
      <w:pPr>
        <w:numPr>
          <w:ilvl w:val="0"/>
          <w:numId w:val="227"/>
        </w:numPr>
        <w:spacing w:after="9" w:line="249" w:lineRule="auto"/>
        <w:ind w:right="452" w:hanging="360"/>
        <w:jc w:val="both"/>
      </w:pPr>
      <w:r>
        <w:rPr>
          <w:rFonts w:ascii="Arial" w:eastAsia="Arial" w:hAnsi="Arial" w:cs="Arial"/>
          <w:b/>
        </w:rPr>
        <w:t>INTERVIENE LA SEÑORA ALCALDESA-PRESIDENTA: -</w:t>
      </w:r>
    </w:p>
    <w:p w:rsidR="00E23B86" w:rsidRDefault="00BA7C13">
      <w:pPr>
        <w:numPr>
          <w:ilvl w:val="0"/>
          <w:numId w:val="227"/>
        </w:numPr>
        <w:spacing w:after="3" w:line="249" w:lineRule="auto"/>
        <w:ind w:right="452" w:hanging="360"/>
        <w:jc w:val="both"/>
      </w:pPr>
      <w:r>
        <w:rPr>
          <w:rFonts w:ascii="Arial" w:eastAsia="Arial" w:hAnsi="Arial" w:cs="Arial"/>
        </w:rPr>
        <w:t xml:space="preserve">Pasamos a la tercera parte, ruegos y preguntas. Ruegos por parte de los Grupos, D. José Fernando.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 JOSÉ FERNANDO GÓMEZ MARTÍN. -</w:t>
      </w:r>
    </w:p>
    <w:p w:rsidR="00E23B86" w:rsidRDefault="00BA7C13">
      <w:pPr>
        <w:numPr>
          <w:ilvl w:val="0"/>
          <w:numId w:val="227"/>
        </w:numPr>
        <w:spacing w:after="25" w:line="248" w:lineRule="auto"/>
        <w:ind w:right="452" w:hanging="360"/>
        <w:jc w:val="both"/>
      </w:pPr>
      <w:r>
        <w:rPr>
          <w:rFonts w:ascii="Arial" w:eastAsia="Arial" w:hAnsi="Arial" w:cs="Arial"/>
        </w:rPr>
        <w:t xml:space="preserve">Si, tenemos un ruego, los accesos al mar de la pequeña cala existente en Las Caletillas, en el Paseo de Graciliano Ruiz, a la altura de la calle Acaymo están en un estado de inseguridad para las personas, que se </w:t>
      </w:r>
      <w:r>
        <w:rPr>
          <w:rFonts w:ascii="Arial" w:eastAsia="Arial" w:hAnsi="Arial" w:cs="Arial"/>
        </w:rPr>
        <w:t>podría considerar de alto riesgo, valla oxidada, escalera peligrosa, etc., a la espera del proyecto del Cabildo mediante su programa “Tenerife y el mar”, que remodelará toda esta zona, rogamos al Grupo de Gobierno que proceda al vallado de los accesos al m</w:t>
      </w:r>
      <w:r>
        <w:rPr>
          <w:rFonts w:ascii="Arial" w:eastAsia="Arial" w:hAnsi="Arial" w:cs="Arial"/>
        </w:rPr>
        <w:t>ar por esta escalera ya que ni la baranda ni la escalera están en las condiciones necesarias de seguridad, señalizando la zona y advirtiendo del peligro existente, ya que de no ser así podríamos lamentar algún accidente que podría ser mortal. -</w:t>
      </w:r>
    </w:p>
    <w:p w:rsidR="00E23B86" w:rsidRDefault="00BA7C13">
      <w:pPr>
        <w:spacing w:after="3" w:line="265" w:lineRule="auto"/>
        <w:ind w:left="-5" w:right="13" w:hanging="10"/>
      </w:pPr>
      <w:r>
        <w:rPr>
          <w:noProof/>
        </w:rPr>
        <mc:AlternateContent>
          <mc:Choice Requires="wpg">
            <w:drawing>
              <wp:anchor distT="0" distB="0" distL="114300" distR="114300" simplePos="0" relativeHeight="252056576"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8157" name="Group 598157"/>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7112" name="Rectangle 57112"/>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w:t>
                              </w:r>
                              <w:r>
                                <w:rPr>
                                  <w:rFonts w:ascii="Arial" w:eastAsia="Arial" w:hAnsi="Arial" w:cs="Arial"/>
                                  <w:sz w:val="12"/>
                                </w:rPr>
                                <w:t xml:space="preserve">idación: 5AJ7C4GAAK3P9GMGZC2N3FZWC | Verificación: https://candelaria.sedelectronica.es/ </w:t>
                              </w:r>
                            </w:p>
                          </w:txbxContent>
                        </wps:txbx>
                        <wps:bodyPr horzOverflow="overflow" vert="horz" lIns="0" tIns="0" rIns="0" bIns="0" rtlCol="0">
                          <a:noAutofit/>
                        </wps:bodyPr>
                      </wps:wsp>
                      <wps:wsp>
                        <wps:cNvPr id="57113" name="Rectangle 57113"/>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386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8157" style="width:12.7031pt;height:280.35pt;position:absolute;mso-position-horizontal-relative:page;mso-position-horizontal:absolute;margin-left:681.958pt;mso-position-vertical-relative:page;margin-top:531.65pt;" coordsize="1613,35604">
                <v:rect id="Rectangle 57112"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7113"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386 de 391 </w:t>
                        </w:r>
                      </w:p>
                    </w:txbxContent>
                  </v:textbox>
                </v:rect>
                <w10:wrap type="square"/>
              </v:group>
            </w:pict>
          </mc:Fallback>
        </mc:AlternateContent>
      </w:r>
      <w:r>
        <w:rPr>
          <w:rFonts w:ascii="Segoe UI Symbol" w:eastAsia="Segoe UI Symbol" w:hAnsi="Segoe UI Symbol" w:cs="Segoe UI Symbol"/>
          <w:sz w:val="20"/>
        </w:rPr>
        <w:t></w:t>
      </w:r>
    </w:p>
    <w:p w:rsidR="00E23B86" w:rsidRDefault="00BA7C13">
      <w:pPr>
        <w:numPr>
          <w:ilvl w:val="0"/>
          <w:numId w:val="227"/>
        </w:numPr>
        <w:spacing w:after="15" w:line="249" w:lineRule="auto"/>
        <w:ind w:right="452" w:hanging="360"/>
        <w:jc w:val="both"/>
      </w:pPr>
      <w:r>
        <w:rPr>
          <w:rFonts w:ascii="Arial" w:eastAsia="Arial" w:hAnsi="Arial" w:cs="Arial"/>
          <w:b/>
        </w:rPr>
        <w:t xml:space="preserve">INTERVIENE LA  SEÑORA  ALCALDESA-PRESIDENTA. </w:t>
      </w:r>
      <w:r>
        <w:rPr>
          <w:rFonts w:ascii="Segoe UI Symbol" w:eastAsia="Segoe UI Symbol" w:hAnsi="Segoe UI Symbol" w:cs="Segoe UI Symbol"/>
          <w:sz w:val="20"/>
        </w:rPr>
        <w:t xml:space="preserve"> </w:t>
      </w:r>
      <w:r>
        <w:rPr>
          <w:rFonts w:ascii="Arial" w:eastAsia="Arial" w:hAnsi="Arial" w:cs="Arial"/>
        </w:rPr>
        <w:t>Lo revisamos.</w:t>
      </w:r>
    </w:p>
    <w:p w:rsidR="00E23B86" w:rsidRDefault="00BA7C13">
      <w:pPr>
        <w:numPr>
          <w:ilvl w:val="0"/>
          <w:numId w:val="227"/>
        </w:numPr>
        <w:spacing w:after="14" w:line="248" w:lineRule="auto"/>
        <w:ind w:right="452" w:hanging="360"/>
        <w:jc w:val="both"/>
      </w:pPr>
      <w:r>
        <w:rPr>
          <w:rFonts w:ascii="Arial" w:eastAsia="Arial" w:hAnsi="Arial" w:cs="Arial"/>
        </w:rPr>
        <w:t>Por pa</w:t>
      </w:r>
      <w:r>
        <w:rPr>
          <w:rFonts w:ascii="Arial" w:eastAsia="Arial" w:hAnsi="Arial" w:cs="Arial"/>
        </w:rPr>
        <w:t xml:space="preserve">rte de Coalición Canaria, ruegos, no hay, por parte de Si se Puede.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 xml:space="preserve">INTERVIENE DOÑA MARÍA DEL CARMEN COELLO GONZÁLEZ. - </w:t>
      </w:r>
    </w:p>
    <w:p w:rsidR="00E23B86" w:rsidRDefault="00BA7C13">
      <w:pPr>
        <w:numPr>
          <w:ilvl w:val="0"/>
          <w:numId w:val="227"/>
        </w:numPr>
        <w:spacing w:after="25" w:line="248" w:lineRule="auto"/>
        <w:ind w:right="452" w:hanging="360"/>
        <w:jc w:val="both"/>
      </w:pPr>
      <w:r>
        <w:rPr>
          <w:rFonts w:ascii="Arial" w:eastAsia="Arial" w:hAnsi="Arial" w:cs="Arial"/>
        </w:rPr>
        <w:t>En la carretera General del Sur, en dirección a Santa Cruz una vez pasado el Barranco de Aroba y antes del depósito municipal, existe</w:t>
      </w:r>
      <w:r>
        <w:rPr>
          <w:rFonts w:ascii="Arial" w:eastAsia="Arial" w:hAnsi="Arial" w:cs="Arial"/>
        </w:rPr>
        <w:t xml:space="preserve"> un punto de acumulación de materiales y chatarra en expansión constante que avanza sobre el propio barranco, esta acumulación no solo provoca un importante impacto paisajístico sino también un potencial riesgo, por ello pedimos que garanticen el seguimien</w:t>
      </w:r>
      <w:r>
        <w:rPr>
          <w:rFonts w:ascii="Arial" w:eastAsia="Arial" w:hAnsi="Arial" w:cs="Arial"/>
        </w:rPr>
        <w:t>to y las condiciones de legalidad en las que se desarrolla este uso o actividad en el mencionado entorno -</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LA SEÑORA ALCALDESA-PRESIDENTA. -</w:t>
      </w:r>
    </w:p>
    <w:p w:rsidR="00E23B86" w:rsidRDefault="00BA7C13">
      <w:pPr>
        <w:numPr>
          <w:ilvl w:val="0"/>
          <w:numId w:val="227"/>
        </w:numPr>
        <w:spacing w:after="14" w:line="248" w:lineRule="auto"/>
        <w:ind w:right="452" w:hanging="360"/>
        <w:jc w:val="both"/>
      </w:pPr>
      <w:r>
        <w:rPr>
          <w:rFonts w:ascii="Arial" w:eastAsia="Arial" w:hAnsi="Arial" w:cs="Arial"/>
        </w:rPr>
        <w:t xml:space="preserve">Muy bien, por parte del Partido Popular, Don Juan Miguel, ruegos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DON JUAN MIGUEL OLIVERA GONZÁLEZ. –</w:t>
      </w:r>
    </w:p>
    <w:p w:rsidR="00E23B86" w:rsidRDefault="00BA7C13">
      <w:pPr>
        <w:numPr>
          <w:ilvl w:val="0"/>
          <w:numId w:val="227"/>
        </w:numPr>
        <w:spacing w:after="26" w:line="248" w:lineRule="auto"/>
        <w:ind w:right="452" w:hanging="360"/>
        <w:jc w:val="both"/>
      </w:pPr>
      <w:r>
        <w:rPr>
          <w:rFonts w:ascii="Arial" w:eastAsia="Arial" w:hAnsi="Arial" w:cs="Arial"/>
        </w:rPr>
        <w:t>Sí, tenemos dos ruegos, el primero, rogamos que se mejore el estado de las losetas de la zona peatonal de la Avenida Marítima, que se encuentran levantadas en algunos tramos, ocasionando caídas, afectando a lo</w:t>
      </w:r>
      <w:r>
        <w:rPr>
          <w:rFonts w:ascii="Arial" w:eastAsia="Arial" w:hAnsi="Arial" w:cs="Arial"/>
        </w:rPr>
        <w:t>s vecinos y personas que nos visitan.</w:t>
      </w:r>
    </w:p>
    <w:p w:rsidR="00E23B86" w:rsidRDefault="00BA7C13">
      <w:pPr>
        <w:numPr>
          <w:ilvl w:val="0"/>
          <w:numId w:val="227"/>
        </w:numPr>
        <w:spacing w:after="27" w:line="248" w:lineRule="auto"/>
        <w:ind w:right="452" w:hanging="360"/>
        <w:jc w:val="both"/>
      </w:pPr>
      <w:r>
        <w:rPr>
          <w:rFonts w:ascii="Arial" w:eastAsia="Arial" w:hAnsi="Arial" w:cs="Arial"/>
        </w:rPr>
        <w:t>Y el siguiente es que rogamos que se mejoren las condiciones en que se encuentra el aparcamiento que está por encima del colegio de Punta Larga,dado que la gravilla se ha expandido por toda la acera con el riesgo de ca</w:t>
      </w:r>
      <w:r>
        <w:rPr>
          <w:rFonts w:ascii="Arial" w:eastAsia="Arial" w:hAnsi="Arial" w:cs="Arial"/>
        </w:rPr>
        <w:t>ídas que supone para los viandantes. Gracias. -</w:t>
      </w:r>
    </w:p>
    <w:p w:rsidR="00E23B86" w:rsidRDefault="00BA7C13">
      <w:pPr>
        <w:spacing w:after="3" w:line="265" w:lineRule="auto"/>
        <w:ind w:left="-5" w:right="13" w:hanging="10"/>
      </w:pPr>
      <w:r>
        <w:rPr>
          <w:rFonts w:ascii="Segoe UI Symbol" w:eastAsia="Segoe UI Symbol" w:hAnsi="Segoe UI Symbol" w:cs="Segoe UI Symbol"/>
          <w:sz w:val="20"/>
        </w:rPr>
        <w:t></w:t>
      </w:r>
      <w:r>
        <w:rPr>
          <w:rFonts w:ascii="Arial" w:eastAsia="Arial" w:hAnsi="Arial" w:cs="Arial"/>
          <w:b/>
        </w:rPr>
        <w:t xml:space="preserve"> </w:t>
      </w:r>
    </w:p>
    <w:p w:rsidR="00E23B86" w:rsidRDefault="00BA7C13">
      <w:pPr>
        <w:numPr>
          <w:ilvl w:val="0"/>
          <w:numId w:val="227"/>
        </w:numPr>
        <w:spacing w:after="0" w:line="240" w:lineRule="auto"/>
        <w:ind w:right="452" w:hanging="360"/>
        <w:jc w:val="both"/>
      </w:pPr>
      <w:r>
        <w:rPr>
          <w:rFonts w:ascii="Arial" w:eastAsia="Arial" w:hAnsi="Arial" w:cs="Arial"/>
          <w:b/>
        </w:rPr>
        <w:t xml:space="preserve">INTERVIENE LA SEÑORA ALCALDESA-PRESIDENTA. </w:t>
      </w:r>
      <w:r>
        <w:rPr>
          <w:rFonts w:ascii="Segoe UI Symbol" w:eastAsia="Segoe UI Symbol" w:hAnsi="Segoe UI Symbol" w:cs="Segoe UI Symbol"/>
          <w:sz w:val="20"/>
        </w:rPr>
        <w:t xml:space="preserve"> </w:t>
      </w:r>
      <w:r>
        <w:rPr>
          <w:rFonts w:ascii="Arial" w:eastAsia="Arial" w:hAnsi="Arial" w:cs="Arial"/>
        </w:rPr>
        <w:t xml:space="preserve">Gracias, preguntas, Don José Fernando. –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DON JOSÉ FERNANDO GÓMEZ MARTÍN. -</w:t>
      </w:r>
    </w:p>
    <w:p w:rsidR="00E23B86" w:rsidRDefault="00BA7C13">
      <w:pPr>
        <w:numPr>
          <w:ilvl w:val="0"/>
          <w:numId w:val="227"/>
        </w:numPr>
        <w:spacing w:after="26" w:line="248" w:lineRule="auto"/>
        <w:ind w:right="452" w:hanging="360"/>
        <w:jc w:val="both"/>
      </w:pPr>
      <w:r>
        <w:rPr>
          <w:noProof/>
        </w:rPr>
        <mc:AlternateContent>
          <mc:Choice Requires="wpg">
            <w:drawing>
              <wp:anchor distT="0" distB="0" distL="114300" distR="114300" simplePos="0" relativeHeight="252057600"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8262" name="Group 598262"/>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7186" name="Rectangle 5718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5AJ7C4GAAK3P9GMGZC2N3FZWC | 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57187" name="Rectangle 5718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387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8262" style="width:12.7031pt;height:280.35pt;position:absolute;mso-position-horizontal-relative:page;mso-position-horizontal:absolute;margin-left:681.958pt;mso-position-vertical-relative:page;margin-top:531.65pt;" coordsize="1613,35604">
                <v:rect id="Rectangle 5718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718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387 de 391 </w:t>
                        </w:r>
                      </w:p>
                    </w:txbxContent>
                  </v:textbox>
                </v:rect>
                <w10:wrap type="square"/>
              </v:group>
            </w:pict>
          </mc:Fallback>
        </mc:AlternateContent>
      </w:r>
      <w:r>
        <w:rPr>
          <w:rFonts w:ascii="Arial" w:eastAsia="Arial" w:hAnsi="Arial" w:cs="Arial"/>
        </w:rPr>
        <w:t>Si, tenemos una, en los primeros días de diciembre de 2018 visitaba esta institución el actual Diputado del Común, en esa primera visita institucional del alto comisionado del Parlamento de Canarias que tiene encomendado la supervisión de las actuaciones d</w:t>
      </w:r>
      <w:r>
        <w:rPr>
          <w:rFonts w:ascii="Arial" w:eastAsia="Arial" w:hAnsi="Arial" w:cs="Arial"/>
        </w:rPr>
        <w:t>e las Administraciones Públicas la Alcaldesa mostró la total disposición del Ayuntamiento de Candelaria para colaborar con la institución para cuántos asuntos le sean requeridos, según expresa la nota de prensa de este Ayuntamiento en su página web y en lo</w:t>
      </w:r>
      <w:r>
        <w:rPr>
          <w:rFonts w:ascii="Arial" w:eastAsia="Arial" w:hAnsi="Arial" w:cs="Arial"/>
        </w:rPr>
        <w:t>s diferentes medios periodísticos, según documentos oficiales son varias las instituciones que le reclaman una contestación a sus escritos en reiteradas ocasiones, por ejemplo el Comité de Peticiones del Parlamento Europeo le solicita información en una ca</w:t>
      </w:r>
      <w:r>
        <w:rPr>
          <w:rFonts w:ascii="Arial" w:eastAsia="Arial" w:hAnsi="Arial" w:cs="Arial"/>
        </w:rPr>
        <w:t>rta dirigida a este Ayuntamiento con registro de salida de 300-683 y de fecha de 18 de enero de 2018, el 25 de abril de 2019, el Comité de Peticiones no había obtenido respuesta alguna, habían pasado 462 días, 1 año, tres meses y siete días y no se había c</w:t>
      </w:r>
      <w:r>
        <w:rPr>
          <w:rFonts w:ascii="Arial" w:eastAsia="Arial" w:hAnsi="Arial" w:cs="Arial"/>
        </w:rPr>
        <w:t xml:space="preserve">ontestado a una importante Administración Europea, desde ese día 25 de abril hasta la fecha han pasado más de 10 meses, más y el Parlamento sigue a la espera. </w:t>
      </w:r>
    </w:p>
    <w:p w:rsidR="00E23B86" w:rsidRDefault="00BA7C13">
      <w:pPr>
        <w:numPr>
          <w:ilvl w:val="0"/>
          <w:numId w:val="227"/>
        </w:numPr>
        <w:spacing w:after="25" w:line="248" w:lineRule="auto"/>
        <w:ind w:right="452" w:hanging="360"/>
        <w:jc w:val="both"/>
      </w:pPr>
      <w:r>
        <w:rPr>
          <w:rFonts w:ascii="Arial" w:eastAsia="Arial" w:hAnsi="Arial" w:cs="Arial"/>
        </w:rPr>
        <w:t xml:space="preserve">El 22 de enero de 2019, otra institución, el Defensor del Pueblo Español solicita información a </w:t>
      </w:r>
      <w:r>
        <w:rPr>
          <w:rFonts w:ascii="Arial" w:eastAsia="Arial" w:hAnsi="Arial" w:cs="Arial"/>
        </w:rPr>
        <w:t>este Ayuntamiento reiterando la misma y recordándoles la obligación legal de colaborar con esta Administración, el 13 de junio de 2019,...</w:t>
      </w:r>
    </w:p>
    <w:p w:rsidR="00E23B86" w:rsidRDefault="00BA7C13">
      <w:pPr>
        <w:spacing w:after="3" w:line="265" w:lineRule="auto"/>
        <w:ind w:left="-15" w:right="7617" w:firstLine="360"/>
      </w:pP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LA SEÑORA ALCALDESA-PRESIDENTA. –</w:t>
      </w:r>
    </w:p>
    <w:p w:rsidR="00E23B86" w:rsidRDefault="00BA7C13">
      <w:pPr>
        <w:numPr>
          <w:ilvl w:val="0"/>
          <w:numId w:val="227"/>
        </w:numPr>
        <w:spacing w:after="21" w:line="248" w:lineRule="auto"/>
        <w:ind w:right="452" w:hanging="360"/>
        <w:jc w:val="both"/>
      </w:pPr>
      <w:r>
        <w:rPr>
          <w:rFonts w:ascii="Arial" w:eastAsia="Arial" w:hAnsi="Arial" w:cs="Arial"/>
        </w:rPr>
        <w:t xml:space="preserve">Perdone, Don José Fernando la pregunta es una pregunta y según el Reglamento Municipal, directa, sucinta, no una exposición como si fuera una moción y una pregunta, entonces yo le ruego brevedad a la hora de….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DON JOSÉ FERNANDO GÓMEZ MARTÍN. –</w:t>
      </w:r>
    </w:p>
    <w:p w:rsidR="00E23B86" w:rsidRDefault="00BA7C13">
      <w:pPr>
        <w:numPr>
          <w:ilvl w:val="0"/>
          <w:numId w:val="227"/>
        </w:numPr>
        <w:spacing w:after="14" w:line="248" w:lineRule="auto"/>
        <w:ind w:right="452" w:hanging="360"/>
        <w:jc w:val="both"/>
      </w:pPr>
      <w:r>
        <w:rPr>
          <w:rFonts w:ascii="Arial" w:eastAsia="Arial" w:hAnsi="Arial" w:cs="Arial"/>
        </w:rPr>
        <w:t xml:space="preserve">Le estoy haciendo una breve exposición para hacerle la pregunta.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LA SEÑORA ALCALDESA-PRESIDENTA. -</w:t>
      </w:r>
    </w:p>
    <w:p w:rsidR="00E23B86" w:rsidRDefault="00BA7C13">
      <w:pPr>
        <w:numPr>
          <w:ilvl w:val="0"/>
          <w:numId w:val="227"/>
        </w:numPr>
        <w:spacing w:after="14" w:line="248" w:lineRule="auto"/>
        <w:ind w:right="452" w:hanging="360"/>
        <w:jc w:val="both"/>
      </w:pPr>
      <w:r>
        <w:rPr>
          <w:rFonts w:ascii="Arial" w:eastAsia="Arial" w:hAnsi="Arial" w:cs="Arial"/>
        </w:rPr>
        <w:t xml:space="preserve">Es que no es breve, entonces, por eso yo insto a que…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DON JOSÉ FERNANDO GÓMEZ MARTÍN. -</w:t>
      </w:r>
      <w:r>
        <w:rPr>
          <w:rFonts w:ascii="Arial" w:eastAsia="Arial" w:hAnsi="Arial" w:cs="Arial"/>
        </w:rPr>
        <w:t xml:space="preserve"> </w:t>
      </w:r>
    </w:p>
    <w:p w:rsidR="00E23B86" w:rsidRDefault="00BA7C13">
      <w:pPr>
        <w:numPr>
          <w:ilvl w:val="0"/>
          <w:numId w:val="227"/>
        </w:numPr>
        <w:spacing w:after="27" w:line="248" w:lineRule="auto"/>
        <w:ind w:right="452" w:hanging="360"/>
        <w:jc w:val="both"/>
      </w:pPr>
      <w:r>
        <w:rPr>
          <w:rFonts w:ascii="Arial" w:eastAsia="Arial" w:hAnsi="Arial" w:cs="Arial"/>
        </w:rPr>
        <w:t>Estoy terminando, contestando la misma al</w:t>
      </w:r>
      <w:r>
        <w:rPr>
          <w:rFonts w:ascii="Arial" w:eastAsia="Arial" w:hAnsi="Arial" w:cs="Arial"/>
        </w:rPr>
        <w:t xml:space="preserve"> día siguiente, habían pasado 142 días, más de 4 meses. El Diputado del Común, aquel a quien usted le aseguró su colaboración en cuántos asuntos le sean requeridos, lleva esperando una contestación aclaratoria a las cuestiones que le plantea y cito textual</w:t>
      </w:r>
      <w:r>
        <w:rPr>
          <w:rFonts w:ascii="Arial" w:eastAsia="Arial" w:hAnsi="Arial" w:cs="Arial"/>
        </w:rPr>
        <w:t>mente y parece no dar respuesta a la solicitud de información requerida según escrito de fecha 31 de octubre de 2019 y registro de salida de esa Administración, 2019/17537 y que a fecha 13 de ese mismo mes de febrero 2020, 105 días después sigue sin contes</w:t>
      </w:r>
      <w:r>
        <w:rPr>
          <w:rFonts w:ascii="Arial" w:eastAsia="Arial" w:hAnsi="Arial" w:cs="Arial"/>
        </w:rPr>
        <w:t>tación por esa Administración.</w:t>
      </w:r>
    </w:p>
    <w:p w:rsidR="00E23B86" w:rsidRDefault="00BA7C13">
      <w:pPr>
        <w:numPr>
          <w:ilvl w:val="0"/>
          <w:numId w:val="227"/>
        </w:numPr>
        <w:spacing w:after="23" w:line="248" w:lineRule="auto"/>
        <w:ind w:right="452" w:hanging="360"/>
        <w:jc w:val="both"/>
      </w:pPr>
      <w:r>
        <w:rPr>
          <w:rFonts w:ascii="Arial" w:eastAsia="Arial" w:hAnsi="Arial" w:cs="Arial"/>
        </w:rPr>
        <w:t>A la vista de todo esto y con la calificación de servidores públicos que somos, respondiendo a lo que denomina la buena Administración y la transparencia administrativa y que ha sido advertido a esta Administración de obstruccionista con la labor del Diput</w:t>
      </w:r>
      <w:r>
        <w:rPr>
          <w:rFonts w:ascii="Arial" w:eastAsia="Arial" w:hAnsi="Arial" w:cs="Arial"/>
        </w:rPr>
        <w:t>ado del Común, aquel a quien aseguró su colaboración, le hago la siguiente pregunta: ¿existe alguna dificultad técnica, administrativa o humana para no contestar a las preguntas y solicitudes de información a entidades tales como el Comité de Peticiones de</w:t>
      </w:r>
      <w:r>
        <w:rPr>
          <w:rFonts w:ascii="Arial" w:eastAsia="Arial" w:hAnsi="Arial" w:cs="Arial"/>
        </w:rPr>
        <w:t xml:space="preserve"> la Unión Europea, el Defensor del Pueblo o el Diputado del Común? ¿Ya se han contestado a dichos escritos?, si es así ruego me indique fecha y registros de salida de esta Administración.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LA SEÑORA ALCALDESA-PRESIDENTA. –</w:t>
      </w:r>
    </w:p>
    <w:p w:rsidR="00E23B86" w:rsidRDefault="00BA7C13">
      <w:pPr>
        <w:numPr>
          <w:ilvl w:val="0"/>
          <w:numId w:val="227"/>
        </w:numPr>
        <w:spacing w:after="26" w:line="248" w:lineRule="auto"/>
        <w:ind w:right="452" w:hanging="360"/>
        <w:jc w:val="both"/>
      </w:pPr>
      <w:r>
        <w:rPr>
          <w:noProof/>
        </w:rPr>
        <mc:AlternateContent>
          <mc:Choice Requires="wpg">
            <w:drawing>
              <wp:anchor distT="0" distB="0" distL="114300" distR="114300" simplePos="0" relativeHeight="252058624"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8545" name="Group 59854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7247" name="Rectangle 57247"/>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Cód. Validación: 5</w:t>
                              </w:r>
                              <w:r>
                                <w:rPr>
                                  <w:rFonts w:ascii="Arial" w:eastAsia="Arial" w:hAnsi="Arial" w:cs="Arial"/>
                                  <w:sz w:val="12"/>
                                </w:rPr>
                                <w:t xml:space="preserve">AJ7C4GAAK3P9GMGZC2N3FZWC | Verificación: https://candelaria.sedelectronica.es/ </w:t>
                              </w:r>
                            </w:p>
                          </w:txbxContent>
                        </wps:txbx>
                        <wps:bodyPr horzOverflow="overflow" vert="horz" lIns="0" tIns="0" rIns="0" bIns="0" rtlCol="0">
                          <a:noAutofit/>
                        </wps:bodyPr>
                      </wps:wsp>
                      <wps:wsp>
                        <wps:cNvPr id="57248" name="Rectangle 57248"/>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388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8545" style="width:12.7031pt;height:280.35pt;position:absolute;mso-position-horizontal-relative:page;mso-position-horizontal:absolute;margin-left:681.958pt;mso-position-vertical-relative:page;margin-top:531.65pt;" coordsize="1613,35604">
                <v:rect id="Rectangle 57247"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7248"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388 de 391 </w:t>
                        </w:r>
                      </w:p>
                    </w:txbxContent>
                  </v:textbox>
                </v:rect>
                <w10:wrap type="square"/>
              </v:group>
            </w:pict>
          </mc:Fallback>
        </mc:AlternateContent>
      </w:r>
      <w:r>
        <w:rPr>
          <w:rFonts w:ascii="Arial" w:eastAsia="Arial" w:hAnsi="Arial" w:cs="Arial"/>
        </w:rPr>
        <w:t>Y yo le hago otra pregunta, ¿usted qué cree?, que tenemos ganas de no contestar</w:t>
      </w:r>
      <w:r>
        <w:rPr>
          <w:rFonts w:ascii="Arial" w:eastAsia="Arial" w:hAnsi="Arial" w:cs="Arial"/>
        </w:rPr>
        <w:t xml:space="preserve"> a las peticiones, claro que queremos contestar, lo que pasa es que efectivamente y cito literalmente su pregunta en tono enunciativo, en sentido enunciativo, existen dificultades, no tenemos los suficientes recursos humanos para tramitar toda la gestión q</w:t>
      </w:r>
      <w:r>
        <w:rPr>
          <w:rFonts w:ascii="Arial" w:eastAsia="Arial" w:hAnsi="Arial" w:cs="Arial"/>
        </w:rPr>
        <w:t>ue tenemos que realizar y por eso vamos dando respuesta según las prioridades que vamos teniendo y según las urgencias y según la gestión que vamos realizando, obviamente ante estas contestaciones nosotros respondemos y si, en algunos casos el Diputado del</w:t>
      </w:r>
      <w:r>
        <w:rPr>
          <w:rFonts w:ascii="Arial" w:eastAsia="Arial" w:hAnsi="Arial" w:cs="Arial"/>
        </w:rPr>
        <w:t xml:space="preserve"> Común reitera sus solicitudes de información, porque nos dan un plazo de 15 días para contestar y en muchas ocasiones los 15 días se sobrepasa el plazo porque no tenemos tiempo material de poder atender a la contestación de las solicitudes por un lado y p</w:t>
      </w:r>
      <w:r>
        <w:rPr>
          <w:rFonts w:ascii="Arial" w:eastAsia="Arial" w:hAnsi="Arial" w:cs="Arial"/>
        </w:rPr>
        <w:t>or otro lado a toda la gestión municipal, con lo cual, nosotros estamos respondiendo en la medida de nuestras posibilidades en el ámbito, obviamente de la colaboración.</w:t>
      </w:r>
    </w:p>
    <w:p w:rsidR="00E23B86" w:rsidRDefault="00BA7C13">
      <w:pPr>
        <w:numPr>
          <w:ilvl w:val="0"/>
          <w:numId w:val="227"/>
        </w:numPr>
        <w:spacing w:after="25" w:line="248" w:lineRule="auto"/>
        <w:ind w:right="452" w:hanging="360"/>
        <w:jc w:val="both"/>
      </w:pPr>
      <w:r>
        <w:rPr>
          <w:rFonts w:ascii="Arial" w:eastAsia="Arial" w:hAnsi="Arial" w:cs="Arial"/>
        </w:rPr>
        <w:t xml:space="preserve">Yo lo que sí, y es algo que…, si existen dificultades, está respondida la pregunta, lo </w:t>
      </w:r>
      <w:r>
        <w:rPr>
          <w:rFonts w:ascii="Arial" w:eastAsia="Arial" w:hAnsi="Arial" w:cs="Arial"/>
        </w:rPr>
        <w:t>que si nosotros estamos valorando nuestra Corporación, incluso desde la Federación Canaria de Municipios también elevar una petición al Diputado del Común porque nosotros, las Administraciones Públicas tenemos restricciones en todos los sentidos, restricci</w:t>
      </w:r>
      <w:r>
        <w:rPr>
          <w:rFonts w:ascii="Arial" w:eastAsia="Arial" w:hAnsi="Arial" w:cs="Arial"/>
        </w:rPr>
        <w:t>ones económicas, no podemos ampliar nuestras plantillas por las restricciones en el capítulo uno de los Presupuestos Generales del Estado, no tenemos, hay restricciones a las plazas de reposición, tenemos cada vez más competencia sin ficha financiera y obv</w:t>
      </w:r>
      <w:r>
        <w:rPr>
          <w:rFonts w:ascii="Arial" w:eastAsia="Arial" w:hAnsi="Arial" w:cs="Arial"/>
        </w:rPr>
        <w:t>iamente debe haber un control siempre de los órganos públicos, ahora yo también me pregunto, íbamos a elevar una … primero consultar el presupuesto que tiene el Diputado del Común para su funcionamiento y por otro lado también en estos casos donde hay retr</w:t>
      </w:r>
      <w:r>
        <w:rPr>
          <w:rFonts w:ascii="Arial" w:eastAsia="Arial" w:hAnsi="Arial" w:cs="Arial"/>
        </w:rPr>
        <w:t>asos en la contestación, yo pediría ese apoyo al Diputado del Común en el sentido de servir a la ciudadanía porque la misma obligación y la misma responsabilidad que tiene el Diputado del Común la tenemos también el Ayuntamiento, desde luego de responder a</w:t>
      </w:r>
      <w:r>
        <w:rPr>
          <w:rFonts w:ascii="Arial" w:eastAsia="Arial" w:hAnsi="Arial" w:cs="Arial"/>
        </w:rPr>
        <w:t xml:space="preserve"> nuestras obligaciones y a nuestras responsabilidades y luego siempre, como servidores públicos es lo que defendemos y estamos valorando pues realizar esa petición, que en esos casos pues el personal que trabaja en el Diputado del Común venga a cada uno de</w:t>
      </w:r>
      <w:r>
        <w:rPr>
          <w:rFonts w:ascii="Arial" w:eastAsia="Arial" w:hAnsi="Arial" w:cs="Arial"/>
        </w:rPr>
        <w:t xml:space="preserve"> los Ayuntamientos en un ámbito de colaboración interadministrativa, habrá que ver jurídicamente como se puede estipular en virtud de las competencia que tiene uno y otro órgano y apoye a nuestro personal municipal para redactar esas cartas de contestación</w:t>
      </w:r>
      <w:r>
        <w:rPr>
          <w:rFonts w:ascii="Arial" w:eastAsia="Arial" w:hAnsi="Arial" w:cs="Arial"/>
        </w:rPr>
        <w:t xml:space="preserve"> a la ciudadanía que nuestro personal pues no puede hacer, hemos estado valorando esa solicitud porque claro nos ponen 15 días, a los 15 días si podemos o no podemos tenemos una carta casi a la semana reiterándonos otra vez, si contestamos algo que no les </w:t>
      </w:r>
      <w:r>
        <w:rPr>
          <w:rFonts w:ascii="Arial" w:eastAsia="Arial" w:hAnsi="Arial" w:cs="Arial"/>
        </w:rPr>
        <w:t>satisface pues entonces tenemos que ampliar la información, que yo lo entiendo perfectamente pero en estos casos es que no tenemos más personal para poder atender con la celeridad que se nos requiere estos asuntos, con lo cual pediremos apoyo administrativ</w:t>
      </w:r>
      <w:r>
        <w:rPr>
          <w:rFonts w:ascii="Arial" w:eastAsia="Arial" w:hAnsi="Arial" w:cs="Arial"/>
        </w:rPr>
        <w:t>o a esta institución con el personal que tenga porque me gustaría saber, que debe estar en el</w:t>
      </w:r>
    </w:p>
    <w:p w:rsidR="00E23B86" w:rsidRDefault="00BA7C13">
      <w:pPr>
        <w:spacing w:after="26" w:line="248" w:lineRule="auto"/>
        <w:ind w:left="373" w:right="4" w:hanging="10"/>
        <w:jc w:val="both"/>
      </w:pPr>
      <w:r>
        <w:rPr>
          <w:noProof/>
        </w:rPr>
        <mc:AlternateContent>
          <mc:Choice Requires="wpg">
            <w:drawing>
              <wp:anchor distT="0" distB="0" distL="114300" distR="114300" simplePos="0" relativeHeight="252059648"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8608" name="Group 598608"/>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7316" name="Rectangle 5731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7317" name="Rectangle 5731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electrónicamente desde la plataforma esPu</w:t>
                              </w:r>
                              <w:r>
                                <w:rPr>
                                  <w:rFonts w:ascii="Arial" w:eastAsia="Arial" w:hAnsi="Arial" w:cs="Arial"/>
                                  <w:sz w:val="12"/>
                                </w:rPr>
                                <w:t xml:space="preserve">blico Gestiona | Página 389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8608" style="width:12.7031pt;height:280.35pt;position:absolute;mso-position-horizontal-relative:page;mso-position-horizontal:absolute;margin-left:681.958pt;mso-position-vertical-relative:page;margin-top:531.65pt;" coordsize="1613,35604">
                <v:rect id="Rectangle 5731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731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389 de 391 </w:t>
                        </w:r>
                      </w:p>
                    </w:txbxContent>
                  </v:textbox>
                </v:rect>
                <w10:wrap type="square"/>
              </v:group>
            </w:pict>
          </mc:Fallback>
        </mc:AlternateContent>
      </w:r>
      <w:r>
        <w:rPr>
          <w:rFonts w:ascii="Arial" w:eastAsia="Arial" w:hAnsi="Arial" w:cs="Arial"/>
        </w:rPr>
        <w:t>Parlamento y en el Gobierno el presupuesto para la adscripción de personal del Diputado del Común, la verdad que… porque nos vemos muchas veces indefensos en este sentido también como Ayuntamiento y esto es algo que esta</w:t>
      </w:r>
      <w:r>
        <w:rPr>
          <w:rFonts w:ascii="Arial" w:eastAsia="Arial" w:hAnsi="Arial" w:cs="Arial"/>
        </w:rPr>
        <w:t>mos valorando y lo digo en el ámbito de su pregunta pero desde luego lo estamos valorando y luego que haya también propuestas que a mí me sorprendían muchísimo, a mí y a muchos compañeros alcaldes y alcaldesas que nos sancionen si no atendemos los plazos d</w:t>
      </w:r>
      <w:r>
        <w:rPr>
          <w:rFonts w:ascii="Arial" w:eastAsia="Arial" w:hAnsi="Arial" w:cs="Arial"/>
        </w:rPr>
        <w:t>e los 15 días con lo cual ya, ya no  sabemos qué hacer entonces para poder gestionar, para poder atender cualquier respuesta, la verdad que es bastante complicado, pero si nosotros estamos dando respuesta, intentando acelerar todos estos procesos para cont</w:t>
      </w:r>
      <w:r>
        <w:rPr>
          <w:rFonts w:ascii="Arial" w:eastAsia="Arial" w:hAnsi="Arial" w:cs="Arial"/>
        </w:rPr>
        <w:t>estar al Diputado del Común, al Defensor del Pueblo o a la institución que se precise.</w:t>
      </w:r>
    </w:p>
    <w:p w:rsidR="00E23B86" w:rsidRDefault="00BA7C13">
      <w:pPr>
        <w:numPr>
          <w:ilvl w:val="0"/>
          <w:numId w:val="227"/>
        </w:numPr>
        <w:spacing w:after="19" w:line="248" w:lineRule="auto"/>
        <w:ind w:right="452" w:hanging="360"/>
        <w:jc w:val="both"/>
      </w:pPr>
      <w:r>
        <w:rPr>
          <w:rFonts w:ascii="Arial" w:eastAsia="Arial" w:hAnsi="Arial" w:cs="Arial"/>
        </w:rPr>
        <w:t xml:space="preserve">¿De acuerdo?, preguntas por parte de Coalición Canaria, ¿no?, por parte de Si se Puede, preguntas.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DOÑA MARÍA DEL CARMEN COELLO GONZÁLEZ. -</w:t>
      </w:r>
      <w:r>
        <w:rPr>
          <w:rFonts w:ascii="Arial" w:eastAsia="Arial" w:hAnsi="Arial" w:cs="Arial"/>
        </w:rPr>
        <w:t xml:space="preserve"> </w:t>
      </w:r>
    </w:p>
    <w:p w:rsidR="00E23B86" w:rsidRDefault="00BA7C13">
      <w:pPr>
        <w:numPr>
          <w:ilvl w:val="0"/>
          <w:numId w:val="227"/>
        </w:numPr>
        <w:spacing w:after="22" w:line="248" w:lineRule="auto"/>
        <w:ind w:right="452" w:hanging="360"/>
        <w:jc w:val="both"/>
      </w:pPr>
      <w:r>
        <w:rPr>
          <w:rFonts w:ascii="Arial" w:eastAsia="Arial" w:hAnsi="Arial" w:cs="Arial"/>
        </w:rPr>
        <w:t>Sí, Santa Ana se han iniciado obras en los viarios que creemos que están relacionados con el alumbrado público, pero desconocemos su verdadero alcance y duración, por ello preguntamos, ¿en qué consisten exactamente las obras que se están ejecutando y cuand</w:t>
      </w:r>
      <w:r>
        <w:rPr>
          <w:rFonts w:ascii="Arial" w:eastAsia="Arial" w:hAnsi="Arial" w:cs="Arial"/>
        </w:rPr>
        <w:t xml:space="preserve">o está previsto que finalicen?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LA SEÑORA  ALCALDESA PRESIDENTA. -</w:t>
      </w:r>
    </w:p>
    <w:p w:rsidR="00E23B86" w:rsidRDefault="00BA7C13">
      <w:pPr>
        <w:numPr>
          <w:ilvl w:val="0"/>
          <w:numId w:val="227"/>
        </w:numPr>
        <w:spacing w:after="15" w:line="248" w:lineRule="auto"/>
        <w:ind w:right="452" w:hanging="360"/>
        <w:jc w:val="both"/>
      </w:pPr>
      <w:r>
        <w:rPr>
          <w:rFonts w:ascii="Arial" w:eastAsia="Arial" w:hAnsi="Arial" w:cs="Arial"/>
        </w:rPr>
        <w:t>Jorge tiene tú la info..</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DON JORGE BAUTE DELGADO. –</w:t>
      </w:r>
    </w:p>
    <w:p w:rsidR="00E23B86" w:rsidRDefault="00BA7C13">
      <w:pPr>
        <w:numPr>
          <w:ilvl w:val="0"/>
          <w:numId w:val="227"/>
        </w:numPr>
        <w:spacing w:after="23" w:line="248" w:lineRule="auto"/>
        <w:ind w:right="452" w:hanging="360"/>
        <w:jc w:val="both"/>
      </w:pPr>
      <w:r>
        <w:rPr>
          <w:rFonts w:ascii="Arial" w:eastAsia="Arial" w:hAnsi="Arial" w:cs="Arial"/>
        </w:rPr>
        <w:t>Sí, bueno la obra que se está ejecutando es la del alumbrado público, se sacó una licitación, ganó una empresa y</w:t>
      </w:r>
      <w:r>
        <w:rPr>
          <w:rFonts w:ascii="Arial" w:eastAsia="Arial" w:hAnsi="Arial" w:cs="Arial"/>
        </w:rPr>
        <w:t xml:space="preserve"> está trabajando en ello y al mismo tiempo por otro lado, se adjudicó independientemente a esta obra, lo que es el acerado desde el colegio Príncipe Felipe hasta la calle San Roque, son las dos.. y lo que es el frente de la Cripta también, está dentro esa </w:t>
      </w:r>
      <w:r>
        <w:rPr>
          <w:rFonts w:ascii="Arial" w:eastAsia="Arial" w:hAnsi="Arial" w:cs="Arial"/>
        </w:rPr>
        <w:t xml:space="preserve">es la segunda adjudicación, son independientes, son dos cosas diferentes.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DOÑA MARÍA DEL CARMEN COELLO GONZÁLEZ. -</w:t>
      </w:r>
    </w:p>
    <w:p w:rsidR="00E23B86" w:rsidRDefault="00BA7C13">
      <w:pPr>
        <w:numPr>
          <w:ilvl w:val="0"/>
          <w:numId w:val="227"/>
        </w:numPr>
        <w:spacing w:after="10" w:line="248" w:lineRule="auto"/>
        <w:ind w:right="452" w:hanging="360"/>
        <w:jc w:val="both"/>
      </w:pPr>
      <w:r>
        <w:rPr>
          <w:rFonts w:ascii="Arial" w:eastAsia="Arial" w:hAnsi="Arial" w:cs="Arial"/>
        </w:rPr>
        <w:t>¿Y cuánto duran las obras esas, adjudicadas, se sabe?</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DON JORGE BAUTE DELGADO. -</w:t>
      </w:r>
    </w:p>
    <w:p w:rsidR="00E23B86" w:rsidRDefault="00BA7C13">
      <w:pPr>
        <w:numPr>
          <w:ilvl w:val="0"/>
          <w:numId w:val="227"/>
        </w:numPr>
        <w:spacing w:after="25" w:line="248" w:lineRule="auto"/>
        <w:ind w:right="452" w:hanging="360"/>
        <w:jc w:val="both"/>
      </w:pPr>
      <w:r>
        <w:rPr>
          <w:rFonts w:ascii="Arial" w:eastAsia="Arial" w:hAnsi="Arial" w:cs="Arial"/>
        </w:rPr>
        <w:t>De memoria  no te sé decir que periodo de ejecución tiene, entiendo en principio que están en plazo, los trabajos van a buen ritmo, pero no sé ahora mismo de memoria, habrá que ver la licitación.</w:t>
      </w:r>
    </w:p>
    <w:p w:rsidR="00E23B86" w:rsidRDefault="00BA7C13">
      <w:pPr>
        <w:spacing w:after="3" w:line="265" w:lineRule="auto"/>
        <w:ind w:left="-5" w:right="13" w:hanging="10"/>
      </w:pPr>
      <w:r>
        <w:rPr>
          <w:rFonts w:ascii="Segoe UI Symbol" w:eastAsia="Segoe UI Symbol" w:hAnsi="Segoe UI Symbol" w:cs="Segoe UI Symbol"/>
          <w:sz w:val="20"/>
        </w:rPr>
        <w:t></w:t>
      </w:r>
      <w:r>
        <w:rPr>
          <w:rFonts w:ascii="Arial" w:eastAsia="Arial" w:hAnsi="Arial" w:cs="Arial"/>
        </w:rPr>
        <w:t xml:space="preserve"> </w:t>
      </w:r>
    </w:p>
    <w:p w:rsidR="00E23B86" w:rsidRDefault="00BA7C13">
      <w:pPr>
        <w:numPr>
          <w:ilvl w:val="0"/>
          <w:numId w:val="227"/>
        </w:numPr>
        <w:spacing w:after="16" w:line="249" w:lineRule="auto"/>
        <w:ind w:right="452" w:hanging="360"/>
        <w:jc w:val="both"/>
      </w:pPr>
      <w:r>
        <w:rPr>
          <w:rFonts w:ascii="Arial" w:eastAsia="Arial" w:hAnsi="Arial" w:cs="Arial"/>
          <w:b/>
        </w:rPr>
        <w:t>INTERVIENE LA SEÑORA ALCALDESA-PRESIDENTA. -</w:t>
      </w:r>
    </w:p>
    <w:p w:rsidR="00E23B86" w:rsidRDefault="00BA7C13">
      <w:pPr>
        <w:numPr>
          <w:ilvl w:val="0"/>
          <w:numId w:val="227"/>
        </w:numPr>
        <w:spacing w:after="14" w:line="248" w:lineRule="auto"/>
        <w:ind w:right="452" w:hanging="360"/>
        <w:jc w:val="both"/>
      </w:pPr>
      <w:r>
        <w:rPr>
          <w:rFonts w:ascii="Arial" w:eastAsia="Arial" w:hAnsi="Arial" w:cs="Arial"/>
        </w:rPr>
        <w:t xml:space="preserve">Bien, preguntas por parte del Partido Popular.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DON JUAN MIGUEL OLIVERA GONZÁLEZ. -</w:t>
      </w:r>
    </w:p>
    <w:p w:rsidR="00E23B86" w:rsidRDefault="00BA7C13">
      <w:pPr>
        <w:numPr>
          <w:ilvl w:val="0"/>
          <w:numId w:val="227"/>
        </w:numPr>
        <w:spacing w:after="23" w:line="248" w:lineRule="auto"/>
        <w:ind w:right="452" w:hanging="360"/>
        <w:jc w:val="both"/>
      </w:pPr>
      <w:r>
        <w:rPr>
          <w:rFonts w:ascii="Arial" w:eastAsia="Arial" w:hAnsi="Arial" w:cs="Arial"/>
        </w:rPr>
        <w:t>Si, tenemos dos preguntas también. ¿En qué situación se encuentra la subsanación de deficiencia en materia de prevención de riesgo laboral del personal del serv</w:t>
      </w:r>
      <w:r>
        <w:rPr>
          <w:rFonts w:ascii="Arial" w:eastAsia="Arial" w:hAnsi="Arial" w:cs="Arial"/>
        </w:rPr>
        <w:t xml:space="preserve">icio de recogida de residuos y limpieza que fue tratado en este Salón Plenario en el mes de octubre y que aún hoy sigue preocupando a los trabajadores de la empresa, si tienen algo que nos puedan informar al respecto? Gracias. – </w:t>
      </w:r>
      <w:r>
        <w:rPr>
          <w:rFonts w:ascii="Segoe UI Symbol" w:eastAsia="Segoe UI Symbol" w:hAnsi="Segoe UI Symbol" w:cs="Segoe UI Symbol"/>
          <w:sz w:val="20"/>
        </w:rPr>
        <w:t></w:t>
      </w:r>
    </w:p>
    <w:p w:rsidR="00E23B86" w:rsidRDefault="00BA7C13">
      <w:pPr>
        <w:numPr>
          <w:ilvl w:val="0"/>
          <w:numId w:val="227"/>
        </w:numPr>
        <w:spacing w:after="0" w:line="240" w:lineRule="auto"/>
        <w:ind w:right="452" w:hanging="360"/>
        <w:jc w:val="both"/>
      </w:pPr>
      <w:r>
        <w:rPr>
          <w:rFonts w:ascii="Arial" w:eastAsia="Arial" w:hAnsi="Arial" w:cs="Arial"/>
          <w:b/>
        </w:rPr>
        <w:t>INTERVIENE LA SEÑORA ALCA</w:t>
      </w:r>
      <w:r>
        <w:rPr>
          <w:rFonts w:ascii="Arial" w:eastAsia="Arial" w:hAnsi="Arial" w:cs="Arial"/>
          <w:b/>
        </w:rPr>
        <w:t xml:space="preserve">LDESA-PRESIDENTA. </w:t>
      </w:r>
      <w:r>
        <w:rPr>
          <w:rFonts w:ascii="Segoe UI Symbol" w:eastAsia="Segoe UI Symbol" w:hAnsi="Segoe UI Symbol" w:cs="Segoe UI Symbol"/>
          <w:sz w:val="20"/>
        </w:rPr>
        <w:t xml:space="preserve"> </w:t>
      </w:r>
      <w:r>
        <w:rPr>
          <w:rFonts w:ascii="Arial" w:eastAsia="Arial" w:hAnsi="Arial" w:cs="Arial"/>
        </w:rPr>
        <w:t xml:space="preserve">Tienes info Airam. –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DON AIRAM PÉREZ CHINEA. –</w:t>
      </w:r>
    </w:p>
    <w:p w:rsidR="00E23B86" w:rsidRDefault="00BA7C13">
      <w:pPr>
        <w:numPr>
          <w:ilvl w:val="0"/>
          <w:numId w:val="227"/>
        </w:numPr>
        <w:spacing w:after="25" w:line="248" w:lineRule="auto"/>
        <w:ind w:right="452" w:hanging="360"/>
        <w:jc w:val="both"/>
      </w:pPr>
      <w:r>
        <w:rPr>
          <w:noProof/>
        </w:rPr>
        <mc:AlternateContent>
          <mc:Choice Requires="wpg">
            <w:drawing>
              <wp:anchor distT="0" distB="0" distL="114300" distR="114300" simplePos="0" relativeHeight="252060672" behindDoc="0" locked="0" layoutInCell="1" allowOverlap="1">
                <wp:simplePos x="0" y="0"/>
                <wp:positionH relativeFrom="page">
                  <wp:posOffset>8660871</wp:posOffset>
                </wp:positionH>
                <wp:positionV relativeFrom="page">
                  <wp:posOffset>6751956</wp:posOffset>
                </wp:positionV>
                <wp:extent cx="161330" cy="3560445"/>
                <wp:effectExtent l="0" t="0" r="0" b="0"/>
                <wp:wrapSquare wrapText="bothSides"/>
                <wp:docPr id="598935" name="Group 59893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7395" name="Rectangle 57395"/>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7396" name="Rectangle 57396"/>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 xml:space="preserve">Documento firmado electrónicamente desde la plataforma esPublico Gestiona | Página 390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8935" style="width:12.7031pt;height:280.35pt;position:absolute;mso-position-horizontal-relative:page;mso-position-horizontal:absolute;margin-left:681.958pt;mso-position-vertical-relative:page;margin-top:531.65pt;" coordsize="1613,35604">
                <v:rect id="Rectangle 57395"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7396"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390 de 391 </w:t>
                        </w:r>
                      </w:p>
                    </w:txbxContent>
                  </v:textbox>
                </v:rect>
                <w10:wrap type="square"/>
              </v:group>
            </w:pict>
          </mc:Fallback>
        </mc:AlternateContent>
      </w:r>
      <w:r>
        <w:rPr>
          <w:rFonts w:ascii="Arial" w:eastAsia="Arial" w:hAnsi="Arial" w:cs="Arial"/>
        </w:rPr>
        <w:t>Ahora mismo no te podría decir en el punto que exactamente se encuentra porque eso lo está haciendo la propia empresa, nosotros sí es verdad que le hacemos segui</w:t>
      </w:r>
      <w:r>
        <w:rPr>
          <w:rFonts w:ascii="Arial" w:eastAsia="Arial" w:hAnsi="Arial" w:cs="Arial"/>
        </w:rPr>
        <w:t xml:space="preserve">miento, pero no tengo la información ahora pormenorizada para trasladarte, lo consulto y en el próximo Pleno le contesto. - </w:t>
      </w:r>
    </w:p>
    <w:p w:rsidR="00E23B86" w:rsidRDefault="00BA7C13">
      <w:pPr>
        <w:spacing w:after="3" w:line="265" w:lineRule="auto"/>
        <w:ind w:left="-5" w:right="13" w:hanging="10"/>
      </w:pPr>
      <w:r>
        <w:rPr>
          <w:rFonts w:ascii="Segoe UI Symbol" w:eastAsia="Segoe UI Symbol" w:hAnsi="Segoe UI Symbol" w:cs="Segoe UI Symbol"/>
          <w:sz w:val="20"/>
        </w:rPr>
        <w:t></w:t>
      </w:r>
      <w:r>
        <w:rPr>
          <w:rFonts w:ascii="Arial" w:eastAsia="Arial" w:hAnsi="Arial" w:cs="Arial"/>
        </w:rPr>
        <w:t xml:space="preserve"> </w:t>
      </w:r>
    </w:p>
    <w:p w:rsidR="00E23B86" w:rsidRDefault="00BA7C13">
      <w:pPr>
        <w:numPr>
          <w:ilvl w:val="0"/>
          <w:numId w:val="227"/>
        </w:numPr>
        <w:spacing w:after="0" w:line="240" w:lineRule="auto"/>
        <w:ind w:right="452" w:hanging="360"/>
        <w:jc w:val="both"/>
      </w:pPr>
      <w:r>
        <w:rPr>
          <w:rFonts w:ascii="Arial" w:eastAsia="Arial" w:hAnsi="Arial" w:cs="Arial"/>
          <w:b/>
        </w:rPr>
        <w:t xml:space="preserve">INTERVIENE LA SEÑORA ALCALDESA-PRESIDENTA. – </w:t>
      </w:r>
      <w:r>
        <w:rPr>
          <w:rFonts w:ascii="Segoe UI Symbol" w:eastAsia="Segoe UI Symbol" w:hAnsi="Segoe UI Symbol" w:cs="Segoe UI Symbol"/>
          <w:sz w:val="20"/>
        </w:rPr>
        <w:t xml:space="preserve"> </w:t>
      </w:r>
      <w:r>
        <w:rPr>
          <w:rFonts w:ascii="Arial" w:eastAsia="Arial" w:hAnsi="Arial" w:cs="Arial"/>
        </w:rPr>
        <w:t xml:space="preserve">Otra pregunta Don Juan Miguel. – </w:t>
      </w:r>
      <w:r>
        <w:rPr>
          <w:rFonts w:ascii="Segoe UI Symbol" w:eastAsia="Segoe UI Symbol" w:hAnsi="Segoe UI Symbol" w:cs="Segoe UI Symbol"/>
          <w:sz w:val="20"/>
        </w:rPr>
        <w:t></w:t>
      </w:r>
    </w:p>
    <w:p w:rsidR="00E23B86" w:rsidRDefault="00BA7C13">
      <w:pPr>
        <w:numPr>
          <w:ilvl w:val="0"/>
          <w:numId w:val="227"/>
        </w:numPr>
        <w:spacing w:after="16" w:line="249" w:lineRule="auto"/>
        <w:ind w:right="452" w:hanging="360"/>
        <w:jc w:val="both"/>
      </w:pPr>
      <w:r>
        <w:rPr>
          <w:rFonts w:ascii="Arial" w:eastAsia="Arial" w:hAnsi="Arial" w:cs="Arial"/>
          <w:b/>
        </w:rPr>
        <w:t>INTERVIENE DON JUAN MIGUEL OLIVERA GONZÁLEZ. -</w:t>
      </w:r>
    </w:p>
    <w:p w:rsidR="00E23B86" w:rsidRDefault="00BA7C13">
      <w:pPr>
        <w:numPr>
          <w:ilvl w:val="0"/>
          <w:numId w:val="227"/>
        </w:numPr>
        <w:spacing w:after="26" w:line="248" w:lineRule="auto"/>
        <w:ind w:right="452" w:hanging="360"/>
        <w:jc w:val="both"/>
      </w:pPr>
      <w:r>
        <w:rPr>
          <w:rFonts w:ascii="Arial" w:eastAsia="Arial" w:hAnsi="Arial" w:cs="Arial"/>
        </w:rPr>
        <w:t xml:space="preserve">Hoy se ha hablado en este Salón Plenario del nuevo contrato de recogida de residuos, nos gustaría saber en qué situación se encuentra y si se tiene algún periodo para su aprobación. </w:t>
      </w:r>
    </w:p>
    <w:p w:rsidR="00E23B86" w:rsidRDefault="00BA7C13">
      <w:pPr>
        <w:numPr>
          <w:ilvl w:val="0"/>
          <w:numId w:val="227"/>
        </w:numPr>
        <w:spacing w:after="15" w:line="248" w:lineRule="auto"/>
        <w:ind w:right="452" w:hanging="360"/>
        <w:jc w:val="both"/>
      </w:pPr>
      <w:r>
        <w:rPr>
          <w:rFonts w:ascii="Arial" w:eastAsia="Arial" w:hAnsi="Arial" w:cs="Arial"/>
        </w:rPr>
        <w:t>Gracias. -</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15" w:line="249" w:lineRule="auto"/>
        <w:ind w:right="452" w:hanging="360"/>
        <w:jc w:val="both"/>
      </w:pPr>
      <w:r>
        <w:rPr>
          <w:rFonts w:ascii="Arial" w:eastAsia="Arial" w:hAnsi="Arial" w:cs="Arial"/>
          <w:b/>
        </w:rPr>
        <w:t xml:space="preserve">INTERVIENE LA SEÑORA ALCALDESA-PRESIDENTA. – </w:t>
      </w:r>
      <w:r>
        <w:rPr>
          <w:rFonts w:ascii="Segoe UI Symbol" w:eastAsia="Segoe UI Symbol" w:hAnsi="Segoe UI Symbol" w:cs="Segoe UI Symbol"/>
          <w:sz w:val="20"/>
        </w:rPr>
        <w:t xml:space="preserve"> </w:t>
      </w:r>
      <w:r>
        <w:rPr>
          <w:rFonts w:ascii="Arial" w:eastAsia="Arial" w:hAnsi="Arial" w:cs="Arial"/>
        </w:rPr>
        <w:t>Airam. –</w:t>
      </w:r>
    </w:p>
    <w:p w:rsidR="00E23B86" w:rsidRDefault="00BA7C13">
      <w:pPr>
        <w:spacing w:after="3" w:line="265" w:lineRule="auto"/>
        <w:ind w:left="-5" w:right="13" w:hanging="10"/>
      </w:pPr>
      <w:r>
        <w:rPr>
          <w:rFonts w:ascii="Segoe UI Symbol" w:eastAsia="Segoe UI Symbol" w:hAnsi="Segoe UI Symbol" w:cs="Segoe UI Symbol"/>
          <w:sz w:val="20"/>
        </w:rPr>
        <w:t></w:t>
      </w:r>
    </w:p>
    <w:p w:rsidR="00E23B86" w:rsidRDefault="00BA7C13">
      <w:pPr>
        <w:numPr>
          <w:ilvl w:val="0"/>
          <w:numId w:val="227"/>
        </w:numPr>
        <w:spacing w:after="9" w:line="249" w:lineRule="auto"/>
        <w:ind w:right="452" w:hanging="360"/>
        <w:jc w:val="both"/>
      </w:pPr>
      <w:r>
        <w:rPr>
          <w:rFonts w:ascii="Arial" w:eastAsia="Arial" w:hAnsi="Arial" w:cs="Arial"/>
          <w:b/>
        </w:rPr>
        <w:t>I</w:t>
      </w:r>
      <w:r>
        <w:rPr>
          <w:rFonts w:ascii="Arial" w:eastAsia="Arial" w:hAnsi="Arial" w:cs="Arial"/>
          <w:b/>
        </w:rPr>
        <w:t>NTERVIENE  DON AIRAM PÉREZ CHINEA. -</w:t>
      </w:r>
    </w:p>
    <w:p w:rsidR="00E23B86" w:rsidRDefault="00BA7C13">
      <w:pPr>
        <w:numPr>
          <w:ilvl w:val="0"/>
          <w:numId w:val="227"/>
        </w:numPr>
        <w:spacing w:after="0" w:line="248" w:lineRule="auto"/>
        <w:ind w:right="452" w:hanging="360"/>
        <w:jc w:val="both"/>
      </w:pPr>
      <w:r>
        <w:rPr>
          <w:rFonts w:ascii="Arial" w:eastAsia="Arial" w:hAnsi="Arial" w:cs="Arial"/>
        </w:rPr>
        <w:t>Si, ya lo comentamos creo que en el último Pleno, el ingeniero sigue trabajando en uno de los lotes para hacer el contrato, porque vamos a sacarlo en dos partes, el de limpieza de dependencias municipales, ayer mismo hablaba con él, me trasladaba que los t</w:t>
      </w:r>
      <w:r>
        <w:rPr>
          <w:rFonts w:ascii="Arial" w:eastAsia="Arial" w:hAnsi="Arial" w:cs="Arial"/>
        </w:rPr>
        <w:t>rabajos avanzan a buen ritmo, no puede darme un plazo de finalización de los trabajos porque después tenemos que realizarlos, tenemos que ver que todo esté correcto, tenemos que sentarnos  tanto el grupo político como técnico para ver que todo esté correct</w:t>
      </w:r>
      <w:r>
        <w:rPr>
          <w:rFonts w:ascii="Arial" w:eastAsia="Arial" w:hAnsi="Arial" w:cs="Arial"/>
        </w:rPr>
        <w:t>o y desde que lo tengamos lo traeremos a Pleno, nosotros somos los primero que queremos firmar ese contrato lo más rápido posible pero evidentemente que esté bien, que no haya ninguna incidencia. –</w:t>
      </w:r>
    </w:p>
    <w:p w:rsidR="00E23B86" w:rsidRDefault="00BA7C13">
      <w:pPr>
        <w:spacing w:after="9" w:line="249" w:lineRule="auto"/>
        <w:ind w:left="355" w:right="554" w:hanging="10"/>
        <w:jc w:val="both"/>
      </w:pPr>
      <w:r>
        <w:rPr>
          <w:rFonts w:ascii="Arial" w:eastAsia="Arial" w:hAnsi="Arial" w:cs="Arial"/>
          <w:b/>
        </w:rPr>
        <w:t>INTERVIENE LA SEÑORA ALCALDESA-PRESIDENTA.</w:t>
      </w:r>
      <w:r>
        <w:rPr>
          <w:rFonts w:ascii="Arial" w:eastAsia="Arial" w:hAnsi="Arial" w:cs="Arial"/>
        </w:rPr>
        <w:t xml:space="preserve"> – </w:t>
      </w:r>
    </w:p>
    <w:p w:rsidR="00E23B86" w:rsidRDefault="00BA7C13">
      <w:pPr>
        <w:spacing w:after="1003" w:line="248" w:lineRule="auto"/>
        <w:ind w:left="373" w:right="7" w:hanging="10"/>
        <w:jc w:val="both"/>
      </w:pPr>
      <w:r>
        <w:rPr>
          <w:rFonts w:ascii="Arial" w:eastAsia="Arial" w:hAnsi="Arial" w:cs="Arial"/>
        </w:rPr>
        <w:t>Muchas graci</w:t>
      </w:r>
      <w:r>
        <w:rPr>
          <w:rFonts w:ascii="Arial" w:eastAsia="Arial" w:hAnsi="Arial" w:cs="Arial"/>
        </w:rPr>
        <w:t>as Don Airam, muy bien, concluido el turno de preguntas, concluye también el Pleno. Buenas tardes, muchas gracias a todos. -</w:t>
      </w:r>
    </w:p>
    <w:p w:rsidR="00E23B86" w:rsidRDefault="00BA7C13">
      <w:pPr>
        <w:spacing w:after="365" w:line="248" w:lineRule="auto"/>
        <w:ind w:left="373" w:hanging="10"/>
        <w:jc w:val="both"/>
      </w:pPr>
      <w:r>
        <w:rPr>
          <w:noProof/>
        </w:rPr>
        <mc:AlternateContent>
          <mc:Choice Requires="wpg">
            <w:drawing>
              <wp:anchor distT="0" distB="0" distL="114300" distR="114300" simplePos="0" relativeHeight="252061696" behindDoc="0" locked="0" layoutInCell="1" allowOverlap="1">
                <wp:simplePos x="0" y="0"/>
                <wp:positionH relativeFrom="page">
                  <wp:posOffset>8660871</wp:posOffset>
                </wp:positionH>
                <wp:positionV relativeFrom="page">
                  <wp:posOffset>6751956</wp:posOffset>
                </wp:positionV>
                <wp:extent cx="161330" cy="3560445"/>
                <wp:effectExtent l="0" t="0" r="0" b="0"/>
                <wp:wrapTopAndBottom/>
                <wp:docPr id="599115" name="Group 599115"/>
                <wp:cNvGraphicFramePr/>
                <a:graphic xmlns:a="http://schemas.openxmlformats.org/drawingml/2006/main">
                  <a:graphicData uri="http://schemas.microsoft.com/office/word/2010/wordprocessingGroup">
                    <wpg:wgp>
                      <wpg:cNvGrpSpPr/>
                      <wpg:grpSpPr>
                        <a:xfrm>
                          <a:off x="0" y="0"/>
                          <a:ext cx="161330" cy="3560445"/>
                          <a:chOff x="0" y="0"/>
                          <a:chExt cx="161330" cy="3560445"/>
                        </a:xfrm>
                      </wpg:grpSpPr>
                      <wps:wsp>
                        <wps:cNvPr id="57426" name="Rectangle 57426"/>
                        <wps:cNvSpPr/>
                        <wps:spPr>
                          <a:xfrm rot="-5399999">
                            <a:off x="-2311083" y="1136137"/>
                            <a:ext cx="4735392" cy="113224"/>
                          </a:xfrm>
                          <a:prstGeom prst="rect">
                            <a:avLst/>
                          </a:prstGeom>
                          <a:ln>
                            <a:noFill/>
                          </a:ln>
                        </wps:spPr>
                        <wps:txbx>
                          <w:txbxContent>
                            <w:p w:rsidR="00E23B86" w:rsidRDefault="00BA7C13">
                              <w:r>
                                <w:rPr>
                                  <w:rFonts w:ascii="Arial" w:eastAsia="Arial" w:hAnsi="Arial" w:cs="Arial"/>
                                  <w:sz w:val="12"/>
                                </w:rPr>
                                <w:t xml:space="preserve">Cód. Validación: 5AJ7C4GAAK3P9GMGZC2N3FZWC | Verificación: https://candelaria.sedelectronica.es/ </w:t>
                              </w:r>
                            </w:p>
                          </w:txbxContent>
                        </wps:txbx>
                        <wps:bodyPr horzOverflow="overflow" vert="horz" lIns="0" tIns="0" rIns="0" bIns="0" rtlCol="0">
                          <a:noAutofit/>
                        </wps:bodyPr>
                      </wps:wsp>
                      <wps:wsp>
                        <wps:cNvPr id="57427" name="Rectangle 57427"/>
                        <wps:cNvSpPr/>
                        <wps:spPr>
                          <a:xfrm rot="-5399999">
                            <a:off x="-2098573" y="1272447"/>
                            <a:ext cx="4462771" cy="113224"/>
                          </a:xfrm>
                          <a:prstGeom prst="rect">
                            <a:avLst/>
                          </a:prstGeom>
                          <a:ln>
                            <a:noFill/>
                          </a:ln>
                        </wps:spPr>
                        <wps:txbx>
                          <w:txbxContent>
                            <w:p w:rsidR="00E23B86" w:rsidRDefault="00BA7C13">
                              <w:r>
                                <w:rPr>
                                  <w:rFonts w:ascii="Arial" w:eastAsia="Arial" w:hAnsi="Arial" w:cs="Arial"/>
                                  <w:sz w:val="12"/>
                                </w:rPr>
                                <w:t>Documento firmado electrónic</w:t>
                              </w:r>
                              <w:r>
                                <w:rPr>
                                  <w:rFonts w:ascii="Arial" w:eastAsia="Arial" w:hAnsi="Arial" w:cs="Arial"/>
                                  <w:sz w:val="12"/>
                                </w:rPr>
                                <w:t xml:space="preserve">amente desde la plataforma esPublico Gestiona | Página 391 de 391 </w:t>
                              </w:r>
                            </w:p>
                          </w:txbxContent>
                        </wps:txbx>
                        <wps:bodyPr horzOverflow="overflow" vert="horz" lIns="0" tIns="0" rIns="0" bIns="0" rtlCol="0">
                          <a:noAutofit/>
                        </wps:bodyPr>
                      </wps:wsp>
                    </wpg:wgp>
                  </a:graphicData>
                </a:graphic>
              </wp:anchor>
            </w:drawing>
          </mc:Choice>
          <mc:Fallback xmlns:a="http://schemas.openxmlformats.org/drawingml/2006/main">
            <w:pict>
              <v:group id="Group 599115" style="width:12.7031pt;height:280.35pt;position:absolute;mso-position-horizontal-relative:page;mso-position-horizontal:absolute;margin-left:681.958pt;mso-position-vertical-relative:page;margin-top:531.65pt;" coordsize="1613,35604">
                <v:rect id="Rectangle 57426" style="position:absolute;width:47353;height:1132;left:-23110;top:1136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5AJ7C4GAAK3P9GMGZC2N3FZWC | Verificación: https://candelaria.sedelectronica.es/ </w:t>
                        </w:r>
                      </w:p>
                    </w:txbxContent>
                  </v:textbox>
                </v:rect>
                <v:rect id="Rectangle 57427" style="position:absolute;width:44627;height:1132;left:-20985;top:1272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391 de 391 </w:t>
                        </w:r>
                      </w:p>
                    </w:txbxContent>
                  </v:textbox>
                </v:rect>
                <w10:wrap type="topAndBottom"/>
              </v:group>
            </w:pict>
          </mc:Fallback>
        </mc:AlternateContent>
      </w:r>
      <w:r>
        <w:rPr>
          <w:rFonts w:ascii="Arial" w:eastAsia="Arial" w:hAnsi="Arial" w:cs="Arial"/>
        </w:rPr>
        <w:t xml:space="preserve">  Se levanta la sesión a las 12:54 horas del mismo día. De todo lo cual yo, como Secretario General, doy fe.</w:t>
      </w:r>
    </w:p>
    <w:p w:rsidR="00E23B86" w:rsidRDefault="00BA7C13">
      <w:pPr>
        <w:spacing w:after="482" w:line="249" w:lineRule="auto"/>
        <w:ind w:left="355" w:right="554" w:hanging="10"/>
        <w:jc w:val="both"/>
      </w:pPr>
      <w:r>
        <w:rPr>
          <w:rFonts w:ascii="Arial" w:eastAsia="Arial" w:hAnsi="Arial" w:cs="Arial"/>
        </w:rPr>
        <w:t xml:space="preserve">                  </w:t>
      </w:r>
      <w:r>
        <w:rPr>
          <w:rFonts w:ascii="Arial" w:eastAsia="Arial" w:hAnsi="Arial" w:cs="Arial"/>
          <w:b/>
        </w:rPr>
        <w:t>Vº. Bº.</w:t>
      </w:r>
    </w:p>
    <w:p w:rsidR="00E23B86" w:rsidRDefault="00BA7C13">
      <w:pPr>
        <w:tabs>
          <w:tab w:val="center" w:pos="1972"/>
          <w:tab w:val="center" w:pos="6081"/>
        </w:tabs>
        <w:spacing w:after="279" w:line="249" w:lineRule="auto"/>
      </w:pPr>
      <w:r>
        <w:tab/>
      </w:r>
      <w:r>
        <w:rPr>
          <w:rFonts w:ascii="Arial" w:eastAsia="Arial" w:hAnsi="Arial" w:cs="Arial"/>
          <w:b/>
        </w:rPr>
        <w:t xml:space="preserve">LA ALCALDESA-PRESIDENTA,     </w:t>
      </w:r>
      <w:r>
        <w:rPr>
          <w:rFonts w:ascii="Arial" w:eastAsia="Arial" w:hAnsi="Arial" w:cs="Arial"/>
          <w:b/>
        </w:rPr>
        <w:tab/>
        <w:t>EL SECRETARIO GENERAL,</w:t>
      </w:r>
    </w:p>
    <w:p w:rsidR="00E23B86" w:rsidRDefault="00BA7C13">
      <w:pPr>
        <w:tabs>
          <w:tab w:val="center" w:pos="1858"/>
          <w:tab w:val="center" w:pos="6252"/>
        </w:tabs>
        <w:spacing w:after="905" w:line="248" w:lineRule="auto"/>
      </w:pPr>
      <w:r>
        <w:tab/>
      </w:r>
      <w:r>
        <w:rPr>
          <w:rFonts w:ascii="Arial" w:eastAsia="Arial" w:hAnsi="Arial" w:cs="Arial"/>
        </w:rPr>
        <w:t xml:space="preserve">María Concepción Brito Núñez         </w:t>
      </w:r>
      <w:r>
        <w:rPr>
          <w:rFonts w:ascii="Arial" w:eastAsia="Arial" w:hAnsi="Arial" w:cs="Arial"/>
        </w:rPr>
        <w:tab/>
        <w:t>Octavio Manuel Hernández Hdez.</w:t>
      </w:r>
    </w:p>
    <w:p w:rsidR="00E23B86" w:rsidRDefault="00BA7C13">
      <w:pPr>
        <w:spacing w:after="111" w:line="249" w:lineRule="auto"/>
        <w:ind w:left="1758" w:right="554" w:hanging="10"/>
        <w:jc w:val="both"/>
      </w:pPr>
      <w:r>
        <w:rPr>
          <w:rFonts w:ascii="Arial" w:eastAsia="Arial" w:hAnsi="Arial" w:cs="Arial"/>
          <w:b/>
        </w:rPr>
        <w:t>DOCUMENTO FIRMADO ELECTRÓNICAMENTE</w:t>
      </w:r>
      <w:r>
        <w:rPr>
          <w:rFonts w:ascii="Arial" w:eastAsia="Arial" w:hAnsi="Arial" w:cs="Arial"/>
        </w:rPr>
        <w:t xml:space="preserve"> </w:t>
      </w:r>
    </w:p>
    <w:p w:rsidR="00E23B86" w:rsidRDefault="00BA7C13">
      <w:pPr>
        <w:spacing w:after="3" w:line="265" w:lineRule="auto"/>
        <w:ind w:left="-5" w:right="13" w:hanging="10"/>
      </w:pPr>
      <w:r>
        <w:rPr>
          <w:rFonts w:ascii="Segoe UI Symbol" w:eastAsia="Segoe UI Symbol" w:hAnsi="Segoe UI Symbol" w:cs="Segoe UI Symbol"/>
          <w:sz w:val="20"/>
        </w:rPr>
        <w:t></w:t>
      </w:r>
    </w:p>
    <w:sectPr w:rsidR="00E23B86">
      <w:headerReference w:type="even" r:id="rId165"/>
      <w:headerReference w:type="default" r:id="rId166"/>
      <w:footerReference w:type="even" r:id="rId167"/>
      <w:footerReference w:type="default" r:id="rId168"/>
      <w:headerReference w:type="first" r:id="rId169"/>
      <w:footerReference w:type="first" r:id="rId170"/>
      <w:pgSz w:w="14168" w:h="16840"/>
      <w:pgMar w:top="2003" w:right="2828" w:bottom="1539" w:left="3198" w:header="712" w:footer="71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A7C13">
      <w:pPr>
        <w:spacing w:after="0" w:line="240" w:lineRule="auto"/>
      </w:pPr>
      <w:r>
        <w:separator/>
      </w:r>
    </w:p>
  </w:endnote>
  <w:endnote w:type="continuationSeparator" w:id="0">
    <w:p w:rsidR="00000000" w:rsidRDefault="00BA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2486" w:right="889"/>
    </w:pPr>
    <w:r>
      <w:rPr>
        <w:noProof/>
      </w:rPr>
      <w:drawing>
        <wp:anchor distT="0" distB="0" distL="114300" distR="114300" simplePos="0" relativeHeight="25166438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65256"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14" w:right="747"/>
    </w:pPr>
    <w:r>
      <w:rPr>
        <w:noProof/>
      </w:rPr>
      <w:drawing>
        <wp:anchor distT="0" distB="0" distL="114300" distR="114300" simplePos="0" relativeHeight="25169203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19"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14" w:right="747"/>
    </w:pPr>
    <w:r>
      <w:rPr>
        <w:noProof/>
      </w:rPr>
      <w:drawing>
        <wp:anchor distT="0" distB="0" distL="114300" distR="114300" simplePos="0" relativeHeight="25169305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20"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14" w:right="747"/>
    </w:pPr>
    <w:r>
      <w:rPr>
        <w:noProof/>
      </w:rPr>
      <w:drawing>
        <wp:anchor distT="0" distB="0" distL="114300" distR="114300" simplePos="0" relativeHeight="25169408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21"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70124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25"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70227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26"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70329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27"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5"/>
    </w:pPr>
    <w:r>
      <w:rPr>
        <w:noProof/>
      </w:rPr>
      <w:drawing>
        <wp:anchor distT="0" distB="0" distL="114300" distR="114300" simplePos="0" relativeHeight="25171046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31"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5"/>
    </w:pPr>
    <w:r>
      <w:rPr>
        <w:noProof/>
      </w:rPr>
      <w:drawing>
        <wp:anchor distT="0" distB="0" distL="114300" distR="114300" simplePos="0" relativeHeight="25171148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32"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5"/>
    </w:pPr>
    <w:r>
      <w:rPr>
        <w:noProof/>
      </w:rPr>
      <w:drawing>
        <wp:anchor distT="0" distB="0" distL="114300" distR="114300" simplePos="0" relativeHeight="25171251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33"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71968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37"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2486" w:right="889"/>
    </w:pPr>
    <w:r>
      <w:rPr>
        <w:noProof/>
      </w:rPr>
      <w:drawing>
        <wp:anchor distT="0" distB="0" distL="114300" distR="114300" simplePos="0" relativeHeight="25166540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3"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72070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38"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72172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39"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pPr>
    <w:r>
      <w:rPr>
        <w:noProof/>
      </w:rPr>
      <w:drawing>
        <wp:anchor distT="0" distB="0" distL="114300" distR="114300" simplePos="0" relativeHeight="25172889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65287" name="Picture 465287"/>
          <wp:cNvGraphicFramePr/>
          <a:graphic xmlns:a="http://schemas.openxmlformats.org/drawingml/2006/main">
            <a:graphicData uri="http://schemas.openxmlformats.org/drawingml/2006/picture">
              <pic:pic xmlns:pic="http://schemas.openxmlformats.org/drawingml/2006/picture">
                <pic:nvPicPr>
                  <pic:cNvPr id="465287" name="Picture 465287"/>
                  <pic:cNvPicPr/>
                </pic:nvPicPr>
                <pic:blipFill>
                  <a:blip r:embed="rId1"/>
                  <a:stretch>
                    <a:fillRect/>
                  </a:stretch>
                </pic:blipFill>
                <pic:spPr>
                  <a:xfrm>
                    <a:off x="0" y="0"/>
                    <a:ext cx="5193793" cy="271272"/>
                  </a:xfrm>
                  <a:prstGeom prst="rect">
                    <a:avLst/>
                  </a:prstGeom>
                </pic:spPr>
              </pic:pic>
            </a:graphicData>
          </a:graphic>
        </wp:anchor>
      </w:drawing>
    </w:r>
    <w:r>
      <w:rPr>
        <w:rFonts w:ascii="Segoe UI Symbol" w:eastAsia="Segoe UI Symbol" w:hAnsi="Segoe UI Symbol" w:cs="Segoe UI Symbol"/>
        <w:sz w:val="20"/>
      </w:rPr>
      <w:t></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pPr>
    <w:r>
      <w:rPr>
        <w:noProof/>
      </w:rPr>
      <w:drawing>
        <wp:anchor distT="0" distB="0" distL="114300" distR="114300" simplePos="0" relativeHeight="25172992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7" name="Picture 465287"/>
          <wp:cNvGraphicFramePr/>
          <a:graphic xmlns:a="http://schemas.openxmlformats.org/drawingml/2006/main">
            <a:graphicData uri="http://schemas.openxmlformats.org/drawingml/2006/picture">
              <pic:pic xmlns:pic="http://schemas.openxmlformats.org/drawingml/2006/picture">
                <pic:nvPicPr>
                  <pic:cNvPr id="465287" name="Picture 465287"/>
                  <pic:cNvPicPr/>
                </pic:nvPicPr>
                <pic:blipFill>
                  <a:blip r:embed="rId1"/>
                  <a:stretch>
                    <a:fillRect/>
                  </a:stretch>
                </pic:blipFill>
                <pic:spPr>
                  <a:xfrm>
                    <a:off x="0" y="0"/>
                    <a:ext cx="5193793" cy="271272"/>
                  </a:xfrm>
                  <a:prstGeom prst="rect">
                    <a:avLst/>
                  </a:prstGeom>
                </pic:spPr>
              </pic:pic>
            </a:graphicData>
          </a:graphic>
        </wp:anchor>
      </w:drawing>
    </w:r>
    <w:r>
      <w:rPr>
        <w:rFonts w:ascii="Segoe UI Symbol" w:eastAsia="Segoe UI Symbol" w:hAnsi="Segoe UI Symbol" w:cs="Segoe UI Symbol"/>
        <w:sz w:val="20"/>
      </w:rPr>
      <w:t></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pPr>
    <w:r>
      <w:rPr>
        <w:noProof/>
      </w:rPr>
      <w:drawing>
        <wp:anchor distT="0" distB="0" distL="114300" distR="114300" simplePos="0" relativeHeight="25173094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 name="Picture 465287"/>
          <wp:cNvGraphicFramePr/>
          <a:graphic xmlns:a="http://schemas.openxmlformats.org/drawingml/2006/main">
            <a:graphicData uri="http://schemas.openxmlformats.org/drawingml/2006/picture">
              <pic:pic xmlns:pic="http://schemas.openxmlformats.org/drawingml/2006/picture">
                <pic:nvPicPr>
                  <pic:cNvPr id="465287" name="Picture 465287"/>
                  <pic:cNvPicPr/>
                </pic:nvPicPr>
                <pic:blipFill>
                  <a:blip r:embed="rId1"/>
                  <a:stretch>
                    <a:fillRect/>
                  </a:stretch>
                </pic:blipFill>
                <pic:spPr>
                  <a:xfrm>
                    <a:off x="0" y="0"/>
                    <a:ext cx="5193793" cy="271272"/>
                  </a:xfrm>
                  <a:prstGeom prst="rect">
                    <a:avLst/>
                  </a:prstGeom>
                </pic:spPr>
              </pic:pic>
            </a:graphicData>
          </a:graphic>
        </wp:anchor>
      </w:drawing>
    </w:r>
    <w:r>
      <w:rPr>
        <w:rFonts w:ascii="Segoe UI Symbol" w:eastAsia="Segoe UI Symbol" w:hAnsi="Segoe UI Symbol" w:cs="Segoe UI Symbol"/>
        <w:sz w:val="20"/>
      </w:rPr>
      <w:t></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06" w:right="314"/>
    </w:pPr>
    <w:r>
      <w:rPr>
        <w:noProof/>
      </w:rPr>
      <w:drawing>
        <wp:anchor distT="0" distB="0" distL="114300" distR="114300" simplePos="0" relativeHeight="25173811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52"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06" w:right="314"/>
    </w:pPr>
    <w:r>
      <w:rPr>
        <w:noProof/>
      </w:rPr>
      <w:drawing>
        <wp:anchor distT="0" distB="0" distL="114300" distR="114300" simplePos="0" relativeHeight="25173913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53"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06" w:right="314"/>
    </w:pPr>
    <w:r>
      <w:rPr>
        <w:noProof/>
      </w:rPr>
      <w:drawing>
        <wp:anchor distT="0" distB="0" distL="114300" distR="114300" simplePos="0" relativeHeight="25174016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54"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1"/>
    </w:pPr>
    <w:r>
      <w:rPr>
        <w:noProof/>
      </w:rPr>
      <w:drawing>
        <wp:anchor distT="0" distB="0" distL="114300" distR="114300" simplePos="0" relativeHeight="25174732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58"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pPr>
    <w:r>
      <w:rPr>
        <w:noProof/>
      </w:rPr>
      <w:drawing>
        <wp:anchor distT="0" distB="0" distL="114300" distR="114300" simplePos="0" relativeHeight="25174835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65300" name="Picture 465300"/>
          <wp:cNvGraphicFramePr/>
          <a:graphic xmlns:a="http://schemas.openxmlformats.org/drawingml/2006/main">
            <a:graphicData uri="http://schemas.openxmlformats.org/drawingml/2006/picture">
              <pic:pic xmlns:pic="http://schemas.openxmlformats.org/drawingml/2006/picture">
                <pic:nvPicPr>
                  <pic:cNvPr id="465300" name="Picture 465300"/>
                  <pic:cNvPicPr/>
                </pic:nvPicPr>
                <pic:blipFill>
                  <a:blip r:embed="rId1"/>
                  <a:stretch>
                    <a:fillRect/>
                  </a:stretch>
                </pic:blipFill>
                <pic:spPr>
                  <a:xfrm>
                    <a:off x="0" y="0"/>
                    <a:ext cx="5193793" cy="271272"/>
                  </a:xfrm>
                  <a:prstGeom prst="rect">
                    <a:avLst/>
                  </a:prstGeom>
                </pic:spPr>
              </pic:pic>
            </a:graphicData>
          </a:graphic>
        </wp:anchor>
      </w:drawing>
    </w:r>
    <w:r>
      <w:rPr>
        <w:rFonts w:ascii="Segoe UI Symbol" w:eastAsia="Segoe UI Symbol" w:hAnsi="Segoe UI Symbol" w:cs="Segoe UI Symbol"/>
        <w:sz w:val="20"/>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2486" w:right="889"/>
    </w:pPr>
    <w:r>
      <w:rPr>
        <w:noProof/>
      </w:rPr>
      <w:drawing>
        <wp:anchor distT="0" distB="0" distL="114300" distR="114300" simplePos="0" relativeHeight="25166643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pPr>
    <w:r>
      <w:rPr>
        <w:noProof/>
      </w:rPr>
      <w:drawing>
        <wp:anchor distT="0" distB="0" distL="114300" distR="114300" simplePos="0" relativeHeight="25174937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59" name="Picture 465300"/>
          <wp:cNvGraphicFramePr/>
          <a:graphic xmlns:a="http://schemas.openxmlformats.org/drawingml/2006/main">
            <a:graphicData uri="http://schemas.openxmlformats.org/drawingml/2006/picture">
              <pic:pic xmlns:pic="http://schemas.openxmlformats.org/drawingml/2006/picture">
                <pic:nvPicPr>
                  <pic:cNvPr id="465300" name="Picture 465300"/>
                  <pic:cNvPicPr/>
                </pic:nvPicPr>
                <pic:blipFill>
                  <a:blip r:embed="rId1"/>
                  <a:stretch>
                    <a:fillRect/>
                  </a:stretch>
                </pic:blipFill>
                <pic:spPr>
                  <a:xfrm>
                    <a:off x="0" y="0"/>
                    <a:ext cx="5193793" cy="271272"/>
                  </a:xfrm>
                  <a:prstGeom prst="rect">
                    <a:avLst/>
                  </a:prstGeom>
                </pic:spPr>
              </pic:pic>
            </a:graphicData>
          </a:graphic>
        </wp:anchor>
      </w:drawing>
    </w:r>
    <w:r>
      <w:rPr>
        <w:rFonts w:ascii="Segoe UI Symbol" w:eastAsia="Segoe UI Symbol" w:hAnsi="Segoe UI Symbol" w:cs="Segoe UI Symbol"/>
        <w:sz w:val="20"/>
      </w:rPr>
      <w:t></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5"/>
    </w:pPr>
    <w:r>
      <w:rPr>
        <w:noProof/>
      </w:rPr>
      <w:drawing>
        <wp:anchor distT="0" distB="0" distL="114300" distR="114300" simplePos="0" relativeHeight="25175654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63"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pPr>
    <w:r>
      <w:rPr>
        <w:noProof/>
      </w:rPr>
      <w:drawing>
        <wp:anchor distT="0" distB="0" distL="114300" distR="114300" simplePos="0" relativeHeight="25175756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65313" name="Picture 465313"/>
          <wp:cNvGraphicFramePr/>
          <a:graphic xmlns:a="http://schemas.openxmlformats.org/drawingml/2006/main">
            <a:graphicData uri="http://schemas.openxmlformats.org/drawingml/2006/picture">
              <pic:pic xmlns:pic="http://schemas.openxmlformats.org/drawingml/2006/picture">
                <pic:nvPicPr>
                  <pic:cNvPr id="465313" name="Picture 465313"/>
                  <pic:cNvPicPr/>
                </pic:nvPicPr>
                <pic:blipFill>
                  <a:blip r:embed="rId1"/>
                  <a:stretch>
                    <a:fillRect/>
                  </a:stretch>
                </pic:blipFill>
                <pic:spPr>
                  <a:xfrm>
                    <a:off x="0" y="0"/>
                    <a:ext cx="5193793" cy="271272"/>
                  </a:xfrm>
                  <a:prstGeom prst="rect">
                    <a:avLst/>
                  </a:prstGeom>
                </pic:spPr>
              </pic:pic>
            </a:graphicData>
          </a:graphic>
        </wp:anchor>
      </w:drawing>
    </w:r>
    <w:r>
      <w:rPr>
        <w:rFonts w:ascii="Segoe UI Symbol" w:eastAsia="Segoe UI Symbol" w:hAnsi="Segoe UI Symbol" w:cs="Segoe UI Symbol"/>
        <w:sz w:val="20"/>
      </w:rPr>
      <w:t></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5"/>
    </w:pPr>
    <w:r>
      <w:rPr>
        <w:noProof/>
      </w:rPr>
      <w:drawing>
        <wp:anchor distT="0" distB="0" distL="114300" distR="114300" simplePos="0" relativeHeight="25175859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80"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76576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84"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pPr>
    <w:r>
      <w:rPr>
        <w:noProof/>
      </w:rPr>
      <w:drawing>
        <wp:anchor distT="0" distB="0" distL="114300" distR="114300" simplePos="0" relativeHeight="25176678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85" name="Picture 465313"/>
          <wp:cNvGraphicFramePr/>
          <a:graphic xmlns:a="http://schemas.openxmlformats.org/drawingml/2006/main">
            <a:graphicData uri="http://schemas.openxmlformats.org/drawingml/2006/picture">
              <pic:pic xmlns:pic="http://schemas.openxmlformats.org/drawingml/2006/picture">
                <pic:nvPicPr>
                  <pic:cNvPr id="465313" name="Picture 465313"/>
                  <pic:cNvPicPr/>
                </pic:nvPicPr>
                <pic:blipFill>
                  <a:blip r:embed="rId1"/>
                  <a:stretch>
                    <a:fillRect/>
                  </a:stretch>
                </pic:blipFill>
                <pic:spPr>
                  <a:xfrm>
                    <a:off x="0" y="0"/>
                    <a:ext cx="5193793" cy="271272"/>
                  </a:xfrm>
                  <a:prstGeom prst="rect">
                    <a:avLst/>
                  </a:prstGeom>
                </pic:spPr>
              </pic:pic>
            </a:graphicData>
          </a:graphic>
        </wp:anchor>
      </w:drawing>
    </w:r>
    <w:r>
      <w:rPr>
        <w:rFonts w:ascii="Segoe UI Symbol" w:eastAsia="Segoe UI Symbol" w:hAnsi="Segoe UI Symbol" w:cs="Segoe UI Symbol"/>
        <w:sz w:val="20"/>
      </w:rPr>
      <w:t></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76780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86"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2"/>
    </w:pPr>
    <w:r>
      <w:rPr>
        <w:noProof/>
      </w:rPr>
      <w:drawing>
        <wp:anchor distT="0" distB="0" distL="114300" distR="114300" simplePos="0" relativeHeight="25177497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91"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2"/>
    </w:pPr>
    <w:r>
      <w:rPr>
        <w:noProof/>
      </w:rPr>
      <w:drawing>
        <wp:anchor distT="0" distB="0" distL="114300" distR="114300" simplePos="0" relativeHeight="25177600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92"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pPr>
    <w:r>
      <w:rPr>
        <w:noProof/>
      </w:rPr>
      <w:drawing>
        <wp:anchor distT="0" distB="0" distL="114300" distR="114300" simplePos="0" relativeHeight="25177702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93" name="Picture 465313"/>
          <wp:cNvGraphicFramePr/>
          <a:graphic xmlns:a="http://schemas.openxmlformats.org/drawingml/2006/main">
            <a:graphicData uri="http://schemas.openxmlformats.org/drawingml/2006/picture">
              <pic:pic xmlns:pic="http://schemas.openxmlformats.org/drawingml/2006/picture">
                <pic:nvPicPr>
                  <pic:cNvPr id="465313" name="Picture 465313"/>
                  <pic:cNvPicPr/>
                </pic:nvPicPr>
                <pic:blipFill>
                  <a:blip r:embed="rId1"/>
                  <a:stretch>
                    <a:fillRect/>
                  </a:stretch>
                </pic:blipFill>
                <pic:spPr>
                  <a:xfrm>
                    <a:off x="0" y="0"/>
                    <a:ext cx="5193793" cy="271272"/>
                  </a:xfrm>
                  <a:prstGeom prst="rect">
                    <a:avLst/>
                  </a:prstGeom>
                </pic:spPr>
              </pic:pic>
            </a:graphicData>
          </a:graphic>
        </wp:anchor>
      </w:drawing>
    </w:r>
    <w:r>
      <w:rPr>
        <w:rFonts w:ascii="Segoe UI Symbol" w:eastAsia="Segoe UI Symbol" w:hAnsi="Segoe UI Symbol" w:cs="Segoe UI Symbol"/>
        <w:sz w:val="20"/>
      </w:rPr>
      <w:t></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5"/>
    </w:pPr>
    <w:r>
      <w:rPr>
        <w:noProof/>
      </w:rPr>
      <w:drawing>
        <wp:anchor distT="0" distB="0" distL="114300" distR="114300" simplePos="0" relativeHeight="25167360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7"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4"/>
    </w:pPr>
    <w:r>
      <w:rPr>
        <w:noProof/>
      </w:rPr>
      <w:drawing>
        <wp:anchor distT="0" distB="0" distL="114300" distR="114300" simplePos="0" relativeHeight="25178419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96"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4"/>
    </w:pPr>
    <w:r>
      <w:rPr>
        <w:noProof/>
      </w:rPr>
      <w:drawing>
        <wp:anchor distT="0" distB="0" distL="114300" distR="114300" simplePos="0" relativeHeight="25178521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97"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4"/>
    </w:pPr>
    <w:r>
      <w:rPr>
        <w:noProof/>
      </w:rPr>
      <w:drawing>
        <wp:anchor distT="0" distB="0" distL="114300" distR="114300" simplePos="0" relativeHeight="25178624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498"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79340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02"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79443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03"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79545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04"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5"/>
    </w:pPr>
    <w:r>
      <w:rPr>
        <w:noProof/>
      </w:rPr>
      <w:drawing>
        <wp:anchor distT="0" distB="0" distL="114300" distR="114300" simplePos="0" relativeHeight="25180262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08"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5"/>
    </w:pPr>
    <w:r>
      <w:rPr>
        <w:noProof/>
      </w:rPr>
      <w:drawing>
        <wp:anchor distT="0" distB="0" distL="114300" distR="114300" simplePos="0" relativeHeight="25180364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09"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5"/>
    </w:pPr>
    <w:r>
      <w:rPr>
        <w:noProof/>
      </w:rPr>
      <w:drawing>
        <wp:anchor distT="0" distB="0" distL="114300" distR="114300" simplePos="0" relativeHeight="25180467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10"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81184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12"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5"/>
    </w:pPr>
    <w:r>
      <w:rPr>
        <w:noProof/>
      </w:rPr>
      <w:drawing>
        <wp:anchor distT="0" distB="0" distL="114300" distR="114300" simplePos="0" relativeHeight="25167462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8"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81286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13"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81388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14"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82105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16"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82208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17"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13"/>
    </w:pPr>
    <w:r>
      <w:rPr>
        <w:noProof/>
      </w:rPr>
      <w:drawing>
        <wp:anchor distT="0" distB="0" distL="114300" distR="114300" simplePos="0" relativeHeight="25182310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18"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6"/>
    </w:pPr>
    <w:r>
      <w:rPr>
        <w:noProof/>
      </w:rPr>
      <w:drawing>
        <wp:anchor distT="0" distB="0" distL="114300" distR="114300" simplePos="0" relativeHeight="25183027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22"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6"/>
    </w:pPr>
    <w:r>
      <w:rPr>
        <w:noProof/>
      </w:rPr>
      <w:drawing>
        <wp:anchor distT="0" distB="0" distL="114300" distR="114300" simplePos="0" relativeHeight="25183129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23"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6"/>
    </w:pPr>
    <w:r>
      <w:rPr>
        <w:noProof/>
      </w:rPr>
      <w:drawing>
        <wp:anchor distT="0" distB="0" distL="114300" distR="114300" simplePos="0" relativeHeight="25183232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24"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4"/>
    </w:pPr>
    <w:r>
      <w:rPr>
        <w:noProof/>
      </w:rPr>
      <w:drawing>
        <wp:anchor distT="0" distB="0" distL="114300" distR="114300" simplePos="0" relativeHeight="25183948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28"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4"/>
    </w:pPr>
    <w:r>
      <w:rPr>
        <w:noProof/>
      </w:rPr>
      <w:drawing>
        <wp:anchor distT="0" distB="0" distL="114300" distR="114300" simplePos="0" relativeHeight="25184051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29"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5"/>
    </w:pPr>
    <w:r>
      <w:rPr>
        <w:noProof/>
      </w:rPr>
      <w:drawing>
        <wp:anchor distT="0" distB="0" distL="114300" distR="114300" simplePos="0" relativeHeight="25167564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9"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4"/>
    </w:pPr>
    <w:r>
      <w:rPr>
        <w:noProof/>
      </w:rPr>
      <w:drawing>
        <wp:anchor distT="0" distB="0" distL="114300" distR="114300" simplePos="0" relativeHeight="25184153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30"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6"/>
    </w:pPr>
    <w:r>
      <w:rPr>
        <w:noProof/>
      </w:rPr>
      <w:drawing>
        <wp:anchor distT="0" distB="0" distL="114300" distR="114300" simplePos="0" relativeHeight="25184870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34"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6"/>
    </w:pPr>
    <w:r>
      <w:rPr>
        <w:noProof/>
      </w:rPr>
      <w:drawing>
        <wp:anchor distT="0" distB="0" distL="114300" distR="114300" simplePos="0" relativeHeight="25184972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35"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6"/>
    </w:pPr>
    <w:r>
      <w:rPr>
        <w:noProof/>
      </w:rPr>
      <w:drawing>
        <wp:anchor distT="0" distB="0" distL="114300" distR="114300" simplePos="0" relativeHeight="251850752"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36"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85792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40"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85894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41"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859968"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484542"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4"/>
    </w:pPr>
    <w:r>
      <w:rPr>
        <w:noProof/>
      </w:rPr>
      <w:drawing>
        <wp:anchor distT="0" distB="0" distL="114300" distR="114300" simplePos="0" relativeHeight="25186713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581378"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4"/>
    </w:pPr>
    <w:r>
      <w:rPr>
        <w:noProof/>
      </w:rPr>
      <w:drawing>
        <wp:anchor distT="0" distB="0" distL="114300" distR="114300" simplePos="0" relativeHeight="25186816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581379"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4"/>
    </w:pPr>
    <w:r>
      <w:rPr>
        <w:noProof/>
      </w:rPr>
      <w:drawing>
        <wp:anchor distT="0" distB="0" distL="114300" distR="114300" simplePos="0" relativeHeight="25186918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581380"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682816"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13"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683840"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14"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198" w:right="333"/>
    </w:pPr>
    <w:r>
      <w:rPr>
        <w:noProof/>
      </w:rPr>
      <w:drawing>
        <wp:anchor distT="0" distB="0" distL="114300" distR="114300" simplePos="0" relativeHeight="251684864" behindDoc="0" locked="0" layoutInCell="1" allowOverlap="0">
          <wp:simplePos x="0" y="0"/>
          <wp:positionH relativeFrom="page">
            <wp:posOffset>1800733</wp:posOffset>
          </wp:positionH>
          <wp:positionV relativeFrom="page">
            <wp:posOffset>9972040</wp:posOffset>
          </wp:positionV>
          <wp:extent cx="5193793" cy="271272"/>
          <wp:effectExtent l="0" t="0" r="0" b="0"/>
          <wp:wrapSquare wrapText="bothSides"/>
          <wp:docPr id="15" name="Picture 465256"/>
          <wp:cNvGraphicFramePr/>
          <a:graphic xmlns:a="http://schemas.openxmlformats.org/drawingml/2006/main">
            <a:graphicData uri="http://schemas.openxmlformats.org/drawingml/2006/picture">
              <pic:pic xmlns:pic="http://schemas.openxmlformats.org/drawingml/2006/picture">
                <pic:nvPicPr>
                  <pic:cNvPr id="465256" name="Picture 465256"/>
                  <pic:cNvPicPr/>
                </pic:nvPicPr>
                <pic:blipFill>
                  <a:blip r:embed="rId1"/>
                  <a:stretch>
                    <a:fillRect/>
                  </a:stretch>
                </pic:blipFill>
                <pic:spPr>
                  <a:xfrm>
                    <a:off x="0" y="0"/>
                    <a:ext cx="5193793" cy="27127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A7C13">
      <w:pPr>
        <w:spacing w:after="0" w:line="240" w:lineRule="auto"/>
      </w:pPr>
      <w:r>
        <w:separator/>
      </w:r>
    </w:p>
  </w:footnote>
  <w:footnote w:type="continuationSeparator" w:id="0">
    <w:p w:rsidR="00000000" w:rsidRDefault="00BA7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50"/>
    </w:pPr>
    <w:r>
      <w:rPr>
        <w:noProof/>
      </w:rPr>
      <w:drawing>
        <wp:anchor distT="0" distB="0" distL="114300" distR="114300" simplePos="0" relativeHeight="25165824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65247"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65926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853" name="Group 60985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854" name="Picture 609854"/>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853" style="width:28pt;height:310pt;position:absolute;z-index:-2147483648;mso-position-horizontal-relative:page;mso-position-horizontal:absolute;margin-left:653.39pt;mso-position-vertical-relative:page;margin-top:502pt;" coordsize="3556,39370">
              <v:shape id="Picture 609854" style="position:absolute;width:39370;height:3556;left:-17906;top:17906;rotation:-89;" filled="f">
                <v:imagedata r:id="rId160"/>
              </v:shap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278"/>
    </w:pPr>
    <w:r>
      <w:rPr>
        <w:noProof/>
      </w:rPr>
      <w:drawing>
        <wp:anchor distT="0" distB="0" distL="114300" distR="114300" simplePos="0" relativeHeight="25168588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16"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68691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015" name="Group 61001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016" name="Picture 61001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015" style="width:28pt;height:310pt;position:absolute;z-index:-2147483648;mso-position-horizontal-relative:page;mso-position-horizontal:absolute;margin-left:653.39pt;mso-position-vertical-relative:page;margin-top:502pt;" coordsize="3556,39370">
              <v:shape id="Picture 610016" style="position:absolute;width:39370;height:3556;left:-17906;top:17906;rotation:-89;" filled="f">
                <v:imagedata r:id="rId160"/>
              </v:shap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278"/>
    </w:pPr>
    <w:r>
      <w:rPr>
        <w:noProof/>
      </w:rPr>
      <w:drawing>
        <wp:anchor distT="0" distB="0" distL="114300" distR="114300" simplePos="0" relativeHeight="25168793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17"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68896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999" name="Group 60999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000" name="Picture 610000"/>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999" style="width:28pt;height:310pt;position:absolute;z-index:-2147483648;mso-position-horizontal-relative:page;mso-position-horizontal:absolute;margin-left:653.39pt;mso-position-vertical-relative:page;margin-top:502pt;" coordsize="3556,39370">
              <v:shape id="Picture 610000" style="position:absolute;width:39370;height:3556;left:-17906;top:17906;rotation:-89;" filled="f">
                <v:imagedata r:id="rId160"/>
              </v:shap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278"/>
    </w:pPr>
    <w:r>
      <w:rPr>
        <w:noProof/>
      </w:rPr>
      <w:drawing>
        <wp:anchor distT="0" distB="0" distL="114300" distR="114300" simplePos="0" relativeHeight="25168998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18"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69100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983" name="Group 60998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984" name="Picture 609984"/>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983" style="width:28pt;height:310pt;position:absolute;z-index:-2147483648;mso-position-horizontal-relative:page;mso-position-horizontal:absolute;margin-left:653.39pt;mso-position-vertical-relative:page;margin-top:502pt;" coordsize="3556,39370">
              <v:shape id="Picture 609984" style="position:absolute;width:39370;height:3556;left:-17906;top:17906;rotation:-89;" filled="f">
                <v:imagedata r:id="rId160"/>
              </v:shap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69510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22"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69612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070" name="Group 61007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071" name="Picture 610071"/>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070" style="width:28pt;height:310pt;position:absolute;z-index:-2147483648;mso-position-horizontal-relative:page;mso-position-horizontal:absolute;margin-left:653.39pt;mso-position-vertical-relative:page;margin-top:502pt;" coordsize="3556,39370">
              <v:shape id="Picture 610071" style="position:absolute;width:39370;height:3556;left:-17906;top:17906;rotation:-89;" filled="f">
                <v:imagedata r:id="rId160"/>
              </v:shap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69715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23"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69817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051" name="Group 61005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052" name="Picture 610052"/>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051" style="width:28pt;height:310pt;position:absolute;z-index:-2147483648;mso-position-horizontal-relative:page;mso-position-horizontal:absolute;margin-left:653.39pt;mso-position-vertical-relative:page;margin-top:502pt;" coordsize="3556,39370">
              <v:shape id="Picture 610052" style="position:absolute;width:39370;height:3556;left:-17906;top:17906;rotation:-89;" filled="f">
                <v:imagedata r:id="rId160"/>
              </v:shap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69920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24"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0022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035" name="Group 61003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036" name="Picture 61003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035" style="width:28pt;height:310pt;position:absolute;z-index:-2147483648;mso-position-horizontal-relative:page;mso-position-horizontal:absolute;margin-left:653.39pt;mso-position-vertical-relative:page;margin-top:502pt;" coordsize="3556,39370">
              <v:shape id="Picture 610036" style="position:absolute;width:39370;height:3556;left:-17906;top:17906;rotation:-89;" filled="f">
                <v:imagedata r:id="rId160"/>
              </v:shape>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0432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28"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0534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128" name="Group 61012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129" name="Picture 610129"/>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128" style="width:28pt;height:310pt;position:absolute;z-index:-2147483648;mso-position-horizontal-relative:page;mso-position-horizontal:absolute;margin-left:653.39pt;mso-position-vertical-relative:page;margin-top:502pt;" coordsize="3556,39370">
              <v:shape id="Picture 610129" style="position:absolute;width:39370;height:3556;left:-17906;top:17906;rotation:-89;" filled="f">
                <v:imagedata r:id="rId160"/>
              </v:shape>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0636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29"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0739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109" name="Group 61010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110" name="Picture 610110"/>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109" style="width:28pt;height:310pt;position:absolute;z-index:-2147483648;mso-position-horizontal-relative:page;mso-position-horizontal:absolute;margin-left:653.39pt;mso-position-vertical-relative:page;margin-top:502pt;" coordsize="3556,39370">
              <v:shape id="Picture 610110" style="position:absolute;width:39370;height:3556;left:-17906;top:17906;rotation:-89;" filled="f">
                <v:imagedata r:id="rId160"/>
              </v:shape>
            </v:group>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0841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30"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0944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090" name="Group 61009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091" name="Picture 610091"/>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090" style="width:28pt;height:310pt;position:absolute;z-index:-2147483648;mso-position-horizontal-relative:page;mso-position-horizontal:absolute;margin-left:653.39pt;mso-position-vertical-relative:page;margin-top:502pt;" coordsize="3556,39370">
              <v:shape id="Picture 610091" style="position:absolute;width:39370;height:3556;left:-17906;top:17906;rotation:-89;" filled="f">
                <v:imagedata r:id="rId160"/>
              </v:shape>
            </v:group>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1353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34"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1456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177" name="Group 61017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178" name="Picture 610178"/>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177" style="width:28pt;height:310pt;position:absolute;z-index:-2147483648;mso-position-horizontal-relative:page;mso-position-horizontal:absolute;margin-left:653.39pt;mso-position-vertical-relative:page;margin-top:502pt;" coordsize="3556,39370">
              <v:shape id="Picture 610178" style="position:absolute;width:39370;height:3556;left:-17906;top:17906;rotation:-89;" filled="f">
                <v:imagedata r:id="rId16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50"/>
    </w:pPr>
    <w:r>
      <w:rPr>
        <w:noProof/>
      </w:rPr>
      <w:drawing>
        <wp:anchor distT="0" distB="0" distL="114300" distR="114300" simplePos="0" relativeHeight="25166028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1"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66131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837" name="Group 60983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838" name="Picture 609838"/>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837" style="width:28pt;height:310pt;position:absolute;z-index:-2147483648;mso-position-horizontal-relative:page;mso-position-horizontal:absolute;margin-left:653.39pt;mso-position-vertical-relative:page;margin-top:502pt;" coordsize="3556,39370">
              <v:shape id="Picture 609838" style="position:absolute;width:39370;height:3556;left:-17906;top:17906;rotation:-89;" filled="f">
                <v:imagedata r:id="rId160"/>
              </v:shape>
            </v:group>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1558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35"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1660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161" name="Group 61016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162" name="Picture 610162"/>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161" style="width:28pt;height:310pt;position:absolute;z-index:-2147483648;mso-position-horizontal-relative:page;mso-position-horizontal:absolute;margin-left:653.39pt;mso-position-vertical-relative:page;margin-top:502pt;" coordsize="3556,39370">
              <v:shape id="Picture 610162" style="position:absolute;width:39370;height:3556;left:-17906;top:17906;rotation:-89;" filled="f">
                <v:imagedata r:id="rId160"/>
              </v:shape>
            </v:group>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1763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36"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1865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145" name="Group 61014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146" name="Picture 61014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145" style="width:28pt;height:310pt;position:absolute;z-index:-2147483648;mso-position-horizontal-relative:page;mso-position-horizontal:absolute;margin-left:653.39pt;mso-position-vertical-relative:page;margin-top:502pt;" coordsize="3556,39370">
              <v:shape id="Picture 610146" style="position:absolute;width:39370;height:3556;left:-17906;top:17906;rotation:-89;" filled="f">
                <v:imagedata r:id="rId160"/>
              </v:shape>
            </v:group>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2275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0"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2377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230" name="Group 61023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231" name="Picture 610231"/>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230" style="width:28pt;height:310pt;position:absolute;z-index:-2147483648;mso-position-horizontal-relative:page;mso-position-horizontal:absolute;margin-left:653.39pt;mso-position-vertical-relative:page;margin-top:502pt;" coordsize="3556,39370">
              <v:shape id="Picture 610231" style="position:absolute;width:39370;height:3556;left:-17906;top:17906;rotation:-89;" filled="f">
                <v:imagedata r:id="rId160"/>
              </v:shape>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2480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5"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2582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212" name="Group 61021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213" name="Picture 610213"/>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212" style="width:28pt;height:310pt;position:absolute;z-index:-2147483648;mso-position-horizontal-relative:page;mso-position-horizontal:absolute;margin-left:653.39pt;mso-position-vertical-relative:page;margin-top:502pt;" coordsize="3556,39370">
              <v:shape id="Picture 610213" style="position:absolute;width:39370;height:3556;left:-17906;top:17906;rotation:-89;" filled="f">
                <v:imagedata r:id="rId160"/>
              </v:shape>
            </v:group>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2684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6"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2787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194" name="Group 61019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195" name="Picture 610195"/>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194" style="width:28pt;height:310pt;position:absolute;z-index:-2147483648;mso-position-horizontal-relative:page;mso-position-horizontal:absolute;margin-left:653.39pt;mso-position-vertical-relative:page;margin-top:502pt;" coordsize="3556,39370">
              <v:shape id="Picture 610195" style="position:absolute;width:39370;height:3556;left:-17906;top:17906;rotation:-89;" filled="f">
                <v:imagedata r:id="rId160"/>
              </v:shape>
            </v:group>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270"/>
    </w:pPr>
    <w:r>
      <w:rPr>
        <w:noProof/>
      </w:rPr>
      <w:drawing>
        <wp:anchor distT="0" distB="0" distL="114300" distR="114300" simplePos="0" relativeHeight="25173196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9"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3299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281" name="Group 61028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282" name="Picture 610282"/>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281" style="width:28pt;height:310pt;position:absolute;z-index:-2147483648;mso-position-horizontal-relative:page;mso-position-horizontal:absolute;margin-left:653.39pt;mso-position-vertical-relative:page;margin-top:502pt;" coordsize="3556,39370">
              <v:shape id="Picture 610282" style="position:absolute;width:39370;height:3556;left:-17906;top:17906;rotation:-89;" filled="f">
                <v:imagedata r:id="rId160"/>
              </v:shape>
            </v:group>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270"/>
    </w:pPr>
    <w:r>
      <w:rPr>
        <w:noProof/>
      </w:rPr>
      <w:drawing>
        <wp:anchor distT="0" distB="0" distL="114300" distR="114300" simplePos="0" relativeHeight="25173401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50"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3504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265" name="Group 61026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266" name="Picture 61026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265" style="width:28pt;height:310pt;position:absolute;z-index:-2147483648;mso-position-horizontal-relative:page;mso-position-horizontal:absolute;margin-left:653.39pt;mso-position-vertical-relative:page;margin-top:502pt;" coordsize="3556,39370">
              <v:shape id="Picture 610266" style="position:absolute;width:39370;height:3556;left:-17906;top:17906;rotation:-89;" filled="f">
                <v:imagedata r:id="rId160"/>
              </v:shape>
            </v:group>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270"/>
    </w:pPr>
    <w:r>
      <w:rPr>
        <w:noProof/>
      </w:rPr>
      <w:drawing>
        <wp:anchor distT="0" distB="0" distL="114300" distR="114300" simplePos="0" relativeHeight="25173606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51"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3708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249" name="Group 61024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250" name="Picture 610250"/>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249" style="width:28pt;height:310pt;position:absolute;z-index:-2147483648;mso-position-horizontal-relative:page;mso-position-horizontal:absolute;margin-left:653.39pt;mso-position-vertical-relative:page;margin-top:502pt;" coordsize="3556,39370">
              <v:shape id="Picture 610250" style="position:absolute;width:39370;height:3556;left:-17906;top:17906;rotation:-89;" filled="f">
                <v:imagedata r:id="rId160"/>
              </v:shape>
            </v:group>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4118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55"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4220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334" name="Group 61033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335" name="Picture 610335"/>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334" style="width:28pt;height:310pt;position:absolute;z-index:-2147483648;mso-position-horizontal-relative:page;mso-position-horizontal:absolute;margin-left:653.39pt;mso-position-vertical-relative:page;margin-top:502pt;" coordsize="3556,39370">
              <v:shape id="Picture 610335" style="position:absolute;width:39370;height:3556;left:-17906;top:17906;rotation:-89;" filled="f">
                <v:imagedata r:id="rId160"/>
              </v:shape>
            </v:group>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4323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56"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4425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316" name="Group 61031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317" name="Picture 610317"/>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316" style="width:28pt;height:310pt;position:absolute;z-index:-2147483648;mso-position-horizontal-relative:page;mso-position-horizontal:absolute;margin-left:653.39pt;mso-position-vertical-relative:page;margin-top:502pt;" coordsize="3556,39370">
              <v:shape id="Picture 610317" style="position:absolute;width:39370;height:3556;left:-17906;top:17906;rotation:-89;" filled="f">
                <v:imagedata r:id="rId160"/>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50"/>
    </w:pPr>
    <w:r>
      <w:rPr>
        <w:noProof/>
      </w:rPr>
      <w:drawing>
        <wp:anchor distT="0" distB="0" distL="114300" distR="114300" simplePos="0" relativeHeight="25166233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2"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66336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821" name="Group 60982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822" name="Picture 609822"/>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821" style="width:28pt;height:310pt;position:absolute;z-index:-2147483648;mso-position-horizontal-relative:page;mso-position-horizontal:absolute;margin-left:653.39pt;mso-position-vertical-relative:page;margin-top:502pt;" coordsize="3556,39370">
              <v:shape id="Picture 609822" style="position:absolute;width:39370;height:3556;left:-17906;top:17906;rotation:-89;" filled="f">
                <v:imagedata r:id="rId160"/>
              </v:shape>
            </v:group>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4528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57"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4630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298" name="Group 61029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299" name="Picture 610299"/>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298" style="width:28pt;height:310pt;position:absolute;z-index:-2147483648;mso-position-horizontal-relative:page;mso-position-horizontal:absolute;margin-left:653.39pt;mso-position-vertical-relative:page;margin-top:502pt;" coordsize="3556,39370">
              <v:shape id="Picture 610299" style="position:absolute;width:39370;height:3556;left:-17906;top:17906;rotation:-89;" filled="f">
                <v:imagedata r:id="rId160"/>
              </v:shape>
            </v:group>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5040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60"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5142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385" name="Group 61038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386" name="Picture 61038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385" style="width:28pt;height:310pt;position:absolute;z-index:-2147483648;mso-position-horizontal-relative:page;mso-position-horizontal:absolute;margin-left:653.39pt;mso-position-vertical-relative:page;margin-top:502pt;" coordsize="3556,39370">
              <v:shape id="Picture 610386" style="position:absolute;width:39370;height:3556;left:-17906;top:17906;rotation:-89;" filled="f">
                <v:imagedata r:id="rId160"/>
              </v:shape>
            </v:group>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5244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61"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5347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367" name="Group 61036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368" name="Picture 610368"/>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367" style="width:28pt;height:310pt;position:absolute;z-index:-2147483648;mso-position-horizontal-relative:page;mso-position-horizontal:absolute;margin-left:653.39pt;mso-position-vertical-relative:page;margin-top:502pt;" coordsize="3556,39370">
              <v:shape id="Picture 610368" style="position:absolute;width:39370;height:3556;left:-17906;top:17906;rotation:-89;" filled="f">
                <v:imagedata r:id="rId160"/>
              </v:shape>
            </v:group>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5449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62"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5552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351" name="Group 61035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352" name="Picture 610352"/>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351" style="width:28pt;height:310pt;position:absolute;z-index:-2147483648;mso-position-horizontal-relative:page;mso-position-horizontal:absolute;margin-left:653.39pt;mso-position-vertical-relative:page;margin-top:502pt;" coordsize="3556,39370">
              <v:shape id="Picture 610352" style="position:absolute;width:39370;height:3556;left:-17906;top:17906;rotation:-89;" filled="f">
                <v:imagedata r:id="rId160"/>
              </v:shape>
            </v:group>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5961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481"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6064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442" name="Group 61044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443" name="Picture 610443"/>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442" style="width:28pt;height:310pt;position:absolute;z-index:-2147483648;mso-position-horizontal-relative:page;mso-position-horizontal:absolute;margin-left:653.39pt;mso-position-vertical-relative:page;margin-top:502pt;" coordsize="3556,39370">
              <v:shape id="Picture 610443" style="position:absolute;width:39370;height:3556;left:-17906;top:17906;rotation:-89;" filled="f">
                <v:imagedata r:id="rId160"/>
              </v:shape>
            </v:group>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6166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482"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6268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421" name="Group 61042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422" name="Picture 610422"/>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421" style="width:28pt;height:310pt;position:absolute;z-index:-2147483648;mso-position-horizontal-relative:page;mso-position-horizontal:absolute;margin-left:653.39pt;mso-position-vertical-relative:page;margin-top:502pt;" coordsize="3556,39370">
              <v:shape id="Picture 610422" style="position:absolute;width:39370;height:3556;left:-17906;top:17906;rotation:-89;" filled="f">
                <v:imagedata r:id="rId160"/>
              </v:shape>
            </v:group>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6371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483"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6473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405" name="Group 61040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406" name="Picture 61040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405" style="width:28pt;height:310pt;position:absolute;z-index:-2147483648;mso-position-horizontal-relative:page;mso-position-horizontal:absolute;margin-left:653.39pt;mso-position-vertical-relative:page;margin-top:502pt;" coordsize="3556,39370">
              <v:shape id="Picture 610406" style="position:absolute;width:39370;height:3556;left:-17906;top:17906;rotation:-89;" filled="f">
                <v:imagedata r:id="rId160"/>
              </v:shape>
            </v:group>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6883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487"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6985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502" name="Group 61050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503" name="Picture 610503"/>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502" style="width:28pt;height:310pt;position:absolute;z-index:-2147483648;mso-position-horizontal-relative:page;mso-position-horizontal:absolute;margin-left:653.39pt;mso-position-vertical-relative:page;margin-top:502pt;" coordsize="3556,39370">
              <v:shape id="Picture 610503" style="position:absolute;width:39370;height:3556;left:-17906;top:17906;rotation:-89;" filled="f">
                <v:imagedata r:id="rId160"/>
              </v:shape>
            </v:group>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7088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489"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7190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483" name="Group 61048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484" name="Picture 610484"/>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483" style="width:28pt;height:310pt;position:absolute;z-index:-2147483648;mso-position-horizontal-relative:page;mso-position-horizontal:absolute;margin-left:653.39pt;mso-position-vertical-relative:page;margin-top:502pt;" coordsize="3556,39370">
              <v:shape id="Picture 610484" style="position:absolute;width:39370;height:3556;left:-17906;top:17906;rotation:-89;" filled="f">
                <v:imagedata r:id="rId160"/>
              </v:shape>
            </v:group>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7292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490"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7395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462" name="Group 61046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463" name="Picture 610463"/>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462" style="width:28pt;height:310pt;position:absolute;z-index:-2147483648;mso-position-horizontal-relative:page;mso-position-horizontal:absolute;margin-left:653.39pt;mso-position-vertical-relative:page;margin-top:502pt;" coordsize="3556,39370">
              <v:shape id="Picture 610463" style="position:absolute;width:39370;height:3556;left:-17906;top:17906;rotation:-89;" filled="f">
                <v:imagedata r:id="rId160"/>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66745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65274"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66848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908" name="Group 60990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909" name="Picture 609909"/>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908" style="width:28pt;height:310pt;position:absolute;z-index:-2147483648;mso-position-horizontal-relative:page;mso-position-horizontal:absolute;margin-left:653.39pt;mso-position-vertical-relative:page;margin-top:502pt;" coordsize="3556,39370">
              <v:shape id="Picture 609909" style="position:absolute;width:39370;height:3556;left:-17906;top:17906;rotation:-89;" filled="f">
                <v:imagedata r:id="rId160"/>
              </v:shape>
            </v:group>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6"/>
      <w:ind w:left="-362"/>
    </w:pPr>
    <w:r>
      <w:rPr>
        <w:noProof/>
      </w:rPr>
      <w:drawing>
        <wp:anchor distT="0" distB="0" distL="114300" distR="114300" simplePos="0" relativeHeight="25177804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65335" name="Picture 465335"/>
          <wp:cNvGraphicFramePr/>
          <a:graphic xmlns:a="http://schemas.openxmlformats.org/drawingml/2006/main">
            <a:graphicData uri="http://schemas.openxmlformats.org/drawingml/2006/picture">
              <pic:pic xmlns:pic="http://schemas.openxmlformats.org/drawingml/2006/picture">
                <pic:nvPicPr>
                  <pic:cNvPr id="465335" name="Picture 465335"/>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tabs>
        <w:tab w:val="center" w:pos="568"/>
      </w:tabs>
      <w:spacing w:after="0"/>
    </w:pPr>
    <w:r>
      <w:rPr>
        <w:rFonts w:ascii="Segoe UI Symbol" w:eastAsia="Segoe UI Symbol" w:hAnsi="Segoe UI Symbol" w:cs="Segoe UI Symbol"/>
        <w:sz w:val="20"/>
      </w:rPr>
      <w:t></w:t>
    </w:r>
    <w:r>
      <w:rPr>
        <w:rFonts w:ascii="Segoe UI Symbol" w:eastAsia="Segoe UI Symbol" w:hAnsi="Segoe UI Symbol" w:cs="Segoe UI Symbol"/>
        <w:sz w:val="20"/>
      </w:rPr>
      <w:tab/>
    </w:r>
    <w:r>
      <w:rPr>
        <w:rFonts w:ascii="Arial" w:eastAsia="Arial" w:hAnsi="Arial" w:cs="Arial"/>
        <w:b/>
        <w:i/>
        <w:color w:val="222222"/>
      </w:rPr>
      <w:t xml:space="preserve"> </w:t>
    </w:r>
  </w:p>
  <w:p w:rsidR="00E23B86" w:rsidRDefault="00BA7C13">
    <w:r>
      <w:rPr>
        <w:noProof/>
      </w:rPr>
      <mc:AlternateContent>
        <mc:Choice Requires="wpg">
          <w:drawing>
            <wp:anchor distT="0" distB="0" distL="114300" distR="114300" simplePos="0" relativeHeight="25177907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556" name="Group 61055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557" name="Picture 610557"/>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556" style="width:28pt;height:310pt;position:absolute;z-index:-2147483648;mso-position-horizontal-relative:page;mso-position-horizontal:absolute;margin-left:653.39pt;mso-position-vertical-relative:page;margin-top:502pt;" coordsize="3556,39370">
              <v:shape id="Picture 610557" style="position:absolute;width:39370;height:3556;left:-17906;top:17906;rotation:-89;" filled="f">
                <v:imagedata r:id="rId160"/>
              </v:shape>
            </v:group>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8009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494"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8112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535" name="Group 61053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536" name="Picture 61053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535" style="width:28pt;height:310pt;position:absolute;z-index:-2147483648;mso-position-horizontal-relative:page;mso-position-horizontal:absolute;margin-left:653.39pt;mso-position-vertical-relative:page;margin-top:502pt;" coordsize="3556,39370">
              <v:shape id="Picture 610536" style="position:absolute;width:39370;height:3556;left:-17906;top:17906;rotation:-89;" filled="f">
                <v:imagedata r:id="rId160"/>
              </v:shape>
            </v:group>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8214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495"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8316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519" name="Group 61051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520" name="Picture 610520"/>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519" style="width:28pt;height:310pt;position:absolute;z-index:-2147483648;mso-position-horizontal-relative:page;mso-position-horizontal:absolute;margin-left:653.39pt;mso-position-vertical-relative:page;margin-top:502pt;" coordsize="3556,39370">
              <v:shape id="Picture 610520" style="position:absolute;width:39370;height:3556;left:-17906;top:17906;rotation:-89;" filled="f">
                <v:imagedata r:id="rId160"/>
              </v:shape>
            </v:group>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6"/>
      <w:ind w:left="-362"/>
    </w:pPr>
    <w:r>
      <w:rPr>
        <w:noProof/>
      </w:rPr>
      <w:drawing>
        <wp:anchor distT="0" distB="0" distL="114300" distR="114300" simplePos="0" relativeHeight="25178726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499" name="Picture 465335"/>
          <wp:cNvGraphicFramePr/>
          <a:graphic xmlns:a="http://schemas.openxmlformats.org/drawingml/2006/main">
            <a:graphicData uri="http://schemas.openxmlformats.org/drawingml/2006/picture">
              <pic:pic xmlns:pic="http://schemas.openxmlformats.org/drawingml/2006/picture">
                <pic:nvPicPr>
                  <pic:cNvPr id="465335" name="Picture 465335"/>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tabs>
        <w:tab w:val="center" w:pos="568"/>
      </w:tabs>
      <w:spacing w:after="0"/>
    </w:pPr>
    <w:r>
      <w:rPr>
        <w:rFonts w:ascii="Segoe UI Symbol" w:eastAsia="Segoe UI Symbol" w:hAnsi="Segoe UI Symbol" w:cs="Segoe UI Symbol"/>
        <w:sz w:val="20"/>
      </w:rPr>
      <w:t></w:t>
    </w:r>
    <w:r>
      <w:rPr>
        <w:rFonts w:ascii="Segoe UI Symbol" w:eastAsia="Segoe UI Symbol" w:hAnsi="Segoe UI Symbol" w:cs="Segoe UI Symbol"/>
        <w:sz w:val="20"/>
      </w:rPr>
      <w:tab/>
    </w:r>
    <w:r>
      <w:rPr>
        <w:rFonts w:ascii="Arial" w:eastAsia="Arial" w:hAnsi="Arial" w:cs="Arial"/>
        <w:b/>
        <w:i/>
        <w:color w:val="222222"/>
      </w:rPr>
      <w:t xml:space="preserve"> </w:t>
    </w:r>
  </w:p>
  <w:p w:rsidR="00E23B86" w:rsidRDefault="00BA7C13">
    <w:r>
      <w:rPr>
        <w:noProof/>
      </w:rPr>
      <mc:AlternateContent>
        <mc:Choice Requires="wpg">
          <w:drawing>
            <wp:anchor distT="0" distB="0" distL="114300" distR="114300" simplePos="0" relativeHeight="25178828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616" name="Group 61061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617" name="Picture 610617"/>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616" style="width:28pt;height:310pt;position:absolute;z-index:-2147483648;mso-position-horizontal-relative:page;mso-position-horizontal:absolute;margin-left:653.39pt;mso-position-vertical-relative:page;margin-top:502pt;" coordsize="3556,39370">
              <v:shape id="Picture 610617" style="position:absolute;width:39370;height:3556;left:-17906;top:17906;rotation:-89;" filled="f">
                <v:imagedata r:id="rId160"/>
              </v:shape>
            </v:group>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8931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00"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9033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595" name="Group 61059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596" name="Picture 61059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595" style="width:28pt;height:310pt;position:absolute;z-index:-2147483648;mso-position-horizontal-relative:page;mso-position-horizontal:absolute;margin-left:653.39pt;mso-position-vertical-relative:page;margin-top:502pt;" coordsize="3556,39370">
              <v:shape id="Picture 610596" style="position:absolute;width:39370;height:3556;left:-17906;top:17906;rotation:-89;" filled="f">
                <v:imagedata r:id="rId160"/>
              </v:shape>
            </v:group>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79136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01"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79238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576" name="Group 61057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577" name="Picture 610577"/>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576" style="width:28pt;height:310pt;position:absolute;z-index:-2147483648;mso-position-horizontal-relative:page;mso-position-horizontal:absolute;margin-left:653.39pt;mso-position-vertical-relative:page;margin-top:502pt;" coordsize="3556,39370">
              <v:shape id="Picture 610577" style="position:absolute;width:39370;height:3556;left:-17906;top:17906;rotation:-89;" filled="f">
                <v:imagedata r:id="rId160"/>
              </v:shape>
            </v:group>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9648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05"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9750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665" name="Group 61066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666" name="Picture 61066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665" style="width:28pt;height:310pt;position:absolute;z-index:-2147483648;mso-position-horizontal-relative:page;mso-position-horizontal:absolute;margin-left:653.39pt;mso-position-vertical-relative:page;margin-top:502pt;" coordsize="3556,39370">
              <v:shape id="Picture 610666" style="position:absolute;width:39370;height:3556;left:-17906;top:17906;rotation:-89;" filled="f">
                <v:imagedata r:id="rId160"/>
              </v:shape>
            </v:group>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79852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06"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79955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649" name="Group 61064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650" name="Picture 610650"/>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649" style="width:28pt;height:310pt;position:absolute;z-index:-2147483648;mso-position-horizontal-relative:page;mso-position-horizontal:absolute;margin-left:653.39pt;mso-position-vertical-relative:page;margin-top:502pt;" coordsize="3556,39370">
              <v:shape id="Picture 610650" style="position:absolute;width:39370;height:3556;left:-17906;top:17906;rotation:-89;" filled="f">
                <v:imagedata r:id="rId160"/>
              </v:shape>
            </v:group>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0057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07"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0160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633" name="Group 61063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634" name="Picture 610634"/>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633" style="width:28pt;height:310pt;position:absolute;z-index:-2147483648;mso-position-horizontal-relative:page;mso-position-horizontal:absolute;margin-left:653.39pt;mso-position-vertical-relative:page;margin-top:502pt;" coordsize="3556,39370">
              <v:shape id="Picture 610634" style="position:absolute;width:39370;height:3556;left:-17906;top:17906;rotation:-89;" filled="f">
                <v:imagedata r:id="rId160"/>
              </v:shape>
            </v:group>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6"/>
      <w:ind w:left="-362"/>
    </w:pPr>
    <w:r>
      <w:rPr>
        <w:noProof/>
      </w:rPr>
      <w:drawing>
        <wp:anchor distT="0" distB="0" distL="114300" distR="114300" simplePos="0" relativeHeight="25180569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65380" name="Picture 465380"/>
          <wp:cNvGraphicFramePr/>
          <a:graphic xmlns:a="http://schemas.openxmlformats.org/drawingml/2006/main">
            <a:graphicData uri="http://schemas.openxmlformats.org/drawingml/2006/picture">
              <pic:pic xmlns:pic="http://schemas.openxmlformats.org/drawingml/2006/picture">
                <pic:nvPicPr>
                  <pic:cNvPr id="465380" name="Picture 465380"/>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tabs>
        <w:tab w:val="center" w:pos="544"/>
      </w:tabs>
      <w:spacing w:after="476"/>
    </w:pPr>
    <w:r>
      <w:rPr>
        <w:rFonts w:ascii="Segoe UI Symbol" w:eastAsia="Segoe UI Symbol" w:hAnsi="Segoe UI Symbol" w:cs="Segoe UI Symbol"/>
        <w:sz w:val="20"/>
      </w:rPr>
      <w:t></w:t>
    </w:r>
    <w:r>
      <w:rPr>
        <w:rFonts w:ascii="Segoe UI Symbol" w:eastAsia="Segoe UI Symbol" w:hAnsi="Segoe UI Symbol" w:cs="Segoe UI Symbol"/>
        <w:sz w:val="20"/>
      </w:rPr>
      <w:tab/>
    </w:r>
    <w:r>
      <w:rPr>
        <w:rFonts w:ascii="Arial" w:eastAsia="Arial" w:hAnsi="Arial" w:cs="Arial"/>
        <w:b/>
        <w:i/>
        <w:color w:val="222222"/>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80672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728" name="Group 61072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729" name="Picture 610729"/>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728" style="width:28pt;height:310pt;position:absolute;z-index:-2147483648;mso-position-horizontal-relative:page;mso-position-horizontal:absolute;margin-left:653.39pt;mso-position-vertical-relative:page;margin-top:502pt;" coordsize="3556,39370">
              <v:shape id="Picture 610729" style="position:absolute;width:39370;height:3556;left:-17906;top:17906;rotation:-89;" filled="f">
                <v:imagedata r:id="rId160"/>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66950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5"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67052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889" name="Group 60988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890" name="Picture 609890"/>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889" style="width:28pt;height:310pt;position:absolute;z-index:-2147483648;mso-position-horizontal-relative:page;mso-position-horizontal:absolute;margin-left:653.39pt;mso-position-vertical-relative:page;margin-top:502pt;" coordsize="3556,39370">
              <v:shape id="Picture 609890" style="position:absolute;width:39370;height:3556;left:-17906;top:17906;rotation:-89;" filled="f">
                <v:imagedata r:id="rId160"/>
              </v:shape>
            </v:group>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885"/>
      <w:ind w:left="-362"/>
    </w:pPr>
    <w:r>
      <w:rPr>
        <w:noProof/>
      </w:rPr>
      <w:drawing>
        <wp:anchor distT="0" distB="0" distL="114300" distR="114300" simplePos="0" relativeHeight="25180774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65353" name="Picture 465353"/>
          <wp:cNvGraphicFramePr/>
          <a:graphic xmlns:a="http://schemas.openxmlformats.org/drawingml/2006/main">
            <a:graphicData uri="http://schemas.openxmlformats.org/drawingml/2006/picture">
              <pic:pic xmlns:pic="http://schemas.openxmlformats.org/drawingml/2006/picture">
                <pic:nvPicPr>
                  <pic:cNvPr id="465353" name="Picture 465353"/>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color w:val="222222"/>
        <w:sz w:val="20"/>
      </w:rPr>
      <w:t></w:t>
    </w:r>
  </w:p>
  <w:p w:rsidR="00E23B86" w:rsidRDefault="00BA7C13">
    <w:r>
      <w:rPr>
        <w:noProof/>
      </w:rPr>
      <mc:AlternateContent>
        <mc:Choice Requires="wpg">
          <w:drawing>
            <wp:anchor distT="0" distB="0" distL="114300" distR="114300" simplePos="0" relativeHeight="25180876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704" name="Group 61070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705" name="Picture 610705"/>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704" style="width:28pt;height:310pt;position:absolute;z-index:-2147483648;mso-position-horizontal-relative:page;mso-position-horizontal:absolute;margin-left:653.39pt;mso-position-vertical-relative:page;margin-top:502pt;" coordsize="3556,39370">
              <v:shape id="Picture 610705" style="position:absolute;width:39370;height:3556;left:-17906;top:17906;rotation:-89;" filled="f">
                <v:imagedata r:id="rId160"/>
              </v:shape>
            </v:group>
          </w:pict>
        </mc:Fallback>
      </mc:AlternateConten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80979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11"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81081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685" name="Group 61068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686" name="Picture 61068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685" style="width:28pt;height:310pt;position:absolute;z-index:-2147483648;mso-position-horizontal-relative:page;mso-position-horizontal:absolute;margin-left:653.39pt;mso-position-vertical-relative:page;margin-top:502pt;" coordsize="3556,39370">
              <v:shape id="Picture 610686" style="position:absolute;width:39370;height:3556;left:-17906;top:17906;rotation:-89;" filled="f">
                <v:imagedata r:id="rId160"/>
              </v:shape>
            </v:group>
          </w:pict>
        </mc:Fallback>
      </mc:AlternateConten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6"/>
      <w:ind w:left="-362"/>
    </w:pPr>
    <w:r>
      <w:rPr>
        <w:noProof/>
      </w:rPr>
      <w:drawing>
        <wp:anchor distT="0" distB="0" distL="114300" distR="114300" simplePos="0" relativeHeight="25181491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65410" name="Picture 465410"/>
          <wp:cNvGraphicFramePr/>
          <a:graphic xmlns:a="http://schemas.openxmlformats.org/drawingml/2006/main">
            <a:graphicData uri="http://schemas.openxmlformats.org/drawingml/2006/picture">
              <pic:pic xmlns:pic="http://schemas.openxmlformats.org/drawingml/2006/picture">
                <pic:nvPicPr>
                  <pic:cNvPr id="465410" name="Picture 465410"/>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tabs>
        <w:tab w:val="center" w:pos="544"/>
      </w:tabs>
      <w:spacing w:after="222"/>
    </w:pPr>
    <w:r>
      <w:rPr>
        <w:rFonts w:ascii="Segoe UI Symbol" w:eastAsia="Segoe UI Symbol" w:hAnsi="Segoe UI Symbol" w:cs="Segoe UI Symbol"/>
        <w:sz w:val="20"/>
      </w:rPr>
      <w:t></w:t>
    </w:r>
    <w:r>
      <w:rPr>
        <w:rFonts w:ascii="Segoe UI Symbol" w:eastAsia="Segoe UI Symbol" w:hAnsi="Segoe UI Symbol" w:cs="Segoe UI Symbol"/>
        <w:sz w:val="20"/>
      </w:rPr>
      <w:tab/>
    </w:r>
    <w:r>
      <w:rPr>
        <w:rFonts w:ascii="Arial" w:eastAsia="Arial" w:hAnsi="Arial" w:cs="Arial"/>
        <w:b/>
        <w:i/>
        <w:color w:val="222222"/>
      </w:rPr>
      <w:t xml:space="preserve"> </w:t>
    </w:r>
  </w:p>
  <w:p w:rsidR="00E23B86" w:rsidRDefault="00BA7C13">
    <w:pPr>
      <w:spacing w:after="0"/>
    </w:pPr>
    <w:r>
      <w:rPr>
        <w:rFonts w:ascii="Segoe UI Symbol" w:eastAsia="Segoe UI Symbol" w:hAnsi="Segoe UI Symbol" w:cs="Segoe UI Symbol"/>
        <w:color w:val="4C6F99"/>
        <w:sz w:val="20"/>
      </w:rPr>
      <w:t></w:t>
    </w:r>
  </w:p>
  <w:p w:rsidR="00E23B86" w:rsidRDefault="00BA7C13">
    <w:pPr>
      <w:spacing w:after="0"/>
    </w:pPr>
    <w:r>
      <w:rPr>
        <w:rFonts w:ascii="Segoe UI Symbol" w:eastAsia="Segoe UI Symbol" w:hAnsi="Segoe UI Symbol" w:cs="Segoe UI Symbol"/>
        <w:color w:val="4C6F99"/>
        <w:sz w:val="20"/>
      </w:rPr>
      <w:t></w:t>
    </w:r>
  </w:p>
  <w:p w:rsidR="00E23B86" w:rsidRDefault="00BA7C13">
    <w:r>
      <w:rPr>
        <w:noProof/>
      </w:rPr>
      <mc:AlternateContent>
        <mc:Choice Requires="wpg">
          <w:drawing>
            <wp:anchor distT="0" distB="0" distL="114300" distR="114300" simplePos="0" relativeHeight="25181593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802" name="Group 61080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803" name="Picture 610803"/>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802" style="width:28pt;height:310pt;position:absolute;z-index:-2147483648;mso-position-horizontal-relative:page;mso-position-horizontal:absolute;margin-left:653.39pt;mso-position-vertical-relative:page;margin-top:502pt;" coordsize="3556,39370">
              <v:shape id="Picture 610803" style="position:absolute;width:39370;height:3556;left:-17906;top:17906;rotation:-89;" filled="f">
                <v:imagedata r:id="rId160"/>
              </v:shape>
            </v:group>
          </w:pict>
        </mc:Fallback>
      </mc:AlternateConten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631"/>
      <w:ind w:left="-362"/>
    </w:pPr>
    <w:r>
      <w:rPr>
        <w:noProof/>
      </w:rPr>
      <w:drawing>
        <wp:anchor distT="0" distB="0" distL="114300" distR="114300" simplePos="0" relativeHeight="25181696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65428" name="Picture 465428"/>
          <wp:cNvGraphicFramePr/>
          <a:graphic xmlns:a="http://schemas.openxmlformats.org/drawingml/2006/main">
            <a:graphicData uri="http://schemas.openxmlformats.org/drawingml/2006/picture">
              <pic:pic xmlns:pic="http://schemas.openxmlformats.org/drawingml/2006/picture">
                <pic:nvPicPr>
                  <pic:cNvPr id="465428" name="Picture 465428"/>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color w:val="222222"/>
        <w:sz w:val="20"/>
      </w:rPr>
      <w:t></w:t>
    </w:r>
  </w:p>
  <w:p w:rsidR="00E23B86" w:rsidRDefault="00BA7C13">
    <w:r>
      <w:rPr>
        <w:noProof/>
      </w:rPr>
      <mc:AlternateContent>
        <mc:Choice Requires="wpg">
          <w:drawing>
            <wp:anchor distT="0" distB="0" distL="114300" distR="114300" simplePos="0" relativeHeight="25181798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775" name="Group 61077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776" name="Picture 61077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775" style="width:28pt;height:310pt;position:absolute;z-index:-2147483648;mso-position-horizontal-relative:page;mso-position-horizontal:absolute;margin-left:653.39pt;mso-position-vertical-relative:page;margin-top:502pt;" coordsize="3556,39370">
              <v:shape id="Picture 610776" style="position:absolute;width:39370;height:3556;left:-17906;top:17906;rotation:-89;" filled="f">
                <v:imagedata r:id="rId160"/>
              </v:shape>
            </v:group>
          </w:pict>
        </mc:Fallback>
      </mc:AlternateConten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6"/>
      <w:ind w:left="-362"/>
    </w:pPr>
    <w:r>
      <w:rPr>
        <w:noProof/>
      </w:rPr>
      <w:drawing>
        <wp:anchor distT="0" distB="0" distL="114300" distR="114300" simplePos="0" relativeHeight="25181900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15" name="Picture 465410"/>
          <wp:cNvGraphicFramePr/>
          <a:graphic xmlns:a="http://schemas.openxmlformats.org/drawingml/2006/main">
            <a:graphicData uri="http://schemas.openxmlformats.org/drawingml/2006/picture">
              <pic:pic xmlns:pic="http://schemas.openxmlformats.org/drawingml/2006/picture">
                <pic:nvPicPr>
                  <pic:cNvPr id="465410" name="Picture 465410"/>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tabs>
        <w:tab w:val="center" w:pos="544"/>
      </w:tabs>
      <w:spacing w:after="222"/>
    </w:pPr>
    <w:r>
      <w:rPr>
        <w:rFonts w:ascii="Segoe UI Symbol" w:eastAsia="Segoe UI Symbol" w:hAnsi="Segoe UI Symbol" w:cs="Segoe UI Symbol"/>
        <w:sz w:val="20"/>
      </w:rPr>
      <w:t></w:t>
    </w:r>
    <w:r>
      <w:rPr>
        <w:rFonts w:ascii="Segoe UI Symbol" w:eastAsia="Segoe UI Symbol" w:hAnsi="Segoe UI Symbol" w:cs="Segoe UI Symbol"/>
        <w:sz w:val="20"/>
      </w:rPr>
      <w:tab/>
    </w:r>
    <w:r>
      <w:rPr>
        <w:rFonts w:ascii="Arial" w:eastAsia="Arial" w:hAnsi="Arial" w:cs="Arial"/>
        <w:b/>
        <w:i/>
        <w:color w:val="222222"/>
      </w:rPr>
      <w:t xml:space="preserve"> </w:t>
    </w:r>
  </w:p>
  <w:p w:rsidR="00E23B86" w:rsidRDefault="00BA7C13">
    <w:pPr>
      <w:spacing w:after="0"/>
    </w:pPr>
    <w:r>
      <w:rPr>
        <w:rFonts w:ascii="Segoe UI Symbol" w:eastAsia="Segoe UI Symbol" w:hAnsi="Segoe UI Symbol" w:cs="Segoe UI Symbol"/>
        <w:color w:val="4C6F99"/>
        <w:sz w:val="20"/>
      </w:rPr>
      <w:t></w:t>
    </w:r>
  </w:p>
  <w:p w:rsidR="00E23B86" w:rsidRDefault="00BA7C13">
    <w:pPr>
      <w:spacing w:after="0"/>
    </w:pPr>
    <w:r>
      <w:rPr>
        <w:rFonts w:ascii="Segoe UI Symbol" w:eastAsia="Segoe UI Symbol" w:hAnsi="Segoe UI Symbol" w:cs="Segoe UI Symbol"/>
        <w:color w:val="4C6F99"/>
        <w:sz w:val="20"/>
      </w:rPr>
      <w:t></w:t>
    </w:r>
  </w:p>
  <w:p w:rsidR="00E23B86" w:rsidRDefault="00BA7C13">
    <w:r>
      <w:rPr>
        <w:noProof/>
      </w:rPr>
      <mc:AlternateContent>
        <mc:Choice Requires="wpg">
          <w:drawing>
            <wp:anchor distT="0" distB="0" distL="114300" distR="114300" simplePos="0" relativeHeight="25182003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756" name="Group 61075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757" name="Picture 610757"/>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756" style="width:28pt;height:310pt;position:absolute;z-index:-2147483648;mso-position-horizontal-relative:page;mso-position-horizontal:absolute;margin-left:653.39pt;mso-position-vertical-relative:page;margin-top:502pt;" coordsize="3556,39370">
              <v:shape id="Picture 610757" style="position:absolute;width:39370;height:3556;left:-17906;top:17906;rotation:-89;" filled="f">
                <v:imagedata r:id="rId160"/>
              </v:shape>
            </v:group>
          </w:pict>
        </mc:Fallback>
      </mc:AlternateConten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2412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19"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2515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854" name="Group 61085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855" name="Picture 610855"/>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854" style="width:28pt;height:310pt;position:absolute;z-index:-2147483648;mso-position-horizontal-relative:page;mso-position-horizontal:absolute;margin-left:653.39pt;mso-position-vertical-relative:page;margin-top:502pt;" coordsize="3556,39370">
              <v:shape id="Picture 610855" style="position:absolute;width:39370;height:3556;left:-17906;top:17906;rotation:-89;" filled="f">
                <v:imagedata r:id="rId160"/>
              </v:shape>
            </v:group>
          </w:pict>
        </mc:Fallback>
      </mc:AlternateConten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2617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20"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2720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838" name="Group 61083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839" name="Picture 610839"/>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838" style="width:28pt;height:310pt;position:absolute;z-index:-2147483648;mso-position-horizontal-relative:page;mso-position-horizontal:absolute;margin-left:653.39pt;mso-position-vertical-relative:page;margin-top:502pt;" coordsize="3556,39370">
              <v:shape id="Picture 610839" style="position:absolute;width:39370;height:3556;left:-17906;top:17906;rotation:-89;" filled="f">
                <v:imagedata r:id="rId160"/>
              </v:shape>
            </v:group>
          </w:pict>
        </mc:Fallback>
      </mc:AlternateConten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82822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21"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82924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822" name="Group 61082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823" name="Picture 610823"/>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822" style="width:28pt;height:310pt;position:absolute;z-index:-2147483648;mso-position-horizontal-relative:page;mso-position-horizontal:absolute;margin-left:653.39pt;mso-position-vertical-relative:page;margin-top:502pt;" coordsize="3556,39370">
              <v:shape id="Picture 610823" style="position:absolute;width:39370;height:3556;left:-17906;top:17906;rotation:-89;" filled="f">
                <v:imagedata r:id="rId160"/>
              </v:shape>
            </v:group>
          </w:pict>
        </mc:Fallback>
      </mc:AlternateConten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83334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25"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83436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912" name="Group 61091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913" name="Picture 610913"/>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912" style="width:28pt;height:310pt;position:absolute;z-index:-2147483648;mso-position-horizontal-relative:page;mso-position-horizontal:absolute;margin-left:653.39pt;mso-position-vertical-relative:page;margin-top:502pt;" coordsize="3556,39370">
              <v:shape id="Picture 610913" style="position:absolute;width:39370;height:3556;left:-17906;top:17906;rotation:-89;" filled="f">
                <v:imagedata r:id="rId160"/>
              </v:shape>
            </v:group>
          </w:pict>
        </mc:Fallback>
      </mc:AlternateConten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83539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26"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83641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893" name="Group 61089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894" name="Picture 610894"/>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893" style="width:28pt;height:310pt;position:absolute;z-index:-2147483648;mso-position-horizontal-relative:page;mso-position-horizontal:absolute;margin-left:653.39pt;mso-position-vertical-relative:page;margin-top:502pt;" coordsize="3556,39370">
              <v:shape id="Picture 610894" style="position:absolute;width:39370;height:3556;left:-17906;top:17906;rotation:-89;" filled="f">
                <v:imagedata r:id="rId160"/>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67155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6"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67257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873" name="Group 60987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874" name="Picture 609874"/>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873" style="width:28pt;height:310pt;position:absolute;z-index:-2147483648;mso-position-horizontal-relative:page;mso-position-horizontal:absolute;margin-left:653.39pt;mso-position-vertical-relative:page;margin-top:502pt;" coordsize="3556,39370">
              <v:shape id="Picture 609874" style="position:absolute;width:39370;height:3556;left:-17906;top:17906;rotation:-89;" filled="f">
                <v:imagedata r:id="rId160"/>
              </v:shape>
            </v:group>
          </w:pict>
        </mc:Fallback>
      </mc:AlternateConten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83744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27"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83846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874" name="Group 61087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875" name="Picture 610875"/>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874" style="width:28pt;height:310pt;position:absolute;z-index:-2147483648;mso-position-horizontal-relative:page;mso-position-horizontal:absolute;margin-left:653.39pt;mso-position-vertical-relative:page;margin-top:502pt;" coordsize="3556,39370">
              <v:shape id="Picture 610875" style="position:absolute;width:39370;height:3556;left:-17906;top:17906;rotation:-89;" filled="f">
                <v:imagedata r:id="rId160"/>
              </v:shape>
            </v:group>
          </w:pict>
        </mc:Fallback>
      </mc:AlternateConten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4256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31"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4358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961" name="Group 61096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962" name="Picture 610962"/>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961" style="width:28pt;height:310pt;position:absolute;z-index:-2147483648;mso-position-horizontal-relative:page;mso-position-horizontal:absolute;margin-left:653.39pt;mso-position-vertical-relative:page;margin-top:502pt;" coordsize="3556,39370">
              <v:shape id="Picture 610962" style="position:absolute;width:39370;height:3556;left:-17906;top:17906;rotation:-89;" filled="f">
                <v:imagedata r:id="rId160"/>
              </v:shape>
            </v:group>
          </w:pict>
        </mc:Fallback>
      </mc:AlternateConten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4460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32"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4563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945" name="Group 61094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946" name="Picture 61094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945" style="width:28pt;height:310pt;position:absolute;z-index:-2147483648;mso-position-horizontal-relative:page;mso-position-horizontal:absolute;margin-left:653.39pt;mso-position-vertical-relative:page;margin-top:502pt;" coordsize="3556,39370">
              <v:shape id="Picture 610946" style="position:absolute;width:39370;height:3556;left:-17906;top:17906;rotation:-89;" filled="f">
                <v:imagedata r:id="rId160"/>
              </v:shape>
            </v:group>
          </w:pict>
        </mc:Fallback>
      </mc:AlternateConten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4665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33"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4768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929" name="Group 61092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930" name="Picture 610930"/>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929" style="width:28pt;height:310pt;position:absolute;z-index:-2147483648;mso-position-horizontal-relative:page;mso-position-horizontal:absolute;margin-left:653.39pt;mso-position-vertical-relative:page;margin-top:502pt;" coordsize="3556,39370">
              <v:shape id="Picture 610930" style="position:absolute;width:39370;height:3556;left:-17906;top:17906;rotation:-89;" filled="f">
                <v:imagedata r:id="rId160"/>
              </v:shape>
            </v:group>
          </w:pict>
        </mc:Fallback>
      </mc:AlternateConten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51776"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37"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52800"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1016" name="Group 61101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1017" name="Picture 611017"/>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1016" style="width:28pt;height:310pt;position:absolute;z-index:-2147483648;mso-position-horizontal-relative:page;mso-position-horizontal:absolute;margin-left:653.39pt;mso-position-vertical-relative:page;margin-top:502pt;" coordsize="3556,39370">
              <v:shape id="Picture 611017" style="position:absolute;width:39370;height:3556;left:-17906;top:17906;rotation:-89;" filled="f">
                <v:imagedata r:id="rId160"/>
              </v:shape>
            </v:group>
          </w:pict>
        </mc:Fallback>
      </mc:AlternateConten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853824"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38"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854848"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1000" name="Group 61100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1001" name="Picture 611001"/>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1000" style="width:28pt;height:310pt;position:absolute;z-index:-2147483648;mso-position-horizontal-relative:page;mso-position-horizontal:absolute;margin-left:653.39pt;mso-position-vertical-relative:page;margin-top:502pt;" coordsize="3556,39370">
              <v:shape id="Picture 611001" style="position:absolute;width:39370;height:3556;left:-17906;top:17906;rotation:-89;" filled="f">
                <v:imagedata r:id="rId160"/>
              </v:shape>
            </v:group>
          </w:pict>
        </mc:Fallback>
      </mc:AlternateConten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85587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39"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85689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0981" name="Group 61098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0982" name="Picture 610982"/>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0981" style="width:28pt;height:310pt;position:absolute;z-index:-2147483648;mso-position-horizontal-relative:page;mso-position-horizontal:absolute;margin-left:653.39pt;mso-position-vertical-relative:page;margin-top:502pt;" coordsize="3556,39370">
              <v:shape id="Picture 610982" style="position:absolute;width:39370;height:3556;left:-17906;top:17906;rotation:-89;" filled="f">
                <v:imagedata r:id="rId160"/>
              </v:shape>
            </v:group>
          </w:pict>
        </mc:Fallback>
      </mc:AlternateConten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6099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484543"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6201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1065" name="Group 61106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1066" name="Picture 611066"/>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1065" style="width:28pt;height:310pt;position:absolute;z-index:-2147483648;mso-position-horizontal-relative:page;mso-position-horizontal:absolute;margin-left:653.39pt;mso-position-vertical-relative:page;margin-top:502pt;" coordsize="3556,39370">
              <v:shape id="Picture 611066" style="position:absolute;width:39370;height:3556;left:-17906;top:17906;rotation:-89;" filled="f">
                <v:imagedata r:id="rId160"/>
              </v:shape>
            </v:group>
          </w:pict>
        </mc:Fallback>
      </mc:AlternateConten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6304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581376"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6406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1049" name="Group 61104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1050" name="Picture 611050"/>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1049" style="width:28pt;height:310pt;position:absolute;z-index:-2147483648;mso-position-horizontal-relative:page;mso-position-horizontal:absolute;margin-left:653.39pt;mso-position-vertical-relative:page;margin-top:502pt;" coordsize="3556,39370">
              <v:shape id="Picture 611050" style="position:absolute;width:39370;height:3556;left:-17906;top:17906;rotation:-89;" filled="f">
                <v:imagedata r:id="rId160"/>
              </v:shape>
            </v:group>
          </w:pict>
        </mc:Fallback>
      </mc:AlternateConten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0"/>
      <w:ind w:left="-362"/>
    </w:pPr>
    <w:r>
      <w:rPr>
        <w:noProof/>
      </w:rPr>
      <w:drawing>
        <wp:anchor distT="0" distB="0" distL="114300" distR="114300" simplePos="0" relativeHeight="25186508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581377" name="Picture 465247"/>
          <wp:cNvGraphicFramePr/>
          <a:graphic xmlns:a="http://schemas.openxmlformats.org/drawingml/2006/main">
            <a:graphicData uri="http://schemas.openxmlformats.org/drawingml/2006/picture">
              <pic:pic xmlns:pic="http://schemas.openxmlformats.org/drawingml/2006/picture">
                <pic:nvPicPr>
                  <pic:cNvPr id="465247" name="Picture 465247"/>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r>
      <w:rPr>
        <w:noProof/>
      </w:rPr>
      <mc:AlternateContent>
        <mc:Choice Requires="wpg">
          <w:drawing>
            <wp:anchor distT="0" distB="0" distL="114300" distR="114300" simplePos="0" relativeHeight="25186611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11033" name="Group 61103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11034" name="Picture 611034"/>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11033" style="width:28pt;height:310pt;position:absolute;z-index:-2147483648;mso-position-horizontal-relative:page;mso-position-horizontal:absolute;margin-left:653.39pt;mso-position-vertical-relative:page;margin-top:502pt;" coordsize="3556,39370">
              <v:shape id="Picture 611034" style="position:absolute;width:39370;height:3556;left:-17906;top:17906;rotation:-89;" filled="f">
                <v:imagedata r:id="rId160"/>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676672"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10"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677696"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966" name="Group 60996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967" name="Picture 609967"/>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966" style="width:28pt;height:310pt;position:absolute;z-index:-2147483648;mso-position-horizontal-relative:page;mso-position-horizontal:absolute;margin-left:653.39pt;mso-position-vertical-relative:page;margin-top:502pt;" coordsize="3556,39370">
              <v:shape id="Picture 609967" style="position:absolute;width:39370;height:3556;left:-17906;top:17906;rotation:-89;" filled="f">
                <v:imagedata r:id="rId160"/>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678720"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11"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679744"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947" name="Group 60994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948" name="Picture 609948"/>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947" style="width:28pt;height:310pt;position:absolute;z-index:-2147483648;mso-position-horizontal-relative:page;mso-position-horizontal:absolute;margin-left:653.39pt;mso-position-vertical-relative:page;margin-top:502pt;" coordsize="3556,39370">
              <v:shape id="Picture 609948" style="position:absolute;width:39370;height:3556;left:-17906;top:17906;rotation:-89;" filled="f">
                <v:imagedata r:id="rId160"/>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86" w:rsidRDefault="00BA7C13">
    <w:pPr>
      <w:spacing w:after="125"/>
      <w:ind w:left="-362"/>
    </w:pPr>
    <w:r>
      <w:rPr>
        <w:noProof/>
      </w:rPr>
      <w:drawing>
        <wp:anchor distT="0" distB="0" distL="114300" distR="114300" simplePos="0" relativeHeight="251680768" behindDoc="0" locked="0" layoutInCell="1" allowOverlap="0">
          <wp:simplePos x="0" y="0"/>
          <wp:positionH relativeFrom="page">
            <wp:posOffset>1800733</wp:posOffset>
          </wp:positionH>
          <wp:positionV relativeFrom="page">
            <wp:posOffset>452118</wp:posOffset>
          </wp:positionV>
          <wp:extent cx="612648" cy="694944"/>
          <wp:effectExtent l="0" t="0" r="0" b="0"/>
          <wp:wrapSquare wrapText="bothSides"/>
          <wp:docPr id="12" name="Picture 465274"/>
          <wp:cNvGraphicFramePr/>
          <a:graphic xmlns:a="http://schemas.openxmlformats.org/drawingml/2006/main">
            <a:graphicData uri="http://schemas.openxmlformats.org/drawingml/2006/picture">
              <pic:pic xmlns:pic="http://schemas.openxmlformats.org/drawingml/2006/picture">
                <pic:nvPicPr>
                  <pic:cNvPr id="465274" name="Picture 465274"/>
                  <pic:cNvPicPr/>
                </pic:nvPicPr>
                <pic:blipFill>
                  <a:blip r:embed="rId1"/>
                  <a:stretch>
                    <a:fillRect/>
                  </a:stretch>
                </pic:blipFill>
                <pic:spPr>
                  <a:xfrm>
                    <a:off x="0" y="0"/>
                    <a:ext cx="612648" cy="694944"/>
                  </a:xfrm>
                  <a:prstGeom prst="rect">
                    <a:avLst/>
                  </a:prstGeom>
                </pic:spPr>
              </pic:pic>
            </a:graphicData>
          </a:graphic>
        </wp:anchor>
      </w:drawing>
    </w:r>
    <w:r>
      <w:rPr>
        <w:rFonts w:ascii="Arial" w:eastAsia="Arial" w:hAnsi="Arial" w:cs="Arial"/>
      </w:rPr>
      <w:t xml:space="preserve"> </w:t>
    </w:r>
  </w:p>
  <w:p w:rsidR="00E23B86" w:rsidRDefault="00BA7C13">
    <w:pPr>
      <w:spacing w:after="0"/>
    </w:pPr>
    <w:r>
      <w:rPr>
        <w:rFonts w:ascii="Segoe UI Symbol" w:eastAsia="Segoe UI Symbol" w:hAnsi="Segoe UI Symbol" w:cs="Segoe UI Symbol"/>
        <w:sz w:val="20"/>
      </w:rPr>
      <w:t></w:t>
    </w:r>
  </w:p>
  <w:p w:rsidR="00E23B86" w:rsidRDefault="00BA7C13">
    <w:r>
      <w:rPr>
        <w:noProof/>
      </w:rPr>
      <mc:AlternateContent>
        <mc:Choice Requires="wpg">
          <w:drawing>
            <wp:anchor distT="0" distB="0" distL="114300" distR="114300" simplePos="0" relativeHeight="251681792" behindDoc="1" locked="0" layoutInCell="1" allowOverlap="1">
              <wp:simplePos x="0" y="0"/>
              <wp:positionH relativeFrom="page">
                <wp:posOffset>8298053</wp:posOffset>
              </wp:positionH>
              <wp:positionV relativeFrom="page">
                <wp:posOffset>6375400</wp:posOffset>
              </wp:positionV>
              <wp:extent cx="355600" cy="3937000"/>
              <wp:effectExtent l="0" t="0" r="0" b="0"/>
              <wp:wrapNone/>
              <wp:docPr id="609928" name="Group 60992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09929" name="Picture 609929"/>
                        <pic:cNvPicPr/>
                      </pic:nvPicPr>
                      <pic:blipFill>
                        <a:blip r:embed="rId2"/>
                        <a:stretch>
                          <a:fillRect/>
                        </a:stretch>
                      </pic:blipFill>
                      <pic:spPr>
                        <a:xfrm rot="-5399999">
                          <a:off x="-1790699" y="1790699"/>
                          <a:ext cx="3937000" cy="355601"/>
                        </a:xfrm>
                        <a:prstGeom prst="rect">
                          <a:avLst/>
                        </a:prstGeom>
                      </pic:spPr>
                    </pic:pic>
                  </wpg:wgp>
                </a:graphicData>
              </a:graphic>
            </wp:anchor>
          </w:drawing>
        </mc:Choice>
        <mc:Fallback xmlns:a="http://schemas.openxmlformats.org/drawingml/2006/main">
          <w:pict>
            <v:group id="Group 609928" style="width:28pt;height:310pt;position:absolute;z-index:-2147483648;mso-position-horizontal-relative:page;mso-position-horizontal:absolute;margin-left:653.39pt;mso-position-vertical-relative:page;margin-top:502pt;" coordsize="3556,39370">
              <v:shape id="Picture 609929" style="position:absolute;width:39370;height:3556;left:-17906;top:17906;rotation:-89;" filled="f">
                <v:imagedata r:id="rId16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9FD"/>
    <w:multiLevelType w:val="hybridMultilevel"/>
    <w:tmpl w:val="3928257C"/>
    <w:lvl w:ilvl="0" w:tplc="6C1E4236">
      <w:start w:val="1"/>
      <w:numFmt w:val="decimal"/>
      <w:lvlText w:val="%1."/>
      <w:lvlJc w:val="left"/>
      <w:pPr>
        <w:ind w:left="7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B7A6EC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1DACA2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0F26B0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C54111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6FEE80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B18BF1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A2A3A0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B420D6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3F14B2"/>
    <w:multiLevelType w:val="hybridMultilevel"/>
    <w:tmpl w:val="30FE0B3E"/>
    <w:lvl w:ilvl="0" w:tplc="B3A655EA">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5B4D9D4">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A9614D4">
      <w:start w:val="1"/>
      <w:numFmt w:val="bullet"/>
      <w:lvlText w:val="▪"/>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AA22ADE">
      <w:start w:val="1"/>
      <w:numFmt w:val="bullet"/>
      <w:lvlText w:val="•"/>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2E85D32">
      <w:start w:val="1"/>
      <w:numFmt w:val="bullet"/>
      <w:lvlRestart w:val="0"/>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3E2369C">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96C8B2E">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558C76C">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E5C23DC">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0C667CF"/>
    <w:multiLevelType w:val="hybridMultilevel"/>
    <w:tmpl w:val="8B92CCF6"/>
    <w:lvl w:ilvl="0" w:tplc="7CEAAE2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9ED38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B051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7218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F43EE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7237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802E2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DC8F5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6E3DA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1222943"/>
    <w:multiLevelType w:val="hybridMultilevel"/>
    <w:tmpl w:val="5E86BB2C"/>
    <w:lvl w:ilvl="0" w:tplc="185619D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5E04F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E4E29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20A99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BE867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F6052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9C3A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30A3B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DA6A0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14B35D6"/>
    <w:multiLevelType w:val="hybridMultilevel"/>
    <w:tmpl w:val="4530D2AA"/>
    <w:lvl w:ilvl="0" w:tplc="74B8149E">
      <w:start w:val="1"/>
      <w:numFmt w:val="decimal"/>
      <w:lvlText w:val="%1."/>
      <w:lvlJc w:val="left"/>
      <w:pPr>
        <w:ind w:left="7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EA49A5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748D2B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E6A129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944762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58A52D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554C7B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D76D51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932453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17503FD"/>
    <w:multiLevelType w:val="multilevel"/>
    <w:tmpl w:val="66D43B94"/>
    <w:lvl w:ilvl="0">
      <w:start w:val="1"/>
      <w:numFmt w:val="decimal"/>
      <w:lvlText w:val="%1."/>
      <w:lvlJc w:val="left"/>
      <w:pPr>
        <w:ind w:left="4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95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1CF1C7B"/>
    <w:multiLevelType w:val="hybridMultilevel"/>
    <w:tmpl w:val="A42A4F44"/>
    <w:lvl w:ilvl="0" w:tplc="77F091F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54762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DEC3CA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C1EB7F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6340ACE">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918D79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FE059AC">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1F00896">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C22236E">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20819FD"/>
    <w:multiLevelType w:val="hybridMultilevel"/>
    <w:tmpl w:val="5E86CD9C"/>
    <w:lvl w:ilvl="0" w:tplc="6700C766">
      <w:start w:val="17"/>
      <w:numFmt w:val="lowerLetter"/>
      <w:lvlText w:val="%1)"/>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B189280">
      <w:start w:val="1"/>
      <w:numFmt w:val="lowerLetter"/>
      <w:lvlText w:val="%2"/>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F8687B2">
      <w:start w:val="1"/>
      <w:numFmt w:val="lowerRoman"/>
      <w:lvlText w:val="%3"/>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C0CD606">
      <w:start w:val="1"/>
      <w:numFmt w:val="decimal"/>
      <w:lvlText w:val="%4"/>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792087C">
      <w:start w:val="1"/>
      <w:numFmt w:val="lowerLetter"/>
      <w:lvlText w:val="%5"/>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D6A2F70">
      <w:start w:val="1"/>
      <w:numFmt w:val="lowerRoman"/>
      <w:lvlText w:val="%6"/>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CB20392">
      <w:start w:val="1"/>
      <w:numFmt w:val="decimal"/>
      <w:lvlText w:val="%7"/>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110288E">
      <w:start w:val="1"/>
      <w:numFmt w:val="lowerLetter"/>
      <w:lvlText w:val="%8"/>
      <w:lvlJc w:val="left"/>
      <w:pPr>
        <w:ind w:left="57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83A7A34">
      <w:start w:val="1"/>
      <w:numFmt w:val="lowerRoman"/>
      <w:lvlText w:val="%9"/>
      <w:lvlJc w:val="left"/>
      <w:pPr>
        <w:ind w:left="64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23C53BC"/>
    <w:multiLevelType w:val="hybridMultilevel"/>
    <w:tmpl w:val="490EFA7C"/>
    <w:lvl w:ilvl="0" w:tplc="12FE00EC">
      <w:start w:val="6"/>
      <w:numFmt w:val="upperLetter"/>
      <w:lvlText w:val="%1)"/>
      <w:lvlJc w:val="left"/>
      <w:pPr>
        <w:ind w:left="6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C1005A2">
      <w:start w:val="1"/>
      <w:numFmt w:val="bullet"/>
      <w:lvlText w:val="•"/>
      <w:lvlJc w:val="left"/>
      <w:pPr>
        <w:ind w:left="1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60A0E">
      <w:start w:val="1"/>
      <w:numFmt w:val="bullet"/>
      <w:lvlText w:val="▪"/>
      <w:lvlJc w:val="left"/>
      <w:pPr>
        <w:ind w:left="1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28D16E">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381D1A">
      <w:start w:val="1"/>
      <w:numFmt w:val="bullet"/>
      <w:lvlText w:val="o"/>
      <w:lvlJc w:val="left"/>
      <w:pPr>
        <w:ind w:left="3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D89D18">
      <w:start w:val="1"/>
      <w:numFmt w:val="bullet"/>
      <w:lvlText w:val="▪"/>
      <w:lvlJc w:val="left"/>
      <w:pPr>
        <w:ind w:left="3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4EC0D0">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425B82">
      <w:start w:val="1"/>
      <w:numFmt w:val="bullet"/>
      <w:lvlText w:val="o"/>
      <w:lvlJc w:val="left"/>
      <w:pPr>
        <w:ind w:left="5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CA9D96">
      <w:start w:val="1"/>
      <w:numFmt w:val="bullet"/>
      <w:lvlText w:val="▪"/>
      <w:lvlJc w:val="left"/>
      <w:pPr>
        <w:ind w:left="6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3237986"/>
    <w:multiLevelType w:val="hybridMultilevel"/>
    <w:tmpl w:val="CD7EE432"/>
    <w:lvl w:ilvl="0" w:tplc="0F185BE2">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280AB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AB35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AC27D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5C75B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56ACC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46FA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70BD4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30A67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32C579E"/>
    <w:multiLevelType w:val="multilevel"/>
    <w:tmpl w:val="0B4E0524"/>
    <w:lvl w:ilvl="0">
      <w:start w:val="1"/>
      <w:numFmt w:val="decimal"/>
      <w:lvlText w:val="%1."/>
      <w:lvlJc w:val="left"/>
      <w:pPr>
        <w:ind w:left="4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95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3300942"/>
    <w:multiLevelType w:val="hybridMultilevel"/>
    <w:tmpl w:val="B34033AA"/>
    <w:lvl w:ilvl="0" w:tplc="55F643EE">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BAE3A10">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87CC450">
      <w:start w:val="1"/>
      <w:numFmt w:val="bullet"/>
      <w:lvlText w:val="▪"/>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B3ADEE6">
      <w:start w:val="1"/>
      <w:numFmt w:val="bullet"/>
      <w:lvlText w:val="•"/>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CCA335C">
      <w:start w:val="1"/>
      <w:numFmt w:val="bullet"/>
      <w:lvlRestart w:val="0"/>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A62E238">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910F46C">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2F06D88">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208D832">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3516963"/>
    <w:multiLevelType w:val="hybridMultilevel"/>
    <w:tmpl w:val="B2BC6744"/>
    <w:lvl w:ilvl="0" w:tplc="0562F23A">
      <w:start w:val="1"/>
      <w:numFmt w:val="bullet"/>
      <w:lvlText w:val="•"/>
      <w:lvlJc w:val="left"/>
      <w:pPr>
        <w:ind w:left="2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A2332C">
      <w:start w:val="1"/>
      <w:numFmt w:val="bullet"/>
      <w:lvlText w:val="o"/>
      <w:lvlJc w:val="left"/>
      <w:pPr>
        <w:ind w:left="1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1C3A0C">
      <w:start w:val="1"/>
      <w:numFmt w:val="bullet"/>
      <w:lvlText w:val="▪"/>
      <w:lvlJc w:val="left"/>
      <w:pPr>
        <w:ind w:left="18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04D416">
      <w:start w:val="1"/>
      <w:numFmt w:val="bullet"/>
      <w:lvlText w:val="•"/>
      <w:lvlJc w:val="left"/>
      <w:pPr>
        <w:ind w:left="2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FC4134">
      <w:start w:val="1"/>
      <w:numFmt w:val="bullet"/>
      <w:lvlText w:val="o"/>
      <w:lvlJc w:val="left"/>
      <w:pPr>
        <w:ind w:left="3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A26D94">
      <w:start w:val="1"/>
      <w:numFmt w:val="bullet"/>
      <w:lvlText w:val="▪"/>
      <w:lvlJc w:val="left"/>
      <w:pPr>
        <w:ind w:left="40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F8B202">
      <w:start w:val="1"/>
      <w:numFmt w:val="bullet"/>
      <w:lvlText w:val="•"/>
      <w:lvlJc w:val="left"/>
      <w:pPr>
        <w:ind w:left="4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58FBE8">
      <w:start w:val="1"/>
      <w:numFmt w:val="bullet"/>
      <w:lvlText w:val="o"/>
      <w:lvlJc w:val="left"/>
      <w:pPr>
        <w:ind w:left="54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76541E">
      <w:start w:val="1"/>
      <w:numFmt w:val="bullet"/>
      <w:lvlText w:val="▪"/>
      <w:lvlJc w:val="left"/>
      <w:pPr>
        <w:ind w:left="62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3F86CE6"/>
    <w:multiLevelType w:val="hybridMultilevel"/>
    <w:tmpl w:val="E45C54A6"/>
    <w:lvl w:ilvl="0" w:tplc="DA72EA98">
      <w:start w:val="1"/>
      <w:numFmt w:val="lowerLetter"/>
      <w:lvlText w:val="%1)"/>
      <w:lvlJc w:val="left"/>
      <w:pPr>
        <w:ind w:left="10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97EAF1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97C278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8EA26A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B8AD0A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4441D1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5DE96B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38A687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A1A302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43A4DDD"/>
    <w:multiLevelType w:val="multilevel"/>
    <w:tmpl w:val="B5AE5FC4"/>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5" w15:restartNumberingAfterBreak="0">
    <w:nsid w:val="04E326E8"/>
    <w:multiLevelType w:val="hybridMultilevel"/>
    <w:tmpl w:val="8EF27744"/>
    <w:lvl w:ilvl="0" w:tplc="05E2ED70">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EE44274">
      <w:start w:val="1"/>
      <w:numFmt w:val="lowerLetter"/>
      <w:lvlText w:val="%2"/>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5208366">
      <w:start w:val="2"/>
      <w:numFmt w:val="lowerLetter"/>
      <w:lvlRestart w:val="0"/>
      <w:lvlText w:val="%3)"/>
      <w:lvlJc w:val="left"/>
      <w:pPr>
        <w:ind w:left="10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680DF0C">
      <w:start w:val="1"/>
      <w:numFmt w:val="decimal"/>
      <w:lvlText w:val="%4"/>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84E9C94">
      <w:start w:val="1"/>
      <w:numFmt w:val="lowerLetter"/>
      <w:lvlText w:val="%5"/>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A2C5EB4">
      <w:start w:val="1"/>
      <w:numFmt w:val="lowerRoman"/>
      <w:lvlText w:val="%6"/>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262FCB0">
      <w:start w:val="1"/>
      <w:numFmt w:val="decimal"/>
      <w:lvlText w:val="%7"/>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16A103C">
      <w:start w:val="1"/>
      <w:numFmt w:val="lowerLetter"/>
      <w:lvlText w:val="%8"/>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8A6F010">
      <w:start w:val="1"/>
      <w:numFmt w:val="lowerRoman"/>
      <w:lvlText w:val="%9"/>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53C119A"/>
    <w:multiLevelType w:val="hybridMultilevel"/>
    <w:tmpl w:val="F4FE7368"/>
    <w:lvl w:ilvl="0" w:tplc="BFAA7E18">
      <w:start w:val="1"/>
      <w:numFmt w:val="decimal"/>
      <w:lvlText w:val="%1."/>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02341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829FB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A45B1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4AEE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5AD2A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C0324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28437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F2E19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55010B6"/>
    <w:multiLevelType w:val="hybridMultilevel"/>
    <w:tmpl w:val="70526080"/>
    <w:lvl w:ilvl="0" w:tplc="AD22A39C">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2446E62A">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887460FC">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30B2AB58">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BB2E6E5C">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40E4BC5E">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E0A6C614">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8E887A62">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A38A6956">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8" w15:restartNumberingAfterBreak="0">
    <w:nsid w:val="06673D50"/>
    <w:multiLevelType w:val="hybridMultilevel"/>
    <w:tmpl w:val="C57A94F6"/>
    <w:lvl w:ilvl="0" w:tplc="36AE19C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546BA9A">
      <w:start w:val="1"/>
      <w:numFmt w:val="bullet"/>
      <w:lvlText w:val="o"/>
      <w:lvlJc w:val="left"/>
      <w:pPr>
        <w:ind w:left="6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8300F1A">
      <w:start w:val="1"/>
      <w:numFmt w:val="bullet"/>
      <w:lvlText w:val="▪"/>
      <w:lvlJc w:val="left"/>
      <w:pPr>
        <w:ind w:left="9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3A87EF2">
      <w:start w:val="1"/>
      <w:numFmt w:val="bullet"/>
      <w:lvlText w:val="•"/>
      <w:lvlJc w:val="left"/>
      <w:pPr>
        <w:ind w:left="12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30A8936">
      <w:start w:val="1"/>
      <w:numFmt w:val="bullet"/>
      <w:lvlText w:val="o"/>
      <w:lvlJc w:val="left"/>
      <w:pPr>
        <w:ind w:left="15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120D0DA">
      <w:start w:val="1"/>
      <w:numFmt w:val="bullet"/>
      <w:lvlRestart w:val="0"/>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9D4F97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F6184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66ED77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78A7158"/>
    <w:multiLevelType w:val="hybridMultilevel"/>
    <w:tmpl w:val="36BC1F4C"/>
    <w:lvl w:ilvl="0" w:tplc="05969EE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10198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0CEB2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12FC8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8E50B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6446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3C584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764E2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BAE9A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85B38EA"/>
    <w:multiLevelType w:val="hybridMultilevel"/>
    <w:tmpl w:val="72080F84"/>
    <w:lvl w:ilvl="0" w:tplc="C23ABD76">
      <w:start w:val="5"/>
      <w:numFmt w:val="lowerLetter"/>
      <w:lvlText w:val="%1)"/>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342B96A">
      <w:start w:val="1"/>
      <w:numFmt w:val="lowerLetter"/>
      <w:lvlText w:val="%2"/>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1A8C814">
      <w:start w:val="1"/>
      <w:numFmt w:val="lowerRoman"/>
      <w:lvlText w:val="%3"/>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822B9F4">
      <w:start w:val="1"/>
      <w:numFmt w:val="decimal"/>
      <w:lvlText w:val="%4"/>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9BC9514">
      <w:start w:val="1"/>
      <w:numFmt w:val="lowerLetter"/>
      <w:lvlText w:val="%5"/>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77CE2BE">
      <w:start w:val="1"/>
      <w:numFmt w:val="lowerRoman"/>
      <w:lvlText w:val="%6"/>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23C8978">
      <w:start w:val="1"/>
      <w:numFmt w:val="decimal"/>
      <w:lvlText w:val="%7"/>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3ECB250">
      <w:start w:val="1"/>
      <w:numFmt w:val="lowerLetter"/>
      <w:lvlText w:val="%8"/>
      <w:lvlJc w:val="left"/>
      <w:pPr>
        <w:ind w:left="57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6C016CE">
      <w:start w:val="1"/>
      <w:numFmt w:val="lowerRoman"/>
      <w:lvlText w:val="%9"/>
      <w:lvlJc w:val="left"/>
      <w:pPr>
        <w:ind w:left="64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87056DE"/>
    <w:multiLevelType w:val="hybridMultilevel"/>
    <w:tmpl w:val="AB9C30BE"/>
    <w:lvl w:ilvl="0" w:tplc="3BF6A2E8">
      <w:start w:val="1"/>
      <w:numFmt w:val="upperLetter"/>
      <w:lvlText w:val="%1)"/>
      <w:lvlJc w:val="left"/>
      <w:pPr>
        <w:ind w:left="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E63A08">
      <w:start w:val="1"/>
      <w:numFmt w:val="lowerLetter"/>
      <w:lvlText w:val="%2"/>
      <w:lvlJc w:val="left"/>
      <w:pPr>
        <w:ind w:left="1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10585E">
      <w:start w:val="1"/>
      <w:numFmt w:val="lowerRoman"/>
      <w:lvlText w:val="%3"/>
      <w:lvlJc w:val="left"/>
      <w:pPr>
        <w:ind w:left="1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7EE44E">
      <w:start w:val="1"/>
      <w:numFmt w:val="decimal"/>
      <w:lvlText w:val="%4"/>
      <w:lvlJc w:val="left"/>
      <w:pPr>
        <w:ind w:left="2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CC8D24">
      <w:start w:val="1"/>
      <w:numFmt w:val="lowerLetter"/>
      <w:lvlText w:val="%5"/>
      <w:lvlJc w:val="left"/>
      <w:pPr>
        <w:ind w:left="3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68D1DA">
      <w:start w:val="1"/>
      <w:numFmt w:val="lowerRoman"/>
      <w:lvlText w:val="%6"/>
      <w:lvlJc w:val="left"/>
      <w:pPr>
        <w:ind w:left="3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0E43E2">
      <w:start w:val="1"/>
      <w:numFmt w:val="decimal"/>
      <w:lvlText w:val="%7"/>
      <w:lvlJc w:val="left"/>
      <w:pPr>
        <w:ind w:left="4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EEEDAE">
      <w:start w:val="1"/>
      <w:numFmt w:val="lowerLetter"/>
      <w:lvlText w:val="%8"/>
      <w:lvlJc w:val="left"/>
      <w:pPr>
        <w:ind w:left="5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A630A8">
      <w:start w:val="1"/>
      <w:numFmt w:val="lowerRoman"/>
      <w:lvlText w:val="%9"/>
      <w:lvlJc w:val="left"/>
      <w:pPr>
        <w:ind w:left="6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942651E"/>
    <w:multiLevelType w:val="hybridMultilevel"/>
    <w:tmpl w:val="15D0257E"/>
    <w:lvl w:ilvl="0" w:tplc="CAB29304">
      <w:start w:val="1"/>
      <w:numFmt w:val="bullet"/>
      <w:lvlText w:val="•"/>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2659CE">
      <w:start w:val="1"/>
      <w:numFmt w:val="bullet"/>
      <w:lvlText w:val="o"/>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36A230">
      <w:start w:val="1"/>
      <w:numFmt w:val="bullet"/>
      <w:lvlText w:val="▪"/>
      <w:lvlJc w:val="left"/>
      <w:pPr>
        <w:ind w:left="1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6095A0">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CEA8BE">
      <w:start w:val="1"/>
      <w:numFmt w:val="bullet"/>
      <w:lvlText w:val="o"/>
      <w:lvlJc w:val="left"/>
      <w:pPr>
        <w:ind w:left="3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E0D878">
      <w:start w:val="1"/>
      <w:numFmt w:val="bullet"/>
      <w:lvlText w:val="▪"/>
      <w:lvlJc w:val="left"/>
      <w:pPr>
        <w:ind w:left="4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C69F14">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446A9C">
      <w:start w:val="1"/>
      <w:numFmt w:val="bullet"/>
      <w:lvlText w:val="o"/>
      <w:lvlJc w:val="left"/>
      <w:pPr>
        <w:ind w:left="5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AC178C">
      <w:start w:val="1"/>
      <w:numFmt w:val="bullet"/>
      <w:lvlText w:val="▪"/>
      <w:lvlJc w:val="left"/>
      <w:pPr>
        <w:ind w:left="6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9B22F28"/>
    <w:multiLevelType w:val="hybridMultilevel"/>
    <w:tmpl w:val="AA20F8B8"/>
    <w:lvl w:ilvl="0" w:tplc="5854249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3801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EC763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D2E6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968CA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E8ED7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1AECB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02601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896E0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0AE65293"/>
    <w:multiLevelType w:val="hybridMultilevel"/>
    <w:tmpl w:val="27ECF850"/>
    <w:lvl w:ilvl="0" w:tplc="9634E0F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B6D37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2AC20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1C0F6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0624A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2CCEA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1CDEA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CA5E9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AE37A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B7238D8"/>
    <w:multiLevelType w:val="hybridMultilevel"/>
    <w:tmpl w:val="DE5288D0"/>
    <w:lvl w:ilvl="0" w:tplc="05E45E72">
      <w:start w:val="1"/>
      <w:numFmt w:val="bullet"/>
      <w:lvlText w:val="-"/>
      <w:lvlJc w:val="left"/>
      <w:pPr>
        <w:ind w:left="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98C06E">
      <w:start w:val="4"/>
      <w:numFmt w:val="decimal"/>
      <w:lvlText w:val="%2."/>
      <w:lvlJc w:val="left"/>
      <w:pPr>
        <w:ind w:left="3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0D4B712">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7386262">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1025708">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C40B906">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E1CD516">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E1A5F48">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1C44532">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B740910"/>
    <w:multiLevelType w:val="multilevel"/>
    <w:tmpl w:val="9482DFA0"/>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668"/>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27" w15:restartNumberingAfterBreak="0">
    <w:nsid w:val="0D4718B2"/>
    <w:multiLevelType w:val="hybridMultilevel"/>
    <w:tmpl w:val="19F66D28"/>
    <w:lvl w:ilvl="0" w:tplc="044C420E">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712AB828">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7D5A8572">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EF0AE860">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2F706544">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43186942">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63F41D00">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F0BC0084">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255EE956">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28" w15:restartNumberingAfterBreak="0">
    <w:nsid w:val="0D680362"/>
    <w:multiLevelType w:val="hybridMultilevel"/>
    <w:tmpl w:val="E1787106"/>
    <w:lvl w:ilvl="0" w:tplc="61E86076">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E58CAC7E">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3548CF0">
      <w:start w:val="1"/>
      <w:numFmt w:val="bullet"/>
      <w:lvlText w:val="▪"/>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6A254AA">
      <w:start w:val="1"/>
      <w:numFmt w:val="bullet"/>
      <w:lvlText w:val="•"/>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B245B28">
      <w:start w:val="1"/>
      <w:numFmt w:val="bullet"/>
      <w:lvlRestart w:val="0"/>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03C4DE0">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87C7014">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7EAF82E">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4F47B40">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0F6B3F2B"/>
    <w:multiLevelType w:val="hybridMultilevel"/>
    <w:tmpl w:val="3CEC9F5A"/>
    <w:lvl w:ilvl="0" w:tplc="C930D78C">
      <w:start w:val="1"/>
      <w:numFmt w:val="bullet"/>
      <w:lvlText w:val="•"/>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5EA71C">
      <w:start w:val="1"/>
      <w:numFmt w:val="bullet"/>
      <w:lvlText w:val="-"/>
      <w:lvlJc w:val="left"/>
      <w:pPr>
        <w:ind w:left="1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04803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0EF27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F2C0F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8E099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02BFE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CAEBB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026DA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0FE163FB"/>
    <w:multiLevelType w:val="hybridMultilevel"/>
    <w:tmpl w:val="A1E42150"/>
    <w:lvl w:ilvl="0" w:tplc="4D80A9CC">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64CB8F8">
      <w:start w:val="1"/>
      <w:numFmt w:val="lowerLetter"/>
      <w:lvlText w:val="%2"/>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7F4A076">
      <w:start w:val="1"/>
      <w:numFmt w:val="lowerLetter"/>
      <w:lvlRestart w:val="0"/>
      <w:lvlText w:val="%3)"/>
      <w:lvlJc w:val="left"/>
      <w:pPr>
        <w:ind w:left="10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DA02B30">
      <w:start w:val="1"/>
      <w:numFmt w:val="decimal"/>
      <w:lvlText w:val="%4"/>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E5CED4A">
      <w:start w:val="1"/>
      <w:numFmt w:val="lowerLetter"/>
      <w:lvlText w:val="%5"/>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C6866C8">
      <w:start w:val="1"/>
      <w:numFmt w:val="lowerRoman"/>
      <w:lvlText w:val="%6"/>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000F15E">
      <w:start w:val="1"/>
      <w:numFmt w:val="decimal"/>
      <w:lvlText w:val="%7"/>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068624E">
      <w:start w:val="1"/>
      <w:numFmt w:val="lowerLetter"/>
      <w:lvlText w:val="%8"/>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D444D12">
      <w:start w:val="1"/>
      <w:numFmt w:val="lowerRoman"/>
      <w:lvlText w:val="%9"/>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053017F"/>
    <w:multiLevelType w:val="hybridMultilevel"/>
    <w:tmpl w:val="0E4E2236"/>
    <w:lvl w:ilvl="0" w:tplc="D2F0E0A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C26D2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AA804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0E263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84B95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9007C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C01AC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D05AC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CECE6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11D391D"/>
    <w:multiLevelType w:val="hybridMultilevel"/>
    <w:tmpl w:val="7DBE6B68"/>
    <w:lvl w:ilvl="0" w:tplc="D5EC5760">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4DC3B44">
      <w:start w:val="1"/>
      <w:numFmt w:val="lowerLetter"/>
      <w:lvlText w:val="%2"/>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AA460C0">
      <w:start w:val="5"/>
      <w:numFmt w:val="lowerLetter"/>
      <w:lvlRestart w:val="0"/>
      <w:lvlText w:val="%3)"/>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8027730">
      <w:start w:val="1"/>
      <w:numFmt w:val="decimal"/>
      <w:lvlText w:val="%4"/>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FE07B36">
      <w:start w:val="1"/>
      <w:numFmt w:val="lowerLetter"/>
      <w:lvlText w:val="%5"/>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AAACDF8">
      <w:start w:val="1"/>
      <w:numFmt w:val="lowerRoman"/>
      <w:lvlText w:val="%6"/>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6528332">
      <w:start w:val="1"/>
      <w:numFmt w:val="decimal"/>
      <w:lvlText w:val="%7"/>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28ECF38">
      <w:start w:val="1"/>
      <w:numFmt w:val="lowerLetter"/>
      <w:lvlText w:val="%8"/>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0D2A446">
      <w:start w:val="1"/>
      <w:numFmt w:val="lowerRoman"/>
      <w:lvlText w:val="%9"/>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15C18DA"/>
    <w:multiLevelType w:val="hybridMultilevel"/>
    <w:tmpl w:val="514C4414"/>
    <w:lvl w:ilvl="0" w:tplc="1D640818">
      <w:start w:val="1"/>
      <w:numFmt w:val="bullet"/>
      <w:lvlText w:val="-"/>
      <w:lvlJc w:val="left"/>
      <w:pPr>
        <w:ind w:left="4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76B8F8">
      <w:start w:val="4"/>
      <w:numFmt w:val="decimal"/>
      <w:lvlText w:val="%2."/>
      <w:lvlJc w:val="left"/>
      <w:pPr>
        <w:ind w:left="10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00440E8">
      <w:start w:val="1"/>
      <w:numFmt w:val="bullet"/>
      <w:lvlText w:val="o"/>
      <w:lvlJc w:val="left"/>
      <w:pPr>
        <w:ind w:left="17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FCEE214">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674F86A">
      <w:start w:val="1"/>
      <w:numFmt w:val="bullet"/>
      <w:lvlText w:val="o"/>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9442818">
      <w:start w:val="1"/>
      <w:numFmt w:val="bullet"/>
      <w:lvlText w:val="▪"/>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B245510">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39CFFAA">
      <w:start w:val="1"/>
      <w:numFmt w:val="bullet"/>
      <w:lvlText w:val="o"/>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6C02734">
      <w:start w:val="1"/>
      <w:numFmt w:val="bullet"/>
      <w:lvlText w:val="▪"/>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18667D4"/>
    <w:multiLevelType w:val="hybridMultilevel"/>
    <w:tmpl w:val="14D6925A"/>
    <w:lvl w:ilvl="0" w:tplc="1E90C63A">
      <w:start w:val="1"/>
      <w:numFmt w:val="bullet"/>
      <w:lvlText w:val="•"/>
      <w:lvlJc w:val="left"/>
      <w:pPr>
        <w:ind w:left="1058"/>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5CB4E522">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1068AEB0">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31889338">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76F62A7C">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5C72F236">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9C98F17C">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D0167D30">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11B0D2A4">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35" w15:restartNumberingAfterBreak="0">
    <w:nsid w:val="12917D7C"/>
    <w:multiLevelType w:val="multilevel"/>
    <w:tmpl w:val="A1106498"/>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36" w15:restartNumberingAfterBreak="0">
    <w:nsid w:val="13402B60"/>
    <w:multiLevelType w:val="hybridMultilevel"/>
    <w:tmpl w:val="5A72631A"/>
    <w:lvl w:ilvl="0" w:tplc="7088818A">
      <w:start w:val="1"/>
      <w:numFmt w:val="bullet"/>
      <w:lvlText w:val="•"/>
      <w:lvlJc w:val="left"/>
      <w:pPr>
        <w:ind w:left="1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60EA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AA1D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3CED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06FC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A6B6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FA0D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5483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B2BA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516249A"/>
    <w:multiLevelType w:val="hybridMultilevel"/>
    <w:tmpl w:val="DF2C25DA"/>
    <w:lvl w:ilvl="0" w:tplc="6CB84F52">
      <w:start w:val="1"/>
      <w:numFmt w:val="bullet"/>
      <w:lvlText w:val="•"/>
      <w:lvlJc w:val="left"/>
      <w:pPr>
        <w:ind w:left="1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145FE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F0CC0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EA420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8E416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BAA67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E077B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4E9BD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C2399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5477744"/>
    <w:multiLevelType w:val="hybridMultilevel"/>
    <w:tmpl w:val="5F56C8C4"/>
    <w:lvl w:ilvl="0" w:tplc="B35A28E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FC4A8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047AB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8A7C0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7A04D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58BB1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58940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BEB12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86830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56910BF"/>
    <w:multiLevelType w:val="hybridMultilevel"/>
    <w:tmpl w:val="3AA2AC52"/>
    <w:lvl w:ilvl="0" w:tplc="62D4BDD6">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2A2B9C4">
      <w:start w:val="1"/>
      <w:numFmt w:val="lowerLetter"/>
      <w:lvlText w:val="%2"/>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6FACDE0">
      <w:start w:val="11"/>
      <w:numFmt w:val="lowerLetter"/>
      <w:lvlRestart w:val="0"/>
      <w:lvlText w:val="%3)"/>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9360A10">
      <w:start w:val="1"/>
      <w:numFmt w:val="decimal"/>
      <w:lvlText w:val="%4"/>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4087134">
      <w:start w:val="1"/>
      <w:numFmt w:val="lowerLetter"/>
      <w:lvlText w:val="%5"/>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568AA84">
      <w:start w:val="1"/>
      <w:numFmt w:val="lowerRoman"/>
      <w:lvlText w:val="%6"/>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094818E">
      <w:start w:val="1"/>
      <w:numFmt w:val="decimal"/>
      <w:lvlText w:val="%7"/>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694BC5E">
      <w:start w:val="1"/>
      <w:numFmt w:val="lowerLetter"/>
      <w:lvlText w:val="%8"/>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F8EA886">
      <w:start w:val="1"/>
      <w:numFmt w:val="lowerRoman"/>
      <w:lvlText w:val="%9"/>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5731168"/>
    <w:multiLevelType w:val="hybridMultilevel"/>
    <w:tmpl w:val="E3D86326"/>
    <w:lvl w:ilvl="0" w:tplc="166EF970">
      <w:start w:val="1"/>
      <w:numFmt w:val="bullet"/>
      <w:lvlText w:val="-"/>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E891B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C453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4E95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A129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620A2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8437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3C6DD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EAEE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58420FB"/>
    <w:multiLevelType w:val="multilevel"/>
    <w:tmpl w:val="C8DAFCD4"/>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42" w15:restartNumberingAfterBreak="0">
    <w:nsid w:val="15D53371"/>
    <w:multiLevelType w:val="hybridMultilevel"/>
    <w:tmpl w:val="536A74F0"/>
    <w:lvl w:ilvl="0" w:tplc="A71A32F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16606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D4D7C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0ECF8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C8F2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7418C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464AF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4246B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7A736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16685484"/>
    <w:multiLevelType w:val="hybridMultilevel"/>
    <w:tmpl w:val="30580D9A"/>
    <w:lvl w:ilvl="0" w:tplc="46FC8AEC">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DDEE04C">
      <w:start w:val="1"/>
      <w:numFmt w:val="lowerLetter"/>
      <w:lvlText w:val="%2"/>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A50281C">
      <w:start w:val="7"/>
      <w:numFmt w:val="lowerLetter"/>
      <w:lvlRestart w:val="0"/>
      <w:lvlText w:val="%3)"/>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73C8BEC">
      <w:start w:val="1"/>
      <w:numFmt w:val="decimal"/>
      <w:lvlText w:val="%4"/>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D560AA0">
      <w:start w:val="1"/>
      <w:numFmt w:val="lowerLetter"/>
      <w:lvlText w:val="%5"/>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AF08098">
      <w:start w:val="1"/>
      <w:numFmt w:val="lowerRoman"/>
      <w:lvlText w:val="%6"/>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D6C6D4C">
      <w:start w:val="1"/>
      <w:numFmt w:val="decimal"/>
      <w:lvlText w:val="%7"/>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744FE7C">
      <w:start w:val="1"/>
      <w:numFmt w:val="lowerLetter"/>
      <w:lvlText w:val="%8"/>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AE87EB2">
      <w:start w:val="1"/>
      <w:numFmt w:val="lowerRoman"/>
      <w:lvlText w:val="%9"/>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7221FBB"/>
    <w:multiLevelType w:val="hybridMultilevel"/>
    <w:tmpl w:val="03F63D80"/>
    <w:lvl w:ilvl="0" w:tplc="ABA46836">
      <w:start w:val="1"/>
      <w:numFmt w:val="bullet"/>
      <w:lvlText w:val="-"/>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22732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78476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88824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36DF1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EE417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A0856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9C6DD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9417D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7AF404E"/>
    <w:multiLevelType w:val="multilevel"/>
    <w:tmpl w:val="41F4BB4E"/>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46" w15:restartNumberingAfterBreak="0">
    <w:nsid w:val="186C1F66"/>
    <w:multiLevelType w:val="multilevel"/>
    <w:tmpl w:val="91A606BE"/>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47" w15:restartNumberingAfterBreak="0">
    <w:nsid w:val="18703C5B"/>
    <w:multiLevelType w:val="multilevel"/>
    <w:tmpl w:val="5EB83226"/>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48" w15:restartNumberingAfterBreak="0">
    <w:nsid w:val="19870F45"/>
    <w:multiLevelType w:val="hybridMultilevel"/>
    <w:tmpl w:val="182CCC6C"/>
    <w:lvl w:ilvl="0" w:tplc="FE165B7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329E34DA">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093EE214">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AE9AE182">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E44AA0EA">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B836A1A4">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819474A8">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F3FEFA00">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605C2D52">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49" w15:restartNumberingAfterBreak="0">
    <w:nsid w:val="1A196CE7"/>
    <w:multiLevelType w:val="multilevel"/>
    <w:tmpl w:val="43E661D0"/>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50" w15:restartNumberingAfterBreak="0">
    <w:nsid w:val="1AD462DB"/>
    <w:multiLevelType w:val="hybridMultilevel"/>
    <w:tmpl w:val="5BB0CCE8"/>
    <w:lvl w:ilvl="0" w:tplc="8528DB4E">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CF6CD78A">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63287D2C">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7DF82D52">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018CBB64">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8BC68BD2">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7F9C0F14">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ADAC0D40">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CC242682">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51" w15:restartNumberingAfterBreak="0">
    <w:nsid w:val="1B65172C"/>
    <w:multiLevelType w:val="hybridMultilevel"/>
    <w:tmpl w:val="4D88C790"/>
    <w:lvl w:ilvl="0" w:tplc="56789118">
      <w:start w:val="1"/>
      <w:numFmt w:val="bullet"/>
      <w:lvlText w:val="•"/>
      <w:lvlJc w:val="left"/>
      <w:pPr>
        <w:ind w:left="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6A2AD8">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166F98">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F2C1E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3E9580">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440502">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AC63E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601DC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A2199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1C2A28AB"/>
    <w:multiLevelType w:val="hybridMultilevel"/>
    <w:tmpl w:val="A69C514E"/>
    <w:lvl w:ilvl="0" w:tplc="A4CEFFA8">
      <w:start w:val="2"/>
      <w:numFmt w:val="decimal"/>
      <w:lvlText w:val="%1."/>
      <w:lvlJc w:val="left"/>
      <w:pPr>
        <w:ind w:left="352"/>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1" w:tplc="732027B2">
      <w:start w:val="1"/>
      <w:numFmt w:val="lowerLetter"/>
      <w:lvlText w:val="%2"/>
      <w:lvlJc w:val="left"/>
      <w:pPr>
        <w:ind w:left="10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2" w:tplc="50346AB0">
      <w:start w:val="1"/>
      <w:numFmt w:val="lowerRoman"/>
      <w:lvlText w:val="%3"/>
      <w:lvlJc w:val="left"/>
      <w:pPr>
        <w:ind w:left="18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3" w:tplc="4686D89C">
      <w:start w:val="1"/>
      <w:numFmt w:val="decimal"/>
      <w:lvlText w:val="%4"/>
      <w:lvlJc w:val="left"/>
      <w:pPr>
        <w:ind w:left="25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4" w:tplc="4FF4D528">
      <w:start w:val="1"/>
      <w:numFmt w:val="lowerLetter"/>
      <w:lvlText w:val="%5"/>
      <w:lvlJc w:val="left"/>
      <w:pPr>
        <w:ind w:left="324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5" w:tplc="DEB2035C">
      <w:start w:val="1"/>
      <w:numFmt w:val="lowerRoman"/>
      <w:lvlText w:val="%6"/>
      <w:lvlJc w:val="left"/>
      <w:pPr>
        <w:ind w:left="396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6" w:tplc="3AB812FA">
      <w:start w:val="1"/>
      <w:numFmt w:val="decimal"/>
      <w:lvlText w:val="%7"/>
      <w:lvlJc w:val="left"/>
      <w:pPr>
        <w:ind w:left="468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7" w:tplc="625860EC">
      <w:start w:val="1"/>
      <w:numFmt w:val="lowerLetter"/>
      <w:lvlText w:val="%8"/>
      <w:lvlJc w:val="left"/>
      <w:pPr>
        <w:ind w:left="540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lvl w:ilvl="8" w:tplc="987079F4">
      <w:start w:val="1"/>
      <w:numFmt w:val="lowerRoman"/>
      <w:lvlText w:val="%9"/>
      <w:lvlJc w:val="left"/>
      <w:pPr>
        <w:ind w:left="6120"/>
      </w:pPr>
      <w:rPr>
        <w:rFonts w:ascii="Arial" w:eastAsia="Arial" w:hAnsi="Arial" w:cs="Arial"/>
        <w:b w:val="0"/>
        <w:i/>
        <w:iCs/>
        <w:strike w:val="0"/>
        <w:dstrike w:val="0"/>
        <w:color w:val="222222"/>
        <w:sz w:val="22"/>
        <w:szCs w:val="22"/>
        <w:u w:val="none" w:color="000000"/>
        <w:bdr w:val="none" w:sz="0" w:space="0" w:color="auto"/>
        <w:shd w:val="clear" w:color="auto" w:fill="auto"/>
        <w:vertAlign w:val="baseline"/>
      </w:rPr>
    </w:lvl>
  </w:abstractNum>
  <w:abstractNum w:abstractNumId="53" w15:restartNumberingAfterBreak="0">
    <w:nsid w:val="1CB46817"/>
    <w:multiLevelType w:val="hybridMultilevel"/>
    <w:tmpl w:val="14F2D106"/>
    <w:lvl w:ilvl="0" w:tplc="7F544E6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072E830">
      <w:start w:val="1"/>
      <w:numFmt w:val="bullet"/>
      <w:lvlText w:val="o"/>
      <w:lvlJc w:val="left"/>
      <w:pPr>
        <w:ind w:left="9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41AD5EE">
      <w:start w:val="1"/>
      <w:numFmt w:val="bullet"/>
      <w:lvlText w:val="▪"/>
      <w:lvlJc w:val="left"/>
      <w:pPr>
        <w:ind w:left="14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6721348">
      <w:start w:val="1"/>
      <w:numFmt w:val="bullet"/>
      <w:lvlRestart w:val="0"/>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C0A59AA">
      <w:start w:val="1"/>
      <w:numFmt w:val="bullet"/>
      <w:lvlText w:val="o"/>
      <w:lvlJc w:val="left"/>
      <w:pPr>
        <w:ind w:left="2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57A0E76">
      <w:start w:val="1"/>
      <w:numFmt w:val="bullet"/>
      <w:lvlText w:val="▪"/>
      <w:lvlJc w:val="left"/>
      <w:pPr>
        <w:ind w:left="3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520D30A">
      <w:start w:val="1"/>
      <w:numFmt w:val="bullet"/>
      <w:lvlText w:val="•"/>
      <w:lvlJc w:val="left"/>
      <w:pPr>
        <w:ind w:left="4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AE00062">
      <w:start w:val="1"/>
      <w:numFmt w:val="bullet"/>
      <w:lvlText w:val="o"/>
      <w:lvlJc w:val="left"/>
      <w:pPr>
        <w:ind w:left="49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4FECE56">
      <w:start w:val="1"/>
      <w:numFmt w:val="bullet"/>
      <w:lvlText w:val="▪"/>
      <w:lvlJc w:val="left"/>
      <w:pPr>
        <w:ind w:left="56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1CCD2A05"/>
    <w:multiLevelType w:val="hybridMultilevel"/>
    <w:tmpl w:val="98E8A4FA"/>
    <w:lvl w:ilvl="0" w:tplc="9DBE2B3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72E5110">
      <w:start w:val="1"/>
      <w:numFmt w:val="bullet"/>
      <w:lvlRestart w:val="0"/>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AD8873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09E16A6">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224084A">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8BC41A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D80DCAE">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D1A8E5A">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FF6C676">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1D9106DB"/>
    <w:multiLevelType w:val="hybridMultilevel"/>
    <w:tmpl w:val="676E79C4"/>
    <w:lvl w:ilvl="0" w:tplc="B4EA274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B68DE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F2F2A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16136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34F86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F096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ECEA1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F006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D0A19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1DEE793E"/>
    <w:multiLevelType w:val="multilevel"/>
    <w:tmpl w:val="2C88EAEA"/>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57" w15:restartNumberingAfterBreak="0">
    <w:nsid w:val="1EF266D6"/>
    <w:multiLevelType w:val="hybridMultilevel"/>
    <w:tmpl w:val="FD6A9758"/>
    <w:lvl w:ilvl="0" w:tplc="9E4433A2">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35F0864E">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C6A6495A">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51E0809E">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8BFA6786">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E6E69CAA">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D6726D02">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57D4FCC8">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13B2EAF4">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58" w15:restartNumberingAfterBreak="0">
    <w:nsid w:val="1FF0746D"/>
    <w:multiLevelType w:val="hybridMultilevel"/>
    <w:tmpl w:val="A9BAF77E"/>
    <w:lvl w:ilvl="0" w:tplc="22E29B2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A21A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08821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E436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E0A6F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4EFC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FE420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9E6CA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CCFBB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20B2016D"/>
    <w:multiLevelType w:val="hybridMultilevel"/>
    <w:tmpl w:val="A3A0AE22"/>
    <w:lvl w:ilvl="0" w:tplc="BC964A2E">
      <w:start w:val="1"/>
      <w:numFmt w:val="bullet"/>
      <w:lvlText w:val="-"/>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569C9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3A5C0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042D2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BC316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FCE1C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94F88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783E0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34C51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14C2BD5"/>
    <w:multiLevelType w:val="multilevel"/>
    <w:tmpl w:val="6AE89C6C"/>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61" w15:restartNumberingAfterBreak="0">
    <w:nsid w:val="21660B44"/>
    <w:multiLevelType w:val="hybridMultilevel"/>
    <w:tmpl w:val="AE0C902C"/>
    <w:lvl w:ilvl="0" w:tplc="50FA1A68">
      <w:start w:val="4"/>
      <w:numFmt w:val="decimal"/>
      <w:lvlText w:val="%1."/>
      <w:lvlJc w:val="left"/>
      <w:pPr>
        <w:ind w:left="7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458F2A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49458A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ACA682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EF4FD2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46CAF6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2B6504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BBC4BD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F1CE4D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1AF7004"/>
    <w:multiLevelType w:val="hybridMultilevel"/>
    <w:tmpl w:val="196C9BBA"/>
    <w:lvl w:ilvl="0" w:tplc="C0201A12">
      <w:start w:val="3"/>
      <w:numFmt w:val="upperLetter"/>
      <w:lvlText w:val="%1)"/>
      <w:lvlJc w:val="left"/>
      <w:pPr>
        <w:ind w:left="118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6DC471A0">
      <w:start w:val="1"/>
      <w:numFmt w:val="lowerLetter"/>
      <w:lvlText w:val="%2"/>
      <w:lvlJc w:val="left"/>
      <w:pPr>
        <w:ind w:left="197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75C0EB4A">
      <w:start w:val="1"/>
      <w:numFmt w:val="lowerRoman"/>
      <w:lvlText w:val="%3"/>
      <w:lvlJc w:val="left"/>
      <w:pPr>
        <w:ind w:left="269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064E472A">
      <w:start w:val="1"/>
      <w:numFmt w:val="decimal"/>
      <w:lvlText w:val="%4"/>
      <w:lvlJc w:val="left"/>
      <w:pPr>
        <w:ind w:left="341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7B865318">
      <w:start w:val="1"/>
      <w:numFmt w:val="lowerLetter"/>
      <w:lvlText w:val="%5"/>
      <w:lvlJc w:val="left"/>
      <w:pPr>
        <w:ind w:left="413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415E4610">
      <w:start w:val="1"/>
      <w:numFmt w:val="lowerRoman"/>
      <w:lvlText w:val="%6"/>
      <w:lvlJc w:val="left"/>
      <w:pPr>
        <w:ind w:left="485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6228EF7E">
      <w:start w:val="1"/>
      <w:numFmt w:val="decimal"/>
      <w:lvlText w:val="%7"/>
      <w:lvlJc w:val="left"/>
      <w:pPr>
        <w:ind w:left="557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5E72B2DA">
      <w:start w:val="1"/>
      <w:numFmt w:val="lowerLetter"/>
      <w:lvlText w:val="%8"/>
      <w:lvlJc w:val="left"/>
      <w:pPr>
        <w:ind w:left="629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D798838A">
      <w:start w:val="1"/>
      <w:numFmt w:val="lowerRoman"/>
      <w:lvlText w:val="%9"/>
      <w:lvlJc w:val="left"/>
      <w:pPr>
        <w:ind w:left="701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21A7F16"/>
    <w:multiLevelType w:val="hybridMultilevel"/>
    <w:tmpl w:val="9DDA663C"/>
    <w:lvl w:ilvl="0" w:tplc="7B5AB888">
      <w:start w:val="1"/>
      <w:numFmt w:val="bullet"/>
      <w:lvlText w:val="•"/>
      <w:lvlJc w:val="left"/>
      <w:pPr>
        <w:ind w:left="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8C889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3E7F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C69D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A8EF9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98B1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EC77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64FB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4225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29C62F5"/>
    <w:multiLevelType w:val="hybridMultilevel"/>
    <w:tmpl w:val="19620BC2"/>
    <w:lvl w:ilvl="0" w:tplc="8DA4378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1A2BD24">
      <w:start w:val="1"/>
      <w:numFmt w:val="bullet"/>
      <w:lvlText w:val="o"/>
      <w:lvlJc w:val="left"/>
      <w:pPr>
        <w:ind w:left="9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CF238EE">
      <w:start w:val="1"/>
      <w:numFmt w:val="bullet"/>
      <w:lvlText w:val="▪"/>
      <w:lvlJc w:val="left"/>
      <w:pPr>
        <w:ind w:left="1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5F07C1A">
      <w:start w:val="1"/>
      <w:numFmt w:val="bullet"/>
      <w:lvlText w:val="•"/>
      <w:lvlJc w:val="left"/>
      <w:pPr>
        <w:ind w:left="20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99C266C">
      <w:start w:val="1"/>
      <w:numFmt w:val="bullet"/>
      <w:lvlRestart w:val="0"/>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C107106">
      <w:start w:val="1"/>
      <w:numFmt w:val="bullet"/>
      <w:lvlText w:val="▪"/>
      <w:lvlJc w:val="left"/>
      <w:pPr>
        <w:ind w:left="33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6D28288">
      <w:start w:val="1"/>
      <w:numFmt w:val="bullet"/>
      <w:lvlText w:val="•"/>
      <w:lvlJc w:val="left"/>
      <w:pPr>
        <w:ind w:left="40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7682562">
      <w:start w:val="1"/>
      <w:numFmt w:val="bullet"/>
      <w:lvlText w:val="o"/>
      <w:lvlJc w:val="left"/>
      <w:pPr>
        <w:ind w:left="47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684F21A">
      <w:start w:val="1"/>
      <w:numFmt w:val="bullet"/>
      <w:lvlText w:val="▪"/>
      <w:lvlJc w:val="left"/>
      <w:pPr>
        <w:ind w:left="55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37A483C"/>
    <w:multiLevelType w:val="hybridMultilevel"/>
    <w:tmpl w:val="B07649F0"/>
    <w:lvl w:ilvl="0" w:tplc="0C520AB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70B1C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68AAE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34FFB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1624D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248E4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28E8A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E85D8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B063E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4174446"/>
    <w:multiLevelType w:val="hybridMultilevel"/>
    <w:tmpl w:val="F6863A74"/>
    <w:lvl w:ilvl="0" w:tplc="D5A818B6">
      <w:start w:val="1"/>
      <w:numFmt w:val="decimal"/>
      <w:lvlText w:val="%1."/>
      <w:lvlJc w:val="left"/>
      <w:pPr>
        <w:ind w:left="108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75C0ADDE">
      <w:start w:val="1"/>
      <w:numFmt w:val="lowerLetter"/>
      <w:lvlText w:val="%2)"/>
      <w:lvlJc w:val="left"/>
      <w:pPr>
        <w:ind w:left="180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95D6AA8E">
      <w:start w:val="1"/>
      <w:numFmt w:val="lowerRoman"/>
      <w:lvlText w:val="%3"/>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74A21034">
      <w:start w:val="1"/>
      <w:numFmt w:val="decimal"/>
      <w:lvlText w:val="%4"/>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FA681B26">
      <w:start w:val="1"/>
      <w:numFmt w:val="lowerLetter"/>
      <w:lvlText w:val="%5"/>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E09E8BA8">
      <w:start w:val="1"/>
      <w:numFmt w:val="lowerRoman"/>
      <w:lvlText w:val="%6"/>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273A3032">
      <w:start w:val="1"/>
      <w:numFmt w:val="decimal"/>
      <w:lvlText w:val="%7"/>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5CA459B4">
      <w:start w:val="1"/>
      <w:numFmt w:val="lowerLetter"/>
      <w:lvlText w:val="%8"/>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E5EE9664">
      <w:start w:val="1"/>
      <w:numFmt w:val="lowerRoman"/>
      <w:lvlText w:val="%9"/>
      <w:lvlJc w:val="left"/>
      <w:pPr>
        <w:ind w:left="68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24D77923"/>
    <w:multiLevelType w:val="hybridMultilevel"/>
    <w:tmpl w:val="EDBE3598"/>
    <w:lvl w:ilvl="0" w:tplc="80085B3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F22B9A0">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06C8D36">
      <w:start w:val="1"/>
      <w:numFmt w:val="bullet"/>
      <w:lvlRestart w:val="0"/>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8A8783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D0844D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17E8C7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542AD2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38819A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832C72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4FA55EF"/>
    <w:multiLevelType w:val="hybridMultilevel"/>
    <w:tmpl w:val="F59C0CC4"/>
    <w:lvl w:ilvl="0" w:tplc="15FCB804">
      <w:start w:val="4"/>
      <w:numFmt w:val="upperLetter"/>
      <w:lvlText w:val="%1)"/>
      <w:lvlJc w:val="left"/>
      <w:pPr>
        <w:ind w:left="1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EA5C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C879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6405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D4152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4681F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7E14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E095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5E76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6280AC2"/>
    <w:multiLevelType w:val="hybridMultilevel"/>
    <w:tmpl w:val="EB746EA2"/>
    <w:lvl w:ilvl="0" w:tplc="D63442F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BB06BC6">
      <w:start w:val="1"/>
      <w:numFmt w:val="bullet"/>
      <w:lvlText w:val="o"/>
      <w:lvlJc w:val="left"/>
      <w:pPr>
        <w:ind w:left="1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F7A88DA">
      <w:start w:val="1"/>
      <w:numFmt w:val="bullet"/>
      <w:lvlRestart w:val="0"/>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F02092">
      <w:start w:val="1"/>
      <w:numFmt w:val="bullet"/>
      <w:lvlText w:val="•"/>
      <w:lvlJc w:val="left"/>
      <w:pPr>
        <w:ind w:left="33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EDA34C0">
      <w:start w:val="1"/>
      <w:numFmt w:val="bullet"/>
      <w:lvlText w:val="o"/>
      <w:lvlJc w:val="left"/>
      <w:pPr>
        <w:ind w:left="40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15413DC">
      <w:start w:val="1"/>
      <w:numFmt w:val="bullet"/>
      <w:lvlText w:val="▪"/>
      <w:lvlJc w:val="left"/>
      <w:pPr>
        <w:ind w:left="47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B96A4E6">
      <w:start w:val="1"/>
      <w:numFmt w:val="bullet"/>
      <w:lvlText w:val="•"/>
      <w:lvlJc w:val="left"/>
      <w:pPr>
        <w:ind w:left="55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CAE7CFC">
      <w:start w:val="1"/>
      <w:numFmt w:val="bullet"/>
      <w:lvlText w:val="o"/>
      <w:lvlJc w:val="left"/>
      <w:pPr>
        <w:ind w:left="62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B5AD2AC">
      <w:start w:val="1"/>
      <w:numFmt w:val="bullet"/>
      <w:lvlText w:val="▪"/>
      <w:lvlJc w:val="left"/>
      <w:pPr>
        <w:ind w:left="69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70409EC"/>
    <w:multiLevelType w:val="hybridMultilevel"/>
    <w:tmpl w:val="AECC54B0"/>
    <w:lvl w:ilvl="0" w:tplc="756C0DD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DC1740">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1A5BC8">
      <w:start w:val="1"/>
      <w:numFmt w:val="bullet"/>
      <w:lvlText w:val="▪"/>
      <w:lvlJc w:val="left"/>
      <w:pPr>
        <w:ind w:left="1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0A01DA">
      <w:start w:val="1"/>
      <w:numFmt w:val="bullet"/>
      <w:lvlText w:val="•"/>
      <w:lvlJc w:val="left"/>
      <w:pPr>
        <w:ind w:left="20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A031A4">
      <w:start w:val="1"/>
      <w:numFmt w:val="bullet"/>
      <w:lvlText w:val="o"/>
      <w:lvlJc w:val="left"/>
      <w:pPr>
        <w:ind w:left="27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725DDC">
      <w:start w:val="1"/>
      <w:numFmt w:val="bullet"/>
      <w:lvlText w:val="▪"/>
      <w:lvlJc w:val="left"/>
      <w:pPr>
        <w:ind w:left="3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D8DA04">
      <w:start w:val="1"/>
      <w:numFmt w:val="bullet"/>
      <w:lvlText w:val="•"/>
      <w:lvlJc w:val="left"/>
      <w:pPr>
        <w:ind w:left="4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0EF07A">
      <w:start w:val="1"/>
      <w:numFmt w:val="bullet"/>
      <w:lvlText w:val="o"/>
      <w:lvlJc w:val="left"/>
      <w:pPr>
        <w:ind w:left="4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C0C94A">
      <w:start w:val="1"/>
      <w:numFmt w:val="bullet"/>
      <w:lvlText w:val="▪"/>
      <w:lvlJc w:val="left"/>
      <w:pPr>
        <w:ind w:left="56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A554CF5"/>
    <w:multiLevelType w:val="hybridMultilevel"/>
    <w:tmpl w:val="47027696"/>
    <w:lvl w:ilvl="0" w:tplc="B706DF10">
      <w:start w:val="1"/>
      <w:numFmt w:val="lowerLetter"/>
      <w:lvlText w:val="%1)"/>
      <w:lvlJc w:val="left"/>
      <w:pPr>
        <w:ind w:left="9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646FBD2">
      <w:start w:val="1"/>
      <w:numFmt w:val="lowerLetter"/>
      <w:lvlText w:val="%2"/>
      <w:lvlJc w:val="left"/>
      <w:pPr>
        <w:ind w:left="143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BAC934C">
      <w:start w:val="1"/>
      <w:numFmt w:val="lowerRoman"/>
      <w:lvlText w:val="%3"/>
      <w:lvlJc w:val="left"/>
      <w:pPr>
        <w:ind w:left="21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6E03A70">
      <w:start w:val="1"/>
      <w:numFmt w:val="decimal"/>
      <w:lvlText w:val="%4"/>
      <w:lvlJc w:val="left"/>
      <w:pPr>
        <w:ind w:left="28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75A0A86">
      <w:start w:val="1"/>
      <w:numFmt w:val="lowerLetter"/>
      <w:lvlText w:val="%5"/>
      <w:lvlJc w:val="left"/>
      <w:pPr>
        <w:ind w:left="3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786F87C">
      <w:start w:val="1"/>
      <w:numFmt w:val="lowerRoman"/>
      <w:lvlText w:val="%6"/>
      <w:lvlJc w:val="left"/>
      <w:pPr>
        <w:ind w:left="431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FBEC37C">
      <w:start w:val="1"/>
      <w:numFmt w:val="decimal"/>
      <w:lvlText w:val="%7"/>
      <w:lvlJc w:val="left"/>
      <w:pPr>
        <w:ind w:left="503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8F21DC8">
      <w:start w:val="1"/>
      <w:numFmt w:val="lowerLetter"/>
      <w:lvlText w:val="%8"/>
      <w:lvlJc w:val="left"/>
      <w:pPr>
        <w:ind w:left="57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DAE00BE">
      <w:start w:val="1"/>
      <w:numFmt w:val="lowerRoman"/>
      <w:lvlText w:val="%9"/>
      <w:lvlJc w:val="left"/>
      <w:pPr>
        <w:ind w:left="64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A703973"/>
    <w:multiLevelType w:val="hybridMultilevel"/>
    <w:tmpl w:val="4F607156"/>
    <w:lvl w:ilvl="0" w:tplc="7AA22F6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0307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20D72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7481C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F8702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1AF04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9A534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B2EBC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98E0D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ABA50EB"/>
    <w:multiLevelType w:val="multilevel"/>
    <w:tmpl w:val="1E841016"/>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74" w15:restartNumberingAfterBreak="0">
    <w:nsid w:val="2AD57143"/>
    <w:multiLevelType w:val="hybridMultilevel"/>
    <w:tmpl w:val="D070DA80"/>
    <w:lvl w:ilvl="0" w:tplc="056A231A">
      <w:start w:val="1"/>
      <w:numFmt w:val="bullet"/>
      <w:lvlText w:val="•"/>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7AED40">
      <w:start w:val="1"/>
      <w:numFmt w:val="bullet"/>
      <w:lvlText w:val="-"/>
      <w:lvlJc w:val="left"/>
      <w:pPr>
        <w:ind w:left="1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C2BA0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1253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A4CCE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3A76F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2646E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0E9ED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9604F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2AD67C53"/>
    <w:multiLevelType w:val="hybridMultilevel"/>
    <w:tmpl w:val="AFCCA656"/>
    <w:lvl w:ilvl="0" w:tplc="C65E8B20">
      <w:start w:val="1"/>
      <w:numFmt w:val="bullet"/>
      <w:lvlText w:val="-"/>
      <w:lvlJc w:val="left"/>
      <w:pPr>
        <w:ind w:left="1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CE9B9E">
      <w:start w:val="1"/>
      <w:numFmt w:val="bullet"/>
      <w:lvlText w:val="o"/>
      <w:lvlJc w:val="left"/>
      <w:pPr>
        <w:ind w:left="1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C444D4">
      <w:start w:val="1"/>
      <w:numFmt w:val="bullet"/>
      <w:lvlText w:val="▪"/>
      <w:lvlJc w:val="left"/>
      <w:pPr>
        <w:ind w:left="2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F26D46">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C940E">
      <w:start w:val="1"/>
      <w:numFmt w:val="bullet"/>
      <w:lvlText w:val="o"/>
      <w:lvlJc w:val="left"/>
      <w:pPr>
        <w:ind w:left="3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3E2ACA">
      <w:start w:val="1"/>
      <w:numFmt w:val="bullet"/>
      <w:lvlText w:val="▪"/>
      <w:lvlJc w:val="left"/>
      <w:pPr>
        <w:ind w:left="4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FE85FE">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E0B19C">
      <w:start w:val="1"/>
      <w:numFmt w:val="bullet"/>
      <w:lvlText w:val="o"/>
      <w:lvlJc w:val="left"/>
      <w:pPr>
        <w:ind w:left="5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AA2352">
      <w:start w:val="1"/>
      <w:numFmt w:val="bullet"/>
      <w:lvlText w:val="▪"/>
      <w:lvlJc w:val="left"/>
      <w:pPr>
        <w:ind w:left="65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B657AEF"/>
    <w:multiLevelType w:val="hybridMultilevel"/>
    <w:tmpl w:val="1006F528"/>
    <w:lvl w:ilvl="0" w:tplc="9F029370">
      <w:start w:val="8"/>
      <w:numFmt w:val="upperLetter"/>
      <w:lvlText w:val="%1)"/>
      <w:lvlJc w:val="left"/>
      <w:pPr>
        <w:ind w:left="620"/>
      </w:pPr>
      <w:rPr>
        <w:rFonts w:ascii="Arial" w:eastAsia="Arial" w:hAnsi="Arial" w:cs="Arial"/>
        <w:b/>
        <w:bCs/>
        <w:i w:val="0"/>
        <w:strike w:val="0"/>
        <w:dstrike w:val="0"/>
        <w:color w:val="000000"/>
        <w:sz w:val="22"/>
        <w:szCs w:val="22"/>
        <w:u w:val="none" w:color="000000"/>
        <w:bdr w:val="single" w:sz="10" w:space="0" w:color="000001"/>
        <w:shd w:val="clear" w:color="auto" w:fill="auto"/>
        <w:vertAlign w:val="baseline"/>
      </w:rPr>
    </w:lvl>
    <w:lvl w:ilvl="1" w:tplc="A0AEC93E">
      <w:start w:val="1"/>
      <w:numFmt w:val="lowerLetter"/>
      <w:lvlText w:val="%2"/>
      <w:lvlJc w:val="left"/>
      <w:pPr>
        <w:ind w:left="1102"/>
      </w:pPr>
      <w:rPr>
        <w:rFonts w:ascii="Arial" w:eastAsia="Arial" w:hAnsi="Arial" w:cs="Arial"/>
        <w:b/>
        <w:bCs/>
        <w:i w:val="0"/>
        <w:strike w:val="0"/>
        <w:dstrike w:val="0"/>
        <w:color w:val="000000"/>
        <w:sz w:val="22"/>
        <w:szCs w:val="22"/>
        <w:u w:val="none" w:color="000000"/>
        <w:bdr w:val="single" w:sz="10" w:space="0" w:color="000001"/>
        <w:shd w:val="clear" w:color="auto" w:fill="auto"/>
        <w:vertAlign w:val="baseline"/>
      </w:rPr>
    </w:lvl>
    <w:lvl w:ilvl="2" w:tplc="FAC61278">
      <w:start w:val="1"/>
      <w:numFmt w:val="lowerRoman"/>
      <w:lvlText w:val="%3"/>
      <w:lvlJc w:val="left"/>
      <w:pPr>
        <w:ind w:left="1822"/>
      </w:pPr>
      <w:rPr>
        <w:rFonts w:ascii="Arial" w:eastAsia="Arial" w:hAnsi="Arial" w:cs="Arial"/>
        <w:b/>
        <w:bCs/>
        <w:i w:val="0"/>
        <w:strike w:val="0"/>
        <w:dstrike w:val="0"/>
        <w:color w:val="000000"/>
        <w:sz w:val="22"/>
        <w:szCs w:val="22"/>
        <w:u w:val="none" w:color="000000"/>
        <w:bdr w:val="single" w:sz="10" w:space="0" w:color="000001"/>
        <w:shd w:val="clear" w:color="auto" w:fill="auto"/>
        <w:vertAlign w:val="baseline"/>
      </w:rPr>
    </w:lvl>
    <w:lvl w:ilvl="3" w:tplc="E6EED2FC">
      <w:start w:val="1"/>
      <w:numFmt w:val="decimal"/>
      <w:lvlText w:val="%4"/>
      <w:lvlJc w:val="left"/>
      <w:pPr>
        <w:ind w:left="2542"/>
      </w:pPr>
      <w:rPr>
        <w:rFonts w:ascii="Arial" w:eastAsia="Arial" w:hAnsi="Arial" w:cs="Arial"/>
        <w:b/>
        <w:bCs/>
        <w:i w:val="0"/>
        <w:strike w:val="0"/>
        <w:dstrike w:val="0"/>
        <w:color w:val="000000"/>
        <w:sz w:val="22"/>
        <w:szCs w:val="22"/>
        <w:u w:val="none" w:color="000000"/>
        <w:bdr w:val="single" w:sz="10" w:space="0" w:color="000001"/>
        <w:shd w:val="clear" w:color="auto" w:fill="auto"/>
        <w:vertAlign w:val="baseline"/>
      </w:rPr>
    </w:lvl>
    <w:lvl w:ilvl="4" w:tplc="C5BA0FA6">
      <w:start w:val="1"/>
      <w:numFmt w:val="lowerLetter"/>
      <w:lvlText w:val="%5"/>
      <w:lvlJc w:val="left"/>
      <w:pPr>
        <w:ind w:left="3262"/>
      </w:pPr>
      <w:rPr>
        <w:rFonts w:ascii="Arial" w:eastAsia="Arial" w:hAnsi="Arial" w:cs="Arial"/>
        <w:b/>
        <w:bCs/>
        <w:i w:val="0"/>
        <w:strike w:val="0"/>
        <w:dstrike w:val="0"/>
        <w:color w:val="000000"/>
        <w:sz w:val="22"/>
        <w:szCs w:val="22"/>
        <w:u w:val="none" w:color="000000"/>
        <w:bdr w:val="single" w:sz="10" w:space="0" w:color="000001"/>
        <w:shd w:val="clear" w:color="auto" w:fill="auto"/>
        <w:vertAlign w:val="baseline"/>
      </w:rPr>
    </w:lvl>
    <w:lvl w:ilvl="5" w:tplc="D0B2BA7E">
      <w:start w:val="1"/>
      <w:numFmt w:val="lowerRoman"/>
      <w:lvlText w:val="%6"/>
      <w:lvlJc w:val="left"/>
      <w:pPr>
        <w:ind w:left="3982"/>
      </w:pPr>
      <w:rPr>
        <w:rFonts w:ascii="Arial" w:eastAsia="Arial" w:hAnsi="Arial" w:cs="Arial"/>
        <w:b/>
        <w:bCs/>
        <w:i w:val="0"/>
        <w:strike w:val="0"/>
        <w:dstrike w:val="0"/>
        <w:color w:val="000000"/>
        <w:sz w:val="22"/>
        <w:szCs w:val="22"/>
        <w:u w:val="none" w:color="000000"/>
        <w:bdr w:val="single" w:sz="10" w:space="0" w:color="000001"/>
        <w:shd w:val="clear" w:color="auto" w:fill="auto"/>
        <w:vertAlign w:val="baseline"/>
      </w:rPr>
    </w:lvl>
    <w:lvl w:ilvl="6" w:tplc="202C91A8">
      <w:start w:val="1"/>
      <w:numFmt w:val="decimal"/>
      <w:lvlText w:val="%7"/>
      <w:lvlJc w:val="left"/>
      <w:pPr>
        <w:ind w:left="4702"/>
      </w:pPr>
      <w:rPr>
        <w:rFonts w:ascii="Arial" w:eastAsia="Arial" w:hAnsi="Arial" w:cs="Arial"/>
        <w:b/>
        <w:bCs/>
        <w:i w:val="0"/>
        <w:strike w:val="0"/>
        <w:dstrike w:val="0"/>
        <w:color w:val="000000"/>
        <w:sz w:val="22"/>
        <w:szCs w:val="22"/>
        <w:u w:val="none" w:color="000000"/>
        <w:bdr w:val="single" w:sz="10" w:space="0" w:color="000001"/>
        <w:shd w:val="clear" w:color="auto" w:fill="auto"/>
        <w:vertAlign w:val="baseline"/>
      </w:rPr>
    </w:lvl>
    <w:lvl w:ilvl="7" w:tplc="4CDCE9DC">
      <w:start w:val="1"/>
      <w:numFmt w:val="lowerLetter"/>
      <w:lvlText w:val="%8"/>
      <w:lvlJc w:val="left"/>
      <w:pPr>
        <w:ind w:left="5422"/>
      </w:pPr>
      <w:rPr>
        <w:rFonts w:ascii="Arial" w:eastAsia="Arial" w:hAnsi="Arial" w:cs="Arial"/>
        <w:b/>
        <w:bCs/>
        <w:i w:val="0"/>
        <w:strike w:val="0"/>
        <w:dstrike w:val="0"/>
        <w:color w:val="000000"/>
        <w:sz w:val="22"/>
        <w:szCs w:val="22"/>
        <w:u w:val="none" w:color="000000"/>
        <w:bdr w:val="single" w:sz="10" w:space="0" w:color="000001"/>
        <w:shd w:val="clear" w:color="auto" w:fill="auto"/>
        <w:vertAlign w:val="baseline"/>
      </w:rPr>
    </w:lvl>
    <w:lvl w:ilvl="8" w:tplc="44F27A48">
      <w:start w:val="1"/>
      <w:numFmt w:val="lowerRoman"/>
      <w:lvlText w:val="%9"/>
      <w:lvlJc w:val="left"/>
      <w:pPr>
        <w:ind w:left="6142"/>
      </w:pPr>
      <w:rPr>
        <w:rFonts w:ascii="Arial" w:eastAsia="Arial" w:hAnsi="Arial" w:cs="Arial"/>
        <w:b/>
        <w:bCs/>
        <w:i w:val="0"/>
        <w:strike w:val="0"/>
        <w:dstrike w:val="0"/>
        <w:color w:val="000000"/>
        <w:sz w:val="22"/>
        <w:szCs w:val="22"/>
        <w:u w:val="none" w:color="000000"/>
        <w:bdr w:val="single" w:sz="10" w:space="0" w:color="000001"/>
        <w:shd w:val="clear" w:color="auto" w:fill="auto"/>
        <w:vertAlign w:val="baseline"/>
      </w:rPr>
    </w:lvl>
  </w:abstractNum>
  <w:abstractNum w:abstractNumId="77" w15:restartNumberingAfterBreak="0">
    <w:nsid w:val="2BD834F1"/>
    <w:multiLevelType w:val="hybridMultilevel"/>
    <w:tmpl w:val="8D268AF6"/>
    <w:lvl w:ilvl="0" w:tplc="84AAFF84">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5022D9A">
      <w:start w:val="1"/>
      <w:numFmt w:val="bullet"/>
      <w:lvlRestart w:val="0"/>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9C2C138">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72C52AA">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AFE67F8">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282ACEC">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9E62840">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22AA9A2">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DEECC38">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C6B5168"/>
    <w:multiLevelType w:val="multilevel"/>
    <w:tmpl w:val="9F60AF4A"/>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79" w15:restartNumberingAfterBreak="0">
    <w:nsid w:val="2DC35AB7"/>
    <w:multiLevelType w:val="multilevel"/>
    <w:tmpl w:val="B71EA75A"/>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80" w15:restartNumberingAfterBreak="0">
    <w:nsid w:val="2E082A08"/>
    <w:multiLevelType w:val="hybridMultilevel"/>
    <w:tmpl w:val="6BCAB124"/>
    <w:lvl w:ilvl="0" w:tplc="2EE8D92C">
      <w:start w:val="1"/>
      <w:numFmt w:val="upperLetter"/>
      <w:lvlText w:val="%1)"/>
      <w:lvlJc w:val="left"/>
      <w:pPr>
        <w:ind w:left="10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A20325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06E79D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B60072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51A4FE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3AC67F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F42CB4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CC648C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098AA0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E3A1FA6"/>
    <w:multiLevelType w:val="hybridMultilevel"/>
    <w:tmpl w:val="B9C68F22"/>
    <w:lvl w:ilvl="0" w:tplc="7D6AEE00">
      <w:start w:val="1"/>
      <w:numFmt w:val="bullet"/>
      <w:lvlText w:val="•"/>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200E46">
      <w:start w:val="1"/>
      <w:numFmt w:val="bullet"/>
      <w:lvlText w:val="-"/>
      <w:lvlJc w:val="left"/>
      <w:pPr>
        <w:ind w:left="1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122F7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A26F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2EC0B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565C0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BE306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B82F3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E08E5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2E6C212D"/>
    <w:multiLevelType w:val="multilevel"/>
    <w:tmpl w:val="C0FE6868"/>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83" w15:restartNumberingAfterBreak="0">
    <w:nsid w:val="2E6F186B"/>
    <w:multiLevelType w:val="hybridMultilevel"/>
    <w:tmpl w:val="E968EE40"/>
    <w:lvl w:ilvl="0" w:tplc="B2D66964">
      <w:start w:val="1"/>
      <w:numFmt w:val="lowerLetter"/>
      <w:lvlText w:val="%1)"/>
      <w:lvlJc w:val="left"/>
      <w:pPr>
        <w:ind w:left="10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1E43E64">
      <w:start w:val="1"/>
      <w:numFmt w:val="lowerLetter"/>
      <w:lvlText w:val="%2"/>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D523FB8">
      <w:start w:val="1"/>
      <w:numFmt w:val="lowerRoman"/>
      <w:lvlText w:val="%3"/>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F46FE80">
      <w:start w:val="1"/>
      <w:numFmt w:val="decimal"/>
      <w:lvlText w:val="%4"/>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6F6CB4E">
      <w:start w:val="1"/>
      <w:numFmt w:val="lowerLetter"/>
      <w:lvlText w:val="%5"/>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5FC7BDC">
      <w:start w:val="1"/>
      <w:numFmt w:val="lowerRoman"/>
      <w:lvlText w:val="%6"/>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F10FE02">
      <w:start w:val="1"/>
      <w:numFmt w:val="decimal"/>
      <w:lvlText w:val="%7"/>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1922878">
      <w:start w:val="1"/>
      <w:numFmt w:val="lowerLetter"/>
      <w:lvlText w:val="%8"/>
      <w:lvlJc w:val="left"/>
      <w:pPr>
        <w:ind w:left="57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2A0DB0C">
      <w:start w:val="1"/>
      <w:numFmt w:val="lowerRoman"/>
      <w:lvlText w:val="%9"/>
      <w:lvlJc w:val="left"/>
      <w:pPr>
        <w:ind w:left="64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2F202B3A"/>
    <w:multiLevelType w:val="hybridMultilevel"/>
    <w:tmpl w:val="1138D3C2"/>
    <w:lvl w:ilvl="0" w:tplc="3FEA5164">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EC78E2">
      <w:start w:val="1"/>
      <w:numFmt w:val="bullet"/>
      <w:lvlText w:val="o"/>
      <w:lvlJc w:val="left"/>
      <w:pPr>
        <w:ind w:left="13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86830E">
      <w:start w:val="1"/>
      <w:numFmt w:val="bullet"/>
      <w:lvlText w:val="▪"/>
      <w:lvlJc w:val="left"/>
      <w:pPr>
        <w:ind w:left="20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E6551C">
      <w:start w:val="1"/>
      <w:numFmt w:val="bullet"/>
      <w:lvlText w:val="•"/>
      <w:lvlJc w:val="left"/>
      <w:pPr>
        <w:ind w:left="2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D69DBA">
      <w:start w:val="1"/>
      <w:numFmt w:val="bullet"/>
      <w:lvlText w:val="o"/>
      <w:lvlJc w:val="left"/>
      <w:pPr>
        <w:ind w:left="34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7CAFA8">
      <w:start w:val="1"/>
      <w:numFmt w:val="bullet"/>
      <w:lvlText w:val="▪"/>
      <w:lvlJc w:val="left"/>
      <w:pPr>
        <w:ind w:left="41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FA02C4">
      <w:start w:val="1"/>
      <w:numFmt w:val="bullet"/>
      <w:lvlText w:val="•"/>
      <w:lvlJc w:val="left"/>
      <w:pPr>
        <w:ind w:left="4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90809E">
      <w:start w:val="1"/>
      <w:numFmt w:val="bullet"/>
      <w:lvlText w:val="o"/>
      <w:lvlJc w:val="left"/>
      <w:pPr>
        <w:ind w:left="56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D06E44">
      <w:start w:val="1"/>
      <w:numFmt w:val="bullet"/>
      <w:lvlText w:val="▪"/>
      <w:lvlJc w:val="left"/>
      <w:pPr>
        <w:ind w:left="63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2F841314"/>
    <w:multiLevelType w:val="multilevel"/>
    <w:tmpl w:val="57E6A784"/>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38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86" w15:restartNumberingAfterBreak="0">
    <w:nsid w:val="2FF1787F"/>
    <w:multiLevelType w:val="hybridMultilevel"/>
    <w:tmpl w:val="CB064C02"/>
    <w:lvl w:ilvl="0" w:tplc="52141830">
      <w:start w:val="1"/>
      <w:numFmt w:val="bullet"/>
      <w:lvlText w:val="•"/>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3E2800">
      <w:start w:val="1"/>
      <w:numFmt w:val="bullet"/>
      <w:lvlText w:val="-"/>
      <w:lvlJc w:val="left"/>
      <w:pPr>
        <w:ind w:left="1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101E6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0C953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38255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365E6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C83CA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82950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4A756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19268C8"/>
    <w:multiLevelType w:val="hybridMultilevel"/>
    <w:tmpl w:val="191E19C8"/>
    <w:lvl w:ilvl="0" w:tplc="58867524">
      <w:start w:val="1"/>
      <w:numFmt w:val="decimal"/>
      <w:lvlText w:val="%1."/>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67C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4A10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A624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1831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C0D0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662D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B468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E14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20942EB"/>
    <w:multiLevelType w:val="hybridMultilevel"/>
    <w:tmpl w:val="08749392"/>
    <w:lvl w:ilvl="0" w:tplc="DCCC0A3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4CBC2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0F2CA5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5CEDB58">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7AA92E6">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24EB71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4262EDA">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ADE7E3E">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8262B62">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3E2175E"/>
    <w:multiLevelType w:val="hybridMultilevel"/>
    <w:tmpl w:val="5A92F21C"/>
    <w:lvl w:ilvl="0" w:tplc="A9689354">
      <w:start w:val="1"/>
      <w:numFmt w:val="bullet"/>
      <w:lvlText w:val="-"/>
      <w:lvlJc w:val="left"/>
      <w:pPr>
        <w:ind w:left="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F67A1C">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EAF0E8">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2CBF8E">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086872">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EA0CDE">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465EBA">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C810A">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92CCE4">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40310E7"/>
    <w:multiLevelType w:val="hybridMultilevel"/>
    <w:tmpl w:val="59BA93B2"/>
    <w:lvl w:ilvl="0" w:tplc="8E58651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D0C0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CEE26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0CEBF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26D2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B6DAA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2CEB4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B638F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2E7B3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342652F4"/>
    <w:multiLevelType w:val="hybridMultilevel"/>
    <w:tmpl w:val="51F8E76C"/>
    <w:lvl w:ilvl="0" w:tplc="DE82B71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247448">
      <w:start w:val="1"/>
      <w:numFmt w:val="bullet"/>
      <w:lvlText w:val="o"/>
      <w:lvlJc w:val="left"/>
      <w:pPr>
        <w:ind w:left="1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24C6EE">
      <w:start w:val="1"/>
      <w:numFmt w:val="bullet"/>
      <w:lvlText w:val="▪"/>
      <w:lvlJc w:val="left"/>
      <w:pPr>
        <w:ind w:left="18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26805E">
      <w:start w:val="1"/>
      <w:numFmt w:val="bullet"/>
      <w:lvlText w:val="•"/>
      <w:lvlJc w:val="left"/>
      <w:pPr>
        <w:ind w:left="2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90852E">
      <w:start w:val="1"/>
      <w:numFmt w:val="bullet"/>
      <w:lvlText w:val="o"/>
      <w:lvlJc w:val="left"/>
      <w:pPr>
        <w:ind w:left="3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9E5FC2">
      <w:start w:val="1"/>
      <w:numFmt w:val="bullet"/>
      <w:lvlText w:val="▪"/>
      <w:lvlJc w:val="left"/>
      <w:pPr>
        <w:ind w:left="40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7CC0C8">
      <w:start w:val="1"/>
      <w:numFmt w:val="bullet"/>
      <w:lvlText w:val="•"/>
      <w:lvlJc w:val="left"/>
      <w:pPr>
        <w:ind w:left="4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46EDF8">
      <w:start w:val="1"/>
      <w:numFmt w:val="bullet"/>
      <w:lvlText w:val="o"/>
      <w:lvlJc w:val="left"/>
      <w:pPr>
        <w:ind w:left="54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044A10">
      <w:start w:val="1"/>
      <w:numFmt w:val="bullet"/>
      <w:lvlText w:val="▪"/>
      <w:lvlJc w:val="left"/>
      <w:pPr>
        <w:ind w:left="62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345302F4"/>
    <w:multiLevelType w:val="hybridMultilevel"/>
    <w:tmpl w:val="11F8AB50"/>
    <w:lvl w:ilvl="0" w:tplc="ADA8707E">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52754A">
      <w:start w:val="1"/>
      <w:numFmt w:val="bullet"/>
      <w:lvlText w:val="o"/>
      <w:lvlJc w:val="left"/>
      <w:pPr>
        <w:ind w:left="17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07E19E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63A234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CEA4C0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8B8275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8B8A14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166451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466EA6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36E12708"/>
    <w:multiLevelType w:val="hybridMultilevel"/>
    <w:tmpl w:val="4AD2CF0E"/>
    <w:lvl w:ilvl="0" w:tplc="C56C4458">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75888162">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1172AEA0">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A692C89E">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04860520">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16C6E756">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5A32AEDA">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7FBCC212">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D70ED6B0">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94" w15:restartNumberingAfterBreak="0">
    <w:nsid w:val="36E40055"/>
    <w:multiLevelType w:val="hybridMultilevel"/>
    <w:tmpl w:val="DA603E8C"/>
    <w:lvl w:ilvl="0" w:tplc="F224F3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4EE29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BA5AD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2C763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B4E88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74012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F8E72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9CA6C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505A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38316E27"/>
    <w:multiLevelType w:val="hybridMultilevel"/>
    <w:tmpl w:val="339682FC"/>
    <w:lvl w:ilvl="0" w:tplc="66B21F8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10F1C0">
      <w:start w:val="3"/>
      <w:numFmt w:val="decimal"/>
      <w:lvlText w:val="%2."/>
      <w:lvlJc w:val="left"/>
      <w:pPr>
        <w:ind w:left="3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F19690CC">
      <w:start w:val="1"/>
      <w:numFmt w:val="lowerRoman"/>
      <w:lvlText w:val="%3"/>
      <w:lvlJc w:val="left"/>
      <w:pPr>
        <w:ind w:left="14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723CD680">
      <w:start w:val="1"/>
      <w:numFmt w:val="decimal"/>
      <w:lvlText w:val="%4"/>
      <w:lvlJc w:val="left"/>
      <w:pPr>
        <w:ind w:left="21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7E503980">
      <w:start w:val="1"/>
      <w:numFmt w:val="lowerLetter"/>
      <w:lvlText w:val="%5"/>
      <w:lvlJc w:val="left"/>
      <w:pPr>
        <w:ind w:left="28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63008492">
      <w:start w:val="1"/>
      <w:numFmt w:val="lowerRoman"/>
      <w:lvlText w:val="%6"/>
      <w:lvlJc w:val="left"/>
      <w:pPr>
        <w:ind w:left="36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6E6C8C1E">
      <w:start w:val="1"/>
      <w:numFmt w:val="decimal"/>
      <w:lvlText w:val="%7"/>
      <w:lvlJc w:val="left"/>
      <w:pPr>
        <w:ind w:left="43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C6149A94">
      <w:start w:val="1"/>
      <w:numFmt w:val="lowerLetter"/>
      <w:lvlText w:val="%8"/>
      <w:lvlJc w:val="left"/>
      <w:pPr>
        <w:ind w:left="50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C0CCE7B4">
      <w:start w:val="1"/>
      <w:numFmt w:val="lowerRoman"/>
      <w:lvlText w:val="%9"/>
      <w:lvlJc w:val="left"/>
      <w:pPr>
        <w:ind w:left="57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96" w15:restartNumberingAfterBreak="0">
    <w:nsid w:val="386A71AA"/>
    <w:multiLevelType w:val="hybridMultilevel"/>
    <w:tmpl w:val="B3E6FBAA"/>
    <w:lvl w:ilvl="0" w:tplc="52C81A08">
      <w:start w:val="1"/>
      <w:numFmt w:val="bullet"/>
      <w:lvlText w:val="-"/>
      <w:lvlJc w:val="left"/>
      <w:pPr>
        <w:ind w:left="1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26BA3A">
      <w:start w:val="1"/>
      <w:numFmt w:val="bullet"/>
      <w:lvlText w:val="o"/>
      <w:lvlJc w:val="left"/>
      <w:pPr>
        <w:ind w:left="1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66B010">
      <w:start w:val="1"/>
      <w:numFmt w:val="bullet"/>
      <w:lvlText w:val="▪"/>
      <w:lvlJc w:val="left"/>
      <w:pPr>
        <w:ind w:left="2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C680F4">
      <w:start w:val="1"/>
      <w:numFmt w:val="bullet"/>
      <w:lvlText w:val="•"/>
      <w:lvlJc w:val="left"/>
      <w:pPr>
        <w:ind w:left="2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304C92">
      <w:start w:val="1"/>
      <w:numFmt w:val="bullet"/>
      <w:lvlText w:val="o"/>
      <w:lvlJc w:val="left"/>
      <w:pPr>
        <w:ind w:left="3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162F28">
      <w:start w:val="1"/>
      <w:numFmt w:val="bullet"/>
      <w:lvlText w:val="▪"/>
      <w:lvlJc w:val="left"/>
      <w:pPr>
        <w:ind w:left="4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76DF7E">
      <w:start w:val="1"/>
      <w:numFmt w:val="bullet"/>
      <w:lvlText w:val="•"/>
      <w:lvlJc w:val="left"/>
      <w:pPr>
        <w:ind w:left="50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CCBAA2">
      <w:start w:val="1"/>
      <w:numFmt w:val="bullet"/>
      <w:lvlText w:val="o"/>
      <w:lvlJc w:val="left"/>
      <w:pPr>
        <w:ind w:left="57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E2A356">
      <w:start w:val="1"/>
      <w:numFmt w:val="bullet"/>
      <w:lvlText w:val="▪"/>
      <w:lvlJc w:val="left"/>
      <w:pPr>
        <w:ind w:left="64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389B4B94"/>
    <w:multiLevelType w:val="hybridMultilevel"/>
    <w:tmpl w:val="88CA2D54"/>
    <w:lvl w:ilvl="0" w:tplc="5C92A15A">
      <w:start w:val="1"/>
      <w:numFmt w:val="bullet"/>
      <w:lvlText w:val="•"/>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542A8E">
      <w:start w:val="1"/>
      <w:numFmt w:val="bullet"/>
      <w:lvlText w:val="-"/>
      <w:lvlJc w:val="left"/>
      <w:pPr>
        <w:ind w:left="1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D4CC3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6E8CE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5E1D6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26FE9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5A57E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563BE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DEE9B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38F7249D"/>
    <w:multiLevelType w:val="hybridMultilevel"/>
    <w:tmpl w:val="9604BC48"/>
    <w:lvl w:ilvl="0" w:tplc="CDFAAF18">
      <w:start w:val="1"/>
      <w:numFmt w:val="bullet"/>
      <w:lvlText w:val="•"/>
      <w:lvlJc w:val="left"/>
      <w:pPr>
        <w:ind w:left="1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162BB2">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7CFAC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10373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0626F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C6890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EEB28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4A2D0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66355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39617F8B"/>
    <w:multiLevelType w:val="hybridMultilevel"/>
    <w:tmpl w:val="83B63E5A"/>
    <w:lvl w:ilvl="0" w:tplc="5E4043E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C43EA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8212B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44DD4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ECA4F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924E2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12FE1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24E43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5ED24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396644F3"/>
    <w:multiLevelType w:val="multilevel"/>
    <w:tmpl w:val="DC288D6C"/>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01" w15:restartNumberingAfterBreak="0">
    <w:nsid w:val="39BC2361"/>
    <w:multiLevelType w:val="hybridMultilevel"/>
    <w:tmpl w:val="E3BA05A6"/>
    <w:lvl w:ilvl="0" w:tplc="168C4CD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46F556">
      <w:start w:val="1"/>
      <w:numFmt w:val="bullet"/>
      <w:lvlText w:val="o"/>
      <w:lvlJc w:val="left"/>
      <w:pPr>
        <w:ind w:left="1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BA1992">
      <w:start w:val="1"/>
      <w:numFmt w:val="bullet"/>
      <w:lvlText w:val="▪"/>
      <w:lvlJc w:val="left"/>
      <w:pPr>
        <w:ind w:left="1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8CA768">
      <w:start w:val="1"/>
      <w:numFmt w:val="bullet"/>
      <w:lvlText w:val="•"/>
      <w:lvlJc w:val="left"/>
      <w:pPr>
        <w:ind w:left="2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48FF3A">
      <w:start w:val="1"/>
      <w:numFmt w:val="bullet"/>
      <w:lvlText w:val="o"/>
      <w:lvlJc w:val="left"/>
      <w:pPr>
        <w:ind w:left="3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E27CA6">
      <w:start w:val="1"/>
      <w:numFmt w:val="bullet"/>
      <w:lvlText w:val="▪"/>
      <w:lvlJc w:val="left"/>
      <w:pPr>
        <w:ind w:left="41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E4C730">
      <w:start w:val="1"/>
      <w:numFmt w:val="bullet"/>
      <w:lvlText w:val="•"/>
      <w:lvlJc w:val="left"/>
      <w:pPr>
        <w:ind w:left="4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F4042A">
      <w:start w:val="1"/>
      <w:numFmt w:val="bullet"/>
      <w:lvlText w:val="o"/>
      <w:lvlJc w:val="left"/>
      <w:pPr>
        <w:ind w:left="55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D89B8E">
      <w:start w:val="1"/>
      <w:numFmt w:val="bullet"/>
      <w:lvlText w:val="▪"/>
      <w:lvlJc w:val="left"/>
      <w:pPr>
        <w:ind w:left="6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3AA165B3"/>
    <w:multiLevelType w:val="hybridMultilevel"/>
    <w:tmpl w:val="97C4A550"/>
    <w:lvl w:ilvl="0" w:tplc="5E04206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7E586560">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A6E64636">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F1365652">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DFD44B10">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33C46240">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A44EEFDA">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017A1658">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71DEEEFC">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03" w15:restartNumberingAfterBreak="0">
    <w:nsid w:val="3D1C1C9A"/>
    <w:multiLevelType w:val="multilevel"/>
    <w:tmpl w:val="F34C338C"/>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04" w15:restartNumberingAfterBreak="0">
    <w:nsid w:val="3E354B04"/>
    <w:multiLevelType w:val="hybridMultilevel"/>
    <w:tmpl w:val="493A94B4"/>
    <w:lvl w:ilvl="0" w:tplc="2C1A512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64AFE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D4411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3C911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E2B29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D4D1C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E6D4A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1EA5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82622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3E493F18"/>
    <w:multiLevelType w:val="hybridMultilevel"/>
    <w:tmpl w:val="5B98688E"/>
    <w:lvl w:ilvl="0" w:tplc="A912B926">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10F1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F6A1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5658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7E34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22F43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04D0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62BA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6E85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3EF62FA0"/>
    <w:multiLevelType w:val="hybridMultilevel"/>
    <w:tmpl w:val="A5FEB010"/>
    <w:lvl w:ilvl="0" w:tplc="F840321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9B4AB38">
      <w:start w:val="1"/>
      <w:numFmt w:val="bullet"/>
      <w:lvlText w:val="o"/>
      <w:lvlJc w:val="left"/>
      <w:pPr>
        <w:ind w:left="1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662EE40">
      <w:start w:val="1"/>
      <w:numFmt w:val="bullet"/>
      <w:lvlRestart w:val="0"/>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1608900">
      <w:start w:val="1"/>
      <w:numFmt w:val="bullet"/>
      <w:lvlText w:val="•"/>
      <w:lvlJc w:val="left"/>
      <w:pPr>
        <w:ind w:left="33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1E8963A">
      <w:start w:val="1"/>
      <w:numFmt w:val="bullet"/>
      <w:lvlText w:val="o"/>
      <w:lvlJc w:val="left"/>
      <w:pPr>
        <w:ind w:left="40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07E6E50">
      <w:start w:val="1"/>
      <w:numFmt w:val="bullet"/>
      <w:lvlText w:val="▪"/>
      <w:lvlJc w:val="left"/>
      <w:pPr>
        <w:ind w:left="47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8287D92">
      <w:start w:val="1"/>
      <w:numFmt w:val="bullet"/>
      <w:lvlText w:val="•"/>
      <w:lvlJc w:val="left"/>
      <w:pPr>
        <w:ind w:left="55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444B1A2">
      <w:start w:val="1"/>
      <w:numFmt w:val="bullet"/>
      <w:lvlText w:val="o"/>
      <w:lvlJc w:val="left"/>
      <w:pPr>
        <w:ind w:left="62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054DFE2">
      <w:start w:val="1"/>
      <w:numFmt w:val="bullet"/>
      <w:lvlText w:val="▪"/>
      <w:lvlJc w:val="left"/>
      <w:pPr>
        <w:ind w:left="69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3FBE2FD7"/>
    <w:multiLevelType w:val="multilevel"/>
    <w:tmpl w:val="1FD6ACFA"/>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08" w15:restartNumberingAfterBreak="0">
    <w:nsid w:val="3FC404E5"/>
    <w:multiLevelType w:val="hybridMultilevel"/>
    <w:tmpl w:val="E8D020F8"/>
    <w:lvl w:ilvl="0" w:tplc="10C82A2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4CBEB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DC66B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E8590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C07EC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20CA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0A45A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B23E7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C4498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3FC82BD5"/>
    <w:multiLevelType w:val="hybridMultilevel"/>
    <w:tmpl w:val="9AA4013E"/>
    <w:lvl w:ilvl="0" w:tplc="2542E08A">
      <w:start w:val="1"/>
      <w:numFmt w:val="decimal"/>
      <w:lvlText w:val="%1."/>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5035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A0AF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045A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45C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B842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D46E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D896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B888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09C5238"/>
    <w:multiLevelType w:val="multilevel"/>
    <w:tmpl w:val="F9362696"/>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11" w15:restartNumberingAfterBreak="0">
    <w:nsid w:val="40A12151"/>
    <w:multiLevelType w:val="hybridMultilevel"/>
    <w:tmpl w:val="8D380442"/>
    <w:lvl w:ilvl="0" w:tplc="9BBE30E4">
      <w:start w:val="1"/>
      <w:numFmt w:val="lowerLetter"/>
      <w:lvlText w:val="%1)"/>
      <w:lvlJc w:val="left"/>
      <w:pPr>
        <w:ind w:left="102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0A80C8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FF669C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4CAD84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15AA27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EECB42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C72F57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F2C861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5EAB36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13C54EE"/>
    <w:multiLevelType w:val="hybridMultilevel"/>
    <w:tmpl w:val="EBE428F4"/>
    <w:lvl w:ilvl="0" w:tplc="5C70B78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D081C4">
      <w:start w:val="1"/>
      <w:numFmt w:val="bullet"/>
      <w:lvlText w:val="•"/>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CA57A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EE4B7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664FE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0A7E1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34664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92A8E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5ABE1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17559EC"/>
    <w:multiLevelType w:val="hybridMultilevel"/>
    <w:tmpl w:val="D1E84956"/>
    <w:lvl w:ilvl="0" w:tplc="FD3A2C2A">
      <w:start w:val="1"/>
      <w:numFmt w:val="bullet"/>
      <w:lvlText w:val="-"/>
      <w:lvlJc w:val="left"/>
      <w:pPr>
        <w:ind w:left="4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D1CD434">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5E154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98CA3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740A7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6E412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7258F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285DA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04915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42521726"/>
    <w:multiLevelType w:val="hybridMultilevel"/>
    <w:tmpl w:val="818C78EA"/>
    <w:lvl w:ilvl="0" w:tplc="455ADBBA">
      <w:start w:val="3"/>
      <w:numFmt w:val="decimal"/>
      <w:lvlText w:val="%1"/>
      <w:lvlJc w:val="left"/>
      <w:pPr>
        <w:ind w:left="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5EAB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FECB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66D13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A4E5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F8D53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6EBEA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D80C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A8EB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42A16082"/>
    <w:multiLevelType w:val="hybridMultilevel"/>
    <w:tmpl w:val="677EEE2E"/>
    <w:lvl w:ilvl="0" w:tplc="E240594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74DFA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6CB4C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E851B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F2399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02B49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0AC77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92657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00E58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430900D6"/>
    <w:multiLevelType w:val="hybridMultilevel"/>
    <w:tmpl w:val="8730B1EA"/>
    <w:lvl w:ilvl="0" w:tplc="E4D8EA6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248B12">
      <w:start w:val="1"/>
      <w:numFmt w:val="bullet"/>
      <w:lvlText w:val="o"/>
      <w:lvlJc w:val="left"/>
      <w:pPr>
        <w:ind w:left="13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A0E638">
      <w:start w:val="1"/>
      <w:numFmt w:val="bullet"/>
      <w:lvlText w:val="▪"/>
      <w:lvlJc w:val="left"/>
      <w:pPr>
        <w:ind w:left="20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1E13C2">
      <w:start w:val="1"/>
      <w:numFmt w:val="bullet"/>
      <w:lvlText w:val="•"/>
      <w:lvlJc w:val="left"/>
      <w:pPr>
        <w:ind w:left="27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CAA348">
      <w:start w:val="1"/>
      <w:numFmt w:val="bullet"/>
      <w:lvlText w:val="o"/>
      <w:lvlJc w:val="left"/>
      <w:pPr>
        <w:ind w:left="34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A68A00">
      <w:start w:val="1"/>
      <w:numFmt w:val="bullet"/>
      <w:lvlText w:val="▪"/>
      <w:lvlJc w:val="left"/>
      <w:pPr>
        <w:ind w:left="42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6E6886">
      <w:start w:val="1"/>
      <w:numFmt w:val="bullet"/>
      <w:lvlText w:val="•"/>
      <w:lvlJc w:val="left"/>
      <w:pPr>
        <w:ind w:left="49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2E86CA">
      <w:start w:val="1"/>
      <w:numFmt w:val="bullet"/>
      <w:lvlText w:val="o"/>
      <w:lvlJc w:val="left"/>
      <w:pPr>
        <w:ind w:left="56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B2F5B8">
      <w:start w:val="1"/>
      <w:numFmt w:val="bullet"/>
      <w:lvlText w:val="▪"/>
      <w:lvlJc w:val="left"/>
      <w:pPr>
        <w:ind w:left="63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439A35B0"/>
    <w:multiLevelType w:val="multilevel"/>
    <w:tmpl w:val="BD747AA2"/>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18" w15:restartNumberingAfterBreak="0">
    <w:nsid w:val="45547CD5"/>
    <w:multiLevelType w:val="hybridMultilevel"/>
    <w:tmpl w:val="72D83AFA"/>
    <w:lvl w:ilvl="0" w:tplc="DB3AC90A">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34EA501C">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D2E65A4">
      <w:start w:val="1"/>
      <w:numFmt w:val="bullet"/>
      <w:lvlText w:val="▪"/>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FFA31CC">
      <w:start w:val="1"/>
      <w:numFmt w:val="bullet"/>
      <w:lvlText w:val="•"/>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38EA280">
      <w:start w:val="1"/>
      <w:numFmt w:val="bullet"/>
      <w:lvlRestart w:val="0"/>
      <w:lvlText w:val="o"/>
      <w:lvlJc w:val="left"/>
      <w:pPr>
        <w:ind w:left="17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F1ED078">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F227CB0">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C2AE8E8">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322A7FC">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45A923C9"/>
    <w:multiLevelType w:val="multilevel"/>
    <w:tmpl w:val="2DC8DC48"/>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20" w15:restartNumberingAfterBreak="0">
    <w:nsid w:val="45CA0897"/>
    <w:multiLevelType w:val="hybridMultilevel"/>
    <w:tmpl w:val="58D20896"/>
    <w:lvl w:ilvl="0" w:tplc="AE9C462A">
      <w:start w:val="3"/>
      <w:numFmt w:val="decimal"/>
      <w:lvlText w:val="%1."/>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C22F2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6CE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F4BB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4D8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7CB4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042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7ABF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0A71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6B00140"/>
    <w:multiLevelType w:val="multilevel"/>
    <w:tmpl w:val="2D080F34"/>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22" w15:restartNumberingAfterBreak="0">
    <w:nsid w:val="478F0A74"/>
    <w:multiLevelType w:val="multilevel"/>
    <w:tmpl w:val="727800B0"/>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23" w15:restartNumberingAfterBreak="0">
    <w:nsid w:val="48925685"/>
    <w:multiLevelType w:val="multilevel"/>
    <w:tmpl w:val="F27C035A"/>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24" w15:restartNumberingAfterBreak="0">
    <w:nsid w:val="49132FEB"/>
    <w:multiLevelType w:val="hybridMultilevel"/>
    <w:tmpl w:val="13E0CA76"/>
    <w:lvl w:ilvl="0" w:tplc="B0C29F9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A9E8296">
      <w:start w:val="1"/>
      <w:numFmt w:val="bullet"/>
      <w:lvlText w:val="o"/>
      <w:lvlJc w:val="left"/>
      <w:pPr>
        <w:ind w:left="14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422800C">
      <w:start w:val="1"/>
      <w:numFmt w:val="bullet"/>
      <w:lvlRestart w:val="0"/>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4CC564E">
      <w:start w:val="1"/>
      <w:numFmt w:val="bullet"/>
      <w:lvlText w:val="•"/>
      <w:lvlJc w:val="left"/>
      <w:pPr>
        <w:ind w:left="33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084DACA">
      <w:start w:val="1"/>
      <w:numFmt w:val="bullet"/>
      <w:lvlText w:val="o"/>
      <w:lvlJc w:val="left"/>
      <w:pPr>
        <w:ind w:left="40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622661E">
      <w:start w:val="1"/>
      <w:numFmt w:val="bullet"/>
      <w:lvlText w:val="▪"/>
      <w:lvlJc w:val="left"/>
      <w:pPr>
        <w:ind w:left="47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F60DCBC">
      <w:start w:val="1"/>
      <w:numFmt w:val="bullet"/>
      <w:lvlText w:val="•"/>
      <w:lvlJc w:val="left"/>
      <w:pPr>
        <w:ind w:left="55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8502F22">
      <w:start w:val="1"/>
      <w:numFmt w:val="bullet"/>
      <w:lvlText w:val="o"/>
      <w:lvlJc w:val="left"/>
      <w:pPr>
        <w:ind w:left="62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33E592C">
      <w:start w:val="1"/>
      <w:numFmt w:val="bullet"/>
      <w:lvlText w:val="▪"/>
      <w:lvlJc w:val="left"/>
      <w:pPr>
        <w:ind w:left="69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49D66541"/>
    <w:multiLevelType w:val="hybridMultilevel"/>
    <w:tmpl w:val="609CCC14"/>
    <w:lvl w:ilvl="0" w:tplc="B308E4D6">
      <w:start w:val="1"/>
      <w:numFmt w:val="lowerLetter"/>
      <w:lvlText w:val="%1)"/>
      <w:lvlJc w:val="left"/>
      <w:pPr>
        <w:ind w:left="10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74E6FC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E46B27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866EFE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500A21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774959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C60B66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08E325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D7C77D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4A7F3C3D"/>
    <w:multiLevelType w:val="hybridMultilevel"/>
    <w:tmpl w:val="5EAEBEBC"/>
    <w:lvl w:ilvl="0" w:tplc="C6066D1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222C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E032C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906F6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E48BE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823F2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9A8E8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4E12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9C825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4AC64C1A"/>
    <w:multiLevelType w:val="multilevel"/>
    <w:tmpl w:val="8AFED916"/>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28" w15:restartNumberingAfterBreak="0">
    <w:nsid w:val="4B0E0E5F"/>
    <w:multiLevelType w:val="hybridMultilevel"/>
    <w:tmpl w:val="2396BB78"/>
    <w:lvl w:ilvl="0" w:tplc="9356E018">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4BEAE4E">
      <w:start w:val="1"/>
      <w:numFmt w:val="lowerLetter"/>
      <w:lvlText w:val="%2"/>
      <w:lvlJc w:val="left"/>
      <w:pPr>
        <w:ind w:left="5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B787C90">
      <w:start w:val="1"/>
      <w:numFmt w:val="lowerLetter"/>
      <w:lvlRestart w:val="0"/>
      <w:lvlText w:val="%3)"/>
      <w:lvlJc w:val="left"/>
      <w:pPr>
        <w:ind w:left="10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172AFA0">
      <w:start w:val="1"/>
      <w:numFmt w:val="decimal"/>
      <w:lvlText w:val="%4"/>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3726492">
      <w:start w:val="1"/>
      <w:numFmt w:val="lowerLetter"/>
      <w:lvlText w:val="%5"/>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256F8EE">
      <w:start w:val="1"/>
      <w:numFmt w:val="lowerRoman"/>
      <w:lvlText w:val="%6"/>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E5647C8">
      <w:start w:val="1"/>
      <w:numFmt w:val="decimal"/>
      <w:lvlText w:val="%7"/>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9FE27A0">
      <w:start w:val="1"/>
      <w:numFmt w:val="lowerLetter"/>
      <w:lvlText w:val="%8"/>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036F37E">
      <w:start w:val="1"/>
      <w:numFmt w:val="lowerRoman"/>
      <w:lvlText w:val="%9"/>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4B280CEA"/>
    <w:multiLevelType w:val="hybridMultilevel"/>
    <w:tmpl w:val="28CA2BA6"/>
    <w:lvl w:ilvl="0" w:tplc="F02C63A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C8FC80">
      <w:start w:val="1"/>
      <w:numFmt w:val="bullet"/>
      <w:lvlText w:val="o"/>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A25C60">
      <w:start w:val="1"/>
      <w:numFmt w:val="bullet"/>
      <w:lvlText w:val="-"/>
      <w:lvlJc w:val="left"/>
      <w:pPr>
        <w:ind w:left="1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B67F34">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3EEBEE">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C4032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8A99C4">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AA4720">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AE1F2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4B3857CD"/>
    <w:multiLevelType w:val="multilevel"/>
    <w:tmpl w:val="2F0E97F0"/>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31" w15:restartNumberingAfterBreak="0">
    <w:nsid w:val="4BB36239"/>
    <w:multiLevelType w:val="hybridMultilevel"/>
    <w:tmpl w:val="DF88F39E"/>
    <w:lvl w:ilvl="0" w:tplc="80DE283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DAD4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72ED1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34B5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638A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F4C6D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6E50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18ED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00AA9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4CA0688F"/>
    <w:multiLevelType w:val="hybridMultilevel"/>
    <w:tmpl w:val="E98AD368"/>
    <w:lvl w:ilvl="0" w:tplc="D32AAC7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3ED80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8EC14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F8902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DED14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5E684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EEFFD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A6D12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90CD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4CAA4E2F"/>
    <w:multiLevelType w:val="hybridMultilevel"/>
    <w:tmpl w:val="69960B90"/>
    <w:lvl w:ilvl="0" w:tplc="FA1A4AE6">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CE54B6">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F470AE">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BEC492">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567032">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A0248E">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C419B6">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5AEBE2">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00CCB2">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4CF21AFF"/>
    <w:multiLevelType w:val="hybridMultilevel"/>
    <w:tmpl w:val="DF427AFE"/>
    <w:lvl w:ilvl="0" w:tplc="F0E2D870">
      <w:start w:val="1"/>
      <w:numFmt w:val="bullet"/>
      <w:lvlText w:val=""/>
      <w:lvlJc w:val="left"/>
      <w:pPr>
        <w:ind w:left="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81C2F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CC0A3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8C95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AFE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9E7C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06CD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68F3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BA1F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DCF4C15"/>
    <w:multiLevelType w:val="hybridMultilevel"/>
    <w:tmpl w:val="01DA7FE4"/>
    <w:lvl w:ilvl="0" w:tplc="AA6A3D9A">
      <w:start w:val="1"/>
      <w:numFmt w:val="bullet"/>
      <w:lvlText w:val="•"/>
      <w:lvlJc w:val="left"/>
      <w:pPr>
        <w:ind w:left="8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A2A7B2">
      <w:start w:val="1"/>
      <w:numFmt w:val="bullet"/>
      <w:lvlText w:val="o"/>
      <w:lvlJc w:val="left"/>
      <w:pPr>
        <w:ind w:left="10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08C5A6">
      <w:start w:val="1"/>
      <w:numFmt w:val="bullet"/>
      <w:lvlText w:val="▪"/>
      <w:lvlJc w:val="left"/>
      <w:pPr>
        <w:ind w:left="1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EA5EF0">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84AA40">
      <w:start w:val="1"/>
      <w:numFmt w:val="bullet"/>
      <w:lvlText w:val="o"/>
      <w:lvlJc w:val="left"/>
      <w:pPr>
        <w:ind w:left="32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CAB946">
      <w:start w:val="1"/>
      <w:numFmt w:val="bullet"/>
      <w:lvlText w:val="▪"/>
      <w:lvlJc w:val="left"/>
      <w:pPr>
        <w:ind w:left="39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568168">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9243A2">
      <w:start w:val="1"/>
      <w:numFmt w:val="bullet"/>
      <w:lvlText w:val="o"/>
      <w:lvlJc w:val="left"/>
      <w:pPr>
        <w:ind w:left="54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525D18">
      <w:start w:val="1"/>
      <w:numFmt w:val="bullet"/>
      <w:lvlText w:val="▪"/>
      <w:lvlJc w:val="left"/>
      <w:pPr>
        <w:ind w:left="61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4E322A2C"/>
    <w:multiLevelType w:val="hybridMultilevel"/>
    <w:tmpl w:val="16BA299C"/>
    <w:lvl w:ilvl="0" w:tplc="A846FFF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70233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68E99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8E83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822E9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8E1A3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569B9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2696D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348CE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4F5667E4"/>
    <w:multiLevelType w:val="hybridMultilevel"/>
    <w:tmpl w:val="C9381644"/>
    <w:lvl w:ilvl="0" w:tplc="9B30017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1CC0A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961A4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DAE2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D6324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CC70B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D8EA6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7CCB4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B0588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4F786DC4"/>
    <w:multiLevelType w:val="hybridMultilevel"/>
    <w:tmpl w:val="6FCEB946"/>
    <w:lvl w:ilvl="0" w:tplc="34E46FB8">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71EF3D2">
      <w:start w:val="1"/>
      <w:numFmt w:val="lowerLetter"/>
      <w:lvlText w:val="%2"/>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18A2E14">
      <w:start w:val="1"/>
      <w:numFmt w:val="lowerLetter"/>
      <w:lvlRestart w:val="0"/>
      <w:lvlText w:val="%3)"/>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7B84F2E">
      <w:start w:val="1"/>
      <w:numFmt w:val="decimal"/>
      <w:lvlText w:val="%4"/>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A688818">
      <w:start w:val="1"/>
      <w:numFmt w:val="lowerLetter"/>
      <w:lvlText w:val="%5"/>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33416B0">
      <w:start w:val="1"/>
      <w:numFmt w:val="lowerRoman"/>
      <w:lvlText w:val="%6"/>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7466050">
      <w:start w:val="1"/>
      <w:numFmt w:val="decimal"/>
      <w:lvlText w:val="%7"/>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00E4948">
      <w:start w:val="1"/>
      <w:numFmt w:val="lowerLetter"/>
      <w:lvlText w:val="%8"/>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A981A1A">
      <w:start w:val="1"/>
      <w:numFmt w:val="lowerRoman"/>
      <w:lvlText w:val="%9"/>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502D193E"/>
    <w:multiLevelType w:val="hybridMultilevel"/>
    <w:tmpl w:val="48B829E2"/>
    <w:lvl w:ilvl="0" w:tplc="44C6C4B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52C57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94314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FE05E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500B9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6A2DB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B61BB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54416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4446F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50825951"/>
    <w:multiLevelType w:val="multilevel"/>
    <w:tmpl w:val="A0847626"/>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41" w15:restartNumberingAfterBreak="0">
    <w:nsid w:val="50CF668A"/>
    <w:multiLevelType w:val="hybridMultilevel"/>
    <w:tmpl w:val="02443180"/>
    <w:lvl w:ilvl="0" w:tplc="46965D06">
      <w:start w:val="5"/>
      <w:numFmt w:val="upperLetter"/>
      <w:lvlText w:val="%1)"/>
      <w:lvlJc w:val="left"/>
      <w:pPr>
        <w:ind w:left="6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A1AE73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4F0ADA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61C959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57866E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4ECD9E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D1283C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7AEC24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C94AC8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51573B67"/>
    <w:multiLevelType w:val="multilevel"/>
    <w:tmpl w:val="278C6CA4"/>
    <w:lvl w:ilvl="0">
      <w:start w:val="1"/>
      <w:numFmt w:val="decimal"/>
      <w:lvlText w:val="%1."/>
      <w:lvlJc w:val="left"/>
      <w:pPr>
        <w:ind w:left="4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8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4"/>
      <w:numFmt w:val="lowerLetter"/>
      <w:lvlText w:val="%4)"/>
      <w:lvlJc w:val="left"/>
      <w:pPr>
        <w:ind w:left="295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518073C8"/>
    <w:multiLevelType w:val="hybridMultilevel"/>
    <w:tmpl w:val="3A72B53E"/>
    <w:lvl w:ilvl="0" w:tplc="B5FAAAD4">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395A9E28">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662BB4E">
      <w:start w:val="1"/>
      <w:numFmt w:val="bullet"/>
      <w:lvlText w:val="▪"/>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8AE2F9A">
      <w:start w:val="1"/>
      <w:numFmt w:val="bullet"/>
      <w:lvlText w:val="•"/>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132C46A">
      <w:start w:val="1"/>
      <w:numFmt w:val="bullet"/>
      <w:lvlRestart w:val="0"/>
      <w:lvlText w:val="o"/>
      <w:lvlJc w:val="left"/>
      <w:pPr>
        <w:ind w:left="11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EDE41E8">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4B28A4A">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E32149A">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7EE9C80">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51AB60EA"/>
    <w:multiLevelType w:val="hybridMultilevel"/>
    <w:tmpl w:val="6362452A"/>
    <w:lvl w:ilvl="0" w:tplc="D752234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BE98B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FA507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F262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64FAF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4EC45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8624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6A025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9E78E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51C54967"/>
    <w:multiLevelType w:val="hybridMultilevel"/>
    <w:tmpl w:val="59322B54"/>
    <w:lvl w:ilvl="0" w:tplc="7CD6AAF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EE21E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00B64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10838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DC198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D012E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20252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305CF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5846C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52956041"/>
    <w:multiLevelType w:val="hybridMultilevel"/>
    <w:tmpl w:val="B176B19E"/>
    <w:lvl w:ilvl="0" w:tplc="6D8CF63A">
      <w:start w:val="1"/>
      <w:numFmt w:val="lowerLetter"/>
      <w:lvlText w:val="%1)"/>
      <w:lvlJc w:val="left"/>
      <w:pPr>
        <w:ind w:left="9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06E2DC6">
      <w:start w:val="1"/>
      <w:numFmt w:val="lowerLetter"/>
      <w:lvlText w:val="%2"/>
      <w:lvlJc w:val="left"/>
      <w:pPr>
        <w:ind w:left="143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D74B7E2">
      <w:start w:val="1"/>
      <w:numFmt w:val="lowerRoman"/>
      <w:lvlText w:val="%3"/>
      <w:lvlJc w:val="left"/>
      <w:pPr>
        <w:ind w:left="21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3302768">
      <w:start w:val="1"/>
      <w:numFmt w:val="decimal"/>
      <w:lvlText w:val="%4"/>
      <w:lvlJc w:val="left"/>
      <w:pPr>
        <w:ind w:left="28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EF267E4">
      <w:start w:val="1"/>
      <w:numFmt w:val="lowerLetter"/>
      <w:lvlText w:val="%5"/>
      <w:lvlJc w:val="left"/>
      <w:pPr>
        <w:ind w:left="3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48893C4">
      <w:start w:val="1"/>
      <w:numFmt w:val="lowerRoman"/>
      <w:lvlText w:val="%6"/>
      <w:lvlJc w:val="left"/>
      <w:pPr>
        <w:ind w:left="431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994D966">
      <w:start w:val="1"/>
      <w:numFmt w:val="decimal"/>
      <w:lvlText w:val="%7"/>
      <w:lvlJc w:val="left"/>
      <w:pPr>
        <w:ind w:left="503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526BE10">
      <w:start w:val="1"/>
      <w:numFmt w:val="lowerLetter"/>
      <w:lvlText w:val="%8"/>
      <w:lvlJc w:val="left"/>
      <w:pPr>
        <w:ind w:left="57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DA227A0">
      <w:start w:val="1"/>
      <w:numFmt w:val="lowerRoman"/>
      <w:lvlText w:val="%9"/>
      <w:lvlJc w:val="left"/>
      <w:pPr>
        <w:ind w:left="64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52A5380C"/>
    <w:multiLevelType w:val="multilevel"/>
    <w:tmpl w:val="A526197A"/>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48" w15:restartNumberingAfterBreak="0">
    <w:nsid w:val="52F305EE"/>
    <w:multiLevelType w:val="hybridMultilevel"/>
    <w:tmpl w:val="4B44F036"/>
    <w:lvl w:ilvl="0" w:tplc="DC8A5E3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683FC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B8C5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9C024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60396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A4879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746BE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3AA0C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BAEDB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5346775B"/>
    <w:multiLevelType w:val="hybridMultilevel"/>
    <w:tmpl w:val="6E9007A8"/>
    <w:lvl w:ilvl="0" w:tplc="102CEA78">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388F38">
      <w:start w:val="1"/>
      <w:numFmt w:val="bullet"/>
      <w:lvlText w:val="o"/>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568CC6">
      <w:start w:val="1"/>
      <w:numFmt w:val="bullet"/>
      <w:lvlText w:val="-"/>
      <w:lvlJc w:val="left"/>
      <w:pPr>
        <w:ind w:left="1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6EA22E">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68384C">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3A42F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200BAE">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C87E5C">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F61D8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53576922"/>
    <w:multiLevelType w:val="hybridMultilevel"/>
    <w:tmpl w:val="1E60C4F6"/>
    <w:lvl w:ilvl="0" w:tplc="A3D813F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C2E8B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A8356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E62E4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846EF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22F1B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469E9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7A407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D4AAA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54191606"/>
    <w:multiLevelType w:val="hybridMultilevel"/>
    <w:tmpl w:val="47F4D834"/>
    <w:lvl w:ilvl="0" w:tplc="FC8AC8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B0C04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A2249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56B5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98282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B484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58F67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1E5E7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38AE5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56821489"/>
    <w:multiLevelType w:val="multilevel"/>
    <w:tmpl w:val="2446FA9E"/>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53" w15:restartNumberingAfterBreak="0">
    <w:nsid w:val="569563F0"/>
    <w:multiLevelType w:val="hybridMultilevel"/>
    <w:tmpl w:val="7F0C7F12"/>
    <w:lvl w:ilvl="0" w:tplc="5D58974A">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D6E4E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9A80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1E78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F42D8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820E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5093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643F4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3E87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56996998"/>
    <w:multiLevelType w:val="hybridMultilevel"/>
    <w:tmpl w:val="63C4EF12"/>
    <w:lvl w:ilvl="0" w:tplc="25C07BA8">
      <w:start w:val="1"/>
      <w:numFmt w:val="lowerLetter"/>
      <w:lvlText w:val="%1)"/>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05E0F24">
      <w:start w:val="1"/>
      <w:numFmt w:val="lowerLetter"/>
      <w:lvlText w:val="%2"/>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FDEE4AC">
      <w:start w:val="1"/>
      <w:numFmt w:val="lowerRoman"/>
      <w:lvlText w:val="%3"/>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06C237C">
      <w:start w:val="1"/>
      <w:numFmt w:val="decimal"/>
      <w:lvlText w:val="%4"/>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140889C">
      <w:start w:val="1"/>
      <w:numFmt w:val="lowerLetter"/>
      <w:lvlText w:val="%5"/>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D446A82">
      <w:start w:val="1"/>
      <w:numFmt w:val="lowerRoman"/>
      <w:lvlText w:val="%6"/>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384CA54">
      <w:start w:val="1"/>
      <w:numFmt w:val="decimal"/>
      <w:lvlText w:val="%7"/>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218DD94">
      <w:start w:val="1"/>
      <w:numFmt w:val="lowerLetter"/>
      <w:lvlText w:val="%8"/>
      <w:lvlJc w:val="left"/>
      <w:pPr>
        <w:ind w:left="57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BE29652">
      <w:start w:val="1"/>
      <w:numFmt w:val="lowerRoman"/>
      <w:lvlText w:val="%9"/>
      <w:lvlJc w:val="left"/>
      <w:pPr>
        <w:ind w:left="64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56A712D8"/>
    <w:multiLevelType w:val="hybridMultilevel"/>
    <w:tmpl w:val="1B805FC6"/>
    <w:lvl w:ilvl="0" w:tplc="BA5E247E">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ABC5846">
      <w:start w:val="1"/>
      <w:numFmt w:val="lowerLetter"/>
      <w:lvlText w:val="%2"/>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3B85FDA">
      <w:start w:val="1"/>
      <w:numFmt w:val="lowerLetter"/>
      <w:lvlRestart w:val="0"/>
      <w:lvlText w:val="%3)"/>
      <w:lvlJc w:val="left"/>
      <w:pPr>
        <w:ind w:left="10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D5676B8">
      <w:start w:val="1"/>
      <w:numFmt w:val="decimal"/>
      <w:lvlText w:val="%4"/>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1946880">
      <w:start w:val="1"/>
      <w:numFmt w:val="lowerLetter"/>
      <w:lvlText w:val="%5"/>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86C3FD0">
      <w:start w:val="1"/>
      <w:numFmt w:val="lowerRoman"/>
      <w:lvlText w:val="%6"/>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E3233F8">
      <w:start w:val="1"/>
      <w:numFmt w:val="decimal"/>
      <w:lvlText w:val="%7"/>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3F85028">
      <w:start w:val="1"/>
      <w:numFmt w:val="lowerLetter"/>
      <w:lvlText w:val="%8"/>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CB63232">
      <w:start w:val="1"/>
      <w:numFmt w:val="lowerRoman"/>
      <w:lvlText w:val="%9"/>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57BC16C1"/>
    <w:multiLevelType w:val="hybridMultilevel"/>
    <w:tmpl w:val="2828E21E"/>
    <w:lvl w:ilvl="0" w:tplc="1F207D18">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A420EBA8">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4EA6B788">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891C8EFE">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38CA22D8">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33EC38EE">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7DA247C4">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C12EA8C0">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45786142">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57" w15:restartNumberingAfterBreak="0">
    <w:nsid w:val="583F3DC5"/>
    <w:multiLevelType w:val="hybridMultilevel"/>
    <w:tmpl w:val="C2C20A2A"/>
    <w:lvl w:ilvl="0" w:tplc="2EB65D5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4688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7CA1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4C417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52DF3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8C718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9E179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3AABD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7639B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585A3751"/>
    <w:multiLevelType w:val="hybridMultilevel"/>
    <w:tmpl w:val="96D606E8"/>
    <w:lvl w:ilvl="0" w:tplc="341A1D1A">
      <w:start w:val="1"/>
      <w:numFmt w:val="lowerLetter"/>
      <w:lvlText w:val="%1)"/>
      <w:lvlJc w:val="left"/>
      <w:pPr>
        <w:ind w:left="9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4444CC0">
      <w:start w:val="1"/>
      <w:numFmt w:val="lowerLetter"/>
      <w:lvlText w:val="%2"/>
      <w:lvlJc w:val="left"/>
      <w:pPr>
        <w:ind w:left="143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392DF06">
      <w:start w:val="1"/>
      <w:numFmt w:val="lowerRoman"/>
      <w:lvlText w:val="%3"/>
      <w:lvlJc w:val="left"/>
      <w:pPr>
        <w:ind w:left="21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B166644">
      <w:start w:val="1"/>
      <w:numFmt w:val="decimal"/>
      <w:lvlText w:val="%4"/>
      <w:lvlJc w:val="left"/>
      <w:pPr>
        <w:ind w:left="28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E08FB2A">
      <w:start w:val="1"/>
      <w:numFmt w:val="lowerLetter"/>
      <w:lvlText w:val="%5"/>
      <w:lvlJc w:val="left"/>
      <w:pPr>
        <w:ind w:left="3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02E06EE">
      <w:start w:val="1"/>
      <w:numFmt w:val="lowerRoman"/>
      <w:lvlText w:val="%6"/>
      <w:lvlJc w:val="left"/>
      <w:pPr>
        <w:ind w:left="431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D060AEC">
      <w:start w:val="1"/>
      <w:numFmt w:val="decimal"/>
      <w:lvlText w:val="%7"/>
      <w:lvlJc w:val="left"/>
      <w:pPr>
        <w:ind w:left="503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D1409CC">
      <w:start w:val="1"/>
      <w:numFmt w:val="lowerLetter"/>
      <w:lvlText w:val="%8"/>
      <w:lvlJc w:val="left"/>
      <w:pPr>
        <w:ind w:left="57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E28FD04">
      <w:start w:val="1"/>
      <w:numFmt w:val="lowerRoman"/>
      <w:lvlText w:val="%9"/>
      <w:lvlJc w:val="left"/>
      <w:pPr>
        <w:ind w:left="64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58DA7472"/>
    <w:multiLevelType w:val="hybridMultilevel"/>
    <w:tmpl w:val="F9ACD070"/>
    <w:lvl w:ilvl="0" w:tplc="E0B2C60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9E1282">
      <w:start w:val="1"/>
      <w:numFmt w:val="bullet"/>
      <w:lvlText w:val="o"/>
      <w:lvlJc w:val="left"/>
      <w:pPr>
        <w:ind w:left="1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A69EF4">
      <w:start w:val="1"/>
      <w:numFmt w:val="bullet"/>
      <w:lvlText w:val="▪"/>
      <w:lvlJc w:val="left"/>
      <w:pPr>
        <w:ind w:left="1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181544">
      <w:start w:val="1"/>
      <w:numFmt w:val="bullet"/>
      <w:lvlText w:val="•"/>
      <w:lvlJc w:val="left"/>
      <w:pPr>
        <w:ind w:left="2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5E3692">
      <w:start w:val="1"/>
      <w:numFmt w:val="bullet"/>
      <w:lvlText w:val="o"/>
      <w:lvlJc w:val="left"/>
      <w:pPr>
        <w:ind w:left="3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C65A9C">
      <w:start w:val="1"/>
      <w:numFmt w:val="bullet"/>
      <w:lvlText w:val="▪"/>
      <w:lvlJc w:val="left"/>
      <w:pPr>
        <w:ind w:left="4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425140">
      <w:start w:val="1"/>
      <w:numFmt w:val="bullet"/>
      <w:lvlText w:val="•"/>
      <w:lvlJc w:val="left"/>
      <w:pPr>
        <w:ind w:left="4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38ADA2">
      <w:start w:val="1"/>
      <w:numFmt w:val="bullet"/>
      <w:lvlText w:val="o"/>
      <w:lvlJc w:val="left"/>
      <w:pPr>
        <w:ind w:left="5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62AED8">
      <w:start w:val="1"/>
      <w:numFmt w:val="bullet"/>
      <w:lvlText w:val="▪"/>
      <w:lvlJc w:val="left"/>
      <w:pPr>
        <w:ind w:left="6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598D34E2"/>
    <w:multiLevelType w:val="hybridMultilevel"/>
    <w:tmpl w:val="0AE08D4C"/>
    <w:lvl w:ilvl="0" w:tplc="0212C7C2">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A0CAD98">
      <w:start w:val="1"/>
      <w:numFmt w:val="lowerLetter"/>
      <w:lvlText w:val="%2"/>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FE85204">
      <w:start w:val="5"/>
      <w:numFmt w:val="lowerLetter"/>
      <w:lvlRestart w:val="0"/>
      <w:lvlText w:val="%3)"/>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9681870">
      <w:start w:val="1"/>
      <w:numFmt w:val="decimal"/>
      <w:lvlText w:val="%4"/>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92CECEE">
      <w:start w:val="1"/>
      <w:numFmt w:val="lowerLetter"/>
      <w:lvlText w:val="%5"/>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D58EC3A">
      <w:start w:val="1"/>
      <w:numFmt w:val="lowerRoman"/>
      <w:lvlText w:val="%6"/>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8C8ACD6">
      <w:start w:val="1"/>
      <w:numFmt w:val="decimal"/>
      <w:lvlText w:val="%7"/>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F5C40DE">
      <w:start w:val="1"/>
      <w:numFmt w:val="lowerLetter"/>
      <w:lvlText w:val="%8"/>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E46F72A">
      <w:start w:val="1"/>
      <w:numFmt w:val="lowerRoman"/>
      <w:lvlText w:val="%9"/>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599D213C"/>
    <w:multiLevelType w:val="hybridMultilevel"/>
    <w:tmpl w:val="73CCC8DA"/>
    <w:lvl w:ilvl="0" w:tplc="D480DDCA">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1E4C9F5E">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6DE0C074">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BDC4C2C0">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D1D8076C">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20D03E9E">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A81262EE">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ADFC289C">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6F8CB74E">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62" w15:restartNumberingAfterBreak="0">
    <w:nsid w:val="59E20452"/>
    <w:multiLevelType w:val="hybridMultilevel"/>
    <w:tmpl w:val="CA189F06"/>
    <w:lvl w:ilvl="0" w:tplc="1A9C4CEA">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F8EDE52">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930D050">
      <w:start w:val="1"/>
      <w:numFmt w:val="bullet"/>
      <w:lvlText w:val="▪"/>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F209300">
      <w:start w:val="1"/>
      <w:numFmt w:val="bullet"/>
      <w:lvlText w:val="•"/>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97CB744">
      <w:start w:val="1"/>
      <w:numFmt w:val="bullet"/>
      <w:lvlRestart w:val="0"/>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7E4C838">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3DAB2A4">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8186DF8">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6EEE6B2">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5A6A5E26"/>
    <w:multiLevelType w:val="hybridMultilevel"/>
    <w:tmpl w:val="31EEF698"/>
    <w:lvl w:ilvl="0" w:tplc="E438EF3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4BE213E">
      <w:start w:val="1"/>
      <w:numFmt w:val="bullet"/>
      <w:lvlText w:val="o"/>
      <w:lvlJc w:val="left"/>
      <w:pPr>
        <w:ind w:left="6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6405980">
      <w:start w:val="1"/>
      <w:numFmt w:val="bullet"/>
      <w:lvlText w:val="▪"/>
      <w:lvlJc w:val="left"/>
      <w:pPr>
        <w:ind w:left="9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2E8AF6C">
      <w:start w:val="1"/>
      <w:numFmt w:val="bullet"/>
      <w:lvlText w:val="•"/>
      <w:lvlJc w:val="left"/>
      <w:pPr>
        <w:ind w:left="12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3ADD58">
      <w:start w:val="1"/>
      <w:numFmt w:val="bullet"/>
      <w:lvlText w:val="o"/>
      <w:lvlJc w:val="left"/>
      <w:pPr>
        <w:ind w:left="14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7FAFDEC">
      <w:start w:val="1"/>
      <w:numFmt w:val="bullet"/>
      <w:lvlText w:val="▪"/>
      <w:lvlJc w:val="left"/>
      <w:pPr>
        <w:ind w:left="177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9D60E22">
      <w:start w:val="1"/>
      <w:numFmt w:val="bullet"/>
      <w:lvlRestart w:val="0"/>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FFE20EA">
      <w:start w:val="1"/>
      <w:numFmt w:val="bullet"/>
      <w:lvlText w:val="o"/>
      <w:lvlJc w:val="left"/>
      <w:pPr>
        <w:ind w:left="27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8B036DC">
      <w:start w:val="1"/>
      <w:numFmt w:val="bullet"/>
      <w:lvlText w:val="▪"/>
      <w:lvlJc w:val="left"/>
      <w:pPr>
        <w:ind w:left="3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5A997426"/>
    <w:multiLevelType w:val="hybridMultilevel"/>
    <w:tmpl w:val="37507B6C"/>
    <w:lvl w:ilvl="0" w:tplc="6C22C586">
      <w:start w:val="1"/>
      <w:numFmt w:val="bullet"/>
      <w:lvlText w:val="•"/>
      <w:lvlJc w:val="left"/>
      <w:pPr>
        <w:ind w:left="1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2C71A0">
      <w:start w:val="1"/>
      <w:numFmt w:val="bullet"/>
      <w:lvlText w:val="o"/>
      <w:lvlJc w:val="left"/>
      <w:pPr>
        <w:ind w:left="14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B04F74">
      <w:start w:val="1"/>
      <w:numFmt w:val="bullet"/>
      <w:lvlText w:val="▪"/>
      <w:lvlJc w:val="left"/>
      <w:pPr>
        <w:ind w:left="2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443D4A">
      <w:start w:val="1"/>
      <w:numFmt w:val="bullet"/>
      <w:lvlText w:val="•"/>
      <w:lvlJc w:val="left"/>
      <w:pPr>
        <w:ind w:left="2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E79E0">
      <w:start w:val="1"/>
      <w:numFmt w:val="bullet"/>
      <w:lvlText w:val="o"/>
      <w:lvlJc w:val="left"/>
      <w:pPr>
        <w:ind w:left="35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16185A">
      <w:start w:val="1"/>
      <w:numFmt w:val="bullet"/>
      <w:lvlText w:val="▪"/>
      <w:lvlJc w:val="left"/>
      <w:pPr>
        <w:ind w:left="4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0466B6">
      <w:start w:val="1"/>
      <w:numFmt w:val="bullet"/>
      <w:lvlText w:val="•"/>
      <w:lvlJc w:val="left"/>
      <w:pPr>
        <w:ind w:left="5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AE5B56">
      <w:start w:val="1"/>
      <w:numFmt w:val="bullet"/>
      <w:lvlText w:val="o"/>
      <w:lvlJc w:val="left"/>
      <w:pPr>
        <w:ind w:left="57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7810B8">
      <w:start w:val="1"/>
      <w:numFmt w:val="bullet"/>
      <w:lvlText w:val="▪"/>
      <w:lvlJc w:val="left"/>
      <w:pPr>
        <w:ind w:left="64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5AD2680B"/>
    <w:multiLevelType w:val="hybridMultilevel"/>
    <w:tmpl w:val="8F3EC490"/>
    <w:lvl w:ilvl="0" w:tplc="80AE1F4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62858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D03B9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0A205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98B2B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58A83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9CF6E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42E2B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A4864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5B4652F1"/>
    <w:multiLevelType w:val="hybridMultilevel"/>
    <w:tmpl w:val="3B524302"/>
    <w:lvl w:ilvl="0" w:tplc="269EFBD2">
      <w:start w:val="3"/>
      <w:numFmt w:val="lowerLetter"/>
      <w:lvlText w:val="%1)"/>
      <w:lvlJc w:val="left"/>
      <w:pPr>
        <w:ind w:left="1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4E0EA8">
      <w:start w:val="1"/>
      <w:numFmt w:val="lowerLetter"/>
      <w:lvlText w:val="%2"/>
      <w:lvlJc w:val="left"/>
      <w:pPr>
        <w:ind w:left="1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26DE84">
      <w:start w:val="1"/>
      <w:numFmt w:val="lowerRoman"/>
      <w:lvlText w:val="%3"/>
      <w:lvlJc w:val="left"/>
      <w:pPr>
        <w:ind w:left="2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46138">
      <w:start w:val="1"/>
      <w:numFmt w:val="decimal"/>
      <w:lvlText w:val="%4"/>
      <w:lvlJc w:val="left"/>
      <w:pPr>
        <w:ind w:left="2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A4FDC">
      <w:start w:val="1"/>
      <w:numFmt w:val="lowerLetter"/>
      <w:lvlText w:val="%5"/>
      <w:lvlJc w:val="left"/>
      <w:pPr>
        <w:ind w:left="3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50ECC8">
      <w:start w:val="1"/>
      <w:numFmt w:val="lowerRoman"/>
      <w:lvlText w:val="%6"/>
      <w:lvlJc w:val="left"/>
      <w:pPr>
        <w:ind w:left="4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942C22">
      <w:start w:val="1"/>
      <w:numFmt w:val="decimal"/>
      <w:lvlText w:val="%7"/>
      <w:lvlJc w:val="left"/>
      <w:pPr>
        <w:ind w:left="5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E08CF2">
      <w:start w:val="1"/>
      <w:numFmt w:val="lowerLetter"/>
      <w:lvlText w:val="%8"/>
      <w:lvlJc w:val="left"/>
      <w:pPr>
        <w:ind w:left="5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0C9E6">
      <w:start w:val="1"/>
      <w:numFmt w:val="lowerRoman"/>
      <w:lvlText w:val="%9"/>
      <w:lvlJc w:val="left"/>
      <w:pPr>
        <w:ind w:left="6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BA33472"/>
    <w:multiLevelType w:val="multilevel"/>
    <w:tmpl w:val="4E8A83A2"/>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68" w15:restartNumberingAfterBreak="0">
    <w:nsid w:val="5C016466"/>
    <w:multiLevelType w:val="multilevel"/>
    <w:tmpl w:val="BC56B524"/>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69" w15:restartNumberingAfterBreak="0">
    <w:nsid w:val="5CA90DFD"/>
    <w:multiLevelType w:val="multilevel"/>
    <w:tmpl w:val="97285BBA"/>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70" w15:restartNumberingAfterBreak="0">
    <w:nsid w:val="5CDC201F"/>
    <w:multiLevelType w:val="multilevel"/>
    <w:tmpl w:val="F7401EEC"/>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71" w15:restartNumberingAfterBreak="0">
    <w:nsid w:val="5D164DF0"/>
    <w:multiLevelType w:val="hybridMultilevel"/>
    <w:tmpl w:val="8EB64178"/>
    <w:lvl w:ilvl="0" w:tplc="10700D42">
      <w:start w:val="1"/>
      <w:numFmt w:val="bullet"/>
      <w:lvlText w:val="•"/>
      <w:lvlJc w:val="left"/>
      <w:pPr>
        <w:ind w:left="1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5C541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3ADC3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B0683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887B5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64698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7AE1E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CEE47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4094F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5D1A0AFC"/>
    <w:multiLevelType w:val="hybridMultilevel"/>
    <w:tmpl w:val="0A4EB630"/>
    <w:lvl w:ilvl="0" w:tplc="E172715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28687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503E5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68FE2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1618C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F61B6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FC381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D0420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0E1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5EEE1439"/>
    <w:multiLevelType w:val="multilevel"/>
    <w:tmpl w:val="FE500082"/>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74" w15:restartNumberingAfterBreak="0">
    <w:nsid w:val="5F6B5CB9"/>
    <w:multiLevelType w:val="hybridMultilevel"/>
    <w:tmpl w:val="D5548966"/>
    <w:lvl w:ilvl="0" w:tplc="88A83AAA">
      <w:start w:val="1"/>
      <w:numFmt w:val="bullet"/>
      <w:lvlText w:val=""/>
      <w:lvlJc w:val="left"/>
      <w:pPr>
        <w:ind w:left="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47AEE2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0EB9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3658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6A97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66BE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4CEFD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043F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D427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23F483D"/>
    <w:multiLevelType w:val="hybridMultilevel"/>
    <w:tmpl w:val="F9F4BBC0"/>
    <w:lvl w:ilvl="0" w:tplc="402EA85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22535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96043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6E762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52F31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68636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82C59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02DEE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9CC67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62F92D3E"/>
    <w:multiLevelType w:val="hybridMultilevel"/>
    <w:tmpl w:val="CD78EC68"/>
    <w:lvl w:ilvl="0" w:tplc="E22690A4">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6692811E">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E2624F3C">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11B4677A">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1A520FB0">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3DCE7F80">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E8B02AD8">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E53EF67E">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F404F9F6">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77" w15:restartNumberingAfterBreak="0">
    <w:nsid w:val="630201C0"/>
    <w:multiLevelType w:val="hybridMultilevel"/>
    <w:tmpl w:val="A05A1218"/>
    <w:lvl w:ilvl="0" w:tplc="6106AFE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9C027F6">
      <w:start w:val="1"/>
      <w:numFmt w:val="bullet"/>
      <w:lvlText w:val="o"/>
      <w:lvlJc w:val="left"/>
      <w:pPr>
        <w:ind w:left="6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5603E1E">
      <w:start w:val="1"/>
      <w:numFmt w:val="bullet"/>
      <w:lvlText w:val="▪"/>
      <w:lvlJc w:val="left"/>
      <w:pPr>
        <w:ind w:left="10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E6832D8">
      <w:start w:val="1"/>
      <w:numFmt w:val="bullet"/>
      <w:lvlText w:val="•"/>
      <w:lvlJc w:val="left"/>
      <w:pPr>
        <w:ind w:left="13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9F63D9E">
      <w:start w:val="1"/>
      <w:numFmt w:val="bullet"/>
      <w:lvlText w:val="o"/>
      <w:lvlJc w:val="left"/>
      <w:pPr>
        <w:ind w:left="16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AFE540A">
      <w:start w:val="1"/>
      <w:numFmt w:val="bullet"/>
      <w:lvlText w:val="▪"/>
      <w:lvlJc w:val="left"/>
      <w:pPr>
        <w:ind w:left="19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7F6F8E0">
      <w:start w:val="1"/>
      <w:numFmt w:val="bullet"/>
      <w:lvlText w:val="•"/>
      <w:lvlJc w:val="left"/>
      <w:pPr>
        <w:ind w:left="2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A92BDEA">
      <w:start w:val="1"/>
      <w:numFmt w:val="bullet"/>
      <w:lvlRestart w:val="0"/>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FDCA5C6">
      <w:start w:val="1"/>
      <w:numFmt w:val="bullet"/>
      <w:lvlText w:val="▪"/>
      <w:lvlJc w:val="left"/>
      <w:pPr>
        <w:ind w:left="33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635E60EF"/>
    <w:multiLevelType w:val="hybridMultilevel"/>
    <w:tmpl w:val="DB004AE4"/>
    <w:lvl w:ilvl="0" w:tplc="84F07DFE">
      <w:start w:val="6"/>
      <w:numFmt w:val="upperLetter"/>
      <w:lvlText w:val="%1)"/>
      <w:lvlJc w:val="left"/>
      <w:pPr>
        <w:ind w:left="63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F00A4F0A">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C34E3148">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1D48CCB2">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499EB62A">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F418CFD0">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EB04A364">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BA9CA786">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3E362512">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637A7E37"/>
    <w:multiLevelType w:val="hybridMultilevel"/>
    <w:tmpl w:val="8A0C6B12"/>
    <w:lvl w:ilvl="0" w:tplc="30AA2F8E">
      <w:start w:val="1"/>
      <w:numFmt w:val="upperLetter"/>
      <w:lvlText w:val="%1)"/>
      <w:lvlJc w:val="left"/>
      <w:pPr>
        <w:ind w:left="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56EEE0">
      <w:start w:val="1"/>
      <w:numFmt w:val="lowerLetter"/>
      <w:lvlText w:val="%2"/>
      <w:lvlJc w:val="left"/>
      <w:pPr>
        <w:ind w:left="1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96B220">
      <w:start w:val="1"/>
      <w:numFmt w:val="lowerRoman"/>
      <w:lvlText w:val="%3"/>
      <w:lvlJc w:val="left"/>
      <w:pPr>
        <w:ind w:left="1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12C9B0">
      <w:start w:val="1"/>
      <w:numFmt w:val="decimal"/>
      <w:lvlText w:val="%4"/>
      <w:lvlJc w:val="left"/>
      <w:pPr>
        <w:ind w:left="2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63E8">
      <w:start w:val="1"/>
      <w:numFmt w:val="lowerLetter"/>
      <w:lvlText w:val="%5"/>
      <w:lvlJc w:val="left"/>
      <w:pPr>
        <w:ind w:left="3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B616EC">
      <w:start w:val="1"/>
      <w:numFmt w:val="lowerRoman"/>
      <w:lvlText w:val="%6"/>
      <w:lvlJc w:val="left"/>
      <w:pPr>
        <w:ind w:left="3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32F504">
      <w:start w:val="1"/>
      <w:numFmt w:val="decimal"/>
      <w:lvlText w:val="%7"/>
      <w:lvlJc w:val="left"/>
      <w:pPr>
        <w:ind w:left="4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D6C66A">
      <w:start w:val="1"/>
      <w:numFmt w:val="lowerLetter"/>
      <w:lvlText w:val="%8"/>
      <w:lvlJc w:val="left"/>
      <w:pPr>
        <w:ind w:left="5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9A006A">
      <w:start w:val="1"/>
      <w:numFmt w:val="lowerRoman"/>
      <w:lvlText w:val="%9"/>
      <w:lvlJc w:val="left"/>
      <w:pPr>
        <w:ind w:left="6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63AA45E9"/>
    <w:multiLevelType w:val="hybridMultilevel"/>
    <w:tmpl w:val="6FC44F9A"/>
    <w:lvl w:ilvl="0" w:tplc="4872CE28">
      <w:start w:val="1"/>
      <w:numFmt w:val="lowerLetter"/>
      <w:lvlText w:val="%1)"/>
      <w:lvlJc w:val="left"/>
      <w:pPr>
        <w:ind w:left="9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D2A43A2">
      <w:start w:val="1"/>
      <w:numFmt w:val="lowerLetter"/>
      <w:lvlText w:val="%2"/>
      <w:lvlJc w:val="left"/>
      <w:pPr>
        <w:ind w:left="143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E82D85E">
      <w:start w:val="1"/>
      <w:numFmt w:val="lowerRoman"/>
      <w:lvlText w:val="%3"/>
      <w:lvlJc w:val="left"/>
      <w:pPr>
        <w:ind w:left="21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8E21312">
      <w:start w:val="1"/>
      <w:numFmt w:val="decimal"/>
      <w:lvlText w:val="%4"/>
      <w:lvlJc w:val="left"/>
      <w:pPr>
        <w:ind w:left="28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AD0E1BC">
      <w:start w:val="1"/>
      <w:numFmt w:val="lowerLetter"/>
      <w:lvlText w:val="%5"/>
      <w:lvlJc w:val="left"/>
      <w:pPr>
        <w:ind w:left="35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D8A4DB6">
      <w:start w:val="1"/>
      <w:numFmt w:val="lowerRoman"/>
      <w:lvlText w:val="%6"/>
      <w:lvlJc w:val="left"/>
      <w:pPr>
        <w:ind w:left="431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D441E68">
      <w:start w:val="1"/>
      <w:numFmt w:val="decimal"/>
      <w:lvlText w:val="%7"/>
      <w:lvlJc w:val="left"/>
      <w:pPr>
        <w:ind w:left="503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DAE0286">
      <w:start w:val="1"/>
      <w:numFmt w:val="lowerLetter"/>
      <w:lvlText w:val="%8"/>
      <w:lvlJc w:val="left"/>
      <w:pPr>
        <w:ind w:left="57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DD0A87C">
      <w:start w:val="1"/>
      <w:numFmt w:val="lowerRoman"/>
      <w:lvlText w:val="%9"/>
      <w:lvlJc w:val="left"/>
      <w:pPr>
        <w:ind w:left="64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65036A8E"/>
    <w:multiLevelType w:val="hybridMultilevel"/>
    <w:tmpl w:val="2856E56A"/>
    <w:lvl w:ilvl="0" w:tplc="B694F048">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78E0AB3A">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4BD22A6A">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89EECFAA">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64489298">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7A2C4B3E">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F23EBD2A">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A9803220">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5EA44FA8">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82" w15:restartNumberingAfterBreak="0">
    <w:nsid w:val="65274981"/>
    <w:multiLevelType w:val="multilevel"/>
    <w:tmpl w:val="4D6EC798"/>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83" w15:restartNumberingAfterBreak="0">
    <w:nsid w:val="65CF06C2"/>
    <w:multiLevelType w:val="hybridMultilevel"/>
    <w:tmpl w:val="ED36E05C"/>
    <w:lvl w:ilvl="0" w:tplc="C17AFE3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2A5E1A">
      <w:start w:val="1"/>
      <w:numFmt w:val="bullet"/>
      <w:lvlText w:val="o"/>
      <w:lvlJc w:val="left"/>
      <w:pPr>
        <w:ind w:left="1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DC6B88">
      <w:start w:val="1"/>
      <w:numFmt w:val="bullet"/>
      <w:lvlText w:val="▪"/>
      <w:lvlJc w:val="left"/>
      <w:pPr>
        <w:ind w:left="18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F8B6DE">
      <w:start w:val="1"/>
      <w:numFmt w:val="bullet"/>
      <w:lvlText w:val="•"/>
      <w:lvlJc w:val="left"/>
      <w:pPr>
        <w:ind w:left="2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565F82">
      <w:start w:val="1"/>
      <w:numFmt w:val="bullet"/>
      <w:lvlText w:val="o"/>
      <w:lvlJc w:val="left"/>
      <w:pPr>
        <w:ind w:left="3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048514">
      <w:start w:val="1"/>
      <w:numFmt w:val="bullet"/>
      <w:lvlText w:val="▪"/>
      <w:lvlJc w:val="left"/>
      <w:pPr>
        <w:ind w:left="40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C22BD0">
      <w:start w:val="1"/>
      <w:numFmt w:val="bullet"/>
      <w:lvlText w:val="•"/>
      <w:lvlJc w:val="left"/>
      <w:pPr>
        <w:ind w:left="4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2C01DC">
      <w:start w:val="1"/>
      <w:numFmt w:val="bullet"/>
      <w:lvlText w:val="o"/>
      <w:lvlJc w:val="left"/>
      <w:pPr>
        <w:ind w:left="5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4AAA44">
      <w:start w:val="1"/>
      <w:numFmt w:val="bullet"/>
      <w:lvlText w:val="▪"/>
      <w:lvlJc w:val="left"/>
      <w:pPr>
        <w:ind w:left="6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663C5E59"/>
    <w:multiLevelType w:val="hybridMultilevel"/>
    <w:tmpl w:val="AB9871BA"/>
    <w:lvl w:ilvl="0" w:tplc="51BACD5A">
      <w:start w:val="1"/>
      <w:numFmt w:val="bullet"/>
      <w:lvlText w:val=""/>
      <w:lvlJc w:val="left"/>
      <w:pPr>
        <w:ind w:left="1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FEC36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C4A3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0CFA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F4D4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FC77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FA1B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9E87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8E3B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663C68E8"/>
    <w:multiLevelType w:val="multilevel"/>
    <w:tmpl w:val="92426056"/>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86" w15:restartNumberingAfterBreak="0">
    <w:nsid w:val="669C2F3F"/>
    <w:multiLevelType w:val="hybridMultilevel"/>
    <w:tmpl w:val="6DE67FEC"/>
    <w:lvl w:ilvl="0" w:tplc="FA728A8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646AA2">
      <w:start w:val="1"/>
      <w:numFmt w:val="bullet"/>
      <w:lvlText w:val="o"/>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869CC2">
      <w:start w:val="1"/>
      <w:numFmt w:val="bullet"/>
      <w:lvlText w:val="-"/>
      <w:lvlJc w:val="left"/>
      <w:pPr>
        <w:ind w:left="1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66BECE">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7651D2">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50B1A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2B4F4">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C660E8">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F884A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67A449CE"/>
    <w:multiLevelType w:val="hybridMultilevel"/>
    <w:tmpl w:val="2C841F58"/>
    <w:lvl w:ilvl="0" w:tplc="EDA690C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94D0D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9CB3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36257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7EDFB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367BA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C677E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82BDC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F0857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699262AA"/>
    <w:multiLevelType w:val="multilevel"/>
    <w:tmpl w:val="AE8A4F30"/>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89" w15:restartNumberingAfterBreak="0">
    <w:nsid w:val="699B2F1B"/>
    <w:multiLevelType w:val="hybridMultilevel"/>
    <w:tmpl w:val="A47EF0FA"/>
    <w:lvl w:ilvl="0" w:tplc="66962532">
      <w:start w:val="1"/>
      <w:numFmt w:val="bullet"/>
      <w:lvlText w:val="-"/>
      <w:lvlJc w:val="left"/>
      <w:pPr>
        <w:ind w:left="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34308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66908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14BE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284AB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404B4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FC6CB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C64A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3C5F4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6A022046"/>
    <w:multiLevelType w:val="multilevel"/>
    <w:tmpl w:val="B1F23396"/>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91" w15:restartNumberingAfterBreak="0">
    <w:nsid w:val="6B137C33"/>
    <w:multiLevelType w:val="hybridMultilevel"/>
    <w:tmpl w:val="200A8F38"/>
    <w:lvl w:ilvl="0" w:tplc="BFC4739A">
      <w:start w:val="13"/>
      <w:numFmt w:val="lowerLetter"/>
      <w:lvlText w:val="%1)"/>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6F2C45E">
      <w:start w:val="1"/>
      <w:numFmt w:val="lowerLetter"/>
      <w:lvlText w:val="%2"/>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B248A56">
      <w:start w:val="1"/>
      <w:numFmt w:val="lowerRoman"/>
      <w:lvlText w:val="%3"/>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8D0D012">
      <w:start w:val="1"/>
      <w:numFmt w:val="decimal"/>
      <w:lvlText w:val="%4"/>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5045CDC">
      <w:start w:val="1"/>
      <w:numFmt w:val="lowerLetter"/>
      <w:lvlText w:val="%5"/>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8FCA77C">
      <w:start w:val="1"/>
      <w:numFmt w:val="lowerRoman"/>
      <w:lvlText w:val="%6"/>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AE0BF6E">
      <w:start w:val="1"/>
      <w:numFmt w:val="decimal"/>
      <w:lvlText w:val="%7"/>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DCCAF4E">
      <w:start w:val="1"/>
      <w:numFmt w:val="lowerLetter"/>
      <w:lvlText w:val="%8"/>
      <w:lvlJc w:val="left"/>
      <w:pPr>
        <w:ind w:left="57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96C9C7C">
      <w:start w:val="1"/>
      <w:numFmt w:val="lowerRoman"/>
      <w:lvlText w:val="%9"/>
      <w:lvlJc w:val="left"/>
      <w:pPr>
        <w:ind w:left="64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6B3E7FD9"/>
    <w:multiLevelType w:val="multilevel"/>
    <w:tmpl w:val="DB40B76C"/>
    <w:lvl w:ilvl="0">
      <w:start w:val="7"/>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Restart w:val="0"/>
      <w:lvlText w:val="%1.%2."/>
      <w:lvlJc w:val="left"/>
      <w:pPr>
        <w:ind w:left="953"/>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93" w15:restartNumberingAfterBreak="0">
    <w:nsid w:val="6BB554D6"/>
    <w:multiLevelType w:val="hybridMultilevel"/>
    <w:tmpl w:val="E118D8CE"/>
    <w:lvl w:ilvl="0" w:tplc="D2DAAE4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18DF1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2022E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3C113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5C1C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A209E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0009A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E4D34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98EA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6C4E444D"/>
    <w:multiLevelType w:val="hybridMultilevel"/>
    <w:tmpl w:val="22AA160A"/>
    <w:lvl w:ilvl="0" w:tplc="F630455C">
      <w:start w:val="1"/>
      <w:numFmt w:val="bullet"/>
      <w:lvlText w:val="•"/>
      <w:lvlJc w:val="left"/>
      <w:pPr>
        <w:ind w:left="1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32A6A8">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58F880">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6C010C">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84511A">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5A3622">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FCDE96">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F89328">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8804A">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CD86157"/>
    <w:multiLevelType w:val="hybridMultilevel"/>
    <w:tmpl w:val="1E0E6D44"/>
    <w:lvl w:ilvl="0" w:tplc="6C685C4C">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4AFC05DA">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C6786922">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CECE6ACC">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8774E420">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1EAE5BDA">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34BEC6D0">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A65C8556">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AC7CC2FE">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96" w15:restartNumberingAfterBreak="0">
    <w:nsid w:val="6D5A57DB"/>
    <w:multiLevelType w:val="multilevel"/>
    <w:tmpl w:val="72E65E46"/>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197" w15:restartNumberingAfterBreak="0">
    <w:nsid w:val="6E005525"/>
    <w:multiLevelType w:val="hybridMultilevel"/>
    <w:tmpl w:val="44140F3E"/>
    <w:lvl w:ilvl="0" w:tplc="120EFA04">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0ADAA8A4">
      <w:start w:val="1"/>
      <w:numFmt w:val="bullet"/>
      <w:lvlRestart w:val="0"/>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FAEDFA2">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EC21672">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0B89D7A">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D52F31E">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C960F16">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32A4EC0">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19C7C90">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98" w15:restartNumberingAfterBreak="0">
    <w:nsid w:val="6E8E177A"/>
    <w:multiLevelType w:val="hybridMultilevel"/>
    <w:tmpl w:val="A5FC3EEE"/>
    <w:lvl w:ilvl="0" w:tplc="C1AA2528">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CF740C4C">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14207AB4">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EAB0F00A">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3A9A9320">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D320F1C8">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1CBEF9B8">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C78CCA30">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180843FE">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99" w15:restartNumberingAfterBreak="0">
    <w:nsid w:val="701822ED"/>
    <w:multiLevelType w:val="hybridMultilevel"/>
    <w:tmpl w:val="36D619F0"/>
    <w:lvl w:ilvl="0" w:tplc="58146B92">
      <w:start w:val="1"/>
      <w:numFmt w:val="bullet"/>
      <w:lvlText w:val="-"/>
      <w:lvlJc w:val="left"/>
      <w:pPr>
        <w:ind w:left="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54AE2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FE608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941EA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6CDC5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56716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6ABE6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06DD5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74AA0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707204F9"/>
    <w:multiLevelType w:val="multilevel"/>
    <w:tmpl w:val="D018A7CE"/>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201" w15:restartNumberingAfterBreak="0">
    <w:nsid w:val="70BA6591"/>
    <w:multiLevelType w:val="multilevel"/>
    <w:tmpl w:val="6E10F550"/>
    <w:lvl w:ilvl="0">
      <w:start w:val="1"/>
      <w:numFmt w:val="decimal"/>
      <w:lvlText w:val="%1."/>
      <w:lvlJc w:val="left"/>
      <w:pPr>
        <w:ind w:left="565"/>
      </w:pPr>
      <w:rPr>
        <w:rFonts w:ascii="Calibri" w:eastAsia="Calibri" w:hAnsi="Calibri" w:cs="Calibri"/>
        <w:b/>
        <w:bCs/>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954"/>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lowerRoman"/>
      <w:lvlText w:val="%3"/>
      <w:lvlJc w:val="left"/>
      <w:pPr>
        <w:ind w:left="13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20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7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34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41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9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6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202" w15:restartNumberingAfterBreak="0">
    <w:nsid w:val="70EA0943"/>
    <w:multiLevelType w:val="multilevel"/>
    <w:tmpl w:val="11FC3B40"/>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203" w15:restartNumberingAfterBreak="0">
    <w:nsid w:val="7114639E"/>
    <w:multiLevelType w:val="hybridMultilevel"/>
    <w:tmpl w:val="C99AD4C0"/>
    <w:lvl w:ilvl="0" w:tplc="572489D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842E7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C6941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7A3B7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4216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96A64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3ECAE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3404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54BA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4" w15:restartNumberingAfterBreak="0">
    <w:nsid w:val="71825C2D"/>
    <w:multiLevelType w:val="hybridMultilevel"/>
    <w:tmpl w:val="F9EC99E2"/>
    <w:lvl w:ilvl="0" w:tplc="0C5C8F98">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5646ECC">
      <w:start w:val="1"/>
      <w:numFmt w:val="bullet"/>
      <w:lvlText w:val="o"/>
      <w:lvlJc w:val="left"/>
      <w:pPr>
        <w:ind w:left="5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CCAE85E">
      <w:start w:val="1"/>
      <w:numFmt w:val="bullet"/>
      <w:lvlText w:val="▪"/>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486D9AE">
      <w:start w:val="1"/>
      <w:numFmt w:val="bullet"/>
      <w:lvlText w:val="•"/>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FB63BBE">
      <w:start w:val="1"/>
      <w:numFmt w:val="bullet"/>
      <w:lvlRestart w:val="0"/>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CEA429E">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584DD40">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2AAEE3E">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BF0C420">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5" w15:restartNumberingAfterBreak="0">
    <w:nsid w:val="72B72AD8"/>
    <w:multiLevelType w:val="hybridMultilevel"/>
    <w:tmpl w:val="9AECF91A"/>
    <w:lvl w:ilvl="0" w:tplc="056AFE9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F4D4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B89F5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26C5C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3490F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8E8C1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34F5A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E2E39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7CEA2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6" w15:restartNumberingAfterBreak="0">
    <w:nsid w:val="736002D7"/>
    <w:multiLevelType w:val="hybridMultilevel"/>
    <w:tmpl w:val="3A843582"/>
    <w:lvl w:ilvl="0" w:tplc="2962D79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8DFF4">
      <w:start w:val="2"/>
      <w:numFmt w:val="decimal"/>
      <w:lvlText w:val="%2."/>
      <w:lvlJc w:val="left"/>
      <w:pPr>
        <w:ind w:left="3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2" w:tplc="2D1014EC">
      <w:start w:val="1"/>
      <w:numFmt w:val="lowerRoman"/>
      <w:lvlText w:val="%3"/>
      <w:lvlJc w:val="left"/>
      <w:pPr>
        <w:ind w:left="14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3" w:tplc="F994482C">
      <w:start w:val="1"/>
      <w:numFmt w:val="decimal"/>
      <w:lvlText w:val="%4"/>
      <w:lvlJc w:val="left"/>
      <w:pPr>
        <w:ind w:left="21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4" w:tplc="4F1689EA">
      <w:start w:val="1"/>
      <w:numFmt w:val="lowerLetter"/>
      <w:lvlText w:val="%5"/>
      <w:lvlJc w:val="left"/>
      <w:pPr>
        <w:ind w:left="288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5" w:tplc="78BE8D28">
      <w:start w:val="1"/>
      <w:numFmt w:val="lowerRoman"/>
      <w:lvlText w:val="%6"/>
      <w:lvlJc w:val="left"/>
      <w:pPr>
        <w:ind w:left="360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6" w:tplc="BFE8D570">
      <w:start w:val="1"/>
      <w:numFmt w:val="decimal"/>
      <w:lvlText w:val="%7"/>
      <w:lvlJc w:val="left"/>
      <w:pPr>
        <w:ind w:left="432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7" w:tplc="BC42DC08">
      <w:start w:val="1"/>
      <w:numFmt w:val="lowerLetter"/>
      <w:lvlText w:val="%8"/>
      <w:lvlJc w:val="left"/>
      <w:pPr>
        <w:ind w:left="504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lvl w:ilvl="8" w:tplc="CE201F88">
      <w:start w:val="1"/>
      <w:numFmt w:val="lowerRoman"/>
      <w:lvlText w:val="%9"/>
      <w:lvlJc w:val="left"/>
      <w:pPr>
        <w:ind w:left="5760"/>
      </w:pPr>
      <w:rPr>
        <w:rFonts w:ascii="Arial" w:eastAsia="Arial" w:hAnsi="Arial" w:cs="Arial"/>
        <w:b/>
        <w:bCs/>
        <w:i/>
        <w:iCs/>
        <w:strike w:val="0"/>
        <w:dstrike w:val="0"/>
        <w:color w:val="222222"/>
        <w:sz w:val="22"/>
        <w:szCs w:val="22"/>
        <w:u w:val="none" w:color="000000"/>
        <w:bdr w:val="none" w:sz="0" w:space="0" w:color="auto"/>
        <w:shd w:val="clear" w:color="auto" w:fill="auto"/>
        <w:vertAlign w:val="baseline"/>
      </w:rPr>
    </w:lvl>
  </w:abstractNum>
  <w:abstractNum w:abstractNumId="207" w15:restartNumberingAfterBreak="0">
    <w:nsid w:val="742209EB"/>
    <w:multiLevelType w:val="hybridMultilevel"/>
    <w:tmpl w:val="5F40B62E"/>
    <w:lvl w:ilvl="0" w:tplc="B01CC61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BAA718">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70893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BC9DF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1C4BA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BEE21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0832C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E4C59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EAAC2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8" w15:restartNumberingAfterBreak="0">
    <w:nsid w:val="7481445D"/>
    <w:multiLevelType w:val="hybridMultilevel"/>
    <w:tmpl w:val="C74AF30C"/>
    <w:lvl w:ilvl="0" w:tplc="D082A11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DCF00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BC05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2C11A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6A99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8666C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7AE1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003BF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D285F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9" w15:restartNumberingAfterBreak="0">
    <w:nsid w:val="74EC439A"/>
    <w:multiLevelType w:val="hybridMultilevel"/>
    <w:tmpl w:val="444441A8"/>
    <w:lvl w:ilvl="0" w:tplc="44C23B70">
      <w:start w:val="1"/>
      <w:numFmt w:val="bullet"/>
      <w:lvlText w:val=""/>
      <w:lvlJc w:val="left"/>
      <w:pPr>
        <w:ind w:left="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542993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B24DA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46B6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26D3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E6CB8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1EE63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EA828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5E195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75E06E7D"/>
    <w:multiLevelType w:val="hybridMultilevel"/>
    <w:tmpl w:val="DCC2B3DA"/>
    <w:lvl w:ilvl="0" w:tplc="4306CA28">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DD9438CA">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0952E780">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C2B6421A">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2FB6E9DE">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99C0C24E">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D234BE4E">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6EDA0FEE">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8744CE9A">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211" w15:restartNumberingAfterBreak="0">
    <w:nsid w:val="76B433CC"/>
    <w:multiLevelType w:val="hybridMultilevel"/>
    <w:tmpl w:val="C7663176"/>
    <w:lvl w:ilvl="0" w:tplc="F8FEE8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60354A">
      <w:start w:val="1"/>
      <w:numFmt w:val="bullet"/>
      <w:lvlText w:val="o"/>
      <w:lvlJc w:val="left"/>
      <w:pPr>
        <w:ind w:left="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74118A">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F05CD6">
      <w:start w:val="1"/>
      <w:numFmt w:val="bullet"/>
      <w:lvlRestart w:val="0"/>
      <w:lvlText w:val="-"/>
      <w:lvlJc w:val="left"/>
      <w:pPr>
        <w:ind w:left="1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C84C48">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D825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DC3D4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6A29FE">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383D9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77217C10"/>
    <w:multiLevelType w:val="hybridMultilevel"/>
    <w:tmpl w:val="66928184"/>
    <w:lvl w:ilvl="0" w:tplc="0C8CCCB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F8446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C4B55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E2C54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92847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04C1A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E8559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F0EE0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4C5A7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3" w15:restartNumberingAfterBreak="0">
    <w:nsid w:val="77A42A48"/>
    <w:multiLevelType w:val="hybridMultilevel"/>
    <w:tmpl w:val="793EA1CE"/>
    <w:lvl w:ilvl="0" w:tplc="C89A6578">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2DA8DE66">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91DAE0EE">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9F064990">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7C7E5664">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9F1A53B4">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908263AC">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2FC06966">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F58C7E62">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214" w15:restartNumberingAfterBreak="0">
    <w:nsid w:val="77BC45E3"/>
    <w:multiLevelType w:val="hybridMultilevel"/>
    <w:tmpl w:val="ABBAA5BA"/>
    <w:lvl w:ilvl="0" w:tplc="6C94CB6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A4C8F7DA">
      <w:start w:val="1"/>
      <w:numFmt w:val="bullet"/>
      <w:lvlText w:val="o"/>
      <w:lvlJc w:val="left"/>
      <w:pPr>
        <w:ind w:left="10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F52AEBCC">
      <w:start w:val="1"/>
      <w:numFmt w:val="bullet"/>
      <w:lvlText w:val="▪"/>
      <w:lvlJc w:val="left"/>
      <w:pPr>
        <w:ind w:left="18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B0E0EFBE">
      <w:start w:val="1"/>
      <w:numFmt w:val="bullet"/>
      <w:lvlText w:val="•"/>
      <w:lvlJc w:val="left"/>
      <w:pPr>
        <w:ind w:left="25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E874288E">
      <w:start w:val="1"/>
      <w:numFmt w:val="bullet"/>
      <w:lvlText w:val="o"/>
      <w:lvlJc w:val="left"/>
      <w:pPr>
        <w:ind w:left="32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411ADC22">
      <w:start w:val="1"/>
      <w:numFmt w:val="bullet"/>
      <w:lvlText w:val="▪"/>
      <w:lvlJc w:val="left"/>
      <w:pPr>
        <w:ind w:left="39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9036E2C2">
      <w:start w:val="1"/>
      <w:numFmt w:val="bullet"/>
      <w:lvlText w:val="•"/>
      <w:lvlJc w:val="left"/>
      <w:pPr>
        <w:ind w:left="46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B3DA2E68">
      <w:start w:val="1"/>
      <w:numFmt w:val="bullet"/>
      <w:lvlText w:val="o"/>
      <w:lvlJc w:val="left"/>
      <w:pPr>
        <w:ind w:left="54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C57E1CB6">
      <w:start w:val="1"/>
      <w:numFmt w:val="bullet"/>
      <w:lvlText w:val="▪"/>
      <w:lvlJc w:val="left"/>
      <w:pPr>
        <w:ind w:left="61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215" w15:restartNumberingAfterBreak="0">
    <w:nsid w:val="784B1847"/>
    <w:multiLevelType w:val="hybridMultilevel"/>
    <w:tmpl w:val="2B94223A"/>
    <w:lvl w:ilvl="0" w:tplc="80442DA2">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90201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0899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70DD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CED6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5E02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EC98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4A35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BC55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6" w15:restartNumberingAfterBreak="0">
    <w:nsid w:val="79627284"/>
    <w:multiLevelType w:val="hybridMultilevel"/>
    <w:tmpl w:val="F21CAE0A"/>
    <w:lvl w:ilvl="0" w:tplc="253E1A2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5A44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60C9B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540CB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B09ED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30B5B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ACEBA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9EADE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34F72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79EE6F4E"/>
    <w:multiLevelType w:val="hybridMultilevel"/>
    <w:tmpl w:val="C496264E"/>
    <w:lvl w:ilvl="0" w:tplc="D59AF94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E8C3E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165FB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EEF29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F611C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64DA7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60019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2AC1F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A4B0E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8" w15:restartNumberingAfterBreak="0">
    <w:nsid w:val="7A4B6DDC"/>
    <w:multiLevelType w:val="hybridMultilevel"/>
    <w:tmpl w:val="C7023B26"/>
    <w:lvl w:ilvl="0" w:tplc="75F0D96C">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CE3F2C">
      <w:start w:val="1"/>
      <w:numFmt w:val="bullet"/>
      <w:lvlText w:val="o"/>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CACCE2">
      <w:start w:val="1"/>
      <w:numFmt w:val="bullet"/>
      <w:lvlText w:val="▪"/>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42AE1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2089E0">
      <w:start w:val="1"/>
      <w:numFmt w:val="bullet"/>
      <w:lvlText w:val="o"/>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4AABD2">
      <w:start w:val="1"/>
      <w:numFmt w:val="bullet"/>
      <w:lvlText w:val="▪"/>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2A8AD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5264D6">
      <w:start w:val="1"/>
      <w:numFmt w:val="bullet"/>
      <w:lvlText w:val="o"/>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B494DA">
      <w:start w:val="1"/>
      <w:numFmt w:val="bullet"/>
      <w:lvlText w:val="▪"/>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9" w15:restartNumberingAfterBreak="0">
    <w:nsid w:val="7AF313C9"/>
    <w:multiLevelType w:val="hybridMultilevel"/>
    <w:tmpl w:val="806E8708"/>
    <w:lvl w:ilvl="0" w:tplc="DADCACAA">
      <w:start w:val="1"/>
      <w:numFmt w:val="decimal"/>
      <w:lvlText w:val="%1."/>
      <w:lvlJc w:val="left"/>
      <w:pPr>
        <w:ind w:left="3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1B25B6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6384E3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0CA25E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BC670A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EFE4A6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AE2A6A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D92DDD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3C0CD5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7C650876"/>
    <w:multiLevelType w:val="multilevel"/>
    <w:tmpl w:val="7D9EB24C"/>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221" w15:restartNumberingAfterBreak="0">
    <w:nsid w:val="7D224B56"/>
    <w:multiLevelType w:val="hybridMultilevel"/>
    <w:tmpl w:val="D7F6A5A6"/>
    <w:lvl w:ilvl="0" w:tplc="47864E5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48E7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8CBAB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98372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986AD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68AA4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FC9FC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1C0F0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5E92F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2" w15:restartNumberingAfterBreak="0">
    <w:nsid w:val="7D224D22"/>
    <w:multiLevelType w:val="multilevel"/>
    <w:tmpl w:val="88E2DB52"/>
    <w:lvl w:ilvl="0">
      <w:start w:val="6"/>
      <w:numFmt w:val="decimal"/>
      <w:lvlText w:val="%1"/>
      <w:lvlJc w:val="left"/>
      <w:pPr>
        <w:ind w:left="360"/>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1">
      <w:start w:val="1"/>
      <w:numFmt w:val="decimal"/>
      <w:lvlText w:val="%1.%2"/>
      <w:lvlJc w:val="left"/>
      <w:pPr>
        <w:ind w:left="58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3">
      <w:start w:val="1"/>
      <w:numFmt w:val="decimal"/>
      <w:lvlText w:val="%4"/>
      <w:lvlJc w:val="left"/>
      <w:pPr>
        <w:ind w:left="15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4">
      <w:start w:val="1"/>
      <w:numFmt w:val="lowerLetter"/>
      <w:lvlText w:val="%5"/>
      <w:lvlJc w:val="left"/>
      <w:pPr>
        <w:ind w:left="224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5">
      <w:start w:val="1"/>
      <w:numFmt w:val="lowerRoman"/>
      <w:lvlText w:val="%6"/>
      <w:lvlJc w:val="left"/>
      <w:pPr>
        <w:ind w:left="296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6">
      <w:start w:val="1"/>
      <w:numFmt w:val="decimal"/>
      <w:lvlText w:val="%7"/>
      <w:lvlJc w:val="left"/>
      <w:pPr>
        <w:ind w:left="368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7">
      <w:start w:val="1"/>
      <w:numFmt w:val="lowerLetter"/>
      <w:lvlText w:val="%8"/>
      <w:lvlJc w:val="left"/>
      <w:pPr>
        <w:ind w:left="440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lvl w:ilvl="8">
      <w:start w:val="1"/>
      <w:numFmt w:val="lowerRoman"/>
      <w:lvlText w:val="%9"/>
      <w:lvlJc w:val="left"/>
      <w:pPr>
        <w:ind w:left="5122"/>
      </w:pPr>
      <w:rPr>
        <w:rFonts w:ascii="Calibri" w:eastAsia="Calibri" w:hAnsi="Calibri" w:cs="Calibri"/>
        <w:b w:val="0"/>
        <w:i w:val="0"/>
        <w:strike w:val="0"/>
        <w:dstrike w:val="0"/>
        <w:color w:val="000080"/>
        <w:sz w:val="22"/>
        <w:szCs w:val="22"/>
        <w:u w:val="single" w:color="000080"/>
        <w:bdr w:val="none" w:sz="0" w:space="0" w:color="auto"/>
        <w:shd w:val="clear" w:color="auto" w:fill="auto"/>
        <w:vertAlign w:val="baseline"/>
      </w:rPr>
    </w:lvl>
  </w:abstractNum>
  <w:abstractNum w:abstractNumId="223" w15:restartNumberingAfterBreak="0">
    <w:nsid w:val="7D4A5889"/>
    <w:multiLevelType w:val="hybridMultilevel"/>
    <w:tmpl w:val="B4743AB6"/>
    <w:lvl w:ilvl="0" w:tplc="A9301ED2">
      <w:start w:val="1"/>
      <w:numFmt w:val="bullet"/>
      <w:lvlText w:val="•"/>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96552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4AD5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A8DD96">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DC7952">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D05270">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9F4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54D2F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8EBCD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7D713212"/>
    <w:multiLevelType w:val="hybridMultilevel"/>
    <w:tmpl w:val="2286DC7E"/>
    <w:lvl w:ilvl="0" w:tplc="59AA63A0">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9D42466">
      <w:start w:val="1"/>
      <w:numFmt w:val="lowerLetter"/>
      <w:lvlText w:val="%2"/>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F04DF3E">
      <w:start w:val="1"/>
      <w:numFmt w:val="lowerLetter"/>
      <w:lvlRestart w:val="0"/>
      <w:lvlText w:val="%3)"/>
      <w:lvlJc w:val="left"/>
      <w:pPr>
        <w:ind w:left="10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9446848">
      <w:start w:val="1"/>
      <w:numFmt w:val="decimal"/>
      <w:lvlText w:val="%4"/>
      <w:lvlJc w:val="left"/>
      <w:pPr>
        <w:ind w:left="14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4E2B858">
      <w:start w:val="1"/>
      <w:numFmt w:val="lowerLetter"/>
      <w:lvlText w:val="%5"/>
      <w:lvlJc w:val="left"/>
      <w:pPr>
        <w:ind w:left="2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BEA5708">
      <w:start w:val="1"/>
      <w:numFmt w:val="lowerRoman"/>
      <w:lvlText w:val="%6"/>
      <w:lvlJc w:val="left"/>
      <w:pPr>
        <w:ind w:left="28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73CD346">
      <w:start w:val="1"/>
      <w:numFmt w:val="decimal"/>
      <w:lvlText w:val="%7"/>
      <w:lvlJc w:val="left"/>
      <w:pPr>
        <w:ind w:left="35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60ECBA6">
      <w:start w:val="1"/>
      <w:numFmt w:val="lowerLetter"/>
      <w:lvlText w:val="%8"/>
      <w:lvlJc w:val="left"/>
      <w:pPr>
        <w:ind w:left="43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4E8722A">
      <w:start w:val="1"/>
      <w:numFmt w:val="lowerRoman"/>
      <w:lvlText w:val="%9"/>
      <w:lvlJc w:val="left"/>
      <w:pPr>
        <w:ind w:left="50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5" w15:restartNumberingAfterBreak="0">
    <w:nsid w:val="7DB736B8"/>
    <w:multiLevelType w:val="hybridMultilevel"/>
    <w:tmpl w:val="D040BFE2"/>
    <w:lvl w:ilvl="0" w:tplc="CDBE9E1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34063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8C58C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C019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C6402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B0F90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90076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A4D4A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3263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6" w15:restartNumberingAfterBreak="0">
    <w:nsid w:val="7DD05B94"/>
    <w:multiLevelType w:val="hybridMultilevel"/>
    <w:tmpl w:val="F80A4348"/>
    <w:lvl w:ilvl="0" w:tplc="9FACFBB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646A88">
      <w:start w:val="1"/>
      <w:numFmt w:val="bullet"/>
      <w:lvlText w:val="•"/>
      <w:lvlJc w:val="left"/>
      <w:pPr>
        <w:ind w:left="1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96581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B0D8A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5A5B3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D6111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BA8BE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644AF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84E0D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7F00690C"/>
    <w:multiLevelType w:val="hybridMultilevel"/>
    <w:tmpl w:val="A0AC4E98"/>
    <w:lvl w:ilvl="0" w:tplc="ABF2F116">
      <w:start w:val="1"/>
      <w:numFmt w:val="bullet"/>
      <w:lvlText w:val="•"/>
      <w:lvlJc w:val="left"/>
      <w:pPr>
        <w:ind w:left="1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CC5F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00F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00A9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F4E1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4C4C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2863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1A30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D65C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F4435CE"/>
    <w:multiLevelType w:val="hybridMultilevel"/>
    <w:tmpl w:val="97C4B11E"/>
    <w:lvl w:ilvl="0" w:tplc="6980DA5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5C0A5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A2B3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B0998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C88E2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AE2E9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9E3CC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F423A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EC2A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94"/>
  </w:num>
  <w:num w:numId="2">
    <w:abstractNumId w:val="21"/>
  </w:num>
  <w:num w:numId="3">
    <w:abstractNumId w:val="8"/>
  </w:num>
  <w:num w:numId="4">
    <w:abstractNumId w:val="36"/>
  </w:num>
  <w:num w:numId="5">
    <w:abstractNumId w:val="59"/>
  </w:num>
  <w:num w:numId="6">
    <w:abstractNumId w:val="44"/>
  </w:num>
  <w:num w:numId="7">
    <w:abstractNumId w:val="66"/>
  </w:num>
  <w:num w:numId="8">
    <w:abstractNumId w:val="227"/>
  </w:num>
  <w:num w:numId="9">
    <w:abstractNumId w:val="174"/>
  </w:num>
  <w:num w:numId="10">
    <w:abstractNumId w:val="112"/>
  </w:num>
  <w:num w:numId="11">
    <w:abstractNumId w:val="141"/>
  </w:num>
  <w:num w:numId="12">
    <w:abstractNumId w:val="62"/>
  </w:num>
  <w:num w:numId="13">
    <w:abstractNumId w:val="164"/>
  </w:num>
  <w:num w:numId="14">
    <w:abstractNumId w:val="178"/>
  </w:num>
  <w:num w:numId="15">
    <w:abstractNumId w:val="133"/>
  </w:num>
  <w:num w:numId="16">
    <w:abstractNumId w:val="84"/>
  </w:num>
  <w:num w:numId="17">
    <w:abstractNumId w:val="125"/>
  </w:num>
  <w:num w:numId="18">
    <w:abstractNumId w:val="111"/>
  </w:num>
  <w:num w:numId="19">
    <w:abstractNumId w:val="40"/>
  </w:num>
  <w:num w:numId="20">
    <w:abstractNumId w:val="89"/>
  </w:num>
  <w:num w:numId="21">
    <w:abstractNumId w:val="9"/>
  </w:num>
  <w:num w:numId="22">
    <w:abstractNumId w:val="63"/>
  </w:num>
  <w:num w:numId="23">
    <w:abstractNumId w:val="179"/>
  </w:num>
  <w:num w:numId="24">
    <w:abstractNumId w:val="76"/>
  </w:num>
  <w:num w:numId="25">
    <w:abstractNumId w:val="134"/>
  </w:num>
  <w:num w:numId="26">
    <w:abstractNumId w:val="226"/>
  </w:num>
  <w:num w:numId="27">
    <w:abstractNumId w:val="199"/>
  </w:num>
  <w:num w:numId="28">
    <w:abstractNumId w:val="114"/>
  </w:num>
  <w:num w:numId="29">
    <w:abstractNumId w:val="189"/>
  </w:num>
  <w:num w:numId="30">
    <w:abstractNumId w:val="75"/>
  </w:num>
  <w:num w:numId="31">
    <w:abstractNumId w:val="80"/>
  </w:num>
  <w:num w:numId="32">
    <w:abstractNumId w:val="68"/>
  </w:num>
  <w:num w:numId="33">
    <w:abstractNumId w:val="218"/>
  </w:num>
  <w:num w:numId="34">
    <w:abstractNumId w:val="209"/>
  </w:num>
  <w:num w:numId="35">
    <w:abstractNumId w:val="96"/>
  </w:num>
  <w:num w:numId="36">
    <w:abstractNumId w:val="184"/>
  </w:num>
  <w:num w:numId="37">
    <w:abstractNumId w:val="219"/>
  </w:num>
  <w:num w:numId="38">
    <w:abstractNumId w:val="16"/>
  </w:num>
  <w:num w:numId="39">
    <w:abstractNumId w:val="126"/>
  </w:num>
  <w:num w:numId="40">
    <w:abstractNumId w:val="200"/>
  </w:num>
  <w:num w:numId="41">
    <w:abstractNumId w:val="14"/>
  </w:num>
  <w:num w:numId="42">
    <w:abstractNumId w:val="107"/>
  </w:num>
  <w:num w:numId="43">
    <w:abstractNumId w:val="117"/>
  </w:num>
  <w:num w:numId="44">
    <w:abstractNumId w:val="220"/>
  </w:num>
  <w:num w:numId="45">
    <w:abstractNumId w:val="170"/>
  </w:num>
  <w:num w:numId="46">
    <w:abstractNumId w:val="147"/>
  </w:num>
  <w:num w:numId="47">
    <w:abstractNumId w:val="140"/>
  </w:num>
  <w:num w:numId="48">
    <w:abstractNumId w:val="46"/>
  </w:num>
  <w:num w:numId="49">
    <w:abstractNumId w:val="201"/>
  </w:num>
  <w:num w:numId="50">
    <w:abstractNumId w:val="168"/>
  </w:num>
  <w:num w:numId="51">
    <w:abstractNumId w:val="192"/>
  </w:num>
  <w:num w:numId="52">
    <w:abstractNumId w:val="41"/>
  </w:num>
  <w:num w:numId="53">
    <w:abstractNumId w:val="202"/>
  </w:num>
  <w:num w:numId="54">
    <w:abstractNumId w:val="85"/>
  </w:num>
  <w:num w:numId="55">
    <w:abstractNumId w:val="10"/>
  </w:num>
  <w:num w:numId="56">
    <w:abstractNumId w:val="160"/>
  </w:num>
  <w:num w:numId="57">
    <w:abstractNumId w:val="149"/>
  </w:num>
  <w:num w:numId="58">
    <w:abstractNumId w:val="138"/>
  </w:num>
  <w:num w:numId="59">
    <w:abstractNumId w:val="155"/>
  </w:num>
  <w:num w:numId="60">
    <w:abstractNumId w:val="22"/>
  </w:num>
  <w:num w:numId="61">
    <w:abstractNumId w:val="128"/>
  </w:num>
  <w:num w:numId="62">
    <w:abstractNumId w:val="211"/>
  </w:num>
  <w:num w:numId="63">
    <w:abstractNumId w:val="4"/>
  </w:num>
  <w:num w:numId="64">
    <w:abstractNumId w:val="87"/>
  </w:num>
  <w:num w:numId="65">
    <w:abstractNumId w:val="97"/>
  </w:num>
  <w:num w:numId="66">
    <w:abstractNumId w:val="171"/>
  </w:num>
  <w:num w:numId="67">
    <w:abstractNumId w:val="154"/>
  </w:num>
  <w:num w:numId="68">
    <w:abstractNumId w:val="83"/>
  </w:num>
  <w:num w:numId="69">
    <w:abstractNumId w:val="20"/>
  </w:num>
  <w:num w:numId="70">
    <w:abstractNumId w:val="71"/>
  </w:num>
  <w:num w:numId="71">
    <w:abstractNumId w:val="180"/>
  </w:num>
  <w:num w:numId="72">
    <w:abstractNumId w:val="25"/>
  </w:num>
  <w:num w:numId="73">
    <w:abstractNumId w:val="207"/>
  </w:num>
  <w:num w:numId="74">
    <w:abstractNumId w:val="92"/>
  </w:num>
  <w:num w:numId="75">
    <w:abstractNumId w:val="113"/>
  </w:num>
  <w:num w:numId="76">
    <w:abstractNumId w:val="52"/>
  </w:num>
  <w:num w:numId="77">
    <w:abstractNumId w:val="215"/>
  </w:num>
  <w:num w:numId="78">
    <w:abstractNumId w:val="105"/>
  </w:num>
  <w:num w:numId="79">
    <w:abstractNumId w:val="153"/>
  </w:num>
  <w:num w:numId="80">
    <w:abstractNumId w:val="225"/>
  </w:num>
  <w:num w:numId="81">
    <w:abstractNumId w:val="167"/>
  </w:num>
  <w:num w:numId="82">
    <w:abstractNumId w:val="56"/>
  </w:num>
  <w:num w:numId="83">
    <w:abstractNumId w:val="185"/>
  </w:num>
  <w:num w:numId="84">
    <w:abstractNumId w:val="35"/>
  </w:num>
  <w:num w:numId="85">
    <w:abstractNumId w:val="100"/>
  </w:num>
  <w:num w:numId="86">
    <w:abstractNumId w:val="190"/>
  </w:num>
  <w:num w:numId="87">
    <w:abstractNumId w:val="119"/>
  </w:num>
  <w:num w:numId="88">
    <w:abstractNumId w:val="45"/>
  </w:num>
  <w:num w:numId="89">
    <w:abstractNumId w:val="47"/>
  </w:num>
  <w:num w:numId="90">
    <w:abstractNumId w:val="60"/>
  </w:num>
  <w:num w:numId="91">
    <w:abstractNumId w:val="82"/>
  </w:num>
  <w:num w:numId="92">
    <w:abstractNumId w:val="222"/>
  </w:num>
  <w:num w:numId="93">
    <w:abstractNumId w:val="123"/>
  </w:num>
  <w:num w:numId="94">
    <w:abstractNumId w:val="196"/>
  </w:num>
  <w:num w:numId="95">
    <w:abstractNumId w:val="26"/>
  </w:num>
  <w:num w:numId="96">
    <w:abstractNumId w:val="142"/>
  </w:num>
  <w:num w:numId="97">
    <w:abstractNumId w:val="43"/>
  </w:num>
  <w:num w:numId="98">
    <w:abstractNumId w:val="15"/>
  </w:num>
  <w:num w:numId="99">
    <w:abstractNumId w:val="39"/>
  </w:num>
  <w:num w:numId="100">
    <w:abstractNumId w:val="186"/>
  </w:num>
  <w:num w:numId="101">
    <w:abstractNumId w:val="81"/>
  </w:num>
  <w:num w:numId="102">
    <w:abstractNumId w:val="61"/>
  </w:num>
  <w:num w:numId="103">
    <w:abstractNumId w:val="120"/>
  </w:num>
  <w:num w:numId="104">
    <w:abstractNumId w:val="29"/>
  </w:num>
  <w:num w:numId="105">
    <w:abstractNumId w:val="37"/>
  </w:num>
  <w:num w:numId="106">
    <w:abstractNumId w:val="131"/>
  </w:num>
  <w:num w:numId="107">
    <w:abstractNumId w:val="122"/>
  </w:num>
  <w:num w:numId="108">
    <w:abstractNumId w:val="130"/>
  </w:num>
  <w:num w:numId="109">
    <w:abstractNumId w:val="73"/>
  </w:num>
  <w:num w:numId="110">
    <w:abstractNumId w:val="103"/>
  </w:num>
  <w:num w:numId="111">
    <w:abstractNumId w:val="182"/>
  </w:num>
  <w:num w:numId="112">
    <w:abstractNumId w:val="127"/>
  </w:num>
  <w:num w:numId="113">
    <w:abstractNumId w:val="169"/>
  </w:num>
  <w:num w:numId="114">
    <w:abstractNumId w:val="110"/>
  </w:num>
  <w:num w:numId="115">
    <w:abstractNumId w:val="121"/>
  </w:num>
  <w:num w:numId="116">
    <w:abstractNumId w:val="173"/>
  </w:num>
  <w:num w:numId="117">
    <w:abstractNumId w:val="188"/>
  </w:num>
  <w:num w:numId="118">
    <w:abstractNumId w:val="78"/>
  </w:num>
  <w:num w:numId="119">
    <w:abstractNumId w:val="79"/>
  </w:num>
  <w:num w:numId="120">
    <w:abstractNumId w:val="152"/>
  </w:num>
  <w:num w:numId="121">
    <w:abstractNumId w:val="49"/>
  </w:num>
  <w:num w:numId="122">
    <w:abstractNumId w:val="5"/>
  </w:num>
  <w:num w:numId="123">
    <w:abstractNumId w:val="224"/>
  </w:num>
  <w:num w:numId="124">
    <w:abstractNumId w:val="30"/>
  </w:num>
  <w:num w:numId="125">
    <w:abstractNumId w:val="32"/>
  </w:num>
  <w:num w:numId="126">
    <w:abstractNumId w:val="129"/>
  </w:num>
  <w:num w:numId="127">
    <w:abstractNumId w:val="74"/>
  </w:num>
  <w:num w:numId="128">
    <w:abstractNumId w:val="13"/>
  </w:num>
  <w:num w:numId="129">
    <w:abstractNumId w:val="0"/>
  </w:num>
  <w:num w:numId="130">
    <w:abstractNumId w:val="109"/>
  </w:num>
  <w:num w:numId="131">
    <w:abstractNumId w:val="86"/>
  </w:num>
  <w:num w:numId="132">
    <w:abstractNumId w:val="98"/>
  </w:num>
  <w:num w:numId="133">
    <w:abstractNumId w:val="191"/>
  </w:num>
  <w:num w:numId="134">
    <w:abstractNumId w:val="166"/>
  </w:num>
  <w:num w:numId="135">
    <w:abstractNumId w:val="7"/>
  </w:num>
  <w:num w:numId="136">
    <w:abstractNumId w:val="146"/>
  </w:num>
  <w:num w:numId="137">
    <w:abstractNumId w:val="158"/>
  </w:num>
  <w:num w:numId="138">
    <w:abstractNumId w:val="33"/>
  </w:num>
  <w:num w:numId="139">
    <w:abstractNumId w:val="70"/>
  </w:num>
  <w:num w:numId="140">
    <w:abstractNumId w:val="135"/>
  </w:num>
  <w:num w:numId="141">
    <w:abstractNumId w:val="177"/>
  </w:num>
  <w:num w:numId="142">
    <w:abstractNumId w:val="28"/>
  </w:num>
  <w:num w:numId="143">
    <w:abstractNumId w:val="143"/>
  </w:num>
  <w:num w:numId="144">
    <w:abstractNumId w:val="118"/>
  </w:num>
  <w:num w:numId="145">
    <w:abstractNumId w:val="11"/>
  </w:num>
  <w:num w:numId="146">
    <w:abstractNumId w:val="163"/>
  </w:num>
  <w:num w:numId="147">
    <w:abstractNumId w:val="204"/>
  </w:num>
  <w:num w:numId="148">
    <w:abstractNumId w:val="162"/>
  </w:num>
  <w:num w:numId="149">
    <w:abstractNumId w:val="1"/>
  </w:num>
  <w:num w:numId="150">
    <w:abstractNumId w:val="18"/>
  </w:num>
  <w:num w:numId="151">
    <w:abstractNumId w:val="165"/>
  </w:num>
  <w:num w:numId="152">
    <w:abstractNumId w:val="19"/>
  </w:num>
  <w:num w:numId="153">
    <w:abstractNumId w:val="50"/>
  </w:num>
  <w:num w:numId="154">
    <w:abstractNumId w:val="187"/>
  </w:num>
  <w:num w:numId="155">
    <w:abstractNumId w:val="206"/>
  </w:num>
  <w:num w:numId="156">
    <w:abstractNumId w:val="205"/>
  </w:num>
  <w:num w:numId="157">
    <w:abstractNumId w:val="145"/>
  </w:num>
  <w:num w:numId="158">
    <w:abstractNumId w:val="136"/>
  </w:num>
  <w:num w:numId="159">
    <w:abstractNumId w:val="23"/>
  </w:num>
  <w:num w:numId="160">
    <w:abstractNumId w:val="208"/>
  </w:num>
  <w:num w:numId="161">
    <w:abstractNumId w:val="65"/>
  </w:num>
  <w:num w:numId="162">
    <w:abstractNumId w:val="58"/>
  </w:num>
  <w:num w:numId="163">
    <w:abstractNumId w:val="90"/>
  </w:num>
  <w:num w:numId="164">
    <w:abstractNumId w:val="198"/>
  </w:num>
  <w:num w:numId="165">
    <w:abstractNumId w:val="172"/>
  </w:num>
  <w:num w:numId="166">
    <w:abstractNumId w:val="2"/>
  </w:num>
  <w:num w:numId="167">
    <w:abstractNumId w:val="181"/>
  </w:num>
  <w:num w:numId="168">
    <w:abstractNumId w:val="93"/>
  </w:num>
  <w:num w:numId="169">
    <w:abstractNumId w:val="161"/>
  </w:num>
  <w:num w:numId="170">
    <w:abstractNumId w:val="156"/>
  </w:num>
  <w:num w:numId="171">
    <w:abstractNumId w:val="157"/>
  </w:num>
  <w:num w:numId="172">
    <w:abstractNumId w:val="102"/>
  </w:num>
  <w:num w:numId="173">
    <w:abstractNumId w:val="193"/>
  </w:num>
  <w:num w:numId="174">
    <w:abstractNumId w:val="214"/>
  </w:num>
  <w:num w:numId="175">
    <w:abstractNumId w:val="175"/>
  </w:num>
  <w:num w:numId="176">
    <w:abstractNumId w:val="216"/>
  </w:num>
  <w:num w:numId="177">
    <w:abstractNumId w:val="17"/>
  </w:num>
  <w:num w:numId="178">
    <w:abstractNumId w:val="101"/>
  </w:num>
  <w:num w:numId="179">
    <w:abstractNumId w:val="54"/>
  </w:num>
  <w:num w:numId="180">
    <w:abstractNumId w:val="69"/>
  </w:num>
  <w:num w:numId="181">
    <w:abstractNumId w:val="159"/>
  </w:num>
  <w:num w:numId="182">
    <w:abstractNumId w:val="53"/>
  </w:num>
  <w:num w:numId="183">
    <w:abstractNumId w:val="67"/>
  </w:num>
  <w:num w:numId="184">
    <w:abstractNumId w:val="197"/>
  </w:num>
  <w:num w:numId="185">
    <w:abstractNumId w:val="64"/>
  </w:num>
  <w:num w:numId="186">
    <w:abstractNumId w:val="77"/>
  </w:num>
  <w:num w:numId="187">
    <w:abstractNumId w:val="38"/>
  </w:num>
  <w:num w:numId="188">
    <w:abstractNumId w:val="31"/>
  </w:num>
  <w:num w:numId="189">
    <w:abstractNumId w:val="95"/>
  </w:num>
  <w:num w:numId="190">
    <w:abstractNumId w:val="115"/>
  </w:num>
  <w:num w:numId="191">
    <w:abstractNumId w:val="3"/>
  </w:num>
  <w:num w:numId="192">
    <w:abstractNumId w:val="217"/>
  </w:num>
  <w:num w:numId="193">
    <w:abstractNumId w:val="221"/>
  </w:num>
  <w:num w:numId="194">
    <w:abstractNumId w:val="228"/>
  </w:num>
  <w:num w:numId="195">
    <w:abstractNumId w:val="150"/>
  </w:num>
  <w:num w:numId="196">
    <w:abstractNumId w:val="55"/>
  </w:num>
  <w:num w:numId="197">
    <w:abstractNumId w:val="212"/>
  </w:num>
  <w:num w:numId="198">
    <w:abstractNumId w:val="108"/>
  </w:num>
  <w:num w:numId="199">
    <w:abstractNumId w:val="42"/>
  </w:num>
  <w:num w:numId="200">
    <w:abstractNumId w:val="151"/>
  </w:num>
  <w:num w:numId="201">
    <w:abstractNumId w:val="210"/>
  </w:num>
  <w:num w:numId="202">
    <w:abstractNumId w:val="94"/>
  </w:num>
  <w:num w:numId="203">
    <w:abstractNumId w:val="144"/>
  </w:num>
  <w:num w:numId="204">
    <w:abstractNumId w:val="213"/>
  </w:num>
  <w:num w:numId="205">
    <w:abstractNumId w:val="195"/>
  </w:num>
  <w:num w:numId="206">
    <w:abstractNumId w:val="27"/>
  </w:num>
  <w:num w:numId="207">
    <w:abstractNumId w:val="57"/>
  </w:num>
  <w:num w:numId="208">
    <w:abstractNumId w:val="48"/>
  </w:num>
  <w:num w:numId="209">
    <w:abstractNumId w:val="24"/>
  </w:num>
  <w:num w:numId="210">
    <w:abstractNumId w:val="34"/>
  </w:num>
  <w:num w:numId="211">
    <w:abstractNumId w:val="137"/>
  </w:num>
  <w:num w:numId="212">
    <w:abstractNumId w:val="139"/>
  </w:num>
  <w:num w:numId="213">
    <w:abstractNumId w:val="104"/>
  </w:num>
  <w:num w:numId="214">
    <w:abstractNumId w:val="132"/>
  </w:num>
  <w:num w:numId="215">
    <w:abstractNumId w:val="176"/>
  </w:num>
  <w:num w:numId="216">
    <w:abstractNumId w:val="203"/>
  </w:num>
  <w:num w:numId="217">
    <w:abstractNumId w:val="6"/>
  </w:num>
  <w:num w:numId="218">
    <w:abstractNumId w:val="106"/>
  </w:num>
  <w:num w:numId="219">
    <w:abstractNumId w:val="88"/>
  </w:num>
  <w:num w:numId="220">
    <w:abstractNumId w:val="124"/>
  </w:num>
  <w:num w:numId="221">
    <w:abstractNumId w:val="116"/>
  </w:num>
  <w:num w:numId="222">
    <w:abstractNumId w:val="72"/>
  </w:num>
  <w:num w:numId="223">
    <w:abstractNumId w:val="12"/>
  </w:num>
  <w:num w:numId="224">
    <w:abstractNumId w:val="99"/>
  </w:num>
  <w:num w:numId="225">
    <w:abstractNumId w:val="91"/>
  </w:num>
  <w:num w:numId="226">
    <w:abstractNumId w:val="183"/>
  </w:num>
  <w:num w:numId="227">
    <w:abstractNumId w:val="148"/>
  </w:num>
  <w:num w:numId="228">
    <w:abstractNumId w:val="223"/>
  </w:num>
  <w:num w:numId="229">
    <w:abstractNumId w:val="51"/>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B86"/>
    <w:rsid w:val="00BA7C13"/>
    <w:rsid w:val="00E23B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C0251-7E08-498E-9F2D-EC6CA1A4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109" w:line="249" w:lineRule="auto"/>
      <w:ind w:left="358" w:hanging="8"/>
      <w:outlineLvl w:val="0"/>
    </w:pPr>
    <w:rPr>
      <w:rFonts w:ascii="Calibri" w:eastAsia="Calibri" w:hAnsi="Calibri" w:cs="Calibri"/>
      <w:b/>
      <w:color w:val="000080"/>
      <w:u w:val="single" w:color="000080"/>
    </w:rPr>
  </w:style>
  <w:style w:type="paragraph" w:styleId="Ttulo2">
    <w:name w:val="heading 2"/>
    <w:next w:val="Normal"/>
    <w:link w:val="Ttulo2Car"/>
    <w:uiPriority w:val="9"/>
    <w:unhideWhenUsed/>
    <w:qFormat/>
    <w:pPr>
      <w:keepNext/>
      <w:keepLines/>
      <w:spacing w:after="109" w:line="249" w:lineRule="auto"/>
      <w:ind w:left="358" w:hanging="8"/>
      <w:outlineLvl w:val="1"/>
    </w:pPr>
    <w:rPr>
      <w:rFonts w:ascii="Calibri" w:eastAsia="Calibri" w:hAnsi="Calibri" w:cs="Calibri"/>
      <w:b/>
      <w:color w:val="000080"/>
      <w:u w:val="single" w:color="000080"/>
    </w:rPr>
  </w:style>
  <w:style w:type="paragraph" w:styleId="Ttulo3">
    <w:name w:val="heading 3"/>
    <w:next w:val="Normal"/>
    <w:link w:val="Ttulo3Car"/>
    <w:uiPriority w:val="9"/>
    <w:unhideWhenUsed/>
    <w:qFormat/>
    <w:pPr>
      <w:keepNext/>
      <w:keepLines/>
      <w:spacing w:after="0"/>
      <w:ind w:left="10" w:hanging="10"/>
      <w:outlineLvl w:val="2"/>
    </w:pPr>
    <w:rPr>
      <w:rFonts w:ascii="Arial" w:eastAsia="Arial" w:hAnsi="Arial" w:cs="Arial"/>
      <w:b/>
      <w:i/>
      <w:color w:val="4C6F99"/>
    </w:rPr>
  </w:style>
  <w:style w:type="paragraph" w:styleId="Ttulo4">
    <w:name w:val="heading 4"/>
    <w:next w:val="Normal"/>
    <w:link w:val="Ttulo4Car"/>
    <w:uiPriority w:val="9"/>
    <w:unhideWhenUsed/>
    <w:qFormat/>
    <w:pPr>
      <w:keepNext/>
      <w:keepLines/>
      <w:spacing w:after="0"/>
      <w:ind w:left="10" w:hanging="10"/>
      <w:outlineLvl w:val="3"/>
    </w:pPr>
    <w:rPr>
      <w:rFonts w:ascii="Arial" w:eastAsia="Arial" w:hAnsi="Arial" w:cs="Arial"/>
      <w:b/>
      <w:color w:val="4C6F99"/>
    </w:rPr>
  </w:style>
  <w:style w:type="paragraph" w:styleId="Ttulo5">
    <w:name w:val="heading 5"/>
    <w:next w:val="Normal"/>
    <w:link w:val="Ttulo5Car"/>
    <w:uiPriority w:val="9"/>
    <w:unhideWhenUsed/>
    <w:qFormat/>
    <w:pPr>
      <w:keepNext/>
      <w:keepLines/>
      <w:spacing w:after="0"/>
      <w:ind w:left="10" w:hanging="10"/>
      <w:outlineLvl w:val="4"/>
    </w:pPr>
    <w:rPr>
      <w:rFonts w:ascii="Arial" w:eastAsia="Arial" w:hAnsi="Arial" w:cs="Arial"/>
      <w:b/>
      <w:i/>
      <w:color w:val="4C6F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4C6F99"/>
      <w:sz w:val="22"/>
    </w:rPr>
  </w:style>
  <w:style w:type="character" w:customStyle="1" w:styleId="Ttulo3Car">
    <w:name w:val="Título 3 Car"/>
    <w:link w:val="Ttulo3"/>
    <w:rPr>
      <w:rFonts w:ascii="Arial" w:eastAsia="Arial" w:hAnsi="Arial" w:cs="Arial"/>
      <w:b/>
      <w:i/>
      <w:color w:val="4C6F99"/>
      <w:sz w:val="22"/>
    </w:rPr>
  </w:style>
  <w:style w:type="character" w:customStyle="1" w:styleId="Ttulo5Car">
    <w:name w:val="Título 5 Car"/>
    <w:link w:val="Ttulo5"/>
    <w:rPr>
      <w:rFonts w:ascii="Arial" w:eastAsia="Arial" w:hAnsi="Arial" w:cs="Arial"/>
      <w:b/>
      <w:i/>
      <w:color w:val="4C6F99"/>
      <w:sz w:val="22"/>
    </w:rPr>
  </w:style>
  <w:style w:type="character" w:customStyle="1" w:styleId="Ttulo1Car">
    <w:name w:val="Título 1 Car"/>
    <w:link w:val="Ttulo1"/>
    <w:rPr>
      <w:rFonts w:ascii="Calibri" w:eastAsia="Calibri" w:hAnsi="Calibri" w:cs="Calibri"/>
      <w:b/>
      <w:color w:val="000080"/>
      <w:sz w:val="22"/>
      <w:u w:val="single" w:color="000080"/>
    </w:rPr>
  </w:style>
  <w:style w:type="character" w:customStyle="1" w:styleId="Ttulo2Car">
    <w:name w:val="Título 2 Car"/>
    <w:link w:val="Ttulo2"/>
    <w:rPr>
      <w:rFonts w:ascii="Calibri" w:eastAsia="Calibri" w:hAnsi="Calibri" w:cs="Calibri"/>
      <w:b/>
      <w:color w:val="000080"/>
      <w:sz w:val="22"/>
      <w:u w:val="single" w:color="000080"/>
    </w:rPr>
  </w:style>
  <w:style w:type="paragraph" w:styleId="TDC1">
    <w:name w:val="toc 1"/>
    <w:hidden/>
    <w:pPr>
      <w:spacing w:after="109" w:line="249" w:lineRule="auto"/>
      <w:ind w:left="378" w:right="23" w:hanging="8"/>
    </w:pPr>
    <w:rPr>
      <w:rFonts w:ascii="Calibri" w:eastAsia="Calibri" w:hAnsi="Calibri" w:cs="Calibri"/>
      <w:b/>
      <w:color w:val="000080"/>
      <w:u w:val="single" w:color="000080"/>
    </w:rPr>
  </w:style>
  <w:style w:type="paragraph" w:styleId="TDC2">
    <w:name w:val="toc 2"/>
    <w:hidden/>
    <w:pPr>
      <w:spacing w:after="109" w:line="249" w:lineRule="auto"/>
      <w:ind w:left="378" w:right="23" w:hanging="8"/>
    </w:pPr>
    <w:rPr>
      <w:rFonts w:ascii="Calibri" w:eastAsia="Calibri" w:hAnsi="Calibri" w:cs="Calibri"/>
      <w:b/>
      <w:color w:val="000080"/>
      <w:u w:val="single" w:color="00008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header" Target="header3.xml"/><Relationship Id="rId42" Type="http://schemas.openxmlformats.org/officeDocument/2006/relationships/header" Target="header14.xml"/><Relationship Id="rId63" Type="http://schemas.openxmlformats.org/officeDocument/2006/relationships/header" Target="header24.xml"/><Relationship Id="rId84" Type="http://schemas.openxmlformats.org/officeDocument/2006/relationships/header" Target="header35.xml"/><Relationship Id="rId138" Type="http://schemas.openxmlformats.org/officeDocument/2006/relationships/image" Target="media/image15.png"/><Relationship Id="rId159" Type="http://schemas.openxmlformats.org/officeDocument/2006/relationships/header" Target="header64.xml"/><Relationship Id="rId170" Type="http://schemas.openxmlformats.org/officeDocument/2006/relationships/footer" Target="footer69.xml"/><Relationship Id="rId107" Type="http://schemas.openxmlformats.org/officeDocument/2006/relationships/footer" Target="footer45.xml"/><Relationship Id="rId11" Type="http://schemas.openxmlformats.org/officeDocument/2006/relationships/image" Target="media/image5.png"/><Relationship Id="rId32" Type="http://schemas.openxmlformats.org/officeDocument/2006/relationships/footer" Target="footer8.xml"/><Relationship Id="rId53" Type="http://schemas.openxmlformats.org/officeDocument/2006/relationships/header" Target="header19.xml"/><Relationship Id="rId74" Type="http://schemas.openxmlformats.org/officeDocument/2006/relationships/footer" Target="footer29.xml"/><Relationship Id="rId128" Type="http://schemas.openxmlformats.org/officeDocument/2006/relationships/footer" Target="footer55.xml"/><Relationship Id="rId5" Type="http://schemas.openxmlformats.org/officeDocument/2006/relationships/footnotes" Target="footnotes.xml"/><Relationship Id="rId95" Type="http://schemas.openxmlformats.org/officeDocument/2006/relationships/footer" Target="footer39.xml"/><Relationship Id="rId160" Type="http://schemas.openxmlformats.org/officeDocument/2006/relationships/header" Target="header65.xml"/><Relationship Id="rId22" Type="http://schemas.openxmlformats.org/officeDocument/2006/relationships/footer" Target="footer3.xml"/><Relationship Id="rId43" Type="http://schemas.openxmlformats.org/officeDocument/2006/relationships/footer" Target="footer13.xml"/><Relationship Id="rId64" Type="http://schemas.openxmlformats.org/officeDocument/2006/relationships/footer" Target="footer24.xml"/><Relationship Id="rId118" Type="http://schemas.openxmlformats.org/officeDocument/2006/relationships/header" Target="header51.xml"/><Relationship Id="rId139" Type="http://schemas.openxmlformats.org/officeDocument/2006/relationships/header" Target="header61.xml"/><Relationship Id="rId85" Type="http://schemas.openxmlformats.org/officeDocument/2006/relationships/footer" Target="footer34.xml"/><Relationship Id="rId171"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header" Target="header1.xml"/><Relationship Id="rId33" Type="http://schemas.openxmlformats.org/officeDocument/2006/relationships/header" Target="header9.xml"/><Relationship Id="rId38" Type="http://schemas.openxmlformats.org/officeDocument/2006/relationships/footer" Target="footer11.xml"/><Relationship Id="rId59" Type="http://schemas.openxmlformats.org/officeDocument/2006/relationships/header" Target="header22.xml"/><Relationship Id="rId103" Type="http://schemas.openxmlformats.org/officeDocument/2006/relationships/header" Target="header44.xml"/><Relationship Id="rId108" Type="http://schemas.openxmlformats.org/officeDocument/2006/relationships/header" Target="header46.xml"/><Relationship Id="rId124" Type="http://schemas.openxmlformats.org/officeDocument/2006/relationships/header" Target="header54.xml"/><Relationship Id="rId129" Type="http://schemas.openxmlformats.org/officeDocument/2006/relationships/footer" Target="footer56.xml"/><Relationship Id="rId54" Type="http://schemas.openxmlformats.org/officeDocument/2006/relationships/header" Target="header20.xml"/><Relationship Id="rId70" Type="http://schemas.openxmlformats.org/officeDocument/2006/relationships/footer" Target="footer27.xml"/><Relationship Id="rId75" Type="http://schemas.openxmlformats.org/officeDocument/2006/relationships/header" Target="header30.xml"/><Relationship Id="rId91" Type="http://schemas.openxmlformats.org/officeDocument/2006/relationships/header" Target="header38.xml"/><Relationship Id="rId96" Type="http://schemas.openxmlformats.org/officeDocument/2006/relationships/header" Target="header40.xml"/><Relationship Id="rId140" Type="http://schemas.openxmlformats.org/officeDocument/2006/relationships/header" Target="header62.xml"/><Relationship Id="rId145" Type="http://schemas.openxmlformats.org/officeDocument/2006/relationships/image" Target="media/image16.jpg"/><Relationship Id="rId161" Type="http://schemas.openxmlformats.org/officeDocument/2006/relationships/footer" Target="footer64.xml"/><Relationship Id="rId166" Type="http://schemas.openxmlformats.org/officeDocument/2006/relationships/header" Target="header6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footer" Target="footer6.xml"/><Relationship Id="rId49" Type="http://schemas.openxmlformats.org/officeDocument/2006/relationships/footer" Target="footer16.xml"/><Relationship Id="rId114" Type="http://schemas.openxmlformats.org/officeDocument/2006/relationships/header" Target="header49.xml"/><Relationship Id="rId119" Type="http://schemas.openxmlformats.org/officeDocument/2006/relationships/footer" Target="footer51.xml"/><Relationship Id="rId44" Type="http://schemas.openxmlformats.org/officeDocument/2006/relationships/footer" Target="footer14.xml"/><Relationship Id="rId60" Type="http://schemas.openxmlformats.org/officeDocument/2006/relationships/header" Target="header23.xml"/><Relationship Id="rId65" Type="http://schemas.openxmlformats.org/officeDocument/2006/relationships/header" Target="header25.xml"/><Relationship Id="rId81" Type="http://schemas.openxmlformats.org/officeDocument/2006/relationships/header" Target="header33.xml"/><Relationship Id="rId86" Type="http://schemas.openxmlformats.org/officeDocument/2006/relationships/footer" Target="footer35.xml"/><Relationship Id="rId130" Type="http://schemas.openxmlformats.org/officeDocument/2006/relationships/header" Target="header57.xml"/><Relationship Id="rId135" Type="http://schemas.openxmlformats.org/officeDocument/2006/relationships/footer" Target="footer59.xml"/><Relationship Id="rId156" Type="http://schemas.openxmlformats.org/officeDocument/2006/relationships/image" Target="media/image21.jpg"/><Relationship Id="rId172"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header" Target="header2.xml"/><Relationship Id="rId39" Type="http://schemas.openxmlformats.org/officeDocument/2006/relationships/header" Target="header12.xml"/><Relationship Id="rId109" Type="http://schemas.openxmlformats.org/officeDocument/2006/relationships/header" Target="header47.xml"/><Relationship Id="rId34" Type="http://schemas.openxmlformats.org/officeDocument/2006/relationships/footer" Target="footer9.xml"/><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header" Target="header41.xml"/><Relationship Id="rId104" Type="http://schemas.openxmlformats.org/officeDocument/2006/relationships/footer" Target="footer43.xml"/><Relationship Id="rId120" Type="http://schemas.openxmlformats.org/officeDocument/2006/relationships/header" Target="header52.xml"/><Relationship Id="rId125" Type="http://schemas.openxmlformats.org/officeDocument/2006/relationships/footer" Target="footer54.xml"/><Relationship Id="rId141" Type="http://schemas.openxmlformats.org/officeDocument/2006/relationships/footer" Target="footer61.xml"/><Relationship Id="rId146" Type="http://schemas.openxmlformats.org/officeDocument/2006/relationships/image" Target="media/image17.jpg"/><Relationship Id="rId167" Type="http://schemas.openxmlformats.org/officeDocument/2006/relationships/footer" Target="footer67.xml"/><Relationship Id="rId7" Type="http://schemas.openxmlformats.org/officeDocument/2006/relationships/image" Target="media/image1.png"/><Relationship Id="rId71" Type="http://schemas.openxmlformats.org/officeDocument/2006/relationships/header" Target="header28.xml"/><Relationship Id="rId92" Type="http://schemas.openxmlformats.org/officeDocument/2006/relationships/footer" Target="footer37.xml"/><Relationship Id="rId162" Type="http://schemas.openxmlformats.org/officeDocument/2006/relationships/footer" Target="footer65.xml"/><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header" Target="header26.xml"/><Relationship Id="rId87" Type="http://schemas.openxmlformats.org/officeDocument/2006/relationships/header" Target="header36.xml"/><Relationship Id="rId110" Type="http://schemas.openxmlformats.org/officeDocument/2006/relationships/footer" Target="footer46.xml"/><Relationship Id="rId115" Type="http://schemas.openxmlformats.org/officeDocument/2006/relationships/header" Target="header50.xml"/><Relationship Id="rId131" Type="http://schemas.openxmlformats.org/officeDocument/2006/relationships/footer" Target="footer57.xml"/><Relationship Id="rId136" Type="http://schemas.openxmlformats.org/officeDocument/2006/relationships/header" Target="header60.xml"/><Relationship Id="rId157" Type="http://schemas.openxmlformats.org/officeDocument/2006/relationships/image" Target="media/image22.jpg"/><Relationship Id="rId61" Type="http://schemas.openxmlformats.org/officeDocument/2006/relationships/footer" Target="footer22.xml"/><Relationship Id="rId82" Type="http://schemas.openxmlformats.org/officeDocument/2006/relationships/footer" Target="footer33.xml"/><Relationship Id="rId152" Type="http://schemas.openxmlformats.org/officeDocument/2006/relationships/image" Target="media/image15.jpg"/><Relationship Id="rId19" Type="http://schemas.openxmlformats.org/officeDocument/2006/relationships/footer" Target="footer1.xml"/><Relationship Id="rId14"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header" Target="header10.xml"/><Relationship Id="rId56" Type="http://schemas.openxmlformats.org/officeDocument/2006/relationships/footer" Target="footer20.xml"/><Relationship Id="rId77" Type="http://schemas.openxmlformats.org/officeDocument/2006/relationships/header" Target="header31.xml"/><Relationship Id="rId100" Type="http://schemas.openxmlformats.org/officeDocument/2006/relationships/header" Target="header42.xml"/><Relationship Id="rId105" Type="http://schemas.openxmlformats.org/officeDocument/2006/relationships/footer" Target="footer44.xml"/><Relationship Id="rId126" Type="http://schemas.openxmlformats.org/officeDocument/2006/relationships/header" Target="header55.xml"/><Relationship Id="rId147" Type="http://schemas.openxmlformats.org/officeDocument/2006/relationships/image" Target="media/image18.jpg"/><Relationship Id="rId168" Type="http://schemas.openxmlformats.org/officeDocument/2006/relationships/footer" Target="footer68.xml"/><Relationship Id="rId8" Type="http://schemas.openxmlformats.org/officeDocument/2006/relationships/image" Target="media/image2.png"/><Relationship Id="rId51" Type="http://schemas.openxmlformats.org/officeDocument/2006/relationships/header" Target="header18.xml"/><Relationship Id="rId72" Type="http://schemas.openxmlformats.org/officeDocument/2006/relationships/header" Target="header29.xml"/><Relationship Id="rId93" Type="http://schemas.openxmlformats.org/officeDocument/2006/relationships/footer" Target="footer38.xml"/><Relationship Id="rId98" Type="http://schemas.openxmlformats.org/officeDocument/2006/relationships/footer" Target="footer40.xml"/><Relationship Id="rId121" Type="http://schemas.openxmlformats.org/officeDocument/2006/relationships/header" Target="header53.xml"/><Relationship Id="rId142" Type="http://schemas.openxmlformats.org/officeDocument/2006/relationships/footer" Target="footer62.xml"/><Relationship Id="rId163" Type="http://schemas.openxmlformats.org/officeDocument/2006/relationships/header" Target="header66.xm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footer" Target="footer15.xml"/><Relationship Id="rId67" Type="http://schemas.openxmlformats.org/officeDocument/2006/relationships/footer" Target="footer25.xml"/><Relationship Id="rId116" Type="http://schemas.openxmlformats.org/officeDocument/2006/relationships/footer" Target="footer49.xml"/><Relationship Id="rId137" Type="http://schemas.openxmlformats.org/officeDocument/2006/relationships/footer" Target="footer60.xml"/><Relationship Id="rId158" Type="http://schemas.openxmlformats.org/officeDocument/2006/relationships/image" Target="media/image23.jpg"/><Relationship Id="rId20" Type="http://schemas.openxmlformats.org/officeDocument/2006/relationships/footer" Target="footer2.xml"/><Relationship Id="rId41" Type="http://schemas.openxmlformats.org/officeDocument/2006/relationships/header" Target="header13.xml"/><Relationship Id="rId62" Type="http://schemas.openxmlformats.org/officeDocument/2006/relationships/footer" Target="footer23.xml"/><Relationship Id="rId83" Type="http://schemas.openxmlformats.org/officeDocument/2006/relationships/header" Target="header34.xml"/><Relationship Id="rId88" Type="http://schemas.openxmlformats.org/officeDocument/2006/relationships/footer" Target="footer36.xml"/><Relationship Id="rId111" Type="http://schemas.openxmlformats.org/officeDocument/2006/relationships/footer" Target="footer47.xml"/><Relationship Id="rId132" Type="http://schemas.openxmlformats.org/officeDocument/2006/relationships/header" Target="header58.xml"/><Relationship Id="rId153" Type="http://schemas.openxmlformats.org/officeDocument/2006/relationships/image" Target="media/image160.jpg"/><Relationship Id="rId15" Type="http://schemas.openxmlformats.org/officeDocument/2006/relationships/image" Target="media/image9.png"/><Relationship Id="rId36" Type="http://schemas.openxmlformats.org/officeDocument/2006/relationships/header" Target="header11.xml"/><Relationship Id="rId57" Type="http://schemas.openxmlformats.org/officeDocument/2006/relationships/header" Target="header21.xml"/><Relationship Id="rId106" Type="http://schemas.openxmlformats.org/officeDocument/2006/relationships/header" Target="header45.xml"/><Relationship Id="rId127" Type="http://schemas.openxmlformats.org/officeDocument/2006/relationships/header" Target="header56.xml"/><Relationship Id="rId10" Type="http://schemas.openxmlformats.org/officeDocument/2006/relationships/image" Target="media/image4.png"/><Relationship Id="rId31" Type="http://schemas.openxmlformats.org/officeDocument/2006/relationships/footer" Target="footer7.xml"/><Relationship Id="rId52" Type="http://schemas.openxmlformats.org/officeDocument/2006/relationships/footer" Target="footer18.xml"/><Relationship Id="rId73" Type="http://schemas.openxmlformats.org/officeDocument/2006/relationships/footer" Target="footer28.xml"/><Relationship Id="rId78" Type="http://schemas.openxmlformats.org/officeDocument/2006/relationships/header" Target="header32.xml"/><Relationship Id="rId94" Type="http://schemas.openxmlformats.org/officeDocument/2006/relationships/header" Target="header39.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footer" Target="footer52.xml"/><Relationship Id="rId143" Type="http://schemas.openxmlformats.org/officeDocument/2006/relationships/header" Target="header63.xml"/><Relationship Id="rId164" Type="http://schemas.openxmlformats.org/officeDocument/2006/relationships/footer" Target="footer66.xml"/><Relationship Id="rId169" Type="http://schemas.openxmlformats.org/officeDocument/2006/relationships/header" Target="header69.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footer" Target="footer5.xml"/><Relationship Id="rId47" Type="http://schemas.openxmlformats.org/officeDocument/2006/relationships/header" Target="header16.xml"/><Relationship Id="rId68" Type="http://schemas.openxmlformats.org/officeDocument/2006/relationships/footer" Target="footer26.xml"/><Relationship Id="rId89" Type="http://schemas.openxmlformats.org/officeDocument/2006/relationships/image" Target="media/image14.png"/><Relationship Id="rId112" Type="http://schemas.openxmlformats.org/officeDocument/2006/relationships/header" Target="header48.xml"/><Relationship Id="rId133" Type="http://schemas.openxmlformats.org/officeDocument/2006/relationships/header" Target="header59.xml"/><Relationship Id="rId154" Type="http://schemas.openxmlformats.org/officeDocument/2006/relationships/image" Target="media/image19.jpg"/><Relationship Id="rId16" Type="http://schemas.openxmlformats.org/officeDocument/2006/relationships/image" Target="media/image10.png"/><Relationship Id="rId37" Type="http://schemas.openxmlformats.org/officeDocument/2006/relationships/footer" Target="footer10.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header" Target="header43.xml"/><Relationship Id="rId123" Type="http://schemas.openxmlformats.org/officeDocument/2006/relationships/footer" Target="footer53.xml"/><Relationship Id="rId144" Type="http://schemas.openxmlformats.org/officeDocument/2006/relationships/footer" Target="footer63.xml"/><Relationship Id="rId90" Type="http://schemas.openxmlformats.org/officeDocument/2006/relationships/header" Target="header37.xml"/><Relationship Id="rId165" Type="http://schemas.openxmlformats.org/officeDocument/2006/relationships/header" Target="header67.xml"/><Relationship Id="rId27" Type="http://schemas.openxmlformats.org/officeDocument/2006/relationships/header" Target="header6.xml"/><Relationship Id="rId48" Type="http://schemas.openxmlformats.org/officeDocument/2006/relationships/header" Target="header17.xml"/><Relationship Id="rId69" Type="http://schemas.openxmlformats.org/officeDocument/2006/relationships/header" Target="header27.xml"/><Relationship Id="rId113" Type="http://schemas.openxmlformats.org/officeDocument/2006/relationships/footer" Target="footer48.xml"/><Relationship Id="rId134" Type="http://schemas.openxmlformats.org/officeDocument/2006/relationships/footer" Target="footer58.xml"/><Relationship Id="rId80" Type="http://schemas.openxmlformats.org/officeDocument/2006/relationships/footer" Target="footer32.xml"/><Relationship Id="rId155" Type="http://schemas.openxmlformats.org/officeDocument/2006/relationships/image" Target="media/image20.jp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10.xml.rels><?xml version="1.0" encoding="UTF-8" standalone="yes"?>
<Relationships xmlns="http://schemas.openxmlformats.org/package/2006/relationships"><Relationship Id="rId1" Type="http://schemas.openxmlformats.org/officeDocument/2006/relationships/image" Target="media/image13.png"/></Relationships>
</file>

<file path=word/_rels/footer11.xml.rels><?xml version="1.0" encoding="UTF-8" standalone="yes"?>
<Relationships xmlns="http://schemas.openxmlformats.org/package/2006/relationships"><Relationship Id="rId1" Type="http://schemas.openxmlformats.org/officeDocument/2006/relationships/image" Target="media/image13.png"/></Relationships>
</file>

<file path=word/_rels/footer12.xml.rels><?xml version="1.0" encoding="UTF-8" standalone="yes"?>
<Relationships xmlns="http://schemas.openxmlformats.org/package/2006/relationships"><Relationship Id="rId1" Type="http://schemas.openxmlformats.org/officeDocument/2006/relationships/image" Target="media/image13.png"/></Relationships>
</file>

<file path=word/_rels/footer13.xml.rels><?xml version="1.0" encoding="UTF-8" standalone="yes"?>
<Relationships xmlns="http://schemas.openxmlformats.org/package/2006/relationships"><Relationship Id="rId1" Type="http://schemas.openxmlformats.org/officeDocument/2006/relationships/image" Target="media/image13.png"/></Relationships>
</file>

<file path=word/_rels/footer14.xml.rels><?xml version="1.0" encoding="UTF-8" standalone="yes"?>
<Relationships xmlns="http://schemas.openxmlformats.org/package/2006/relationships"><Relationship Id="rId1" Type="http://schemas.openxmlformats.org/officeDocument/2006/relationships/image" Target="media/image13.png"/></Relationships>
</file>

<file path=word/_rels/footer15.xml.rels><?xml version="1.0" encoding="UTF-8" standalone="yes"?>
<Relationships xmlns="http://schemas.openxmlformats.org/package/2006/relationships"><Relationship Id="rId1" Type="http://schemas.openxmlformats.org/officeDocument/2006/relationships/image" Target="media/image13.png"/></Relationships>
</file>

<file path=word/_rels/footer16.xml.rels><?xml version="1.0" encoding="UTF-8" standalone="yes"?>
<Relationships xmlns="http://schemas.openxmlformats.org/package/2006/relationships"><Relationship Id="rId1" Type="http://schemas.openxmlformats.org/officeDocument/2006/relationships/image" Target="media/image13.png"/></Relationships>
</file>

<file path=word/_rels/footer17.xml.rels><?xml version="1.0" encoding="UTF-8" standalone="yes"?>
<Relationships xmlns="http://schemas.openxmlformats.org/package/2006/relationships"><Relationship Id="rId1" Type="http://schemas.openxmlformats.org/officeDocument/2006/relationships/image" Target="media/image13.png"/></Relationships>
</file>

<file path=word/_rels/footer18.xml.rels><?xml version="1.0" encoding="UTF-8" standalone="yes"?>
<Relationships xmlns="http://schemas.openxmlformats.org/package/2006/relationships"><Relationship Id="rId1" Type="http://schemas.openxmlformats.org/officeDocument/2006/relationships/image" Target="media/image13.png"/></Relationships>
</file>

<file path=word/_rels/footer19.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20.xml.rels><?xml version="1.0" encoding="UTF-8" standalone="yes"?>
<Relationships xmlns="http://schemas.openxmlformats.org/package/2006/relationships"><Relationship Id="rId1" Type="http://schemas.openxmlformats.org/officeDocument/2006/relationships/image" Target="media/image13.png"/></Relationships>
</file>

<file path=word/_rels/footer21.xml.rels><?xml version="1.0" encoding="UTF-8" standalone="yes"?>
<Relationships xmlns="http://schemas.openxmlformats.org/package/2006/relationships"><Relationship Id="rId1" Type="http://schemas.openxmlformats.org/officeDocument/2006/relationships/image" Target="media/image13.png"/></Relationships>
</file>

<file path=word/_rels/footer22.xml.rels><?xml version="1.0" encoding="UTF-8" standalone="yes"?>
<Relationships xmlns="http://schemas.openxmlformats.org/package/2006/relationships"><Relationship Id="rId1" Type="http://schemas.openxmlformats.org/officeDocument/2006/relationships/image" Target="media/image13.png"/></Relationships>
</file>

<file path=word/_rels/footer23.xml.rels><?xml version="1.0" encoding="UTF-8" standalone="yes"?>
<Relationships xmlns="http://schemas.openxmlformats.org/package/2006/relationships"><Relationship Id="rId1" Type="http://schemas.openxmlformats.org/officeDocument/2006/relationships/image" Target="media/image13.png"/></Relationships>
</file>

<file path=word/_rels/footer24.xml.rels><?xml version="1.0" encoding="UTF-8" standalone="yes"?>
<Relationships xmlns="http://schemas.openxmlformats.org/package/2006/relationships"><Relationship Id="rId1" Type="http://schemas.openxmlformats.org/officeDocument/2006/relationships/image" Target="media/image13.png"/></Relationships>
</file>

<file path=word/_rels/footer25.xml.rels><?xml version="1.0" encoding="UTF-8" standalone="yes"?>
<Relationships xmlns="http://schemas.openxmlformats.org/package/2006/relationships"><Relationship Id="rId1" Type="http://schemas.openxmlformats.org/officeDocument/2006/relationships/image" Target="media/image13.png"/></Relationships>
</file>

<file path=word/_rels/footer26.xml.rels><?xml version="1.0" encoding="UTF-8" standalone="yes"?>
<Relationships xmlns="http://schemas.openxmlformats.org/package/2006/relationships"><Relationship Id="rId1" Type="http://schemas.openxmlformats.org/officeDocument/2006/relationships/image" Target="media/image13.png"/></Relationships>
</file>

<file path=word/_rels/footer27.xml.rels><?xml version="1.0" encoding="UTF-8" standalone="yes"?>
<Relationships xmlns="http://schemas.openxmlformats.org/package/2006/relationships"><Relationship Id="rId1" Type="http://schemas.openxmlformats.org/officeDocument/2006/relationships/image" Target="media/image13.png"/></Relationships>
</file>

<file path=word/_rels/footer28.xml.rels><?xml version="1.0" encoding="UTF-8" standalone="yes"?>
<Relationships xmlns="http://schemas.openxmlformats.org/package/2006/relationships"><Relationship Id="rId1" Type="http://schemas.openxmlformats.org/officeDocument/2006/relationships/image" Target="media/image13.png"/></Relationships>
</file>

<file path=word/_rels/footer29.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er30.xml.rels><?xml version="1.0" encoding="UTF-8" standalone="yes"?>
<Relationships xmlns="http://schemas.openxmlformats.org/package/2006/relationships"><Relationship Id="rId1" Type="http://schemas.openxmlformats.org/officeDocument/2006/relationships/image" Target="media/image13.png"/></Relationships>
</file>

<file path=word/_rels/footer31.xml.rels><?xml version="1.0" encoding="UTF-8" standalone="yes"?>
<Relationships xmlns="http://schemas.openxmlformats.org/package/2006/relationships"><Relationship Id="rId1" Type="http://schemas.openxmlformats.org/officeDocument/2006/relationships/image" Target="media/image13.png"/></Relationships>
</file>

<file path=word/_rels/footer32.xml.rels><?xml version="1.0" encoding="UTF-8" standalone="yes"?>
<Relationships xmlns="http://schemas.openxmlformats.org/package/2006/relationships"><Relationship Id="rId1" Type="http://schemas.openxmlformats.org/officeDocument/2006/relationships/image" Target="media/image13.png"/></Relationships>
</file>

<file path=word/_rels/footer33.xml.rels><?xml version="1.0" encoding="UTF-8" standalone="yes"?>
<Relationships xmlns="http://schemas.openxmlformats.org/package/2006/relationships"><Relationship Id="rId1" Type="http://schemas.openxmlformats.org/officeDocument/2006/relationships/image" Target="media/image13.png"/></Relationships>
</file>

<file path=word/_rels/footer34.xml.rels><?xml version="1.0" encoding="UTF-8" standalone="yes"?>
<Relationships xmlns="http://schemas.openxmlformats.org/package/2006/relationships"><Relationship Id="rId1" Type="http://schemas.openxmlformats.org/officeDocument/2006/relationships/image" Target="media/image13.png"/></Relationships>
</file>

<file path=word/_rels/footer35.xml.rels><?xml version="1.0" encoding="UTF-8" standalone="yes"?>
<Relationships xmlns="http://schemas.openxmlformats.org/package/2006/relationships"><Relationship Id="rId1" Type="http://schemas.openxmlformats.org/officeDocument/2006/relationships/image" Target="media/image13.png"/></Relationships>
</file>

<file path=word/_rels/footer36.xml.rels><?xml version="1.0" encoding="UTF-8" standalone="yes"?>
<Relationships xmlns="http://schemas.openxmlformats.org/package/2006/relationships"><Relationship Id="rId1" Type="http://schemas.openxmlformats.org/officeDocument/2006/relationships/image" Target="media/image13.png"/></Relationships>
</file>

<file path=word/_rels/footer37.xml.rels><?xml version="1.0" encoding="UTF-8" standalone="yes"?>
<Relationships xmlns="http://schemas.openxmlformats.org/package/2006/relationships"><Relationship Id="rId1" Type="http://schemas.openxmlformats.org/officeDocument/2006/relationships/image" Target="media/image13.png"/></Relationships>
</file>

<file path=word/_rels/footer38.xml.rels><?xml version="1.0" encoding="UTF-8" standalone="yes"?>
<Relationships xmlns="http://schemas.openxmlformats.org/package/2006/relationships"><Relationship Id="rId1" Type="http://schemas.openxmlformats.org/officeDocument/2006/relationships/image" Target="media/image13.png"/></Relationships>
</file>

<file path=word/_rels/footer39.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footer40.xml.rels><?xml version="1.0" encoding="UTF-8" standalone="yes"?>
<Relationships xmlns="http://schemas.openxmlformats.org/package/2006/relationships"><Relationship Id="rId1" Type="http://schemas.openxmlformats.org/officeDocument/2006/relationships/image" Target="media/image13.png"/></Relationships>
</file>

<file path=word/_rels/footer41.xml.rels><?xml version="1.0" encoding="UTF-8" standalone="yes"?>
<Relationships xmlns="http://schemas.openxmlformats.org/package/2006/relationships"><Relationship Id="rId1" Type="http://schemas.openxmlformats.org/officeDocument/2006/relationships/image" Target="media/image13.png"/></Relationships>
</file>

<file path=word/_rels/footer42.xml.rels><?xml version="1.0" encoding="UTF-8" standalone="yes"?>
<Relationships xmlns="http://schemas.openxmlformats.org/package/2006/relationships"><Relationship Id="rId1" Type="http://schemas.openxmlformats.org/officeDocument/2006/relationships/image" Target="media/image13.png"/></Relationships>
</file>

<file path=word/_rels/footer43.xml.rels><?xml version="1.0" encoding="UTF-8" standalone="yes"?>
<Relationships xmlns="http://schemas.openxmlformats.org/package/2006/relationships"><Relationship Id="rId1" Type="http://schemas.openxmlformats.org/officeDocument/2006/relationships/image" Target="media/image13.png"/></Relationships>
</file>

<file path=word/_rels/footer44.xml.rels><?xml version="1.0" encoding="UTF-8" standalone="yes"?>
<Relationships xmlns="http://schemas.openxmlformats.org/package/2006/relationships"><Relationship Id="rId1" Type="http://schemas.openxmlformats.org/officeDocument/2006/relationships/image" Target="media/image13.png"/></Relationships>
</file>

<file path=word/_rels/footer45.xml.rels><?xml version="1.0" encoding="UTF-8" standalone="yes"?>
<Relationships xmlns="http://schemas.openxmlformats.org/package/2006/relationships"><Relationship Id="rId1" Type="http://schemas.openxmlformats.org/officeDocument/2006/relationships/image" Target="media/image13.png"/></Relationships>
</file>

<file path=word/_rels/footer46.xml.rels><?xml version="1.0" encoding="UTF-8" standalone="yes"?>
<Relationships xmlns="http://schemas.openxmlformats.org/package/2006/relationships"><Relationship Id="rId1" Type="http://schemas.openxmlformats.org/officeDocument/2006/relationships/image" Target="media/image13.png"/></Relationships>
</file>

<file path=word/_rels/footer47.xml.rels><?xml version="1.0" encoding="UTF-8" standalone="yes"?>
<Relationships xmlns="http://schemas.openxmlformats.org/package/2006/relationships"><Relationship Id="rId1" Type="http://schemas.openxmlformats.org/officeDocument/2006/relationships/image" Target="media/image13.png"/></Relationships>
</file>

<file path=word/_rels/footer48.xml.rels><?xml version="1.0" encoding="UTF-8" standalone="yes"?>
<Relationships xmlns="http://schemas.openxmlformats.org/package/2006/relationships"><Relationship Id="rId1" Type="http://schemas.openxmlformats.org/officeDocument/2006/relationships/image" Target="media/image13.png"/></Relationships>
</file>

<file path=word/_rels/footer49.xml.rels><?xml version="1.0" encoding="UTF-8" standalone="yes"?>
<Relationships xmlns="http://schemas.openxmlformats.org/package/2006/relationships"><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er50.xml.rels><?xml version="1.0" encoding="UTF-8" standalone="yes"?>
<Relationships xmlns="http://schemas.openxmlformats.org/package/2006/relationships"><Relationship Id="rId1" Type="http://schemas.openxmlformats.org/officeDocument/2006/relationships/image" Target="media/image13.png"/></Relationships>
</file>

<file path=word/_rels/footer51.xml.rels><?xml version="1.0" encoding="UTF-8" standalone="yes"?>
<Relationships xmlns="http://schemas.openxmlformats.org/package/2006/relationships"><Relationship Id="rId1" Type="http://schemas.openxmlformats.org/officeDocument/2006/relationships/image" Target="media/image13.png"/></Relationships>
</file>

<file path=word/_rels/footer52.xml.rels><?xml version="1.0" encoding="UTF-8" standalone="yes"?>
<Relationships xmlns="http://schemas.openxmlformats.org/package/2006/relationships"><Relationship Id="rId1" Type="http://schemas.openxmlformats.org/officeDocument/2006/relationships/image" Target="media/image13.png"/></Relationships>
</file>

<file path=word/_rels/footer53.xml.rels><?xml version="1.0" encoding="UTF-8" standalone="yes"?>
<Relationships xmlns="http://schemas.openxmlformats.org/package/2006/relationships"><Relationship Id="rId1" Type="http://schemas.openxmlformats.org/officeDocument/2006/relationships/image" Target="media/image13.png"/></Relationships>
</file>

<file path=word/_rels/footer54.xml.rels><?xml version="1.0" encoding="UTF-8" standalone="yes"?>
<Relationships xmlns="http://schemas.openxmlformats.org/package/2006/relationships"><Relationship Id="rId1" Type="http://schemas.openxmlformats.org/officeDocument/2006/relationships/image" Target="media/image13.png"/></Relationships>
</file>

<file path=word/_rels/footer55.xml.rels><?xml version="1.0" encoding="UTF-8" standalone="yes"?>
<Relationships xmlns="http://schemas.openxmlformats.org/package/2006/relationships"><Relationship Id="rId1" Type="http://schemas.openxmlformats.org/officeDocument/2006/relationships/image" Target="media/image13.png"/></Relationships>
</file>

<file path=word/_rels/footer56.xml.rels><?xml version="1.0" encoding="UTF-8" standalone="yes"?>
<Relationships xmlns="http://schemas.openxmlformats.org/package/2006/relationships"><Relationship Id="rId1" Type="http://schemas.openxmlformats.org/officeDocument/2006/relationships/image" Target="media/image13.png"/></Relationships>
</file>

<file path=word/_rels/footer57.xml.rels><?xml version="1.0" encoding="UTF-8" standalone="yes"?>
<Relationships xmlns="http://schemas.openxmlformats.org/package/2006/relationships"><Relationship Id="rId1" Type="http://schemas.openxmlformats.org/officeDocument/2006/relationships/image" Target="media/image13.png"/></Relationships>
</file>

<file path=word/_rels/footer58.xml.rels><?xml version="1.0" encoding="UTF-8" standalone="yes"?>
<Relationships xmlns="http://schemas.openxmlformats.org/package/2006/relationships"><Relationship Id="rId1" Type="http://schemas.openxmlformats.org/officeDocument/2006/relationships/image" Target="media/image13.png"/></Relationships>
</file>

<file path=word/_rels/footer59.xml.rels><?xml version="1.0" encoding="UTF-8" standalone="yes"?>
<Relationships xmlns="http://schemas.openxmlformats.org/package/2006/relationships"><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1" Type="http://schemas.openxmlformats.org/officeDocument/2006/relationships/image" Target="media/image13.png"/></Relationships>
</file>

<file path=word/_rels/footer60.xml.rels><?xml version="1.0" encoding="UTF-8" standalone="yes"?>
<Relationships xmlns="http://schemas.openxmlformats.org/package/2006/relationships"><Relationship Id="rId1" Type="http://schemas.openxmlformats.org/officeDocument/2006/relationships/image" Target="media/image13.png"/></Relationships>
</file>

<file path=word/_rels/footer61.xml.rels><?xml version="1.0" encoding="UTF-8" standalone="yes"?>
<Relationships xmlns="http://schemas.openxmlformats.org/package/2006/relationships"><Relationship Id="rId1" Type="http://schemas.openxmlformats.org/officeDocument/2006/relationships/image" Target="media/image13.png"/></Relationships>
</file>

<file path=word/_rels/footer62.xml.rels><?xml version="1.0" encoding="UTF-8" standalone="yes"?>
<Relationships xmlns="http://schemas.openxmlformats.org/package/2006/relationships"><Relationship Id="rId1" Type="http://schemas.openxmlformats.org/officeDocument/2006/relationships/image" Target="media/image13.png"/></Relationships>
</file>

<file path=word/_rels/footer63.xml.rels><?xml version="1.0" encoding="UTF-8" standalone="yes"?>
<Relationships xmlns="http://schemas.openxmlformats.org/package/2006/relationships"><Relationship Id="rId1" Type="http://schemas.openxmlformats.org/officeDocument/2006/relationships/image" Target="media/image13.png"/></Relationships>
</file>

<file path=word/_rels/footer64.xml.rels><?xml version="1.0" encoding="UTF-8" standalone="yes"?>
<Relationships xmlns="http://schemas.openxmlformats.org/package/2006/relationships"><Relationship Id="rId1" Type="http://schemas.openxmlformats.org/officeDocument/2006/relationships/image" Target="media/image13.png"/></Relationships>
</file>

<file path=word/_rels/footer65.xml.rels><?xml version="1.0" encoding="UTF-8" standalone="yes"?>
<Relationships xmlns="http://schemas.openxmlformats.org/package/2006/relationships"><Relationship Id="rId1" Type="http://schemas.openxmlformats.org/officeDocument/2006/relationships/image" Target="media/image13.png"/></Relationships>
</file>

<file path=word/_rels/footer66.xml.rels><?xml version="1.0" encoding="UTF-8" standalone="yes"?>
<Relationships xmlns="http://schemas.openxmlformats.org/package/2006/relationships"><Relationship Id="rId1" Type="http://schemas.openxmlformats.org/officeDocument/2006/relationships/image" Target="media/image13.png"/></Relationships>
</file>

<file path=word/_rels/footer67.xml.rels><?xml version="1.0" encoding="UTF-8" standalone="yes"?>
<Relationships xmlns="http://schemas.openxmlformats.org/package/2006/relationships"><Relationship Id="rId1" Type="http://schemas.openxmlformats.org/officeDocument/2006/relationships/image" Target="media/image13.png"/></Relationships>
</file>

<file path=word/_rels/footer68.xml.rels><?xml version="1.0" encoding="UTF-8" standalone="yes"?>
<Relationships xmlns="http://schemas.openxmlformats.org/package/2006/relationships"><Relationship Id="rId1" Type="http://schemas.openxmlformats.org/officeDocument/2006/relationships/image" Target="media/image13.png"/></Relationships>
</file>

<file path=word/_rels/footer69.xml.rels><?xml version="1.0" encoding="UTF-8" standalone="yes"?>
<Relationships xmlns="http://schemas.openxmlformats.org/package/2006/relationships"><Relationship Id="rId1" Type="http://schemas.openxmlformats.org/officeDocument/2006/relationships/image" Target="media/image13.png"/></Relationships>
</file>

<file path=word/_rels/footer7.xml.rels><?xml version="1.0" encoding="UTF-8" standalone="yes"?>
<Relationships xmlns="http://schemas.openxmlformats.org/package/2006/relationships"><Relationship Id="rId1" Type="http://schemas.openxmlformats.org/officeDocument/2006/relationships/image" Target="media/image13.png"/></Relationships>
</file>

<file path=word/_rels/footer8.xml.rels><?xml version="1.0" encoding="UTF-8" standalone="yes"?>
<Relationships xmlns="http://schemas.openxmlformats.org/package/2006/relationships"><Relationship Id="rId1" Type="http://schemas.openxmlformats.org/officeDocument/2006/relationships/image" Target="media/image13.png"/></Relationships>
</file>

<file path=word/_rels/footer9.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0.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4.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5.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6.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7.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8.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19.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0.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4.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5.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6.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7.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8.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29.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0.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4.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5.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6.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7.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8.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39.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0.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4.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5.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6.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7.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8.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49.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0.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4.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5.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6.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7.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8.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59.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0.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4.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5.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6.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7.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8.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69.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 Id="rId160"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167</Pages>
  <Words>158012</Words>
  <Characters>869069</Characters>
  <Application>Microsoft Office Word</Application>
  <DocSecurity>0</DocSecurity>
  <Lines>7242</Lines>
  <Paragraphs>2050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1025031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2024-01-17T10:12:00Z</dcterms:created>
  <dcterms:modified xsi:type="dcterms:W3CDTF">2024-01-17T10:12:00Z</dcterms:modified>
</cp:coreProperties>
</file>