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4F" w:rsidRDefault="009856F0">
      <w:pPr>
        <w:spacing w:after="39"/>
        <w:ind w:left="108"/>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47564F" w:rsidRDefault="009856F0">
      <w:pPr>
        <w:spacing w:after="161"/>
        <w:ind w:left="108"/>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47564F" w:rsidRDefault="009856F0">
      <w:pPr>
        <w:tabs>
          <w:tab w:val="center" w:pos="1123"/>
          <w:tab w:val="center" w:pos="3961"/>
          <w:tab w:val="center" w:pos="5778"/>
          <w:tab w:val="center" w:pos="7055"/>
        </w:tabs>
        <w:spacing w:after="0"/>
      </w:pPr>
      <w:r>
        <w:tab/>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ACTA </w:t>
      </w:r>
      <w:r>
        <w:rPr>
          <w:rFonts w:ascii="Arial" w:eastAsia="Arial" w:hAnsi="Arial" w:cs="Arial"/>
          <w:b/>
          <w:sz w:val="24"/>
        </w:rPr>
        <w:tab/>
      </w:r>
      <w:r>
        <w:rPr>
          <w:rFonts w:ascii="Arial" w:eastAsia="Arial" w:hAnsi="Arial" w:cs="Arial"/>
          <w:sz w:val="21"/>
          <w:vertAlign w:val="superscript"/>
        </w:rPr>
        <w:t xml:space="preserve"> </w:t>
      </w:r>
      <w:r>
        <w:rPr>
          <w:rFonts w:ascii="Arial" w:eastAsia="Arial" w:hAnsi="Arial" w:cs="Arial"/>
          <w:sz w:val="21"/>
          <w:vertAlign w:val="superscript"/>
        </w:rPr>
        <w:tab/>
        <w:t xml:space="preserve"> </w:t>
      </w:r>
    </w:p>
    <w:p w:rsidR="0047564F" w:rsidRDefault="009856F0">
      <w:pPr>
        <w:spacing w:after="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40799" name="Group 4079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2" name="Shape 132"/>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99" style="width:477pt;height:2.04pt;mso-position-horizontal-relative:char;mso-position-vertical-relative:line" coordsize="60579,259">
                <v:shape id="Shape 132" style="position:absolute;width:60579;height:0;left:0;top:0;" coordsize="6057900,0" path="m0,0l6057900,0">
                  <v:stroke weight="2.04pt" endcap="square" joinstyle="miter" miterlimit="10" on="true" color="#993366"/>
                  <v:fill on="false" color="#000000" opacity="0"/>
                </v:shape>
              </v:group>
            </w:pict>
          </mc:Fallback>
        </mc:AlternateContent>
      </w:r>
    </w:p>
    <w:p w:rsidR="0047564F" w:rsidRDefault="009856F0">
      <w:pPr>
        <w:spacing w:after="0"/>
        <w:ind w:left="5"/>
        <w:jc w:val="center"/>
      </w:pPr>
      <w:r>
        <w:rPr>
          <w:rFonts w:ascii="Arial" w:eastAsia="Arial" w:hAnsi="Arial" w:cs="Arial"/>
          <w:b/>
        </w:rPr>
        <w:t xml:space="preserve"> </w:t>
      </w:r>
    </w:p>
    <w:p w:rsidR="0047564F" w:rsidRDefault="009856F0">
      <w:pPr>
        <w:spacing w:after="0"/>
        <w:ind w:left="5"/>
        <w:jc w:val="center"/>
      </w:pPr>
      <w:r>
        <w:rPr>
          <w:rFonts w:ascii="Arial" w:eastAsia="Arial" w:hAnsi="Arial" w:cs="Arial"/>
          <w:b/>
        </w:rPr>
        <w:t xml:space="preserve"> </w:t>
      </w:r>
    </w:p>
    <w:p w:rsidR="0047564F" w:rsidRDefault="009856F0">
      <w:pPr>
        <w:pStyle w:val="Ttulo1"/>
        <w:ind w:left="151" w:right="141"/>
      </w:pPr>
      <w:r>
        <w:t xml:space="preserve">DE LA SESIÓN EXTRAORDINARIA Y URGENTE CELEBRADA POR EL AYUNTAMIENTO PLENO </w:t>
      </w:r>
    </w:p>
    <w:p w:rsidR="0047564F" w:rsidRDefault="009856F0">
      <w:pPr>
        <w:spacing w:after="5" w:line="249" w:lineRule="auto"/>
        <w:ind w:left="151" w:right="196" w:hanging="10"/>
        <w:jc w:val="center"/>
      </w:pPr>
      <w:r>
        <w:rPr>
          <w:rFonts w:ascii="Arial" w:eastAsia="Arial" w:hAnsi="Arial" w:cs="Arial"/>
          <w:b/>
        </w:rPr>
        <w:t xml:space="preserve">EL DÍA 4 DE MARZO DE 2022. SESIÓN Nº4/2022. </w:t>
      </w:r>
    </w:p>
    <w:p w:rsidR="0047564F" w:rsidRDefault="009856F0">
      <w:pPr>
        <w:spacing w:after="0"/>
        <w:ind w:left="4"/>
        <w:jc w:val="center"/>
      </w:pP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sz w:val="20"/>
        </w:rPr>
        <w:t xml:space="preserve"> </w:t>
      </w:r>
    </w:p>
    <w:p w:rsidR="0047564F" w:rsidRDefault="009856F0">
      <w:pPr>
        <w:spacing w:after="0"/>
      </w:pPr>
      <w:r>
        <w:rPr>
          <w:rFonts w:ascii="Arial" w:eastAsia="Arial" w:hAnsi="Arial" w:cs="Arial"/>
          <w:sz w:val="20"/>
        </w:rPr>
        <w:t xml:space="preserve"> </w:t>
      </w:r>
    </w:p>
    <w:p w:rsidR="0047564F" w:rsidRDefault="009856F0">
      <w:pPr>
        <w:spacing w:after="0"/>
        <w:ind w:right="1"/>
        <w:jc w:val="center"/>
      </w:pPr>
      <w:r>
        <w:rPr>
          <w:rFonts w:ascii="Arial" w:eastAsia="Arial" w:hAnsi="Arial" w:cs="Arial"/>
          <w:sz w:val="20"/>
        </w:rPr>
        <w:t xml:space="preserve"> </w:t>
      </w:r>
    </w:p>
    <w:p w:rsidR="0047564F" w:rsidRDefault="009856F0">
      <w:pPr>
        <w:spacing w:after="5" w:line="249" w:lineRule="auto"/>
        <w:ind w:left="151" w:right="197" w:hanging="10"/>
        <w:jc w:val="center"/>
      </w:pPr>
      <w:r>
        <w:rPr>
          <w:rFonts w:ascii="Arial" w:eastAsia="Arial" w:hAnsi="Arial" w:cs="Arial"/>
          <w:b/>
        </w:rPr>
        <w:t xml:space="preserve">SEÑORES ASISTENTES: </w:t>
      </w:r>
    </w:p>
    <w:p w:rsidR="0047564F" w:rsidRDefault="009856F0">
      <w:pPr>
        <w:spacing w:after="0"/>
        <w:ind w:left="2816"/>
      </w:pPr>
      <w:r>
        <w:rPr>
          <w:rFonts w:ascii="Arial" w:eastAsia="Arial" w:hAnsi="Arial" w:cs="Arial"/>
          <w:b/>
        </w:rPr>
        <w:t xml:space="preserve"> </w:t>
      </w:r>
    </w:p>
    <w:p w:rsidR="0047564F" w:rsidRDefault="009856F0">
      <w:pPr>
        <w:spacing w:after="0"/>
        <w:ind w:left="2816"/>
      </w:pPr>
      <w:r>
        <w:rPr>
          <w:rFonts w:ascii="Arial" w:eastAsia="Arial" w:hAnsi="Arial" w:cs="Arial"/>
          <w:b/>
        </w:rPr>
        <w:t xml:space="preserve"> </w:t>
      </w:r>
    </w:p>
    <w:p w:rsidR="0047564F" w:rsidRDefault="009856F0">
      <w:pPr>
        <w:spacing w:after="11" w:line="248" w:lineRule="auto"/>
        <w:ind w:left="-5" w:right="39" w:hanging="10"/>
        <w:jc w:val="both"/>
      </w:pPr>
      <w:r>
        <w:rPr>
          <w:rFonts w:ascii="Arial" w:eastAsia="Arial" w:hAnsi="Arial" w:cs="Arial"/>
          <w:b/>
        </w:rPr>
        <w:t xml:space="preserve">                                        </w:t>
      </w:r>
      <w:r>
        <w:rPr>
          <w:rFonts w:ascii="Arial" w:eastAsia="Arial" w:hAnsi="Arial" w:cs="Arial"/>
          <w:b/>
        </w:rPr>
        <w:t xml:space="preserve">Alcaldesa-Presidenta: </w:t>
      </w:r>
      <w:r>
        <w:rPr>
          <w:rFonts w:ascii="Arial" w:eastAsia="Arial" w:hAnsi="Arial" w:cs="Arial"/>
        </w:rPr>
        <w:t>Dª María Concepción Brito Núñez.</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b/>
        </w:rPr>
        <w:t xml:space="preserve"> </w:t>
      </w:r>
    </w:p>
    <w:p w:rsidR="0047564F" w:rsidRDefault="009856F0">
      <w:pPr>
        <w:spacing w:after="0"/>
        <w:ind w:left="5"/>
        <w:jc w:val="center"/>
      </w:pPr>
      <w:r>
        <w:rPr>
          <w:rFonts w:ascii="Arial" w:eastAsia="Arial" w:hAnsi="Arial" w:cs="Arial"/>
          <w:b/>
        </w:rPr>
        <w:t xml:space="preserve"> </w:t>
      </w:r>
    </w:p>
    <w:p w:rsidR="0047564F" w:rsidRDefault="009856F0">
      <w:pPr>
        <w:spacing w:after="0" w:line="248" w:lineRule="auto"/>
        <w:ind w:left="-5" w:right="39" w:hanging="10"/>
        <w:jc w:val="both"/>
      </w:pPr>
      <w:r>
        <w:rPr>
          <w:rFonts w:ascii="Arial" w:eastAsia="Arial" w:hAnsi="Arial" w:cs="Arial"/>
          <w:b/>
        </w:rPr>
        <w:t xml:space="preserve">            Grupo Socialista</w:t>
      </w:r>
      <w:r>
        <w:rPr>
          <w:rFonts w:ascii="Arial" w:eastAsia="Arial" w:hAnsi="Arial" w:cs="Arial"/>
        </w:rPr>
        <w:t>: D. Jorge Baute Delgado, Dª Olivia Concepción Pérez Díaz, D. José Francisco Pinto Ramos, Dª Hilaria Cecilia Otazo González, D. Airam Pérez Chinea, Dª Margarita Eva Ten</w:t>
      </w:r>
      <w:r>
        <w:rPr>
          <w:rFonts w:ascii="Arial" w:eastAsia="Arial" w:hAnsi="Arial" w:cs="Arial"/>
        </w:rPr>
        <w:t xml:space="preserve">dero Barroso, D. Manuel Alberto González Pestano, Dª Mª del Carmen Clemente Díaz, D. Olegario Francisco Alonso Bello, D. Reinaldo José Triviño Blanco. </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rPr>
        <w:t xml:space="preserve"> </w:t>
      </w:r>
    </w:p>
    <w:p w:rsidR="0047564F" w:rsidRDefault="009856F0">
      <w:pPr>
        <w:spacing w:after="11" w:line="248" w:lineRule="auto"/>
        <w:ind w:left="718" w:right="39" w:hanging="10"/>
        <w:jc w:val="both"/>
      </w:pPr>
      <w:r>
        <w:rPr>
          <w:rFonts w:ascii="Arial" w:eastAsia="Arial" w:hAnsi="Arial" w:cs="Arial"/>
          <w:b/>
        </w:rPr>
        <w:t xml:space="preserve">Grupo Popular: </w:t>
      </w:r>
      <w:r>
        <w:rPr>
          <w:rFonts w:ascii="Arial" w:eastAsia="Arial" w:hAnsi="Arial" w:cs="Arial"/>
        </w:rPr>
        <w:t>D. Jacobo López Fariña y Dª Raquel Martín Castro.</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rPr>
        <w:t xml:space="preserve"> </w:t>
      </w:r>
    </w:p>
    <w:p w:rsidR="0047564F" w:rsidRDefault="009856F0">
      <w:pPr>
        <w:spacing w:after="0" w:line="248" w:lineRule="auto"/>
        <w:ind w:left="-5" w:right="39"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40797" name="Group 40797"/>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0797"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0800" name="Group 40800"/>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135" name="Rectangle 135"/>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136" name="Rectangle 136"/>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 de 33 </w:t>
                              </w:r>
                            </w:p>
                          </w:txbxContent>
                        </wps:txbx>
                        <wps:bodyPr horzOverflow="overflow" vert="horz" lIns="0" tIns="0" rIns="0" bIns="0" rtlCol="0">
                          <a:noAutofit/>
                        </wps:bodyPr>
                      </wps:wsp>
                    </wpg:wgp>
                  </a:graphicData>
                </a:graphic>
              </wp:anchor>
            </w:drawing>
          </mc:Choice>
          <mc:Fallback xmlns:a="http://schemas.openxmlformats.org/drawingml/2006/main">
            <w:pict>
              <v:group id="Group 40800" style="width:12.7031pt;height:280.356pt;position:absolute;mso-position-horizontal-relative:page;mso-position-horizontal:absolute;margin-left:682.278pt;mso-position-vertical-relative:page;margin-top:531.564pt;" coordsize="1613,35605">
                <v:rect id="Rectangle 135"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136"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33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40801" name="Group 4080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7" name="Shape 13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8" name="Shape 13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01" style="width:29pt;height:466.28pt;position:absolute;mso-position-horizontal-relative:page;mso-position-horizontal:absolute;margin-left:20pt;mso-position-vertical-relative:page;margin-top:110pt;" coordsize="3683,59217">
                <v:shape id="Shape 137" style="position:absolute;width:3683;height:29291;left:0;top:0;" coordsize="368300,2929128" path="m0,2929128l368300,2929128l368300,0l0,0x">
                  <v:stroke weight="0.5pt" endcap="flat" joinstyle="miter" miterlimit="10" on="true" color="#808080"/>
                  <v:fill on="false" color="#000000" opacity="0"/>
                </v:shape>
                <v:shape id="Shape 13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b/>
        </w:rPr>
        <w:t xml:space="preserve">           Grupo Mixto:</w:t>
      </w:r>
      <w:r>
        <w:rPr>
          <w:rFonts w:ascii="Arial" w:eastAsia="Arial" w:hAnsi="Arial" w:cs="Arial"/>
        </w:rPr>
        <w:t xml:space="preserve"> </w:t>
      </w:r>
      <w:r>
        <w:rPr>
          <w:rFonts w:ascii="Arial" w:eastAsia="Arial" w:hAnsi="Arial" w:cs="Arial"/>
        </w:rPr>
        <w:t>Dª Lourdes del Carmen Mondéjar Rondón y D. Antonio Delgado García (Si Se Puede) Dª Ángela Cruz Perera (Coalición Canaria Partido Nacionalista Canario) y Dª Alicia Mercedes Marrero Meneses (Vecinos por Candelaria).</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b/>
        </w:rPr>
        <w:t xml:space="preserve"> </w:t>
      </w:r>
    </w:p>
    <w:p w:rsidR="0047564F" w:rsidRDefault="009856F0">
      <w:pPr>
        <w:spacing w:after="11" w:line="248" w:lineRule="auto"/>
        <w:ind w:left="-5" w:right="39" w:hanging="10"/>
        <w:jc w:val="both"/>
      </w:pPr>
      <w:r>
        <w:rPr>
          <w:rFonts w:ascii="Arial" w:eastAsia="Arial" w:hAnsi="Arial" w:cs="Arial"/>
          <w:b/>
        </w:rPr>
        <w:t xml:space="preserve">          Secretario General: </w:t>
      </w:r>
      <w:r>
        <w:rPr>
          <w:rFonts w:ascii="Arial" w:eastAsia="Arial" w:hAnsi="Arial" w:cs="Arial"/>
        </w:rPr>
        <w:t>D. Octavi</w:t>
      </w:r>
      <w:r>
        <w:rPr>
          <w:rFonts w:ascii="Arial" w:eastAsia="Arial" w:hAnsi="Arial" w:cs="Arial"/>
        </w:rPr>
        <w:t>o Manuel Fernández Hernández.</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rPr>
        <w:t xml:space="preserve"> </w:t>
      </w:r>
    </w:p>
    <w:p w:rsidR="0047564F" w:rsidRDefault="009856F0">
      <w:pPr>
        <w:spacing w:after="0" w:line="248" w:lineRule="auto"/>
        <w:ind w:left="-15" w:right="39" w:firstLine="708"/>
        <w:jc w:val="both"/>
      </w:pPr>
      <w:r>
        <w:rPr>
          <w:rFonts w:ascii="Arial" w:eastAsia="Arial" w:hAnsi="Arial" w:cs="Arial"/>
        </w:rPr>
        <w:t>En Candelaria, a 4 de marzo de 2022, siendo las 14:00 horas, se constituyó el Ayuntamiento Pleno en el Salón de Sesiones de la Casa Consistorial con asistencia de los Sres. Concejales expresados al margen, y al objeto de ce</w:t>
      </w:r>
      <w:r>
        <w:rPr>
          <w:rFonts w:ascii="Arial" w:eastAsia="Arial" w:hAnsi="Arial" w:cs="Arial"/>
        </w:rPr>
        <w:t xml:space="preserve">lebrar sesión extraordinaria y urgente para tratar los asuntos comprendidos en el orden del día de la convocatoria. </w:t>
      </w:r>
    </w:p>
    <w:p w:rsidR="0047564F" w:rsidRDefault="009856F0">
      <w:pPr>
        <w:spacing w:after="0"/>
      </w:pPr>
      <w:r>
        <w:rPr>
          <w:rFonts w:ascii="Arial" w:eastAsia="Arial" w:hAnsi="Arial" w:cs="Arial"/>
        </w:rPr>
        <w:t xml:space="preserve"> </w:t>
      </w:r>
    </w:p>
    <w:p w:rsidR="0047564F" w:rsidRDefault="009856F0">
      <w:pPr>
        <w:spacing w:after="2235" w:line="248" w:lineRule="auto"/>
        <w:ind w:left="-15" w:right="44" w:firstLine="708"/>
        <w:jc w:val="both"/>
      </w:pPr>
      <w:r>
        <w:rPr>
          <w:rFonts w:ascii="Arial" w:eastAsia="Arial" w:hAnsi="Arial" w:cs="Arial"/>
        </w:rPr>
        <w:t xml:space="preserve">Motivación del carácter extraordinario: </w:t>
      </w:r>
      <w:r>
        <w:rPr>
          <w:rFonts w:ascii="Arial" w:eastAsia="Arial" w:hAnsi="Arial" w:cs="Arial"/>
          <w:i/>
        </w:rPr>
        <w:t xml:space="preserve">«Es necesario en el día de hoy aprobar y formalizar el presente convenio a los efectos de que el </w:t>
      </w:r>
      <w:r>
        <w:rPr>
          <w:rFonts w:ascii="Arial" w:eastAsia="Arial" w:hAnsi="Arial" w:cs="Arial"/>
          <w:i/>
        </w:rPr>
        <w:t xml:space="preserve">Ayuntamiento de El Rosario autorice y se regule la forma de depositar en la Estación Depuradora del Polígono Industrial de la Campana los vertidos del PI del Valle de Güimar según el Plan de Etapas aprobado el día 28-2-2022» </w:t>
      </w:r>
    </w:p>
    <w:p w:rsidR="0047564F" w:rsidRDefault="009856F0">
      <w:pPr>
        <w:spacing w:after="0"/>
        <w:ind w:right="330"/>
        <w:jc w:val="center"/>
      </w:pPr>
      <w:r>
        <w:rPr>
          <w:noProof/>
        </w:rPr>
        <w:lastRenderedPageBreak/>
        <mc:AlternateContent>
          <mc:Choice Requires="wpg">
            <w:drawing>
              <wp:inline distT="0" distB="0" distL="0" distR="0">
                <wp:extent cx="5830570" cy="17145"/>
                <wp:effectExtent l="0" t="0" r="0" b="0"/>
                <wp:docPr id="40798" name="Group 4079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98"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47564F" w:rsidRDefault="009856F0">
      <w:pPr>
        <w:spacing w:after="89" w:line="241" w:lineRule="auto"/>
        <w:ind w:left="1964" w:right="1982"/>
        <w:jc w:val="center"/>
      </w:pPr>
      <w:r>
        <w:rPr>
          <w:rFonts w:ascii="Arial" w:eastAsia="Arial" w:hAnsi="Arial" w:cs="Arial"/>
          <w:sz w:val="14"/>
        </w:rPr>
        <w:t xml:space="preserve">Avenida Constitución Nº 7. </w:t>
      </w:r>
      <w:r>
        <w:rPr>
          <w:rFonts w:ascii="Arial" w:eastAsia="Arial" w:hAnsi="Arial" w:cs="Arial"/>
          <w:sz w:val="14"/>
        </w:rPr>
        <w:t xml:space="preserve">Código postal: 38530, Candelaria. Teléfono: 922.500.800. </w:t>
      </w:r>
      <w:r>
        <w:rPr>
          <w:rFonts w:ascii="Arial" w:eastAsia="Arial" w:hAnsi="Arial" w:cs="Arial"/>
          <w:b/>
          <w:sz w:val="14"/>
        </w:rPr>
        <w:t xml:space="preserve">www. candelaria. es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381" w:hanging="10"/>
        <w:jc w:val="both"/>
      </w:pPr>
      <w:r>
        <w:rPr>
          <w:rFonts w:ascii="Times New Roman" w:eastAsia="Times New Roman" w:hAnsi="Times New Roman" w:cs="Times New Roman"/>
          <w:sz w:val="24"/>
        </w:rPr>
        <w:t xml:space="preserve">El debate se incluye en la siguiente dirección: </w:t>
      </w:r>
      <w:r>
        <w:rPr>
          <w:rFonts w:ascii="Times New Roman" w:eastAsia="Times New Roman" w:hAnsi="Times New Roman" w:cs="Times New Roman"/>
          <w:color w:val="0000FF"/>
          <w:sz w:val="24"/>
          <w:u w:val="single" w:color="0000FF"/>
        </w:rPr>
        <w:t>https://www.youtube.com/watch?v=lOvivRnp5vk</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pStyle w:val="Ttulo1"/>
        <w:ind w:left="151" w:right="195"/>
      </w:pPr>
      <w:r>
        <w:t xml:space="preserve">ORDEN DEL DÍA </w:t>
      </w:r>
    </w:p>
    <w:p w:rsidR="0047564F" w:rsidRDefault="009856F0">
      <w:pPr>
        <w:spacing w:after="0"/>
        <w:ind w:left="5"/>
        <w:jc w:val="center"/>
      </w:pPr>
      <w:r>
        <w:rPr>
          <w:rFonts w:ascii="Arial" w:eastAsia="Arial" w:hAnsi="Arial" w:cs="Arial"/>
          <w:b/>
        </w:rPr>
        <w:t xml:space="preserve"> </w:t>
      </w:r>
    </w:p>
    <w:p w:rsidR="0047564F" w:rsidRDefault="009856F0">
      <w:pPr>
        <w:spacing w:after="0"/>
        <w:ind w:left="5"/>
        <w:jc w:val="center"/>
      </w:pPr>
      <w:r>
        <w:rPr>
          <w:rFonts w:ascii="Arial" w:eastAsia="Arial" w:hAnsi="Arial" w:cs="Arial"/>
          <w:b/>
        </w:rPr>
        <w:t xml:space="preserve"> </w:t>
      </w:r>
    </w:p>
    <w:p w:rsidR="0047564F" w:rsidRDefault="009856F0">
      <w:pPr>
        <w:spacing w:after="0"/>
      </w:pPr>
      <w:r>
        <w:rPr>
          <w:rFonts w:ascii="Arial" w:eastAsia="Arial" w:hAnsi="Arial" w:cs="Arial"/>
        </w:rPr>
        <w:t xml:space="preserve"> </w:t>
      </w:r>
    </w:p>
    <w:p w:rsidR="0047564F" w:rsidRDefault="009856F0">
      <w:pPr>
        <w:spacing w:after="0"/>
        <w:ind w:left="360"/>
      </w:pPr>
      <w:r>
        <w:rPr>
          <w:rFonts w:ascii="Arial" w:eastAsia="Arial" w:hAnsi="Arial" w:cs="Arial"/>
          <w:b/>
        </w:rPr>
        <w:t xml:space="preserve">A) </w:t>
      </w:r>
      <w:r>
        <w:rPr>
          <w:rFonts w:ascii="Arial" w:eastAsia="Arial" w:hAnsi="Arial" w:cs="Arial"/>
          <w:b/>
          <w:u w:val="single" w:color="000000"/>
        </w:rPr>
        <w:t>Parte Resolutiva de la Sesión.</w:t>
      </w: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5" w:line="249" w:lineRule="auto"/>
        <w:ind w:left="-5" w:right="46" w:hanging="10"/>
        <w:jc w:val="both"/>
      </w:pPr>
      <w:r>
        <w:rPr>
          <w:rFonts w:ascii="Arial" w:eastAsia="Arial" w:hAnsi="Arial" w:cs="Arial"/>
          <w:b/>
        </w:rPr>
        <w:t xml:space="preserve">1.- </w:t>
      </w:r>
      <w:r>
        <w:rPr>
          <w:rFonts w:ascii="Arial" w:eastAsia="Arial" w:hAnsi="Arial" w:cs="Arial"/>
          <w:b/>
        </w:rPr>
        <w:t>Pronunciamiento sobre la urgencia.</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sz w:val="20"/>
        </w:rPr>
        <w:t xml:space="preserve"> </w:t>
      </w:r>
    </w:p>
    <w:p w:rsidR="0047564F" w:rsidRDefault="009856F0">
      <w:pPr>
        <w:spacing w:after="5" w:line="249" w:lineRule="auto"/>
        <w:ind w:left="-5" w:right="46" w:hanging="10"/>
        <w:jc w:val="both"/>
      </w:pPr>
      <w:r>
        <w:rPr>
          <w:rFonts w:ascii="Arial" w:eastAsia="Arial" w:hAnsi="Arial" w:cs="Arial"/>
          <w:b/>
        </w:rPr>
        <w:t>2.-Expediente 1304/2019. CONVENIO DE COLABORACIÓN ENTRE LOS AYUNTAMIENTOS DE ARAFO, CANDELARIA, GÜÍMAR Y EL ROSARIO PARA LA EJECUCIÓN DEL PLAN DE ETAPAS EN RELACIÓN CON EL EMISARIO SUBMARINO UBICADO EN EL POLÍGONO INDU</w:t>
      </w:r>
      <w:r>
        <w:rPr>
          <w:rFonts w:ascii="Arial" w:eastAsia="Arial" w:hAnsi="Arial" w:cs="Arial"/>
          <w:b/>
        </w:rPr>
        <w:t xml:space="preserve">STRIAL DEL VALLE DE GÜIMAR.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b/>
        </w:rPr>
        <w:t xml:space="preserve"> </w:t>
      </w:r>
      <w:r>
        <w:rPr>
          <w:rFonts w:ascii="Times New Roman" w:eastAsia="Times New Roman" w:hAnsi="Times New Roman" w:cs="Times New Roman"/>
          <w:sz w:val="24"/>
        </w:rPr>
        <w:t xml:space="preserve"> </w:t>
      </w:r>
    </w:p>
    <w:p w:rsidR="0047564F" w:rsidRDefault="009856F0">
      <w:pPr>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6750863</wp:posOffset>
                </wp:positionV>
                <wp:extent cx="161330" cy="3560522"/>
                <wp:effectExtent l="0" t="0" r="0" b="0"/>
                <wp:wrapTopAndBottom/>
                <wp:docPr id="40502" name="Group 4050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34" name="Rectangle 234"/>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235" name="Rectangle 235"/>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 de 33 </w:t>
                              </w:r>
                            </w:p>
                          </w:txbxContent>
                        </wps:txbx>
                        <wps:bodyPr horzOverflow="overflow" vert="horz" lIns="0" tIns="0" rIns="0" bIns="0" rtlCol="0">
                          <a:noAutofit/>
                        </wps:bodyPr>
                      </wps:wsp>
                    </wpg:wgp>
                  </a:graphicData>
                </a:graphic>
              </wp:anchor>
            </w:drawing>
          </mc:Choice>
          <mc:Fallback xmlns:a="http://schemas.openxmlformats.org/drawingml/2006/main">
            <w:pict>
              <v:group id="Group 40502" style="width:12.7031pt;height:280.356pt;position:absolute;mso-position-horizontal-relative:page;mso-position-horizontal:absolute;margin-left:682.278pt;mso-position-vertical-relative:page;margin-top:531.564pt;" coordsize="1613,35605">
                <v:rect id="Rectangle 234"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35"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33 </w:t>
                        </w:r>
                      </w:p>
                    </w:txbxContent>
                  </v:textbox>
                </v:rect>
                <w10:wrap type="topAndBottom"/>
              </v:group>
            </w:pict>
          </mc:Fallback>
        </mc:AlternateContent>
      </w: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lastRenderedPageBreak/>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sz w:val="24"/>
          <w:u w:val="single" w:color="000000"/>
        </w:rPr>
        <w:t>Parte Resolutiva de la Sesión.</w:t>
      </w:r>
      <w:r>
        <w:rPr>
          <w:rFonts w:ascii="Arial" w:eastAsia="Arial" w:hAnsi="Arial" w:cs="Arial"/>
          <w:b/>
          <w:sz w:val="24"/>
        </w:rPr>
        <w:t xml:space="preserve"> </w:t>
      </w:r>
    </w:p>
    <w:p w:rsidR="0047564F" w:rsidRDefault="009856F0">
      <w:pPr>
        <w:spacing w:after="0"/>
      </w:pPr>
      <w:r>
        <w:rPr>
          <w:rFonts w:ascii="Arial" w:eastAsia="Arial" w:hAnsi="Arial" w:cs="Arial"/>
          <w:b/>
        </w:rPr>
        <w:t xml:space="preserve"> </w:t>
      </w:r>
    </w:p>
    <w:p w:rsidR="0047564F" w:rsidRDefault="009856F0">
      <w:pPr>
        <w:spacing w:after="0"/>
        <w:ind w:left="-5" w:hanging="10"/>
      </w:pPr>
      <w:r>
        <w:rPr>
          <w:rFonts w:ascii="Arial" w:eastAsia="Arial" w:hAnsi="Arial" w:cs="Arial"/>
          <w:sz w:val="24"/>
        </w:rPr>
        <w:t xml:space="preserve">1.- </w:t>
      </w:r>
      <w:r>
        <w:rPr>
          <w:rFonts w:ascii="Arial" w:eastAsia="Arial" w:hAnsi="Arial" w:cs="Arial"/>
          <w:b/>
          <w:sz w:val="24"/>
        </w:rPr>
        <w:t>Pronunciamiento sobre la urgencia.</w:t>
      </w:r>
      <w:r>
        <w:rPr>
          <w:rFonts w:ascii="Times New Roman" w:eastAsia="Times New Roman" w:hAnsi="Times New Roman" w:cs="Times New Roman"/>
          <w:sz w:val="24"/>
        </w:rPr>
        <w:t xml:space="preserve"> </w:t>
      </w:r>
    </w:p>
    <w:p w:rsidR="0047564F" w:rsidRDefault="009856F0">
      <w:pPr>
        <w:spacing w:after="0"/>
      </w:pPr>
      <w:r>
        <w:rPr>
          <w:rFonts w:ascii="Arial" w:eastAsia="Arial" w:hAnsi="Arial" w:cs="Arial"/>
          <w:b/>
          <w:sz w:val="24"/>
        </w:rPr>
        <w:t xml:space="preserve"> </w:t>
      </w:r>
    </w:p>
    <w:p w:rsidR="0047564F" w:rsidRDefault="009856F0">
      <w:pPr>
        <w:spacing w:after="0" w:line="248" w:lineRule="auto"/>
        <w:ind w:left="-15" w:right="44" w:firstLine="708"/>
        <w:jc w:val="both"/>
      </w:pPr>
      <w:r>
        <w:rPr>
          <w:rFonts w:ascii="Arial" w:eastAsia="Arial" w:hAnsi="Arial" w:cs="Arial"/>
        </w:rPr>
        <w:t xml:space="preserve">Se motiva el carácter extraordinario y urgente de la sesión: </w:t>
      </w:r>
      <w:r>
        <w:rPr>
          <w:rFonts w:ascii="Arial" w:eastAsia="Arial" w:hAnsi="Arial" w:cs="Arial"/>
          <w:i/>
        </w:rPr>
        <w:t>«Es necesario en el día de hoy aprobar y formalizar el presente convenio a los efectos de que el Ayuntamiento de El Rosario autorice y se regule la forma de depositar en la Estación Depuradora del Polígono Industrial de la Campana los vertidos del PI del V</w:t>
      </w:r>
      <w:r>
        <w:rPr>
          <w:rFonts w:ascii="Arial" w:eastAsia="Arial" w:hAnsi="Arial" w:cs="Arial"/>
          <w:i/>
        </w:rPr>
        <w:t>alle de Güimar según el Plan de Etapas aprobado el día 28-2-</w:t>
      </w:r>
    </w:p>
    <w:p w:rsidR="0047564F" w:rsidRDefault="009856F0">
      <w:pPr>
        <w:spacing w:after="10" w:line="248" w:lineRule="auto"/>
        <w:ind w:left="-5" w:right="44" w:hanging="10"/>
        <w:jc w:val="both"/>
      </w:pPr>
      <w:r>
        <w:rPr>
          <w:rFonts w:ascii="Arial" w:eastAsia="Arial" w:hAnsi="Arial" w:cs="Arial"/>
          <w:i/>
        </w:rPr>
        <w:t xml:space="preserve">2022» </w:t>
      </w:r>
    </w:p>
    <w:p w:rsidR="0047564F" w:rsidRDefault="009856F0">
      <w:pPr>
        <w:spacing w:after="15" w:line="248" w:lineRule="auto"/>
        <w:ind w:left="718" w:right="3295" w:hanging="10"/>
        <w:jc w:val="both"/>
      </w:pPr>
      <w:r>
        <w:rPr>
          <w:rFonts w:ascii="Arial" w:eastAsia="Arial" w:hAnsi="Arial" w:cs="Arial"/>
        </w:rPr>
        <w:t xml:space="preserve">Se ratifica por la unanimidad de los miembros presentes.        </w:t>
      </w:r>
      <w:r>
        <w:rPr>
          <w:rFonts w:ascii="Arial" w:eastAsia="Arial" w:hAnsi="Arial" w:cs="Arial"/>
        </w:rPr>
        <w:tab/>
      </w:r>
      <w:r>
        <w:rPr>
          <w:rFonts w:ascii="Arial" w:eastAsia="Arial" w:hAnsi="Arial" w:cs="Arial"/>
          <w:b/>
          <w:sz w:val="24"/>
        </w:rPr>
        <w:t xml:space="preserve"> </w:t>
      </w:r>
    </w:p>
    <w:p w:rsidR="0047564F" w:rsidRDefault="009856F0">
      <w:pPr>
        <w:spacing w:after="5" w:line="249" w:lineRule="auto"/>
        <w:ind w:left="-5" w:right="46" w:hanging="10"/>
        <w:jc w:val="both"/>
      </w:pPr>
      <w:r>
        <w:rPr>
          <w:rFonts w:ascii="Arial" w:eastAsia="Arial" w:hAnsi="Arial" w:cs="Arial"/>
        </w:rPr>
        <w:t xml:space="preserve">       </w:t>
      </w:r>
      <w:r>
        <w:rPr>
          <w:rFonts w:ascii="Arial" w:eastAsia="Arial" w:hAnsi="Arial" w:cs="Arial"/>
          <w:b/>
          <w:sz w:val="24"/>
        </w:rPr>
        <w:t xml:space="preserve">2.- </w:t>
      </w:r>
      <w:r>
        <w:rPr>
          <w:rFonts w:ascii="Arial" w:eastAsia="Arial" w:hAnsi="Arial" w:cs="Arial"/>
          <w:b/>
        </w:rPr>
        <w:t>Expediente 1304/2019. CONVENIO DE COLABORACIÓN ENTRE LOS AYUNTAMIENTOS DE ARAFO, CANDELARIA, GÜÍMAR Y EL ROSAR</w:t>
      </w:r>
      <w:r>
        <w:rPr>
          <w:rFonts w:ascii="Arial" w:eastAsia="Arial" w:hAnsi="Arial" w:cs="Arial"/>
          <w:b/>
        </w:rPr>
        <w:t xml:space="preserve">IO PARA LA EJECUCIÓN DEL PLAN DE ETAPAS EN RELACIÓN CON EL EMISARIO SUBMARINO UBICADO EN EL POLÍGONO INDUSTRIAL DEL VALLE DE GÜIMAR. </w:t>
      </w:r>
    </w:p>
    <w:p w:rsidR="0047564F" w:rsidRDefault="009856F0">
      <w:pPr>
        <w:spacing w:after="0"/>
      </w:pPr>
      <w:r>
        <w:rPr>
          <w:rFonts w:ascii="Arial" w:eastAsia="Arial" w:hAnsi="Arial" w:cs="Arial"/>
          <w:b/>
        </w:rPr>
        <w:t xml:space="preserve"> </w:t>
      </w:r>
    </w:p>
    <w:p w:rsidR="0047564F" w:rsidRDefault="009856F0">
      <w:pPr>
        <w:spacing w:after="5" w:line="249" w:lineRule="auto"/>
        <w:ind w:left="-5" w:right="46" w:hanging="10"/>
        <w:jc w:val="both"/>
      </w:pPr>
      <w:r>
        <w:rPr>
          <w:rFonts w:ascii="Arial" w:eastAsia="Arial" w:hAnsi="Arial" w:cs="Arial"/>
          <w:b/>
        </w:rPr>
        <w:t xml:space="preserve"> </w:t>
      </w:r>
      <w:r>
        <w:rPr>
          <w:rFonts w:ascii="Arial" w:eastAsia="Arial" w:hAnsi="Arial" w:cs="Arial"/>
          <w:b/>
        </w:rPr>
        <w:tab/>
        <w:t>Consta en el expediente propuesta de la Alcaldesa-Presidenta al Pleno de fecha 4 de marzo de 2022 que transcrita liter</w:t>
      </w:r>
      <w:r>
        <w:rPr>
          <w:rFonts w:ascii="Arial" w:eastAsia="Arial" w:hAnsi="Arial" w:cs="Arial"/>
          <w:b/>
        </w:rPr>
        <w:t>almente dice:</w:t>
      </w:r>
      <w:r>
        <w:rPr>
          <w:rFonts w:ascii="Arial" w:eastAsia="Arial" w:hAnsi="Arial" w:cs="Arial"/>
        </w:rPr>
        <w:t xml:space="preserve"> </w:t>
      </w:r>
    </w:p>
    <w:p w:rsidR="0047564F" w:rsidRDefault="009856F0">
      <w:pPr>
        <w:spacing w:after="108" w:line="248" w:lineRule="auto"/>
        <w:ind w:left="1143" w:right="44" w:hanging="10"/>
        <w:jc w:val="both"/>
      </w:pPr>
      <w:r>
        <w:rPr>
          <w:rFonts w:ascii="Arial" w:eastAsia="Arial" w:hAnsi="Arial" w:cs="Arial"/>
          <w:i/>
        </w:rPr>
        <w:t xml:space="preserve">“PROPUESTA DE LA ALCALDESA-PRESIDENTA AL PLENO </w:t>
      </w:r>
    </w:p>
    <w:p w:rsidR="0047564F" w:rsidRDefault="009856F0">
      <w:pPr>
        <w:spacing w:after="113" w:line="248" w:lineRule="auto"/>
        <w:ind w:left="-15" w:right="44" w:firstLine="1133"/>
        <w:jc w:val="both"/>
      </w:pPr>
      <w:r>
        <w:rPr>
          <w:rFonts w:ascii="Arial" w:eastAsia="Arial" w:hAnsi="Arial" w:cs="Arial"/>
          <w:i/>
        </w:rPr>
        <w:t xml:space="preserve">Consta informe de Secretaría General de fecha 4 de marzo de 2022 conformado por el Interventor de la misma fecha que transcrito literalmente dice: </w:t>
      </w:r>
    </w:p>
    <w:p w:rsidR="0047564F" w:rsidRDefault="009856F0">
      <w:pPr>
        <w:spacing w:after="98"/>
        <w:ind w:left="1138"/>
        <w:jc w:val="center"/>
      </w:pPr>
      <w:r>
        <w:rPr>
          <w:rFonts w:ascii="Arial" w:eastAsia="Arial" w:hAnsi="Arial" w:cs="Arial"/>
          <w:i/>
        </w:rPr>
        <w:t xml:space="preserve"> </w:t>
      </w:r>
    </w:p>
    <w:p w:rsidR="0047564F" w:rsidRDefault="009856F0">
      <w:pPr>
        <w:spacing w:after="0" w:line="354" w:lineRule="auto"/>
        <w:ind w:left="1133" w:right="321" w:firstLine="871"/>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1184" name="Group 41184"/>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05" name="Rectangle 405"/>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06" name="Rectangle 406"/>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3 de 33 </w:t>
                              </w:r>
                            </w:p>
                          </w:txbxContent>
                        </wps:txbx>
                        <wps:bodyPr horzOverflow="overflow" vert="horz" lIns="0" tIns="0" rIns="0" bIns="0" rtlCol="0">
                          <a:noAutofit/>
                        </wps:bodyPr>
                      </wps:wsp>
                    </wpg:wgp>
                  </a:graphicData>
                </a:graphic>
              </wp:anchor>
            </w:drawing>
          </mc:Choice>
          <mc:Fallback xmlns:a="http://schemas.openxmlformats.org/drawingml/2006/main">
            <w:pict>
              <v:group id="Group 41184" style="width:12.7031pt;height:280.356pt;position:absolute;mso-position-horizontal-relative:page;mso-position-horizontal:absolute;margin-left:682.278pt;mso-position-vertical-relative:page;margin-top:531.564pt;" coordsize="1613,35605">
                <v:rect id="Rectangle 405"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06"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33 </w:t>
                        </w:r>
                      </w:p>
                    </w:txbxContent>
                  </v:textbox>
                </v:rect>
                <w10:wrap type="square"/>
              </v:group>
            </w:pict>
          </mc:Fallback>
        </mc:AlternateContent>
      </w:r>
      <w:r>
        <w:rPr>
          <w:rFonts w:ascii="Arial" w:eastAsia="Arial" w:hAnsi="Arial" w:cs="Arial"/>
          <w:i/>
        </w:rPr>
        <w:t>INFORME JURÍDICO DE SECRETARÍA GENERAL</w:t>
      </w:r>
      <w:r>
        <w:rPr>
          <w:rFonts w:ascii="Arial" w:eastAsia="Arial" w:hAnsi="Arial" w:cs="Arial"/>
          <w:i/>
        </w:rPr>
        <w:t xml:space="preserve">                             Visto el expediente antedicho se emite el siguiente informe jurídico: </w:t>
      </w:r>
    </w:p>
    <w:p w:rsidR="0047564F" w:rsidRDefault="009856F0">
      <w:pPr>
        <w:tabs>
          <w:tab w:val="center" w:pos="708"/>
          <w:tab w:val="center" w:pos="2918"/>
        </w:tabs>
        <w:spacing w:after="115" w:line="248" w:lineRule="auto"/>
        <w:ind w:left="-15"/>
      </w:pP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ANTECEDENTES DE HECHO </w:t>
      </w:r>
    </w:p>
    <w:p w:rsidR="0047564F" w:rsidRDefault="009856F0">
      <w:pPr>
        <w:spacing w:after="111" w:line="248" w:lineRule="auto"/>
        <w:ind w:left="-15" w:right="44" w:firstLine="1133"/>
        <w:jc w:val="both"/>
      </w:pPr>
      <w:r>
        <w:rPr>
          <w:rFonts w:ascii="Arial" w:eastAsia="Arial" w:hAnsi="Arial" w:cs="Arial"/>
          <w:i/>
        </w:rPr>
        <w:t xml:space="preserve">Primero.- Consta en el expediente acuerdo del Pleno de los Ayuntamientos de Candelaria por el que se modificó el Plan de Etapas </w:t>
      </w:r>
      <w:r>
        <w:rPr>
          <w:rFonts w:ascii="Arial" w:eastAsia="Arial" w:hAnsi="Arial" w:cs="Arial"/>
          <w:i/>
        </w:rPr>
        <w:t xml:space="preserve">en el marco del expediente 2017/11106 relativo al emisario del Polígono Industrial del Valle de Güimar estableciendo en la parte dispositiva el siguiente acuerdo: </w:t>
      </w:r>
    </w:p>
    <w:p w:rsidR="0047564F" w:rsidRDefault="009856F0">
      <w:pPr>
        <w:spacing w:after="110" w:line="248" w:lineRule="auto"/>
        <w:ind w:left="-5" w:right="44" w:hanging="10"/>
        <w:jc w:val="both"/>
      </w:pPr>
      <w:r>
        <w:rPr>
          <w:rFonts w:ascii="Arial" w:eastAsia="Arial" w:hAnsi="Arial" w:cs="Arial"/>
          <w:i/>
        </w:rPr>
        <w:t xml:space="preserve"> PRIMERO.- Tomar conocimiento del nuevo informe del Consejo Insular de Aguas de Tenerife con</w:t>
      </w:r>
      <w:r>
        <w:rPr>
          <w:rFonts w:ascii="Arial" w:eastAsia="Arial" w:hAnsi="Arial" w:cs="Arial"/>
          <w:i/>
        </w:rPr>
        <w:t xml:space="preserve"> fecha de registro de entrada en el Ayuntamiento de Candelaria de 28 de febrero de 2022 transcrito precedentemente en el que se contiene el nuevo cronograma del Plan de Etapas en el marco del Expediente 2017/11106 relativo al Emisario del Polígono Industri</w:t>
      </w:r>
      <w:r>
        <w:rPr>
          <w:rFonts w:ascii="Arial" w:eastAsia="Arial" w:hAnsi="Arial" w:cs="Arial"/>
          <w:i/>
        </w:rPr>
        <w:t>al del Valle de Güimar y las mejoras en calidad del vertido que se proponen en el mismo a los efectos de cumplir con el requerimiento del Gobierno de Canarias remitido con RE en el Ayuntamiento de Candelaria de 21 de febrero de 2022 y del que el Ayuntamien</w:t>
      </w:r>
      <w:r>
        <w:rPr>
          <w:rFonts w:ascii="Arial" w:eastAsia="Arial" w:hAnsi="Arial" w:cs="Arial"/>
          <w:i/>
        </w:rPr>
        <w:t xml:space="preserve">to de Arafo ha solicitado la ampliación del plazo hasta el día 28 de febrero de 2022. </w:t>
      </w:r>
    </w:p>
    <w:p w:rsidR="0047564F" w:rsidRDefault="009856F0">
      <w:pPr>
        <w:spacing w:after="109" w:line="248" w:lineRule="auto"/>
        <w:ind w:left="-5" w:right="44" w:hanging="10"/>
        <w:jc w:val="both"/>
      </w:pPr>
      <w:r>
        <w:rPr>
          <w:rFonts w:ascii="Arial" w:eastAsia="Arial" w:hAnsi="Arial" w:cs="Arial"/>
          <w:i/>
        </w:rPr>
        <w:t xml:space="preserve"> SEGUNDO.- Aprobar por el Ayuntamiento de Candelaria la modificación de los plazos contemplados en el "Plan de Etapas" en el marco del Expediente 2017/11106 relativo al </w:t>
      </w:r>
      <w:r>
        <w:rPr>
          <w:rFonts w:ascii="Arial" w:eastAsia="Arial" w:hAnsi="Arial" w:cs="Arial"/>
          <w:i/>
        </w:rPr>
        <w:t>Emisario del Polígono Industrial del Valle de Güimar actualizado y que ha sido remitido por el Consejo Insular de Aguas de Tenerife con fecha 28 de febrero de 2022, toda vez que prolonga la duración de la situación intermedia a los efectos de subsanar la n</w:t>
      </w:r>
      <w:r>
        <w:rPr>
          <w:rFonts w:ascii="Arial" w:eastAsia="Arial" w:hAnsi="Arial" w:cs="Arial"/>
          <w:i/>
        </w:rPr>
        <w:t>ueva solicitud presentada por el Ayuntamiento de Arafo "Autorización de vertido desde tierra al mar de aguas residuales urbanas e industriales depuradas a través del emisario submarino del Polígono Industrial del Güímar" (AVM), a la Viceconsejería de Lucha</w:t>
      </w:r>
      <w:r>
        <w:rPr>
          <w:rFonts w:ascii="Arial" w:eastAsia="Arial" w:hAnsi="Arial" w:cs="Arial"/>
          <w:i/>
        </w:rPr>
        <w:t xml:space="preserve"> contra el Cambio Climático y Transición Ecológica del Gobierno de Canarias, quedando como sigue en formato texto y en el cronograma: </w:t>
      </w:r>
    </w:p>
    <w:p w:rsidR="0047564F" w:rsidRDefault="009856F0">
      <w:pPr>
        <w:spacing w:after="113" w:line="248" w:lineRule="auto"/>
        <w:ind w:left="-5" w:right="44" w:hanging="10"/>
        <w:jc w:val="both"/>
      </w:pPr>
      <w:r>
        <w:rPr>
          <w:rFonts w:ascii="Arial" w:eastAsia="Arial" w:hAnsi="Arial" w:cs="Arial"/>
          <w:i/>
        </w:rPr>
        <w:t xml:space="preserve">  1.- Del 1 de marzo al 27 de marzo de 2022: Situación intermedia III: pretratamiento y evacuación parcial con cubas. </w:t>
      </w:r>
    </w:p>
    <w:p w:rsidR="0047564F" w:rsidRDefault="009856F0">
      <w:pPr>
        <w:spacing w:after="10" w:line="248" w:lineRule="auto"/>
        <w:ind w:left="1143" w:right="44" w:hanging="10"/>
        <w:jc w:val="both"/>
      </w:pPr>
      <w:r>
        <w:rPr>
          <w:rFonts w:ascii="Arial" w:eastAsia="Arial" w:hAnsi="Arial" w:cs="Arial"/>
          <w:i/>
        </w:rPr>
        <w:t>2.</w:t>
      </w:r>
      <w:r>
        <w:rPr>
          <w:rFonts w:ascii="Arial" w:eastAsia="Arial" w:hAnsi="Arial" w:cs="Arial"/>
          <w:i/>
        </w:rPr>
        <w:t xml:space="preserve">- 28 marzo de 2022 al 25 de mayo de 2022: Situación intermedia IV: Tratamiento </w:t>
      </w:r>
    </w:p>
    <w:p w:rsidR="0047564F" w:rsidRDefault="009856F0">
      <w:pPr>
        <w:spacing w:after="111" w:line="248" w:lineRule="auto"/>
        <w:ind w:left="-5" w:right="44" w:hanging="10"/>
        <w:jc w:val="both"/>
      </w:pPr>
      <w:r>
        <w:rPr>
          <w:rFonts w:ascii="Arial" w:eastAsia="Arial" w:hAnsi="Arial" w:cs="Arial"/>
          <w:i/>
        </w:rPr>
        <w:t xml:space="preserve">secundario de caudales vertidos por ES. </w:t>
      </w:r>
    </w:p>
    <w:p w:rsidR="0047564F" w:rsidRDefault="009856F0">
      <w:pPr>
        <w:spacing w:after="10" w:line="248" w:lineRule="auto"/>
        <w:ind w:left="1143" w:right="44" w:hanging="10"/>
        <w:jc w:val="both"/>
      </w:pPr>
      <w:r>
        <w:rPr>
          <w:rFonts w:ascii="Arial" w:eastAsia="Arial" w:hAnsi="Arial" w:cs="Arial"/>
          <w:i/>
        </w:rPr>
        <w:t xml:space="preserve">3.- 26 de mayo de 2022 al 30 de noviembre de 2022: Funcionamiento de la EDARI: </w:t>
      </w:r>
    </w:p>
    <w:p w:rsidR="0047564F" w:rsidRDefault="009856F0">
      <w:pPr>
        <w:spacing w:after="110" w:line="248" w:lineRule="auto"/>
        <w:ind w:left="-5" w:right="44" w:hanging="10"/>
        <w:jc w:val="both"/>
      </w:pPr>
      <w:r>
        <w:rPr>
          <w:rFonts w:ascii="Arial" w:eastAsia="Arial" w:hAnsi="Arial" w:cs="Arial"/>
          <w:i/>
        </w:rPr>
        <w:t>puesta en marcha de la EDARI y prueba de instalaciones.</w:t>
      </w:r>
      <w:r>
        <w:rPr>
          <w:rFonts w:ascii="Arial" w:eastAsia="Arial" w:hAnsi="Arial" w:cs="Arial"/>
          <w:i/>
        </w:rPr>
        <w:t xml:space="preserve"> </w:t>
      </w:r>
    </w:p>
    <w:p w:rsidR="0047564F" w:rsidRDefault="009856F0">
      <w:pPr>
        <w:spacing w:after="108" w:line="248" w:lineRule="auto"/>
        <w:ind w:left="1143" w:right="44" w:hanging="10"/>
        <w:jc w:val="both"/>
      </w:pPr>
      <w:r>
        <w:rPr>
          <w:rFonts w:ascii="Arial" w:eastAsia="Arial" w:hAnsi="Arial" w:cs="Arial"/>
          <w:i/>
        </w:rPr>
        <w:t xml:space="preserve">4.- Diciembre de 2022. Recepción de las obras. </w:t>
      </w:r>
    </w:p>
    <w:p w:rsidR="0047564F" w:rsidRDefault="009856F0">
      <w:pPr>
        <w:spacing w:after="98"/>
        <w:ind w:left="1133"/>
      </w:pPr>
      <w:r>
        <w:rPr>
          <w:rFonts w:ascii="Arial" w:eastAsia="Arial" w:hAnsi="Arial" w:cs="Arial"/>
          <w:i/>
        </w:rPr>
        <w:t xml:space="preserve"> </w:t>
      </w:r>
    </w:p>
    <w:p w:rsidR="0047564F" w:rsidRDefault="009856F0">
      <w:pPr>
        <w:spacing w:after="100"/>
        <w:ind w:left="1133"/>
      </w:pPr>
      <w:r>
        <w:rPr>
          <w:rFonts w:ascii="Arial" w:eastAsia="Arial" w:hAnsi="Arial" w:cs="Arial"/>
          <w:i/>
        </w:rPr>
        <w:t xml:space="preserve"> </w:t>
      </w:r>
    </w:p>
    <w:p w:rsidR="0047564F" w:rsidRDefault="009856F0">
      <w:pPr>
        <w:spacing w:after="113" w:line="248" w:lineRule="auto"/>
        <w:ind w:left="-15" w:right="44" w:firstLine="1133"/>
        <w:jc w:val="both"/>
      </w:pPr>
      <w:r>
        <w:rPr>
          <w:rFonts w:ascii="Arial" w:eastAsia="Arial" w:hAnsi="Arial" w:cs="Arial"/>
          <w:i/>
        </w:rPr>
        <w:t xml:space="preserve">Segundo.- Consta en el expediente oficio del Alcalde-Presidente del Ayuntamiento de El Rosario que transcrito literalmente dice: </w:t>
      </w:r>
    </w:p>
    <w:p w:rsidR="0047564F" w:rsidRDefault="009856F0">
      <w:pPr>
        <w:spacing w:after="110" w:line="248" w:lineRule="auto"/>
        <w:ind w:left="-15" w:right="44" w:firstLine="1133"/>
        <w:jc w:val="both"/>
      </w:pPr>
      <w:r>
        <w:rPr>
          <w:rFonts w:ascii="Arial" w:eastAsia="Arial" w:hAnsi="Arial" w:cs="Arial"/>
          <w:i/>
        </w:rPr>
        <w:t xml:space="preserve">Vistos los escritos remitidos por los Ayuntamientos de Candelaria (reg. </w:t>
      </w:r>
      <w:r>
        <w:rPr>
          <w:rFonts w:ascii="Arial" w:eastAsia="Arial" w:hAnsi="Arial" w:cs="Arial"/>
          <w:i/>
        </w:rPr>
        <w:t>de entrada núm. 2022-1878, de 2 de marzo de 2022) y de Arafo (reg. de entrada núm. 2022-1879, de 2 de marzo de 2022), en los que se comunican sendos acuerdos plenarios en relación con el Plan de Etapas relativo al emisario del Polígono Industrial del Valle</w:t>
      </w:r>
      <w:r>
        <w:rPr>
          <w:rFonts w:ascii="Arial" w:eastAsia="Arial" w:hAnsi="Arial" w:cs="Arial"/>
          <w:i/>
        </w:rPr>
        <w:t xml:space="preserve"> de Güimar, y autorizado por el Consejo Insular de Aguas de Tenerife, por este Ayuntamiento se traslada que se acepta lo dispuesto en ellos respecto al Ayuntamiento de El Rosario; no obstante, se hace constar que se deberá formalizar un convenio de colabor</w:t>
      </w:r>
      <w:r>
        <w:rPr>
          <w:rFonts w:ascii="Arial" w:eastAsia="Arial" w:hAnsi="Arial" w:cs="Arial"/>
          <w:i/>
        </w:rPr>
        <w:t xml:space="preserve">ación en el que se determinen las condiciones para que poderlo llevar a cabo. </w:t>
      </w:r>
    </w:p>
    <w:p w:rsidR="0047564F" w:rsidRDefault="009856F0">
      <w:pPr>
        <w:spacing w:after="110" w:line="248" w:lineRule="auto"/>
        <w:ind w:left="-15" w:right="44" w:firstLine="1133"/>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1048" name="Group 41048"/>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549" name="Rectangle 54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550" name="Rectangle 550"/>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4 de 33 </w:t>
                              </w:r>
                            </w:p>
                          </w:txbxContent>
                        </wps:txbx>
                        <wps:bodyPr horzOverflow="overflow" vert="horz" lIns="0" tIns="0" rIns="0" bIns="0" rtlCol="0">
                          <a:noAutofit/>
                        </wps:bodyPr>
                      </wps:wsp>
                    </wpg:wgp>
                  </a:graphicData>
                </a:graphic>
              </wp:anchor>
            </w:drawing>
          </mc:Choice>
          <mc:Fallback xmlns:a="http://schemas.openxmlformats.org/drawingml/2006/main">
            <w:pict>
              <v:group id="Group 41048" style="width:12.7031pt;height:280.356pt;position:absolute;mso-position-horizontal-relative:page;mso-position-horizontal:absolute;margin-left:682.278pt;mso-position-vertical-relative:page;margin-top:531.564pt;" coordsize="1613,35605">
                <v:rect id="Rectangle 54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550"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33 </w:t>
                        </w:r>
                      </w:p>
                    </w:txbxContent>
                  </v:textbox>
                </v:rect>
                <w10:wrap type="square"/>
              </v:group>
            </w:pict>
          </mc:Fallback>
        </mc:AlternateContent>
      </w:r>
      <w:r>
        <w:rPr>
          <w:rFonts w:ascii="Arial" w:eastAsia="Arial" w:hAnsi="Arial" w:cs="Arial"/>
          <w:i/>
        </w:rPr>
        <w:t>Tercero.- Consta en el expediente oficio del Alcalde-Presidente del Ayuntamiento de El Rosario donde se da traslado de la certificación de la Junta de Gobierno Loca</w:t>
      </w:r>
      <w:r>
        <w:rPr>
          <w:rFonts w:ascii="Arial" w:eastAsia="Arial" w:hAnsi="Arial" w:cs="Arial"/>
          <w:i/>
        </w:rPr>
        <w:t>l del Ayuntamiento de El Rosario por la que se aprueba el “ convenio de colaboración entre los Ayuntamientos de Arafo, Candelaria, Güimar y El Rosario para la ejecución del Plan de Etapas en relación con el emisario submarino ubicado en el Polígono Industr</w:t>
      </w:r>
      <w:r>
        <w:rPr>
          <w:rFonts w:ascii="Arial" w:eastAsia="Arial" w:hAnsi="Arial" w:cs="Arial"/>
          <w:i/>
        </w:rPr>
        <w:t xml:space="preserve">ial del Valle de Güimar (Expediente 2826/2022) </w:t>
      </w:r>
    </w:p>
    <w:p w:rsidR="0047564F" w:rsidRDefault="009856F0">
      <w:pPr>
        <w:spacing w:after="100"/>
        <w:ind w:left="1133"/>
      </w:pPr>
      <w:r>
        <w:rPr>
          <w:rFonts w:ascii="Arial" w:eastAsia="Arial" w:hAnsi="Arial" w:cs="Arial"/>
          <w:i/>
        </w:rPr>
        <w:t xml:space="preserve"> </w:t>
      </w:r>
    </w:p>
    <w:p w:rsidR="0047564F" w:rsidRDefault="009856F0">
      <w:pPr>
        <w:spacing w:after="114" w:line="248" w:lineRule="auto"/>
        <w:ind w:left="-15" w:right="44" w:firstLine="1133"/>
        <w:jc w:val="both"/>
      </w:pPr>
      <w:r>
        <w:rPr>
          <w:rFonts w:ascii="Arial" w:eastAsia="Arial" w:hAnsi="Arial" w:cs="Arial"/>
          <w:i/>
        </w:rPr>
        <w:t xml:space="preserve">Cuarto.- Consta en el expediente Memoria justificativa del convenio firmada por la Alcaldía-Presidencia de fecha 4 de marzo de 2022. </w:t>
      </w:r>
    </w:p>
    <w:p w:rsidR="0047564F" w:rsidRDefault="009856F0">
      <w:pPr>
        <w:spacing w:after="98"/>
        <w:ind w:left="1133"/>
      </w:pPr>
      <w:r>
        <w:rPr>
          <w:rFonts w:ascii="Arial" w:eastAsia="Arial" w:hAnsi="Arial" w:cs="Arial"/>
          <w:i/>
        </w:rPr>
        <w:t xml:space="preserve"> </w:t>
      </w:r>
    </w:p>
    <w:p w:rsidR="0047564F" w:rsidRDefault="009856F0">
      <w:pPr>
        <w:spacing w:after="10" w:line="248" w:lineRule="auto"/>
        <w:ind w:left="1143" w:right="44" w:hanging="10"/>
        <w:jc w:val="both"/>
      </w:pPr>
      <w:r>
        <w:rPr>
          <w:rFonts w:ascii="Arial" w:eastAsia="Arial" w:hAnsi="Arial" w:cs="Arial"/>
          <w:i/>
        </w:rPr>
        <w:t>Quinto.- Consta en el expediente informe técnico del Ingeniero Técnico</w:t>
      </w:r>
      <w:r>
        <w:rPr>
          <w:rFonts w:ascii="Arial" w:eastAsia="Arial" w:hAnsi="Arial" w:cs="Arial"/>
          <w:i/>
        </w:rPr>
        <w:t xml:space="preserve"> Industrial de </w:t>
      </w:r>
    </w:p>
    <w:p w:rsidR="0047564F" w:rsidRDefault="009856F0">
      <w:pPr>
        <w:spacing w:after="122" w:line="248" w:lineRule="auto"/>
        <w:ind w:left="-5" w:right="44" w:hanging="10"/>
        <w:jc w:val="both"/>
      </w:pPr>
      <w:r>
        <w:rPr>
          <w:rFonts w:ascii="Arial" w:eastAsia="Arial" w:hAnsi="Arial" w:cs="Arial"/>
          <w:i/>
        </w:rPr>
        <w:t xml:space="preserve">fecha 4 de marzo de 2022 que transcrito literalmente dice: </w:t>
      </w:r>
    </w:p>
    <w:p w:rsidR="0047564F" w:rsidRDefault="009856F0">
      <w:pPr>
        <w:spacing w:after="5" w:line="248" w:lineRule="auto"/>
        <w:ind w:left="-5" w:right="126" w:hanging="10"/>
        <w:jc w:val="both"/>
      </w:pPr>
      <w:r>
        <w:rPr>
          <w:rFonts w:ascii="Times New Roman" w:eastAsia="Times New Roman" w:hAnsi="Times New Roman" w:cs="Times New Roman"/>
          <w:i/>
          <w:sz w:val="24"/>
        </w:rPr>
        <w:t>Visto el expediente antedicho, el funcionario, Don Daniel Espejo Cómez, que desempeña el puesto de trabajo de Ingeniero Técnico Industrial, en la oficina técnica de la Concejalía d</w:t>
      </w:r>
      <w:r>
        <w:rPr>
          <w:rFonts w:ascii="Times New Roman" w:eastAsia="Times New Roman" w:hAnsi="Times New Roman" w:cs="Times New Roman"/>
          <w:i/>
          <w:sz w:val="24"/>
        </w:rPr>
        <w:t xml:space="preserve">e Planificación y Gestión Urbanística y Ambiental, emite el siguiente informe: </w:t>
      </w:r>
    </w:p>
    <w:p w:rsidR="0047564F" w:rsidRDefault="009856F0">
      <w:pPr>
        <w:spacing w:after="76"/>
      </w:pPr>
      <w:r>
        <w:rPr>
          <w:rFonts w:ascii="Times New Roman" w:eastAsia="Times New Roman" w:hAnsi="Times New Roman" w:cs="Times New Roman"/>
          <w:i/>
          <w:sz w:val="24"/>
        </w:rPr>
        <w:t xml:space="preserve"> </w:t>
      </w:r>
    </w:p>
    <w:p w:rsidR="0047564F" w:rsidRDefault="009856F0">
      <w:pPr>
        <w:shd w:val="clear" w:color="auto" w:fill="E0E0E0"/>
        <w:spacing w:after="217"/>
        <w:ind w:left="10" w:right="52" w:hanging="10"/>
        <w:jc w:val="center"/>
      </w:pPr>
      <w:r>
        <w:rPr>
          <w:rFonts w:ascii="Times New Roman" w:eastAsia="Times New Roman" w:hAnsi="Times New Roman" w:cs="Times New Roman"/>
          <w:i/>
          <w:sz w:val="24"/>
          <w:shd w:val="clear" w:color="auto" w:fill="E6E6E6"/>
        </w:rPr>
        <w:t>ANTECEDENTES</w:t>
      </w: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 PRIMERO. – El día 28 de febrero de 2022, con registro de entrada 2022-E-RC-</w:t>
      </w:r>
      <w:r>
        <w:rPr>
          <w:rFonts w:ascii="Times New Roman" w:eastAsia="Times New Roman" w:hAnsi="Times New Roman" w:cs="Times New Roman"/>
          <w:i/>
          <w:sz w:val="24"/>
        </w:rPr>
        <w:t>2308 se recibe por parte del Ayuntamiento de Arafo Solicitud certificados de los acuerdos plenarios de los Ayuntamientos de Güímar y Candelaria relativos a la nueva modificación del Plan de Etapas de fecha 25-02-22 remitida por el CIATF, en dicha solicitud</w:t>
      </w:r>
      <w:r>
        <w:rPr>
          <w:rFonts w:ascii="Times New Roman" w:eastAsia="Times New Roman" w:hAnsi="Times New Roman" w:cs="Times New Roman"/>
          <w:i/>
          <w:sz w:val="24"/>
        </w:rPr>
        <w:t xml:space="preserve"> se adjunta informe de la dirección de obra y nuevo Plan de Etapas.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 SEGUNDO. – El día 3 de marzo de 2022, mediante correo electrónico de la secretaría de este ayuntamiento se me da traslado del CONVENIO DE COLABORACIÓN ENTRE EL AYUNTAMIENTO DE ARAFO, A</w:t>
      </w:r>
      <w:r>
        <w:rPr>
          <w:rFonts w:ascii="Times New Roman" w:eastAsia="Times New Roman" w:hAnsi="Times New Roman" w:cs="Times New Roman"/>
          <w:i/>
          <w:sz w:val="24"/>
        </w:rPr>
        <w:t xml:space="preserve">CTUANDO EN NOMBRE PROPIO Y POR ENCOMIENDA EN </w:t>
      </w:r>
    </w:p>
    <w:p w:rsidR="0047564F" w:rsidRDefault="009856F0">
      <w:pPr>
        <w:spacing w:after="5" w:line="248" w:lineRule="auto"/>
        <w:ind w:left="-5" w:right="46" w:hanging="10"/>
        <w:jc w:val="both"/>
      </w:pPr>
      <w:r>
        <w:rPr>
          <w:rFonts w:ascii="Times New Roman" w:eastAsia="Times New Roman" w:hAnsi="Times New Roman" w:cs="Times New Roman"/>
          <w:i/>
          <w:sz w:val="24"/>
        </w:rPr>
        <w:t>REPRESENTACIÓN DEL AYUNTAMIENTO DE GÜÍMAR Y DE CANDELARIA Y EL AYUNTAMIENTO DE EL ROSARIO PARA LA PUESTA A DISPOSICIÓN DE LA EDARI UBICADA EN EL POLÍGONO DE LA CAMPANA PARA LA DISMINUCIÓN DE LA CARGA TOTAL CONT</w:t>
      </w:r>
      <w:r>
        <w:rPr>
          <w:rFonts w:ascii="Times New Roman" w:eastAsia="Times New Roman" w:hAnsi="Times New Roman" w:cs="Times New Roman"/>
          <w:i/>
          <w:sz w:val="24"/>
        </w:rPr>
        <w:t xml:space="preserve">AMINANTE EVACUADA A TRAVÉS DEL EMISARIO SUBMARINO UBICADO EN EL POLÍGONO INDUSTRIAL DEL VALLE DE GÜÍMAR MEDIANTE LA EVACUACIÓN PARCIAL DEL EFLUENTE EN LA ENTRADA DE LA PLANTA. </w:t>
      </w:r>
    </w:p>
    <w:p w:rsidR="0047564F" w:rsidRDefault="009856F0">
      <w:pPr>
        <w:spacing w:after="76"/>
      </w:pPr>
      <w:r>
        <w:rPr>
          <w:rFonts w:ascii="Times New Roman" w:eastAsia="Times New Roman" w:hAnsi="Times New Roman" w:cs="Times New Roman"/>
          <w:i/>
          <w:sz w:val="24"/>
        </w:rPr>
        <w:t xml:space="preserve"> </w:t>
      </w:r>
    </w:p>
    <w:p w:rsidR="0047564F" w:rsidRDefault="009856F0">
      <w:pPr>
        <w:shd w:val="clear" w:color="auto" w:fill="E0E0E0"/>
        <w:spacing w:after="217"/>
        <w:ind w:left="10" w:right="56" w:hanging="10"/>
        <w:jc w:val="center"/>
      </w:pPr>
      <w:r>
        <w:rPr>
          <w:rFonts w:ascii="Times New Roman" w:eastAsia="Times New Roman" w:hAnsi="Times New Roman" w:cs="Times New Roman"/>
          <w:i/>
          <w:sz w:val="24"/>
          <w:shd w:val="clear" w:color="auto" w:fill="E6E6E6"/>
        </w:rPr>
        <w:t>INFORME</w:t>
      </w:r>
      <w:r>
        <w:rPr>
          <w:rFonts w:ascii="Times New Roman" w:eastAsia="Times New Roman" w:hAnsi="Times New Roman" w:cs="Times New Roman"/>
          <w:i/>
          <w:sz w:val="24"/>
        </w:rPr>
        <w:t xml:space="preserve"> </w:t>
      </w:r>
    </w:p>
    <w:p w:rsidR="0047564F" w:rsidRDefault="009856F0">
      <w:pPr>
        <w:tabs>
          <w:tab w:val="center" w:pos="2701"/>
        </w:tabs>
        <w:spacing w:after="5" w:line="248" w:lineRule="auto"/>
        <w:ind w:left="-15"/>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Se procede a analizar el citado convenio: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1272" name="Group 4127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700" name="Rectangle 700"/>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701" name="Rectangle 701"/>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5 de 33 </w:t>
                              </w:r>
                            </w:p>
                          </w:txbxContent>
                        </wps:txbx>
                        <wps:bodyPr horzOverflow="overflow" vert="horz" lIns="0" tIns="0" rIns="0" bIns="0" rtlCol="0">
                          <a:noAutofit/>
                        </wps:bodyPr>
                      </wps:wsp>
                    </wpg:wgp>
                  </a:graphicData>
                </a:graphic>
              </wp:anchor>
            </w:drawing>
          </mc:Choice>
          <mc:Fallback xmlns:a="http://schemas.openxmlformats.org/drawingml/2006/main">
            <w:pict>
              <v:group id="Group 41272" style="width:12.7031pt;height:280.356pt;position:absolute;mso-position-horizontal-relative:page;mso-position-horizontal:absolute;margin-left:682.278pt;mso-position-vertical-relative:page;margin-top:531.564pt;" coordsize="1613,35605">
                <v:rect id="Rectangle 700"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701"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33 </w:t>
                        </w:r>
                      </w:p>
                    </w:txbxContent>
                  </v:textbox>
                </v:rect>
                <w10:wrap type="square"/>
              </v:group>
            </w:pict>
          </mc:Fallback>
        </mc:AlternateContent>
      </w:r>
      <w:r>
        <w:rPr>
          <w:rFonts w:ascii="Times New Roman" w:eastAsia="Times New Roman" w:hAnsi="Times New Roman" w:cs="Times New Roman"/>
          <w:i/>
          <w:sz w:val="24"/>
        </w:rPr>
        <w:t xml:space="preserve"> Este convenio tiene como </w:t>
      </w:r>
      <w:r>
        <w:rPr>
          <w:rFonts w:ascii="Times New Roman" w:eastAsia="Times New Roman" w:hAnsi="Times New Roman" w:cs="Times New Roman"/>
          <w:i/>
          <w:sz w:val="24"/>
          <w:u w:val="single" w:color="000000"/>
        </w:rPr>
        <w:t>objeto:</w:t>
      </w:r>
      <w:r>
        <w:rPr>
          <w:rFonts w:ascii="Times New Roman" w:eastAsia="Times New Roman" w:hAnsi="Times New Roman" w:cs="Times New Roman"/>
          <w:i/>
          <w:sz w:val="24"/>
        </w:rPr>
        <w:t xml:space="preserve"> Disminuir la carga total conta</w:t>
      </w:r>
      <w:r>
        <w:rPr>
          <w:rFonts w:ascii="Times New Roman" w:eastAsia="Times New Roman" w:hAnsi="Times New Roman" w:cs="Times New Roman"/>
          <w:i/>
          <w:sz w:val="24"/>
        </w:rPr>
        <w:t>minante evacuada a través del emisario submarino mediante la evacuación parcial del efluente en la entrada de la planta. Dada la naturaleza de las aguas, dicha evacuación se realizará mediante camiones cubas desde la entrada de la planta del Polígono Indus</w:t>
      </w:r>
      <w:r>
        <w:rPr>
          <w:rFonts w:ascii="Times New Roman" w:eastAsia="Times New Roman" w:hAnsi="Times New Roman" w:cs="Times New Roman"/>
          <w:i/>
          <w:sz w:val="24"/>
        </w:rPr>
        <w:t>trial del Valle de Güímar hasta la EDARI del Polígono Industrial de La Campana en el municipio de El Rosario, al ser la única autorizada para poder tratar estos efluentes y que según los datos recabados está tratando una carga que si bien es variable en el</w:t>
      </w:r>
      <w:r>
        <w:rPr>
          <w:rFonts w:ascii="Times New Roman" w:eastAsia="Times New Roman" w:hAnsi="Times New Roman" w:cs="Times New Roman"/>
          <w:i/>
          <w:sz w:val="24"/>
        </w:rPr>
        <w:t xml:space="preserve"> tiempo, en líneas generales es inferior a la que fue diseñada.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 Ante la imposibilidad de depurar el volumen máximo estimado por el CIAT de 360m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/día de trasvase desde el PIVG hasta la EDARI municipal de La Campana, se procederá a minimizar en origen de</w:t>
      </w:r>
      <w:r>
        <w:rPr>
          <w:rFonts w:ascii="Times New Roman" w:eastAsia="Times New Roman" w:hAnsi="Times New Roman" w:cs="Times New Roman"/>
          <w:i/>
          <w:sz w:val="24"/>
        </w:rPr>
        <w:t xml:space="preserve"> este caudal para lo que en el intervalo comprendido entre el 1 y el 28 de marzo del 2022, los Ayuntamientos de Arafo, Candelaria y Güímar, </w:t>
      </w:r>
      <w:r>
        <w:rPr>
          <w:rFonts w:ascii="Times New Roman" w:eastAsia="Times New Roman" w:hAnsi="Times New Roman" w:cs="Times New Roman"/>
          <w:i/>
          <w:sz w:val="24"/>
          <w:u w:val="single" w:color="000000"/>
        </w:rPr>
        <w:t>adoptarán medidas extraordinarias para su</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consecución, que consistirán en la limitación de los horarios de apertura,</w:t>
      </w:r>
      <w:r>
        <w:rPr>
          <w:rFonts w:ascii="Times New Roman" w:eastAsia="Times New Roman" w:hAnsi="Times New Roman" w:cs="Times New Roman"/>
          <w:i/>
          <w:sz w:val="24"/>
          <w:u w:val="single" w:color="000000"/>
        </w:rPr>
        <w:t xml:space="preserve"> cierre y por tanto de</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operaciones a las empresas.</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 El volumen máximo será de 240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procedente del PIVG descargándose en carrusel de cubas ininterrumpido entre las 06:00 h y las 21:00h, de lunes a domingo incluido días festivos.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0" w:hanging="10"/>
      </w:pPr>
      <w:r>
        <w:rPr>
          <w:rFonts w:ascii="Times New Roman" w:eastAsia="Times New Roman" w:hAnsi="Times New Roman" w:cs="Times New Roman"/>
          <w:i/>
          <w:sz w:val="24"/>
        </w:rPr>
        <w:t xml:space="preserve">Análisis clausula </w:t>
      </w:r>
      <w:r>
        <w:rPr>
          <w:rFonts w:ascii="Times New Roman" w:eastAsia="Times New Roman" w:hAnsi="Times New Roman" w:cs="Times New Roman"/>
          <w:i/>
          <w:sz w:val="24"/>
          <w:u w:val="single" w:color="000000"/>
        </w:rPr>
        <w:t>TERCERA.- Compromiso financiero de las partes</w:t>
      </w:r>
      <w:r>
        <w:rPr>
          <w:rFonts w:ascii="Times New Roman" w:eastAsia="Times New Roman" w:hAnsi="Times New Roman" w:cs="Times New Roman"/>
          <w:i/>
          <w:sz w:val="24"/>
        </w:rPr>
        <w:t xml:space="preserve"> </w:t>
      </w:r>
    </w:p>
    <w:p w:rsidR="0047564F" w:rsidRDefault="009856F0">
      <w:pPr>
        <w:spacing w:after="0"/>
        <w:ind w:left="708"/>
      </w:pPr>
      <w:r>
        <w:rPr>
          <w:rFonts w:ascii="Times New Roman" w:eastAsia="Times New Roman" w:hAnsi="Times New Roman" w:cs="Times New Roman"/>
          <w:i/>
          <w:sz w:val="20"/>
        </w:rPr>
        <w:t xml:space="preserve"> </w:t>
      </w:r>
    </w:p>
    <w:p w:rsidR="0047564F" w:rsidRDefault="009856F0">
      <w:pPr>
        <w:spacing w:after="0" w:line="249" w:lineRule="auto"/>
        <w:ind w:left="703" w:right="46" w:hanging="10"/>
      </w:pPr>
      <w:r>
        <w:rPr>
          <w:rFonts w:ascii="Times New Roman" w:eastAsia="Times New Roman" w:hAnsi="Times New Roman" w:cs="Times New Roman"/>
          <w:i/>
          <w:sz w:val="20"/>
        </w:rPr>
        <w:t>“A.- Cada Ayuntamiento interviniente asumirá con sus propios medios económicos y a partes iguales los gastos que deriven de las acciones que sean necesarias emprender para el cumplimiento d</w:t>
      </w:r>
      <w:r>
        <w:rPr>
          <w:rFonts w:ascii="Times New Roman" w:eastAsia="Times New Roman" w:hAnsi="Times New Roman" w:cs="Times New Roman"/>
          <w:i/>
          <w:sz w:val="20"/>
        </w:rPr>
        <w:t xml:space="preserve">e este Convenio.  </w:t>
      </w:r>
    </w:p>
    <w:p w:rsidR="0047564F" w:rsidRDefault="009856F0">
      <w:pPr>
        <w:spacing w:after="29" w:line="249" w:lineRule="auto"/>
        <w:ind w:left="703" w:right="46" w:hanging="10"/>
      </w:pPr>
      <w:r>
        <w:rPr>
          <w:rFonts w:ascii="Times New Roman" w:eastAsia="Times New Roman" w:hAnsi="Times New Roman" w:cs="Times New Roman"/>
          <w:i/>
          <w:sz w:val="20"/>
        </w:rPr>
        <w:t>B.- En este sentido, los costes variables en la facturación serán los del caudal de agua bruta medido en m³/día (a razón de 1,10€/m³) y los de la cantidad de fangos producidos medido en kg (a razón de 0,83€/kg). Los demás costes serán fi</w:t>
      </w:r>
      <w:r>
        <w:rPr>
          <w:rFonts w:ascii="Times New Roman" w:eastAsia="Times New Roman" w:hAnsi="Times New Roman" w:cs="Times New Roman"/>
          <w:i/>
          <w:sz w:val="20"/>
        </w:rPr>
        <w:t xml:space="preserve">jos entre el día de inicio de la prestación del servicio y el de la finalización, y serían los siguientes: </w:t>
      </w:r>
    </w:p>
    <w:p w:rsidR="0047564F" w:rsidRDefault="009856F0">
      <w:pPr>
        <w:numPr>
          <w:ilvl w:val="0"/>
          <w:numId w:val="1"/>
        </w:numPr>
        <w:spacing w:after="29" w:line="249" w:lineRule="auto"/>
        <w:ind w:right="46" w:hanging="708"/>
      </w:pPr>
      <w:r>
        <w:rPr>
          <w:rFonts w:ascii="Times New Roman" w:eastAsia="Times New Roman" w:hAnsi="Times New Roman" w:cs="Times New Roman"/>
          <w:i/>
          <w:sz w:val="20"/>
        </w:rPr>
        <w:t xml:space="preserve">Dos analíticas semanales de agua bruta (a razón de 249,39€ cada analítica) </w:t>
      </w:r>
    </w:p>
    <w:p w:rsidR="0047564F" w:rsidRDefault="009856F0">
      <w:pPr>
        <w:numPr>
          <w:ilvl w:val="0"/>
          <w:numId w:val="1"/>
        </w:numPr>
        <w:spacing w:after="29" w:line="249" w:lineRule="auto"/>
        <w:ind w:right="46" w:hanging="708"/>
      </w:pPr>
      <w:r>
        <w:rPr>
          <w:rFonts w:ascii="Times New Roman" w:eastAsia="Times New Roman" w:hAnsi="Times New Roman" w:cs="Times New Roman"/>
          <w:i/>
          <w:sz w:val="20"/>
        </w:rPr>
        <w:t xml:space="preserve">Dos analíticas semanales de fango (a razón de 196,41€ cada analítica) </w:t>
      </w:r>
    </w:p>
    <w:p w:rsidR="0047564F" w:rsidRDefault="009856F0">
      <w:pPr>
        <w:numPr>
          <w:ilvl w:val="0"/>
          <w:numId w:val="1"/>
        </w:numPr>
        <w:spacing w:after="29" w:line="249" w:lineRule="auto"/>
        <w:ind w:right="46" w:hanging="708"/>
      </w:pPr>
      <w:r>
        <w:rPr>
          <w:rFonts w:ascii="Times New Roman" w:eastAsia="Times New Roman" w:hAnsi="Times New Roman" w:cs="Times New Roman"/>
          <w:i/>
          <w:sz w:val="20"/>
        </w:rPr>
        <w:t>D</w:t>
      </w:r>
      <w:r>
        <w:rPr>
          <w:rFonts w:ascii="Times New Roman" w:eastAsia="Times New Roman" w:hAnsi="Times New Roman" w:cs="Times New Roman"/>
          <w:i/>
          <w:sz w:val="20"/>
        </w:rPr>
        <w:t xml:space="preserve">os tomas de muestras semanales para agua bruta (a razón de 35,65€ cada toma) </w:t>
      </w:r>
    </w:p>
    <w:p w:rsidR="0047564F" w:rsidRDefault="009856F0">
      <w:pPr>
        <w:numPr>
          <w:ilvl w:val="0"/>
          <w:numId w:val="1"/>
        </w:numPr>
        <w:spacing w:after="29" w:line="249" w:lineRule="auto"/>
        <w:ind w:right="46" w:hanging="708"/>
      </w:pPr>
      <w:r>
        <w:rPr>
          <w:rFonts w:ascii="Times New Roman" w:eastAsia="Times New Roman" w:hAnsi="Times New Roman" w:cs="Times New Roman"/>
          <w:i/>
          <w:sz w:val="20"/>
        </w:rPr>
        <w:t xml:space="preserve">Dos tomas de muestras semanales para fango (a razón de 35,65€ cada toma) </w:t>
      </w:r>
    </w:p>
    <w:p w:rsidR="0047564F" w:rsidRDefault="009856F0">
      <w:pPr>
        <w:numPr>
          <w:ilvl w:val="0"/>
          <w:numId w:val="1"/>
        </w:numPr>
        <w:spacing w:after="0"/>
        <w:ind w:right="46" w:hanging="708"/>
      </w:pPr>
      <w:r>
        <w:rPr>
          <w:rFonts w:ascii="Times New Roman" w:eastAsia="Times New Roman" w:hAnsi="Times New Roman" w:cs="Times New Roman"/>
          <w:i/>
          <w:sz w:val="20"/>
        </w:rPr>
        <w:t xml:space="preserve">El personal en planta, que estará de lunes a domingo, de 06:00 a 21:00 horas (a razón de 25,01€/hora) </w:t>
      </w:r>
    </w:p>
    <w:p w:rsidR="0047564F" w:rsidRDefault="009856F0">
      <w:pPr>
        <w:spacing w:after="29" w:line="247" w:lineRule="auto"/>
        <w:ind w:left="708" w:right="6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6750863</wp:posOffset>
                </wp:positionV>
                <wp:extent cx="161330" cy="3560522"/>
                <wp:effectExtent l="0" t="0" r="0" b="0"/>
                <wp:wrapTopAndBottom/>
                <wp:docPr id="40451" name="Group 40451"/>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746" name="Rectangle 746"/>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747" name="Rectangle 747"/>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6 de 33 </w:t>
                              </w:r>
                            </w:p>
                          </w:txbxContent>
                        </wps:txbx>
                        <wps:bodyPr horzOverflow="overflow" vert="horz" lIns="0" tIns="0" rIns="0" bIns="0" rtlCol="0">
                          <a:noAutofit/>
                        </wps:bodyPr>
                      </wps:wsp>
                    </wpg:wgp>
                  </a:graphicData>
                </a:graphic>
              </wp:anchor>
            </w:drawing>
          </mc:Choice>
          <mc:Fallback xmlns:a="http://schemas.openxmlformats.org/drawingml/2006/main">
            <w:pict>
              <v:group id="Group 40451" style="width:12.7031pt;height:280.356pt;position:absolute;mso-position-horizontal-relative:page;mso-position-horizontal:absolute;margin-left:682.278pt;mso-position-vertical-relative:page;margin-top:531.564pt;" coordsize="1613,35605">
                <v:rect id="Rectangle 746"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747"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33 </w:t>
                        </w:r>
                      </w:p>
                    </w:txbxContent>
                  </v:textbox>
                </v:rect>
                <w10:wrap type="topAndBottom"/>
              </v:group>
            </w:pict>
          </mc:Fallback>
        </mc:AlternateContent>
      </w:r>
      <w:r>
        <w:rPr>
          <w:rFonts w:ascii="Times New Roman" w:eastAsia="Times New Roman" w:hAnsi="Times New Roman" w:cs="Times New Roman"/>
          <w:i/>
          <w:sz w:val="20"/>
        </w:rPr>
        <w:t>C.- Los demás costes en los que ha de incurrirse para el trasl</w:t>
      </w:r>
      <w:r>
        <w:rPr>
          <w:rFonts w:ascii="Times New Roman" w:eastAsia="Times New Roman" w:hAnsi="Times New Roman" w:cs="Times New Roman"/>
          <w:i/>
          <w:sz w:val="20"/>
        </w:rPr>
        <w:t xml:space="preserve">ado del efluente desde el P.I.V.G. al Polígono Industrial de La Campana en camiones-cuba o de cualquier otra naturaleza distintos a los del proceso de depuración han de ser sufragados por los Ayuntamientos de Arafo, Candelaria y Güimar al transportista.”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El coste del cumplimiento del convenio es el siguiente: </w:t>
      </w:r>
    </w:p>
    <w:p w:rsidR="0047564F" w:rsidRDefault="009856F0">
      <w:pPr>
        <w:spacing w:after="0"/>
      </w:pPr>
      <w:r>
        <w:rPr>
          <w:rFonts w:ascii="Times New Roman" w:eastAsia="Times New Roman" w:hAnsi="Times New Roman" w:cs="Times New Roman"/>
          <w:i/>
          <w:sz w:val="24"/>
        </w:rPr>
        <w:t xml:space="preserve"> </w:t>
      </w:r>
      <w:r>
        <w:br w:type="page"/>
      </w:r>
    </w:p>
    <w:tbl>
      <w:tblPr>
        <w:tblStyle w:val="TableGrid"/>
        <w:tblW w:w="9396" w:type="dxa"/>
        <w:tblInd w:w="-422" w:type="dxa"/>
        <w:tblCellMar>
          <w:top w:w="10" w:type="dxa"/>
          <w:left w:w="0" w:type="dxa"/>
          <w:bottom w:w="0" w:type="dxa"/>
          <w:right w:w="0" w:type="dxa"/>
        </w:tblCellMar>
        <w:tblLook w:val="04A0" w:firstRow="1" w:lastRow="0" w:firstColumn="1" w:lastColumn="0" w:noHBand="0" w:noVBand="1"/>
      </w:tblPr>
      <w:tblGrid>
        <w:gridCol w:w="2130"/>
        <w:gridCol w:w="620"/>
        <w:gridCol w:w="826"/>
        <w:gridCol w:w="603"/>
        <w:gridCol w:w="604"/>
        <w:gridCol w:w="605"/>
        <w:gridCol w:w="603"/>
        <w:gridCol w:w="604"/>
        <w:gridCol w:w="608"/>
        <w:gridCol w:w="613"/>
        <w:gridCol w:w="1580"/>
      </w:tblGrid>
      <w:tr w:rsidR="0047564F">
        <w:trPr>
          <w:trHeight w:val="192"/>
        </w:trPr>
        <w:tc>
          <w:tcPr>
            <w:tcW w:w="2134" w:type="dxa"/>
            <w:vMerge w:val="restart"/>
            <w:tcBorders>
              <w:top w:val="nil"/>
              <w:left w:val="nil"/>
              <w:bottom w:val="single" w:sz="7" w:space="0" w:color="000000"/>
              <w:right w:val="nil"/>
            </w:tcBorders>
          </w:tcPr>
          <w:p w:rsidR="0047564F" w:rsidRDefault="0047564F"/>
        </w:tc>
        <w:tc>
          <w:tcPr>
            <w:tcW w:w="621" w:type="dxa"/>
            <w:vMerge w:val="restart"/>
            <w:tcBorders>
              <w:top w:val="nil"/>
              <w:left w:val="nil"/>
              <w:bottom w:val="single" w:sz="7" w:space="0" w:color="000000"/>
              <w:right w:val="nil"/>
            </w:tcBorders>
            <w:vAlign w:val="bottom"/>
          </w:tcPr>
          <w:p w:rsidR="0047564F" w:rsidRDefault="0047564F"/>
        </w:tc>
        <w:tc>
          <w:tcPr>
            <w:tcW w:w="827" w:type="dxa"/>
            <w:tcBorders>
              <w:top w:val="single" w:sz="4" w:space="0" w:color="000000"/>
              <w:left w:val="single" w:sz="7" w:space="0" w:color="000000"/>
              <w:bottom w:val="single" w:sz="7" w:space="0" w:color="000000"/>
              <w:right w:val="single" w:sz="7" w:space="0" w:color="000000"/>
            </w:tcBorders>
            <w:shd w:val="clear" w:color="auto" w:fill="9BBB59"/>
          </w:tcPr>
          <w:p w:rsidR="0047564F" w:rsidRDefault="009856F0">
            <w:pPr>
              <w:spacing w:after="0"/>
              <w:ind w:left="35"/>
              <w:jc w:val="both"/>
            </w:pPr>
            <w:r>
              <w:rPr>
                <w:rFonts w:ascii="Arial" w:eastAsia="Arial" w:hAnsi="Arial" w:cs="Arial"/>
                <w:b/>
                <w:sz w:val="14"/>
              </w:rPr>
              <w:t>SEMANA-1</w:t>
            </w:r>
          </w:p>
        </w:tc>
        <w:tc>
          <w:tcPr>
            <w:tcW w:w="5814" w:type="dxa"/>
            <w:gridSpan w:val="8"/>
            <w:tcBorders>
              <w:top w:val="nil"/>
              <w:left w:val="single" w:sz="7" w:space="0" w:color="000000"/>
              <w:bottom w:val="nil"/>
              <w:right w:val="nil"/>
            </w:tcBorders>
          </w:tcPr>
          <w:p w:rsidR="0047564F" w:rsidRDefault="0047564F"/>
        </w:tc>
      </w:tr>
      <w:tr w:rsidR="0047564F">
        <w:trPr>
          <w:trHeight w:val="187"/>
        </w:trPr>
        <w:tc>
          <w:tcPr>
            <w:tcW w:w="0" w:type="auto"/>
            <w:vMerge/>
            <w:tcBorders>
              <w:top w:val="nil"/>
              <w:left w:val="nil"/>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827" w:type="dxa"/>
            <w:tcBorders>
              <w:top w:val="single" w:sz="7" w:space="0" w:color="000000"/>
              <w:left w:val="nil"/>
              <w:bottom w:val="single" w:sz="7" w:space="0" w:color="000000"/>
              <w:right w:val="single" w:sz="7" w:space="0" w:color="000000"/>
            </w:tcBorders>
          </w:tcPr>
          <w:p w:rsidR="0047564F" w:rsidRDefault="0047564F"/>
        </w:tc>
        <w:tc>
          <w:tcPr>
            <w:tcW w:w="603" w:type="dxa"/>
            <w:tcBorders>
              <w:top w:val="single" w:sz="7" w:space="0" w:color="000000"/>
              <w:left w:val="single" w:sz="7" w:space="0" w:color="000000"/>
              <w:bottom w:val="single" w:sz="7" w:space="0" w:color="000000"/>
              <w:right w:val="single" w:sz="4" w:space="0" w:color="000000"/>
            </w:tcBorders>
            <w:shd w:val="clear" w:color="auto" w:fill="8DB4E2"/>
          </w:tcPr>
          <w:p w:rsidR="0047564F" w:rsidRDefault="009856F0">
            <w:pPr>
              <w:spacing w:after="0"/>
              <w:ind w:left="60"/>
              <w:jc w:val="both"/>
            </w:pPr>
            <w:r>
              <w:rPr>
                <w:rFonts w:ascii="Arial" w:eastAsia="Arial" w:hAnsi="Arial" w:cs="Arial"/>
                <w:b/>
                <w:sz w:val="13"/>
              </w:rPr>
              <w:t xml:space="preserve">LUNES </w:t>
            </w:r>
          </w:p>
        </w:tc>
        <w:tc>
          <w:tcPr>
            <w:tcW w:w="604" w:type="dxa"/>
            <w:tcBorders>
              <w:top w:val="single" w:sz="7" w:space="0" w:color="000000"/>
              <w:left w:val="single" w:sz="4" w:space="0" w:color="000000"/>
              <w:bottom w:val="single" w:sz="7" w:space="0" w:color="000000"/>
              <w:right w:val="single" w:sz="4" w:space="0" w:color="000000"/>
            </w:tcBorders>
            <w:shd w:val="clear" w:color="auto" w:fill="8DB4E2"/>
          </w:tcPr>
          <w:p w:rsidR="0047564F" w:rsidRDefault="009856F0">
            <w:pPr>
              <w:spacing w:after="0"/>
              <w:ind w:left="8"/>
              <w:jc w:val="both"/>
            </w:pPr>
            <w:r>
              <w:rPr>
                <w:rFonts w:ascii="Arial" w:eastAsia="Arial" w:hAnsi="Arial" w:cs="Arial"/>
                <w:b/>
                <w:sz w:val="13"/>
              </w:rPr>
              <w:t xml:space="preserve">MARTES </w:t>
            </w:r>
          </w:p>
        </w:tc>
        <w:tc>
          <w:tcPr>
            <w:tcW w:w="605" w:type="dxa"/>
            <w:tcBorders>
              <w:top w:val="single" w:sz="7" w:space="0" w:color="000000"/>
              <w:left w:val="single" w:sz="4" w:space="0" w:color="000000"/>
              <w:bottom w:val="single" w:sz="7" w:space="0" w:color="000000"/>
              <w:right w:val="single" w:sz="4" w:space="0" w:color="000000"/>
            </w:tcBorders>
            <w:shd w:val="clear" w:color="auto" w:fill="8DB4E2"/>
          </w:tcPr>
          <w:p w:rsidR="0047564F" w:rsidRDefault="009856F0">
            <w:pPr>
              <w:spacing w:after="0"/>
              <w:ind w:left="17"/>
              <w:jc w:val="both"/>
            </w:pPr>
            <w:r>
              <w:rPr>
                <w:rFonts w:ascii="Arial" w:eastAsia="Arial" w:hAnsi="Arial" w:cs="Arial"/>
                <w:b/>
                <w:sz w:val="13"/>
              </w:rPr>
              <w:t>MIERCO.</w:t>
            </w:r>
          </w:p>
        </w:tc>
        <w:tc>
          <w:tcPr>
            <w:tcW w:w="603" w:type="dxa"/>
            <w:tcBorders>
              <w:top w:val="single" w:sz="7" w:space="0" w:color="000000"/>
              <w:left w:val="single" w:sz="4" w:space="0" w:color="000000"/>
              <w:bottom w:val="single" w:sz="7" w:space="0" w:color="000000"/>
              <w:right w:val="single" w:sz="4" w:space="0" w:color="000000"/>
            </w:tcBorders>
            <w:shd w:val="clear" w:color="auto" w:fill="8DB4E2"/>
          </w:tcPr>
          <w:p w:rsidR="0047564F" w:rsidRDefault="009856F0">
            <w:pPr>
              <w:spacing w:after="0"/>
              <w:ind w:left="51"/>
              <w:jc w:val="both"/>
            </w:pPr>
            <w:r>
              <w:rPr>
                <w:rFonts w:ascii="Arial" w:eastAsia="Arial" w:hAnsi="Arial" w:cs="Arial"/>
                <w:b/>
                <w:sz w:val="13"/>
              </w:rPr>
              <w:t>JUEVES</w:t>
            </w:r>
          </w:p>
        </w:tc>
        <w:tc>
          <w:tcPr>
            <w:tcW w:w="604" w:type="dxa"/>
            <w:tcBorders>
              <w:top w:val="single" w:sz="7" w:space="0" w:color="000000"/>
              <w:left w:val="single" w:sz="4" w:space="0" w:color="000000"/>
              <w:bottom w:val="single" w:sz="7" w:space="0" w:color="000000"/>
              <w:right w:val="single" w:sz="4" w:space="0" w:color="000000"/>
            </w:tcBorders>
            <w:shd w:val="clear" w:color="auto" w:fill="8DB4E2"/>
          </w:tcPr>
          <w:p w:rsidR="0047564F" w:rsidRDefault="009856F0">
            <w:pPr>
              <w:spacing w:after="0"/>
              <w:ind w:left="-1"/>
              <w:jc w:val="both"/>
            </w:pPr>
            <w:r>
              <w:rPr>
                <w:rFonts w:ascii="Arial" w:eastAsia="Arial" w:hAnsi="Arial" w:cs="Arial"/>
                <w:b/>
                <w:sz w:val="13"/>
              </w:rPr>
              <w:t xml:space="preserve">VIERNES </w:t>
            </w:r>
          </w:p>
        </w:tc>
        <w:tc>
          <w:tcPr>
            <w:tcW w:w="604" w:type="dxa"/>
            <w:tcBorders>
              <w:top w:val="single" w:sz="7" w:space="0" w:color="000000"/>
              <w:left w:val="single" w:sz="4" w:space="0" w:color="000000"/>
              <w:bottom w:val="single" w:sz="7" w:space="0" w:color="000000"/>
              <w:right w:val="single" w:sz="4" w:space="0" w:color="000000"/>
            </w:tcBorders>
            <w:shd w:val="clear" w:color="auto" w:fill="8DB4E2"/>
          </w:tcPr>
          <w:p w:rsidR="0047564F" w:rsidRDefault="009856F0">
            <w:pPr>
              <w:spacing w:after="0"/>
              <w:ind w:left="34"/>
              <w:jc w:val="both"/>
            </w:pPr>
            <w:r>
              <w:rPr>
                <w:rFonts w:ascii="Arial" w:eastAsia="Arial" w:hAnsi="Arial" w:cs="Arial"/>
                <w:b/>
                <w:sz w:val="13"/>
              </w:rPr>
              <w:t>SABADO</w:t>
            </w:r>
          </w:p>
        </w:tc>
        <w:tc>
          <w:tcPr>
            <w:tcW w:w="608" w:type="dxa"/>
            <w:tcBorders>
              <w:top w:val="single" w:sz="7" w:space="0" w:color="000000"/>
              <w:left w:val="single" w:sz="4" w:space="0" w:color="000000"/>
              <w:bottom w:val="single" w:sz="7" w:space="0" w:color="000000"/>
              <w:right w:val="nil"/>
            </w:tcBorders>
            <w:shd w:val="clear" w:color="auto" w:fill="8DB4E2"/>
          </w:tcPr>
          <w:p w:rsidR="0047564F" w:rsidRDefault="009856F0">
            <w:pPr>
              <w:spacing w:after="0"/>
              <w:ind w:left="-28" w:right="-26"/>
              <w:jc w:val="both"/>
            </w:pPr>
            <w:r>
              <w:rPr>
                <w:rFonts w:ascii="Arial" w:eastAsia="Arial" w:hAnsi="Arial" w:cs="Arial"/>
                <w:b/>
                <w:sz w:val="13"/>
              </w:rPr>
              <w:t>DOMINGO</w:t>
            </w:r>
          </w:p>
        </w:tc>
        <w:tc>
          <w:tcPr>
            <w:tcW w:w="1585" w:type="dxa"/>
            <w:tcBorders>
              <w:top w:val="nil"/>
              <w:left w:val="nil"/>
              <w:bottom w:val="single" w:sz="7" w:space="0" w:color="000000"/>
              <w:right w:val="nil"/>
            </w:tcBorders>
          </w:tcPr>
          <w:p w:rsidR="0047564F" w:rsidRDefault="0047564F"/>
        </w:tc>
      </w:tr>
      <w:tr w:rsidR="0047564F">
        <w:trPr>
          <w:trHeight w:val="195"/>
        </w:trPr>
        <w:tc>
          <w:tcPr>
            <w:tcW w:w="2134" w:type="dxa"/>
            <w:tcBorders>
              <w:top w:val="single" w:sz="7" w:space="0" w:color="000000"/>
              <w:left w:val="single" w:sz="4" w:space="0" w:color="000000"/>
              <w:bottom w:val="single" w:sz="7" w:space="0" w:color="000000"/>
              <w:right w:val="single" w:sz="7" w:space="0" w:color="000000"/>
            </w:tcBorders>
            <w:shd w:val="clear" w:color="auto" w:fill="BFBFBF"/>
          </w:tcPr>
          <w:p w:rsidR="0047564F" w:rsidRDefault="009856F0">
            <w:pPr>
              <w:spacing w:after="0"/>
              <w:ind w:left="30"/>
            </w:pPr>
            <w:r>
              <w:rPr>
                <w:rFonts w:ascii="Arial" w:eastAsia="Arial" w:hAnsi="Arial" w:cs="Arial"/>
                <w:b/>
                <w:sz w:val="14"/>
              </w:rPr>
              <w:t>Concepto</w:t>
            </w:r>
          </w:p>
        </w:tc>
        <w:tc>
          <w:tcPr>
            <w:tcW w:w="621"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ud.</w:t>
            </w:r>
          </w:p>
        </w:tc>
        <w:tc>
          <w:tcPr>
            <w:tcW w:w="827"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Precio</w:t>
            </w:r>
          </w:p>
        </w:tc>
        <w:tc>
          <w:tcPr>
            <w:tcW w:w="603" w:type="dxa"/>
            <w:tcBorders>
              <w:top w:val="single" w:sz="7" w:space="0" w:color="000000"/>
              <w:left w:val="single" w:sz="7" w:space="0" w:color="000000"/>
              <w:bottom w:val="single" w:sz="7" w:space="0" w:color="000000"/>
              <w:right w:val="single" w:sz="4" w:space="0" w:color="000000"/>
            </w:tcBorders>
            <w:shd w:val="clear" w:color="auto" w:fill="C5D9F1"/>
          </w:tcPr>
          <w:p w:rsidR="0047564F" w:rsidRDefault="009856F0">
            <w:pPr>
              <w:spacing w:after="0"/>
              <w:ind w:left="17"/>
              <w:jc w:val="center"/>
            </w:pPr>
            <w:r>
              <w:rPr>
                <w:rFonts w:ascii="Arial" w:eastAsia="Arial" w:hAnsi="Arial" w:cs="Arial"/>
                <w:sz w:val="13"/>
              </w:rPr>
              <w:t>28</w:t>
            </w:r>
          </w:p>
        </w:tc>
        <w:tc>
          <w:tcPr>
            <w:tcW w:w="604" w:type="dxa"/>
            <w:tcBorders>
              <w:top w:val="single" w:sz="7" w:space="0" w:color="000000"/>
              <w:left w:val="single" w:sz="4" w:space="0" w:color="000000"/>
              <w:bottom w:val="single" w:sz="7" w:space="0" w:color="000000"/>
              <w:right w:val="single" w:sz="4" w:space="0" w:color="000000"/>
            </w:tcBorders>
            <w:shd w:val="clear" w:color="auto" w:fill="C5D9F1"/>
          </w:tcPr>
          <w:p w:rsidR="0047564F" w:rsidRDefault="009856F0">
            <w:pPr>
              <w:spacing w:after="0"/>
              <w:ind w:left="18"/>
              <w:jc w:val="center"/>
            </w:pPr>
            <w:r>
              <w:rPr>
                <w:rFonts w:ascii="Arial" w:eastAsia="Arial" w:hAnsi="Arial" w:cs="Arial"/>
                <w:sz w:val="13"/>
              </w:rPr>
              <w:t>1</w:t>
            </w:r>
          </w:p>
        </w:tc>
        <w:tc>
          <w:tcPr>
            <w:tcW w:w="605" w:type="dxa"/>
            <w:tcBorders>
              <w:top w:val="single" w:sz="7" w:space="0" w:color="000000"/>
              <w:left w:val="single" w:sz="4" w:space="0" w:color="000000"/>
              <w:bottom w:val="single" w:sz="7" w:space="0" w:color="000000"/>
              <w:right w:val="single" w:sz="4" w:space="0" w:color="000000"/>
            </w:tcBorders>
            <w:shd w:val="clear" w:color="auto" w:fill="C5D9F1"/>
          </w:tcPr>
          <w:p w:rsidR="0047564F" w:rsidRDefault="009856F0">
            <w:pPr>
              <w:spacing w:after="0"/>
              <w:ind w:left="17"/>
              <w:jc w:val="center"/>
            </w:pPr>
            <w:r>
              <w:rPr>
                <w:rFonts w:ascii="Arial" w:eastAsia="Arial" w:hAnsi="Arial" w:cs="Arial"/>
                <w:sz w:val="13"/>
              </w:rPr>
              <w:t>2</w:t>
            </w:r>
          </w:p>
        </w:tc>
        <w:tc>
          <w:tcPr>
            <w:tcW w:w="603" w:type="dxa"/>
            <w:tcBorders>
              <w:top w:val="single" w:sz="7" w:space="0" w:color="000000"/>
              <w:left w:val="single" w:sz="4" w:space="0" w:color="000000"/>
              <w:bottom w:val="single" w:sz="7" w:space="0" w:color="000000"/>
              <w:right w:val="single" w:sz="4" w:space="0" w:color="000000"/>
            </w:tcBorders>
            <w:shd w:val="clear" w:color="auto" w:fill="C5D9F1"/>
          </w:tcPr>
          <w:p w:rsidR="0047564F" w:rsidRDefault="009856F0">
            <w:pPr>
              <w:spacing w:after="0"/>
              <w:ind w:left="17"/>
              <w:jc w:val="center"/>
            </w:pPr>
            <w:r>
              <w:rPr>
                <w:rFonts w:ascii="Arial" w:eastAsia="Arial" w:hAnsi="Arial" w:cs="Arial"/>
                <w:sz w:val="13"/>
              </w:rPr>
              <w:t>3</w:t>
            </w:r>
          </w:p>
        </w:tc>
        <w:tc>
          <w:tcPr>
            <w:tcW w:w="604" w:type="dxa"/>
            <w:tcBorders>
              <w:top w:val="single" w:sz="7" w:space="0" w:color="000000"/>
              <w:left w:val="single" w:sz="4" w:space="0" w:color="000000"/>
              <w:bottom w:val="single" w:sz="7" w:space="0" w:color="000000"/>
              <w:right w:val="single" w:sz="4" w:space="0" w:color="000000"/>
            </w:tcBorders>
            <w:shd w:val="clear" w:color="auto" w:fill="C5D9F1"/>
          </w:tcPr>
          <w:p w:rsidR="0047564F" w:rsidRDefault="009856F0">
            <w:pPr>
              <w:spacing w:after="0"/>
              <w:ind w:left="18"/>
              <w:jc w:val="center"/>
            </w:pPr>
            <w:r>
              <w:rPr>
                <w:rFonts w:ascii="Arial" w:eastAsia="Arial" w:hAnsi="Arial" w:cs="Arial"/>
                <w:sz w:val="13"/>
              </w:rPr>
              <w:t>4</w:t>
            </w:r>
          </w:p>
        </w:tc>
        <w:tc>
          <w:tcPr>
            <w:tcW w:w="604" w:type="dxa"/>
            <w:tcBorders>
              <w:top w:val="single" w:sz="7" w:space="0" w:color="000000"/>
              <w:left w:val="single" w:sz="4" w:space="0" w:color="000000"/>
              <w:bottom w:val="single" w:sz="7" w:space="0" w:color="000000"/>
              <w:right w:val="single" w:sz="4" w:space="0" w:color="000000"/>
            </w:tcBorders>
            <w:shd w:val="clear" w:color="auto" w:fill="C5D9F1"/>
          </w:tcPr>
          <w:p w:rsidR="0047564F" w:rsidRDefault="009856F0">
            <w:pPr>
              <w:spacing w:after="0"/>
              <w:ind w:left="18"/>
              <w:jc w:val="center"/>
            </w:pPr>
            <w:r>
              <w:rPr>
                <w:rFonts w:ascii="Arial" w:eastAsia="Arial" w:hAnsi="Arial" w:cs="Arial"/>
                <w:sz w:val="13"/>
              </w:rPr>
              <w:t>5</w:t>
            </w:r>
          </w:p>
        </w:tc>
        <w:tc>
          <w:tcPr>
            <w:tcW w:w="608" w:type="dxa"/>
            <w:tcBorders>
              <w:top w:val="single" w:sz="7" w:space="0" w:color="000000"/>
              <w:left w:val="single" w:sz="4" w:space="0" w:color="000000"/>
              <w:bottom w:val="single" w:sz="7" w:space="0" w:color="000000"/>
              <w:right w:val="single" w:sz="7" w:space="0" w:color="000000"/>
            </w:tcBorders>
            <w:shd w:val="clear" w:color="auto" w:fill="C5D9F1"/>
          </w:tcPr>
          <w:p w:rsidR="0047564F" w:rsidRDefault="009856F0">
            <w:pPr>
              <w:spacing w:after="0"/>
              <w:ind w:left="14"/>
              <w:jc w:val="center"/>
            </w:pPr>
            <w:r>
              <w:rPr>
                <w:rFonts w:ascii="Arial" w:eastAsia="Arial" w:hAnsi="Arial" w:cs="Arial"/>
                <w:sz w:val="13"/>
              </w:rPr>
              <w:t>6</w:t>
            </w:r>
          </w:p>
        </w:tc>
        <w:tc>
          <w:tcPr>
            <w:tcW w:w="1585" w:type="dxa"/>
            <w:tcBorders>
              <w:top w:val="single" w:sz="7" w:space="0" w:color="000000"/>
              <w:left w:val="single" w:sz="7" w:space="0" w:color="000000"/>
              <w:bottom w:val="single" w:sz="7" w:space="0" w:color="000000"/>
              <w:right w:val="nil"/>
            </w:tcBorders>
            <w:shd w:val="clear" w:color="auto" w:fill="538DD5"/>
          </w:tcPr>
          <w:p w:rsidR="0047564F" w:rsidRDefault="009856F0">
            <w:pPr>
              <w:spacing w:after="0"/>
              <w:ind w:left="21" w:right="-14"/>
              <w:jc w:val="both"/>
            </w:pPr>
            <w:r>
              <w:rPr>
                <w:rFonts w:ascii="Arial" w:eastAsia="Arial" w:hAnsi="Arial" w:cs="Arial"/>
                <w:sz w:val="13"/>
              </w:rPr>
              <w:t>SUBTOTAL POR SEMANA</w:t>
            </w:r>
          </w:p>
        </w:tc>
      </w:tr>
      <w:tr w:rsidR="0047564F">
        <w:trPr>
          <w:trHeight w:val="366"/>
        </w:trPr>
        <w:tc>
          <w:tcPr>
            <w:tcW w:w="2134" w:type="dxa"/>
            <w:tcBorders>
              <w:top w:val="single" w:sz="7" w:space="0" w:color="000000"/>
              <w:left w:val="single" w:sz="4" w:space="0" w:color="000000"/>
              <w:bottom w:val="nil"/>
              <w:right w:val="nil"/>
            </w:tcBorders>
          </w:tcPr>
          <w:p w:rsidR="0047564F" w:rsidRDefault="009856F0">
            <w:pPr>
              <w:spacing w:after="0"/>
              <w:ind w:left="30"/>
            </w:pPr>
            <w:r>
              <w:rPr>
                <w:rFonts w:ascii="Arial" w:eastAsia="Arial" w:hAnsi="Arial" w:cs="Arial"/>
                <w:sz w:val="14"/>
              </w:rPr>
              <w:t>Analíticas semanales de agua bruta</w:t>
            </w:r>
          </w:p>
        </w:tc>
        <w:tc>
          <w:tcPr>
            <w:tcW w:w="621" w:type="dxa"/>
            <w:tcBorders>
              <w:top w:val="single" w:sz="7" w:space="0" w:color="000000"/>
              <w:left w:val="nil"/>
              <w:bottom w:val="nil"/>
              <w:right w:val="nil"/>
            </w:tcBorders>
            <w:vAlign w:val="bottom"/>
          </w:tcPr>
          <w:p w:rsidR="0047564F" w:rsidRDefault="009856F0">
            <w:pPr>
              <w:spacing w:after="0"/>
              <w:ind w:left="21"/>
              <w:jc w:val="center"/>
            </w:pPr>
            <w:r>
              <w:rPr>
                <w:rFonts w:ascii="Arial" w:eastAsia="Arial" w:hAnsi="Arial" w:cs="Arial"/>
                <w:sz w:val="13"/>
              </w:rPr>
              <w:t>2</w:t>
            </w:r>
          </w:p>
        </w:tc>
        <w:tc>
          <w:tcPr>
            <w:tcW w:w="827" w:type="dxa"/>
            <w:tcBorders>
              <w:top w:val="single" w:sz="7" w:space="0" w:color="000000"/>
              <w:left w:val="nil"/>
              <w:bottom w:val="nil"/>
              <w:right w:val="nil"/>
            </w:tcBorders>
            <w:vAlign w:val="bottom"/>
          </w:tcPr>
          <w:p w:rsidR="0047564F" w:rsidRDefault="009856F0">
            <w:pPr>
              <w:spacing w:after="0"/>
              <w:ind w:left="71"/>
            </w:pPr>
            <w:r>
              <w:rPr>
                <w:rFonts w:ascii="Arial" w:eastAsia="Arial" w:hAnsi="Arial" w:cs="Arial"/>
                <w:sz w:val="13"/>
              </w:rPr>
              <w:t xml:space="preserve">      249,39 €</w:t>
            </w:r>
          </w:p>
        </w:tc>
        <w:tc>
          <w:tcPr>
            <w:tcW w:w="4228" w:type="dxa"/>
            <w:gridSpan w:val="7"/>
            <w:tcBorders>
              <w:top w:val="single" w:sz="7" w:space="0" w:color="000000"/>
              <w:left w:val="nil"/>
              <w:bottom w:val="nil"/>
              <w:right w:val="single" w:sz="7" w:space="0" w:color="000000"/>
            </w:tcBorders>
          </w:tcPr>
          <w:p w:rsidR="0047564F" w:rsidRDefault="0047564F"/>
        </w:tc>
        <w:tc>
          <w:tcPr>
            <w:tcW w:w="1585" w:type="dxa"/>
            <w:tcBorders>
              <w:top w:val="single" w:sz="7" w:space="0" w:color="000000"/>
              <w:left w:val="single" w:sz="7" w:space="0" w:color="000000"/>
              <w:bottom w:val="nil"/>
              <w:right w:val="single" w:sz="7" w:space="0" w:color="000000"/>
            </w:tcBorders>
            <w:vAlign w:val="center"/>
          </w:tcPr>
          <w:p w:rsidR="0047564F" w:rsidRDefault="009856F0">
            <w:pPr>
              <w:spacing w:after="0"/>
              <w:ind w:left="65"/>
            </w:pPr>
            <w:r>
              <w:rPr>
                <w:rFonts w:ascii="Arial" w:eastAsia="Arial" w:hAnsi="Arial" w:cs="Arial"/>
                <w:sz w:val="13"/>
              </w:rPr>
              <w:t xml:space="preserve">                            498,78 €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Analíticas semanales de fango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196,41 €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392,82 €</w:t>
            </w:r>
          </w:p>
        </w:tc>
      </w:tr>
      <w:tr w:rsidR="0047564F">
        <w:trPr>
          <w:trHeight w:val="177"/>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Toma de muestra agua bruta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Toma de muestra fangos</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290"/>
        </w:trPr>
        <w:tc>
          <w:tcPr>
            <w:tcW w:w="2134" w:type="dxa"/>
            <w:vMerge w:val="restart"/>
            <w:tcBorders>
              <w:top w:val="nil"/>
              <w:left w:val="single" w:sz="4" w:space="0" w:color="000000"/>
              <w:bottom w:val="nil"/>
              <w:right w:val="nil"/>
            </w:tcBorders>
          </w:tcPr>
          <w:p w:rsidR="0047564F" w:rsidRDefault="009856F0">
            <w:pPr>
              <w:spacing w:after="1"/>
              <w:ind w:left="30"/>
            </w:pPr>
            <w:r>
              <w:rPr>
                <w:rFonts w:ascii="Arial" w:eastAsia="Arial" w:hAnsi="Arial" w:cs="Arial"/>
                <w:sz w:val="14"/>
              </w:rPr>
              <w:t>Personal en planta</w:t>
            </w:r>
          </w:p>
          <w:p w:rsidR="0047564F" w:rsidRDefault="009856F0">
            <w:pPr>
              <w:spacing w:after="0"/>
              <w:ind w:left="30"/>
            </w:pPr>
            <w:r>
              <w:rPr>
                <w:rFonts w:ascii="Arial" w:eastAsia="Arial" w:hAnsi="Arial" w:cs="Arial"/>
                <w:sz w:val="14"/>
              </w:rPr>
              <w:t xml:space="preserve">M3 Caudal de aguas </w:t>
            </w:r>
          </w:p>
        </w:tc>
        <w:tc>
          <w:tcPr>
            <w:tcW w:w="621" w:type="dxa"/>
            <w:vMerge w:val="restart"/>
            <w:tcBorders>
              <w:top w:val="nil"/>
              <w:left w:val="nil"/>
              <w:bottom w:val="nil"/>
              <w:right w:val="nil"/>
            </w:tcBorders>
          </w:tcPr>
          <w:p w:rsidR="0047564F" w:rsidRDefault="009856F0">
            <w:pPr>
              <w:spacing w:after="12"/>
              <w:ind w:left="21"/>
              <w:jc w:val="center"/>
            </w:pPr>
            <w:r>
              <w:rPr>
                <w:rFonts w:ascii="Arial" w:eastAsia="Arial" w:hAnsi="Arial" w:cs="Arial"/>
                <w:sz w:val="13"/>
              </w:rPr>
              <w:t>45</w:t>
            </w:r>
          </w:p>
          <w:p w:rsidR="0047564F" w:rsidRDefault="009856F0">
            <w:pPr>
              <w:spacing w:after="0"/>
              <w:ind w:left="21"/>
              <w:jc w:val="center"/>
            </w:pPr>
            <w:r>
              <w:rPr>
                <w:rFonts w:ascii="Arial" w:eastAsia="Arial" w:hAnsi="Arial" w:cs="Arial"/>
                <w:sz w:val="13"/>
              </w:rPr>
              <w:t>525</w:t>
            </w:r>
          </w:p>
        </w:tc>
        <w:tc>
          <w:tcPr>
            <w:tcW w:w="827" w:type="dxa"/>
            <w:vMerge w:val="restart"/>
            <w:tcBorders>
              <w:top w:val="nil"/>
              <w:left w:val="nil"/>
              <w:bottom w:val="nil"/>
              <w:right w:val="nil"/>
            </w:tcBorders>
          </w:tcPr>
          <w:p w:rsidR="0047564F" w:rsidRDefault="009856F0">
            <w:pPr>
              <w:spacing w:after="24"/>
              <w:ind w:left="71"/>
            </w:pPr>
            <w:r>
              <w:rPr>
                <w:rFonts w:ascii="Arial" w:eastAsia="Arial" w:hAnsi="Arial" w:cs="Arial"/>
                <w:sz w:val="13"/>
              </w:rPr>
              <w:t xml:space="preserve">        25,01 €</w:t>
            </w:r>
          </w:p>
          <w:p w:rsidR="0047564F" w:rsidRDefault="009856F0">
            <w:pPr>
              <w:spacing w:after="0"/>
              <w:ind w:left="71"/>
            </w:pPr>
            <w:r>
              <w:rPr>
                <w:rFonts w:ascii="Arial" w:eastAsia="Arial" w:hAnsi="Arial" w:cs="Arial"/>
                <w:sz w:val="13"/>
              </w:rPr>
              <w:t xml:space="preserve">          1,10 €</w:t>
            </w:r>
          </w:p>
        </w:tc>
        <w:tc>
          <w:tcPr>
            <w:tcW w:w="4228" w:type="dxa"/>
            <w:gridSpan w:val="7"/>
            <w:vMerge w:val="restart"/>
            <w:tcBorders>
              <w:top w:val="nil"/>
              <w:left w:val="nil"/>
              <w:bottom w:val="nil"/>
              <w:right w:val="single" w:sz="7" w:space="0" w:color="000000"/>
            </w:tcBorders>
          </w:tcPr>
          <w:p w:rsidR="0047564F" w:rsidRDefault="009856F0">
            <w:pPr>
              <w:tabs>
                <w:tab w:val="center" w:pos="2724"/>
                <w:tab w:val="center" w:pos="3328"/>
                <w:tab w:val="center" w:pos="3931"/>
              </w:tabs>
              <w:spacing w:after="17"/>
            </w:pPr>
            <w:r>
              <w:tab/>
            </w:r>
            <w:r>
              <w:rPr>
                <w:rFonts w:ascii="Arial" w:eastAsia="Arial" w:hAnsi="Arial" w:cs="Arial"/>
                <w:sz w:val="13"/>
              </w:rPr>
              <w:t>15</w:t>
            </w:r>
            <w:r>
              <w:rPr>
                <w:rFonts w:ascii="Arial" w:eastAsia="Arial" w:hAnsi="Arial" w:cs="Arial"/>
                <w:sz w:val="13"/>
              </w:rPr>
              <w:tab/>
              <w:t>15</w:t>
            </w:r>
            <w:r>
              <w:rPr>
                <w:rFonts w:ascii="Arial" w:eastAsia="Arial" w:hAnsi="Arial" w:cs="Arial"/>
                <w:sz w:val="13"/>
              </w:rPr>
              <w:tab/>
              <w:t>15</w:t>
            </w:r>
          </w:p>
          <w:p w:rsidR="0047564F" w:rsidRDefault="009856F0">
            <w:pPr>
              <w:tabs>
                <w:tab w:val="center" w:pos="2724"/>
                <w:tab w:val="center" w:pos="3328"/>
                <w:tab w:val="center" w:pos="3931"/>
              </w:tabs>
              <w:spacing w:after="0"/>
            </w:pPr>
            <w:r>
              <w:tab/>
            </w:r>
            <w:r>
              <w:rPr>
                <w:rFonts w:ascii="Arial" w:eastAsia="Arial" w:hAnsi="Arial" w:cs="Arial"/>
                <w:sz w:val="13"/>
              </w:rPr>
              <w:t>175</w:t>
            </w:r>
            <w:r>
              <w:rPr>
                <w:rFonts w:ascii="Arial" w:eastAsia="Arial" w:hAnsi="Arial" w:cs="Arial"/>
                <w:sz w:val="13"/>
              </w:rPr>
              <w:tab/>
              <w:t>175</w:t>
            </w:r>
            <w:r>
              <w:rPr>
                <w:rFonts w:ascii="Arial" w:eastAsia="Arial" w:hAnsi="Arial" w:cs="Arial"/>
                <w:sz w:val="13"/>
              </w:rPr>
              <w:tab/>
              <w:t>175</w:t>
            </w:r>
          </w:p>
        </w:tc>
        <w:tc>
          <w:tcPr>
            <w:tcW w:w="1585" w:type="dxa"/>
            <w:vMerge w:val="restart"/>
            <w:tcBorders>
              <w:top w:val="nil"/>
              <w:left w:val="single" w:sz="7" w:space="0" w:color="000000"/>
              <w:bottom w:val="nil"/>
              <w:right w:val="single" w:sz="7" w:space="0" w:color="000000"/>
            </w:tcBorders>
          </w:tcPr>
          <w:p w:rsidR="0047564F" w:rsidRDefault="009856F0">
            <w:pPr>
              <w:spacing w:after="20"/>
              <w:ind w:left="65"/>
            </w:pPr>
            <w:r>
              <w:rPr>
                <w:rFonts w:ascii="Arial" w:eastAsia="Arial" w:hAnsi="Arial" w:cs="Arial"/>
                <w:sz w:val="13"/>
              </w:rPr>
              <w:t xml:space="preserve">                         </w:t>
            </w:r>
            <w:r>
              <w:rPr>
                <w:rFonts w:ascii="Arial" w:eastAsia="Arial" w:hAnsi="Arial" w:cs="Arial"/>
                <w:sz w:val="13"/>
              </w:rPr>
              <w:t>1.125,45 €</w:t>
            </w:r>
          </w:p>
          <w:p w:rsidR="0047564F" w:rsidRDefault="009856F0">
            <w:pPr>
              <w:spacing w:after="0"/>
              <w:ind w:left="65"/>
            </w:pPr>
            <w:r>
              <w:rPr>
                <w:rFonts w:ascii="Arial" w:eastAsia="Arial" w:hAnsi="Arial" w:cs="Arial"/>
                <w:sz w:val="13"/>
              </w:rPr>
              <w:t xml:space="preserve">                            577,50 €</w:t>
            </w:r>
          </w:p>
        </w:tc>
      </w:tr>
      <w:tr w:rsidR="0047564F">
        <w:trPr>
          <w:trHeight w:val="450"/>
        </w:trPr>
        <w:tc>
          <w:tcPr>
            <w:tcW w:w="0" w:type="auto"/>
            <w:vMerge/>
            <w:tcBorders>
              <w:top w:val="nil"/>
              <w:left w:val="single" w:sz="4" w:space="0" w:color="000000"/>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gridSpan w:val="7"/>
            <w:vMerge/>
            <w:tcBorders>
              <w:top w:val="nil"/>
              <w:left w:val="nil"/>
              <w:bottom w:val="nil"/>
              <w:right w:val="single" w:sz="7" w:space="0" w:color="000000"/>
            </w:tcBorders>
          </w:tcPr>
          <w:p w:rsidR="0047564F" w:rsidRDefault="0047564F"/>
        </w:tc>
        <w:tc>
          <w:tcPr>
            <w:tcW w:w="0" w:type="auto"/>
            <w:vMerge/>
            <w:tcBorders>
              <w:top w:val="nil"/>
              <w:left w:val="single" w:sz="7" w:space="0" w:color="000000"/>
              <w:bottom w:val="nil"/>
              <w:right w:val="single" w:sz="7" w:space="0" w:color="000000"/>
            </w:tcBorders>
          </w:tcPr>
          <w:p w:rsidR="0047564F" w:rsidRDefault="0047564F"/>
        </w:tc>
      </w:tr>
      <w:tr w:rsidR="0047564F">
        <w:trPr>
          <w:trHeight w:val="165"/>
        </w:trPr>
        <w:tc>
          <w:tcPr>
            <w:tcW w:w="2134" w:type="dxa"/>
            <w:vMerge w:val="restart"/>
            <w:tcBorders>
              <w:top w:val="nil"/>
              <w:left w:val="single" w:sz="4" w:space="0" w:color="000000"/>
              <w:bottom w:val="single" w:sz="7" w:space="0" w:color="000000"/>
              <w:right w:val="nil"/>
            </w:tcBorders>
          </w:tcPr>
          <w:p w:rsidR="0047564F" w:rsidRDefault="009856F0">
            <w:pPr>
              <w:spacing w:after="0"/>
              <w:ind w:left="30" w:right="944"/>
            </w:pPr>
            <w:r>
              <w:rPr>
                <w:rFonts w:ascii="Arial" w:eastAsia="Arial" w:hAnsi="Arial" w:cs="Arial"/>
                <w:sz w:val="14"/>
              </w:rPr>
              <w:t>Kg de fangos Cuba de 20 m3</w:t>
            </w:r>
          </w:p>
        </w:tc>
        <w:tc>
          <w:tcPr>
            <w:tcW w:w="621" w:type="dxa"/>
            <w:vMerge w:val="restart"/>
            <w:tcBorders>
              <w:top w:val="nil"/>
              <w:left w:val="nil"/>
              <w:bottom w:val="single" w:sz="7" w:space="0" w:color="000000"/>
              <w:right w:val="nil"/>
            </w:tcBorders>
          </w:tcPr>
          <w:p w:rsidR="0047564F" w:rsidRDefault="009856F0">
            <w:pPr>
              <w:spacing w:after="0"/>
              <w:jc w:val="center"/>
            </w:pPr>
            <w:r>
              <w:rPr>
                <w:rFonts w:ascii="Arial" w:eastAsia="Arial" w:hAnsi="Arial" w:cs="Arial"/>
                <w:sz w:val="13"/>
              </w:rPr>
              <w:t>168,75 26,25</w:t>
            </w:r>
          </w:p>
        </w:tc>
        <w:tc>
          <w:tcPr>
            <w:tcW w:w="827" w:type="dxa"/>
            <w:vMerge w:val="restart"/>
            <w:tcBorders>
              <w:top w:val="nil"/>
              <w:left w:val="nil"/>
              <w:bottom w:val="single" w:sz="7" w:space="0" w:color="000000"/>
              <w:right w:val="nil"/>
            </w:tcBorders>
          </w:tcPr>
          <w:p w:rsidR="0047564F" w:rsidRDefault="009856F0">
            <w:pPr>
              <w:spacing w:after="29"/>
              <w:ind w:left="71"/>
            </w:pPr>
            <w:r>
              <w:rPr>
                <w:rFonts w:ascii="Arial" w:eastAsia="Arial" w:hAnsi="Arial" w:cs="Arial"/>
                <w:sz w:val="13"/>
              </w:rPr>
              <w:t xml:space="preserve">          0,83 €</w:t>
            </w:r>
          </w:p>
          <w:p w:rsidR="0047564F" w:rsidRDefault="009856F0">
            <w:pPr>
              <w:spacing w:after="0"/>
              <w:ind w:left="71"/>
            </w:pPr>
            <w:r>
              <w:rPr>
                <w:rFonts w:ascii="Arial" w:eastAsia="Arial" w:hAnsi="Arial" w:cs="Arial"/>
                <w:sz w:val="13"/>
              </w:rPr>
              <w:t xml:space="preserve">      420,00 €</w:t>
            </w:r>
          </w:p>
        </w:tc>
        <w:tc>
          <w:tcPr>
            <w:tcW w:w="4228" w:type="dxa"/>
            <w:gridSpan w:val="7"/>
            <w:tcBorders>
              <w:top w:val="nil"/>
              <w:left w:val="nil"/>
              <w:bottom w:val="nil"/>
              <w:right w:val="single" w:sz="7" w:space="0" w:color="000000"/>
            </w:tcBorders>
          </w:tcPr>
          <w:p w:rsidR="0047564F" w:rsidRDefault="009856F0">
            <w:pPr>
              <w:tabs>
                <w:tab w:val="center" w:pos="2724"/>
                <w:tab w:val="center" w:pos="3328"/>
                <w:tab w:val="right" w:pos="4228"/>
              </w:tabs>
              <w:spacing w:after="0"/>
            </w:pPr>
            <w:r>
              <w:tab/>
            </w:r>
            <w:r>
              <w:rPr>
                <w:rFonts w:ascii="Arial" w:eastAsia="Arial" w:hAnsi="Arial" w:cs="Arial"/>
                <w:sz w:val="13"/>
              </w:rPr>
              <w:t>56,25</w:t>
            </w:r>
            <w:r>
              <w:rPr>
                <w:rFonts w:ascii="Arial" w:eastAsia="Arial" w:hAnsi="Arial" w:cs="Arial"/>
                <w:sz w:val="13"/>
              </w:rPr>
              <w:tab/>
              <w:t>56,25</w:t>
            </w:r>
            <w:r>
              <w:rPr>
                <w:rFonts w:ascii="Arial" w:eastAsia="Arial" w:hAnsi="Arial" w:cs="Arial"/>
                <w:sz w:val="13"/>
              </w:rPr>
              <w:tab/>
              <w:t>56,25</w:t>
            </w:r>
          </w:p>
        </w:tc>
        <w:tc>
          <w:tcPr>
            <w:tcW w:w="1585" w:type="dxa"/>
            <w:vMerge w:val="restart"/>
            <w:tcBorders>
              <w:top w:val="nil"/>
              <w:left w:val="single" w:sz="7" w:space="0" w:color="000000"/>
              <w:bottom w:val="single" w:sz="7" w:space="0" w:color="000000"/>
              <w:right w:val="single" w:sz="7" w:space="0" w:color="000000"/>
            </w:tcBorders>
          </w:tcPr>
          <w:p w:rsidR="0047564F" w:rsidRDefault="009856F0">
            <w:pPr>
              <w:spacing w:after="32"/>
              <w:ind w:left="65"/>
            </w:pPr>
            <w:r>
              <w:rPr>
                <w:rFonts w:ascii="Arial" w:eastAsia="Arial" w:hAnsi="Arial" w:cs="Arial"/>
                <w:sz w:val="13"/>
              </w:rPr>
              <w:t xml:space="preserve">                            140,06 €</w:t>
            </w:r>
          </w:p>
          <w:p w:rsidR="0047564F" w:rsidRDefault="009856F0">
            <w:pPr>
              <w:spacing w:after="0"/>
              <w:ind w:left="65"/>
            </w:pPr>
            <w:r>
              <w:rPr>
                <w:rFonts w:ascii="Arial" w:eastAsia="Arial" w:hAnsi="Arial" w:cs="Arial"/>
                <w:sz w:val="13"/>
              </w:rPr>
              <w:t xml:space="preserve">                       11.025,00 €</w:t>
            </w:r>
          </w:p>
        </w:tc>
      </w:tr>
      <w:tr w:rsidR="0047564F">
        <w:trPr>
          <w:trHeight w:val="188"/>
        </w:trPr>
        <w:tc>
          <w:tcPr>
            <w:tcW w:w="0" w:type="auto"/>
            <w:vMerge/>
            <w:tcBorders>
              <w:top w:val="nil"/>
              <w:left w:val="single" w:sz="4" w:space="0" w:color="000000"/>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1811" w:type="dxa"/>
            <w:gridSpan w:val="3"/>
            <w:tcBorders>
              <w:top w:val="nil"/>
              <w:left w:val="nil"/>
              <w:bottom w:val="single" w:sz="7" w:space="0" w:color="000000"/>
              <w:right w:val="nil"/>
            </w:tcBorders>
            <w:shd w:val="clear" w:color="auto" w:fill="DA9694"/>
          </w:tcPr>
          <w:p w:rsidR="0047564F" w:rsidRDefault="009856F0">
            <w:pPr>
              <w:spacing w:after="0"/>
              <w:ind w:left="34"/>
              <w:jc w:val="both"/>
            </w:pPr>
            <w:r>
              <w:rPr>
                <w:rFonts w:ascii="Arial" w:eastAsia="Arial" w:hAnsi="Arial" w:cs="Arial"/>
                <w:sz w:val="13"/>
              </w:rPr>
              <w:t>6 CUBAS 6 CUBAS 4 CUBAS</w:t>
            </w:r>
          </w:p>
        </w:tc>
        <w:tc>
          <w:tcPr>
            <w:tcW w:w="2418" w:type="dxa"/>
            <w:gridSpan w:val="4"/>
            <w:tcBorders>
              <w:top w:val="nil"/>
              <w:left w:val="nil"/>
              <w:bottom w:val="single" w:sz="7" w:space="0" w:color="000000"/>
              <w:right w:val="single" w:sz="7" w:space="0" w:color="000000"/>
            </w:tcBorders>
          </w:tcPr>
          <w:p w:rsidR="0047564F" w:rsidRDefault="009856F0">
            <w:pPr>
              <w:tabs>
                <w:tab w:val="center" w:pos="913"/>
                <w:tab w:val="center" w:pos="1517"/>
                <w:tab w:val="center" w:pos="2121"/>
              </w:tabs>
              <w:spacing w:after="0"/>
            </w:pPr>
            <w:r>
              <w:tab/>
            </w:r>
            <w:r>
              <w:rPr>
                <w:rFonts w:ascii="Arial" w:eastAsia="Arial" w:hAnsi="Arial" w:cs="Arial"/>
                <w:sz w:val="13"/>
              </w:rPr>
              <w:t>8,75</w:t>
            </w:r>
            <w:r>
              <w:rPr>
                <w:rFonts w:ascii="Arial" w:eastAsia="Arial" w:hAnsi="Arial" w:cs="Arial"/>
                <w:sz w:val="13"/>
              </w:rPr>
              <w:tab/>
              <w:t>8,75</w:t>
            </w:r>
            <w:r>
              <w:rPr>
                <w:rFonts w:ascii="Arial" w:eastAsia="Arial" w:hAnsi="Arial" w:cs="Arial"/>
                <w:sz w:val="13"/>
              </w:rPr>
              <w:tab/>
              <w:t>8,75</w:t>
            </w:r>
          </w:p>
        </w:tc>
        <w:tc>
          <w:tcPr>
            <w:tcW w:w="0" w:type="auto"/>
            <w:vMerge/>
            <w:tcBorders>
              <w:top w:val="nil"/>
              <w:left w:val="single" w:sz="7" w:space="0" w:color="000000"/>
              <w:bottom w:val="single" w:sz="7" w:space="0" w:color="000000"/>
              <w:right w:val="single" w:sz="7" w:space="0" w:color="000000"/>
            </w:tcBorders>
          </w:tcPr>
          <w:p w:rsidR="0047564F" w:rsidRDefault="0047564F"/>
        </w:tc>
      </w:tr>
      <w:tr w:rsidR="0047564F">
        <w:trPr>
          <w:trHeight w:val="186"/>
        </w:trPr>
        <w:tc>
          <w:tcPr>
            <w:tcW w:w="2134" w:type="dxa"/>
            <w:vMerge w:val="restart"/>
            <w:tcBorders>
              <w:top w:val="single" w:sz="7" w:space="0" w:color="000000"/>
              <w:left w:val="nil"/>
              <w:bottom w:val="single" w:sz="7" w:space="0" w:color="000000"/>
              <w:right w:val="nil"/>
            </w:tcBorders>
          </w:tcPr>
          <w:p w:rsidR="0047564F" w:rsidRDefault="0047564F"/>
        </w:tc>
        <w:tc>
          <w:tcPr>
            <w:tcW w:w="621" w:type="dxa"/>
            <w:vMerge w:val="restart"/>
            <w:tcBorders>
              <w:top w:val="single" w:sz="7" w:space="0" w:color="000000"/>
              <w:left w:val="nil"/>
              <w:bottom w:val="single" w:sz="7" w:space="0" w:color="000000"/>
              <w:right w:val="nil"/>
            </w:tcBorders>
          </w:tcPr>
          <w:p w:rsidR="0047564F" w:rsidRDefault="0047564F"/>
        </w:tc>
        <w:tc>
          <w:tcPr>
            <w:tcW w:w="827" w:type="dxa"/>
            <w:tcBorders>
              <w:top w:val="single" w:sz="7" w:space="0" w:color="000000"/>
              <w:left w:val="nil"/>
              <w:bottom w:val="single" w:sz="7" w:space="0" w:color="000000"/>
              <w:right w:val="nil"/>
            </w:tcBorders>
          </w:tcPr>
          <w:p w:rsidR="0047564F" w:rsidRDefault="0047564F"/>
        </w:tc>
        <w:tc>
          <w:tcPr>
            <w:tcW w:w="4228" w:type="dxa"/>
            <w:gridSpan w:val="7"/>
            <w:vMerge w:val="restart"/>
            <w:tcBorders>
              <w:top w:val="single" w:sz="7" w:space="0" w:color="000000"/>
              <w:left w:val="nil"/>
              <w:bottom w:val="single" w:sz="7" w:space="0" w:color="000000"/>
              <w:right w:val="nil"/>
            </w:tcBorders>
          </w:tcPr>
          <w:p w:rsidR="0047564F" w:rsidRDefault="0047564F"/>
        </w:tc>
        <w:tc>
          <w:tcPr>
            <w:tcW w:w="158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65"/>
            </w:pPr>
            <w:r>
              <w:rPr>
                <w:rFonts w:ascii="Arial" w:eastAsia="Arial" w:hAnsi="Arial" w:cs="Arial"/>
                <w:b/>
                <w:sz w:val="13"/>
              </w:rPr>
              <w:t xml:space="preserve">                       13.902,21 €</w:t>
            </w:r>
          </w:p>
        </w:tc>
      </w:tr>
      <w:tr w:rsidR="0047564F">
        <w:trPr>
          <w:trHeight w:val="195"/>
        </w:trPr>
        <w:tc>
          <w:tcPr>
            <w:tcW w:w="0" w:type="auto"/>
            <w:vMerge/>
            <w:tcBorders>
              <w:top w:val="nil"/>
              <w:left w:val="nil"/>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827" w:type="dxa"/>
            <w:tcBorders>
              <w:top w:val="single" w:sz="7" w:space="0" w:color="000000"/>
              <w:left w:val="single" w:sz="7" w:space="0" w:color="000000"/>
              <w:bottom w:val="single" w:sz="7" w:space="0" w:color="000000"/>
              <w:right w:val="single" w:sz="7" w:space="0" w:color="000000"/>
            </w:tcBorders>
            <w:shd w:val="clear" w:color="auto" w:fill="9BBB59"/>
          </w:tcPr>
          <w:p w:rsidR="0047564F" w:rsidRDefault="009856F0">
            <w:pPr>
              <w:spacing w:after="0"/>
              <w:ind w:left="35"/>
              <w:jc w:val="both"/>
            </w:pPr>
            <w:r>
              <w:rPr>
                <w:rFonts w:ascii="Arial" w:eastAsia="Arial" w:hAnsi="Arial" w:cs="Arial"/>
                <w:b/>
                <w:sz w:val="14"/>
              </w:rPr>
              <w:t>SEMANA-2</w:t>
            </w:r>
          </w:p>
        </w:tc>
        <w:tc>
          <w:tcPr>
            <w:tcW w:w="0" w:type="auto"/>
            <w:gridSpan w:val="7"/>
            <w:vMerge/>
            <w:tcBorders>
              <w:top w:val="nil"/>
              <w:left w:val="nil"/>
              <w:bottom w:val="single" w:sz="7" w:space="0" w:color="000000"/>
              <w:right w:val="nil"/>
            </w:tcBorders>
          </w:tcPr>
          <w:p w:rsidR="0047564F" w:rsidRDefault="0047564F"/>
        </w:tc>
        <w:tc>
          <w:tcPr>
            <w:tcW w:w="1585" w:type="dxa"/>
            <w:tcBorders>
              <w:top w:val="single" w:sz="7" w:space="0" w:color="000000"/>
              <w:left w:val="nil"/>
              <w:bottom w:val="single" w:sz="7" w:space="0" w:color="000000"/>
              <w:right w:val="nil"/>
            </w:tcBorders>
          </w:tcPr>
          <w:p w:rsidR="0047564F" w:rsidRDefault="0047564F"/>
        </w:tc>
      </w:tr>
      <w:tr w:rsidR="0047564F">
        <w:trPr>
          <w:trHeight w:val="195"/>
        </w:trPr>
        <w:tc>
          <w:tcPr>
            <w:tcW w:w="2134" w:type="dxa"/>
            <w:tcBorders>
              <w:top w:val="single" w:sz="7" w:space="0" w:color="000000"/>
              <w:left w:val="single" w:sz="4" w:space="0" w:color="000000"/>
              <w:bottom w:val="single" w:sz="7" w:space="0" w:color="000000"/>
              <w:right w:val="single" w:sz="7" w:space="0" w:color="000000"/>
            </w:tcBorders>
            <w:shd w:val="clear" w:color="auto" w:fill="BFBFBF"/>
          </w:tcPr>
          <w:p w:rsidR="0047564F" w:rsidRDefault="009856F0">
            <w:pPr>
              <w:spacing w:after="0"/>
              <w:ind w:left="30"/>
            </w:pPr>
            <w:r>
              <w:rPr>
                <w:rFonts w:ascii="Arial" w:eastAsia="Arial" w:hAnsi="Arial" w:cs="Arial"/>
                <w:b/>
                <w:sz w:val="14"/>
              </w:rPr>
              <w:t>Concepto</w:t>
            </w:r>
          </w:p>
        </w:tc>
        <w:tc>
          <w:tcPr>
            <w:tcW w:w="621"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ud.</w:t>
            </w:r>
          </w:p>
        </w:tc>
        <w:tc>
          <w:tcPr>
            <w:tcW w:w="827"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Precio</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7</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8</w:t>
            </w:r>
          </w:p>
        </w:tc>
        <w:tc>
          <w:tcPr>
            <w:tcW w:w="60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9</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10</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11</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12</w:t>
            </w:r>
          </w:p>
        </w:tc>
        <w:tc>
          <w:tcPr>
            <w:tcW w:w="608"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4"/>
              <w:jc w:val="center"/>
            </w:pPr>
            <w:r>
              <w:rPr>
                <w:rFonts w:ascii="Arial" w:eastAsia="Arial" w:hAnsi="Arial" w:cs="Arial"/>
                <w:sz w:val="13"/>
              </w:rPr>
              <w:t>13</w:t>
            </w:r>
          </w:p>
        </w:tc>
        <w:tc>
          <w:tcPr>
            <w:tcW w:w="1585" w:type="dxa"/>
            <w:tcBorders>
              <w:top w:val="single" w:sz="7" w:space="0" w:color="000000"/>
              <w:left w:val="single" w:sz="7" w:space="0" w:color="000000"/>
              <w:bottom w:val="single" w:sz="7" w:space="0" w:color="000000"/>
              <w:right w:val="nil"/>
            </w:tcBorders>
            <w:shd w:val="clear" w:color="auto" w:fill="538DD5"/>
          </w:tcPr>
          <w:p w:rsidR="0047564F" w:rsidRDefault="009856F0">
            <w:pPr>
              <w:spacing w:after="0"/>
              <w:ind w:left="21" w:right="-14"/>
              <w:jc w:val="both"/>
            </w:pPr>
            <w:r>
              <w:rPr>
                <w:rFonts w:ascii="Arial" w:eastAsia="Arial" w:hAnsi="Arial" w:cs="Arial"/>
                <w:sz w:val="13"/>
              </w:rPr>
              <w:t>SUBTOTAL POR SEMANA</w:t>
            </w:r>
          </w:p>
        </w:tc>
      </w:tr>
      <w:tr w:rsidR="0047564F">
        <w:trPr>
          <w:trHeight w:val="365"/>
        </w:trPr>
        <w:tc>
          <w:tcPr>
            <w:tcW w:w="2134" w:type="dxa"/>
            <w:tcBorders>
              <w:top w:val="single" w:sz="7" w:space="0" w:color="000000"/>
              <w:left w:val="single" w:sz="4" w:space="0" w:color="000000"/>
              <w:bottom w:val="nil"/>
              <w:right w:val="nil"/>
            </w:tcBorders>
          </w:tcPr>
          <w:p w:rsidR="0047564F" w:rsidRDefault="009856F0">
            <w:pPr>
              <w:spacing w:after="0"/>
              <w:ind w:left="30"/>
            </w:pPr>
            <w:r>
              <w:rPr>
                <w:rFonts w:ascii="Arial" w:eastAsia="Arial" w:hAnsi="Arial" w:cs="Arial"/>
                <w:sz w:val="14"/>
              </w:rPr>
              <w:t>Analíticas semanales de agua bruta</w:t>
            </w:r>
          </w:p>
        </w:tc>
        <w:tc>
          <w:tcPr>
            <w:tcW w:w="621" w:type="dxa"/>
            <w:tcBorders>
              <w:top w:val="single" w:sz="7" w:space="0" w:color="000000"/>
              <w:left w:val="nil"/>
              <w:bottom w:val="nil"/>
              <w:right w:val="nil"/>
            </w:tcBorders>
            <w:vAlign w:val="bottom"/>
          </w:tcPr>
          <w:p w:rsidR="0047564F" w:rsidRDefault="009856F0">
            <w:pPr>
              <w:spacing w:after="0"/>
              <w:ind w:left="21"/>
              <w:jc w:val="center"/>
            </w:pPr>
            <w:r>
              <w:rPr>
                <w:rFonts w:ascii="Arial" w:eastAsia="Arial" w:hAnsi="Arial" w:cs="Arial"/>
                <w:sz w:val="13"/>
              </w:rPr>
              <w:t>2</w:t>
            </w:r>
          </w:p>
        </w:tc>
        <w:tc>
          <w:tcPr>
            <w:tcW w:w="827" w:type="dxa"/>
            <w:tcBorders>
              <w:top w:val="single" w:sz="7" w:space="0" w:color="000000"/>
              <w:left w:val="nil"/>
              <w:bottom w:val="nil"/>
              <w:right w:val="nil"/>
            </w:tcBorders>
            <w:vAlign w:val="bottom"/>
          </w:tcPr>
          <w:p w:rsidR="0047564F" w:rsidRDefault="009856F0">
            <w:pPr>
              <w:spacing w:after="0"/>
              <w:ind w:left="71"/>
            </w:pPr>
            <w:r>
              <w:rPr>
                <w:rFonts w:ascii="Arial" w:eastAsia="Arial" w:hAnsi="Arial" w:cs="Arial"/>
                <w:sz w:val="13"/>
              </w:rPr>
              <w:t xml:space="preserve">      249,39 €</w:t>
            </w:r>
          </w:p>
        </w:tc>
        <w:tc>
          <w:tcPr>
            <w:tcW w:w="4228" w:type="dxa"/>
            <w:gridSpan w:val="7"/>
            <w:tcBorders>
              <w:top w:val="single" w:sz="7" w:space="0" w:color="000000"/>
              <w:left w:val="nil"/>
              <w:bottom w:val="nil"/>
              <w:right w:val="single" w:sz="7" w:space="0" w:color="000000"/>
            </w:tcBorders>
          </w:tcPr>
          <w:p w:rsidR="0047564F" w:rsidRDefault="0047564F"/>
        </w:tc>
        <w:tc>
          <w:tcPr>
            <w:tcW w:w="1585" w:type="dxa"/>
            <w:tcBorders>
              <w:top w:val="single" w:sz="7" w:space="0" w:color="000000"/>
              <w:left w:val="single" w:sz="7" w:space="0" w:color="000000"/>
              <w:bottom w:val="nil"/>
              <w:right w:val="single" w:sz="7" w:space="0" w:color="000000"/>
            </w:tcBorders>
            <w:vAlign w:val="center"/>
          </w:tcPr>
          <w:p w:rsidR="0047564F" w:rsidRDefault="009856F0">
            <w:pPr>
              <w:spacing w:after="0"/>
              <w:ind w:left="65"/>
            </w:pPr>
            <w:r>
              <w:rPr>
                <w:rFonts w:ascii="Arial" w:eastAsia="Arial" w:hAnsi="Arial" w:cs="Arial"/>
                <w:sz w:val="13"/>
              </w:rPr>
              <w:t xml:space="preserve">                            498,78 €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Analíticas semanales de fango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196,41 €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392,82 €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Toma de muestra agua bruta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Toma de muestra fangos</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290"/>
        </w:trPr>
        <w:tc>
          <w:tcPr>
            <w:tcW w:w="2134" w:type="dxa"/>
            <w:vMerge w:val="restart"/>
            <w:tcBorders>
              <w:top w:val="nil"/>
              <w:left w:val="single" w:sz="4" w:space="0" w:color="000000"/>
              <w:bottom w:val="nil"/>
              <w:right w:val="nil"/>
            </w:tcBorders>
          </w:tcPr>
          <w:p w:rsidR="0047564F" w:rsidRDefault="009856F0">
            <w:pPr>
              <w:spacing w:after="1"/>
              <w:ind w:left="30"/>
            </w:pPr>
            <w:r>
              <w:rPr>
                <w:rFonts w:ascii="Arial" w:eastAsia="Arial" w:hAnsi="Arial" w:cs="Arial"/>
                <w:sz w:val="14"/>
              </w:rPr>
              <w:t>Personal en planta</w:t>
            </w:r>
          </w:p>
          <w:p w:rsidR="0047564F" w:rsidRDefault="009856F0">
            <w:pPr>
              <w:spacing w:after="0"/>
              <w:ind w:left="30"/>
            </w:pPr>
            <w:r>
              <w:rPr>
                <w:rFonts w:ascii="Arial" w:eastAsia="Arial" w:hAnsi="Arial" w:cs="Arial"/>
                <w:sz w:val="14"/>
              </w:rPr>
              <w:t xml:space="preserve">M3 Caudal de aguas </w:t>
            </w:r>
          </w:p>
        </w:tc>
        <w:tc>
          <w:tcPr>
            <w:tcW w:w="621" w:type="dxa"/>
            <w:vMerge w:val="restart"/>
            <w:tcBorders>
              <w:top w:val="nil"/>
              <w:left w:val="nil"/>
              <w:bottom w:val="nil"/>
              <w:right w:val="nil"/>
            </w:tcBorders>
          </w:tcPr>
          <w:p w:rsidR="0047564F" w:rsidRDefault="009856F0">
            <w:pPr>
              <w:spacing w:after="12"/>
              <w:ind w:left="21"/>
              <w:jc w:val="center"/>
            </w:pPr>
            <w:r>
              <w:rPr>
                <w:rFonts w:ascii="Arial" w:eastAsia="Arial" w:hAnsi="Arial" w:cs="Arial"/>
                <w:sz w:val="13"/>
              </w:rPr>
              <w:t>105</w:t>
            </w:r>
          </w:p>
          <w:p w:rsidR="0047564F" w:rsidRDefault="009856F0">
            <w:pPr>
              <w:spacing w:after="0"/>
              <w:ind w:left="20"/>
              <w:jc w:val="center"/>
            </w:pPr>
            <w:r>
              <w:rPr>
                <w:rFonts w:ascii="Arial" w:eastAsia="Arial" w:hAnsi="Arial" w:cs="Arial"/>
                <w:sz w:val="13"/>
              </w:rPr>
              <w:t>1470</w:t>
            </w:r>
          </w:p>
        </w:tc>
        <w:tc>
          <w:tcPr>
            <w:tcW w:w="827" w:type="dxa"/>
            <w:vMerge w:val="restart"/>
            <w:tcBorders>
              <w:top w:val="nil"/>
              <w:left w:val="nil"/>
              <w:bottom w:val="nil"/>
              <w:right w:val="nil"/>
            </w:tcBorders>
          </w:tcPr>
          <w:p w:rsidR="0047564F" w:rsidRDefault="009856F0">
            <w:pPr>
              <w:spacing w:after="24"/>
              <w:ind w:left="71"/>
            </w:pPr>
            <w:r>
              <w:rPr>
                <w:rFonts w:ascii="Arial" w:eastAsia="Arial" w:hAnsi="Arial" w:cs="Arial"/>
                <w:sz w:val="13"/>
              </w:rPr>
              <w:t xml:space="preserve">        25,01 €</w:t>
            </w:r>
          </w:p>
          <w:p w:rsidR="0047564F" w:rsidRDefault="009856F0">
            <w:pPr>
              <w:spacing w:after="0"/>
              <w:ind w:left="71"/>
            </w:pPr>
            <w:r>
              <w:rPr>
                <w:rFonts w:ascii="Arial" w:eastAsia="Arial" w:hAnsi="Arial" w:cs="Arial"/>
                <w:sz w:val="13"/>
              </w:rPr>
              <w:t xml:space="preserve">          1,10 €</w:t>
            </w:r>
          </w:p>
        </w:tc>
        <w:tc>
          <w:tcPr>
            <w:tcW w:w="4228" w:type="dxa"/>
            <w:gridSpan w:val="7"/>
            <w:vMerge w:val="restart"/>
            <w:tcBorders>
              <w:top w:val="nil"/>
              <w:left w:val="nil"/>
              <w:bottom w:val="nil"/>
              <w:right w:val="single" w:sz="7" w:space="0" w:color="000000"/>
            </w:tcBorders>
          </w:tcPr>
          <w:p w:rsidR="0047564F" w:rsidRDefault="009856F0">
            <w:pPr>
              <w:tabs>
                <w:tab w:val="center" w:pos="310"/>
                <w:tab w:val="center" w:pos="913"/>
                <w:tab w:val="center" w:pos="1517"/>
                <w:tab w:val="center" w:pos="2121"/>
                <w:tab w:val="center" w:pos="2724"/>
                <w:tab w:val="center" w:pos="3328"/>
                <w:tab w:val="center" w:pos="3931"/>
              </w:tabs>
              <w:spacing w:after="17"/>
            </w:pPr>
            <w:r>
              <w:tab/>
            </w:r>
            <w:r>
              <w:rPr>
                <w:rFonts w:ascii="Arial" w:eastAsia="Arial" w:hAnsi="Arial" w:cs="Arial"/>
                <w:sz w:val="13"/>
              </w:rPr>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p>
          <w:p w:rsidR="0047564F" w:rsidRDefault="009856F0">
            <w:pPr>
              <w:tabs>
                <w:tab w:val="center" w:pos="310"/>
                <w:tab w:val="center" w:pos="913"/>
                <w:tab w:val="center" w:pos="1517"/>
                <w:tab w:val="center" w:pos="2121"/>
                <w:tab w:val="center" w:pos="2724"/>
                <w:tab w:val="center" w:pos="3328"/>
                <w:tab w:val="center" w:pos="3931"/>
              </w:tabs>
              <w:spacing w:after="0"/>
            </w:pPr>
            <w:r>
              <w:tab/>
            </w:r>
            <w:r>
              <w:rPr>
                <w:rFonts w:ascii="Arial" w:eastAsia="Arial" w:hAnsi="Arial" w:cs="Arial"/>
                <w:sz w:val="13"/>
              </w:rPr>
              <w:t>210</w:t>
            </w:r>
            <w:r>
              <w:rPr>
                <w:rFonts w:ascii="Arial" w:eastAsia="Arial" w:hAnsi="Arial" w:cs="Arial"/>
                <w:sz w:val="13"/>
              </w:rPr>
              <w:tab/>
              <w:t>210</w:t>
            </w:r>
            <w:r>
              <w:rPr>
                <w:rFonts w:ascii="Arial" w:eastAsia="Arial" w:hAnsi="Arial" w:cs="Arial"/>
                <w:sz w:val="13"/>
              </w:rPr>
              <w:tab/>
              <w:t>210</w:t>
            </w:r>
            <w:r>
              <w:rPr>
                <w:rFonts w:ascii="Arial" w:eastAsia="Arial" w:hAnsi="Arial" w:cs="Arial"/>
                <w:sz w:val="13"/>
              </w:rPr>
              <w:tab/>
              <w:t>210</w:t>
            </w:r>
            <w:r>
              <w:rPr>
                <w:rFonts w:ascii="Arial" w:eastAsia="Arial" w:hAnsi="Arial" w:cs="Arial"/>
                <w:sz w:val="13"/>
              </w:rPr>
              <w:tab/>
              <w:t>210</w:t>
            </w:r>
            <w:r>
              <w:rPr>
                <w:rFonts w:ascii="Arial" w:eastAsia="Arial" w:hAnsi="Arial" w:cs="Arial"/>
                <w:sz w:val="13"/>
              </w:rPr>
              <w:tab/>
              <w:t>210</w:t>
            </w:r>
            <w:r>
              <w:rPr>
                <w:rFonts w:ascii="Arial" w:eastAsia="Arial" w:hAnsi="Arial" w:cs="Arial"/>
                <w:sz w:val="13"/>
              </w:rPr>
              <w:tab/>
              <w:t>210</w:t>
            </w:r>
          </w:p>
        </w:tc>
        <w:tc>
          <w:tcPr>
            <w:tcW w:w="1585" w:type="dxa"/>
            <w:vMerge w:val="restart"/>
            <w:tcBorders>
              <w:top w:val="nil"/>
              <w:left w:val="single" w:sz="7" w:space="0" w:color="000000"/>
              <w:bottom w:val="nil"/>
              <w:right w:val="single" w:sz="7" w:space="0" w:color="000000"/>
            </w:tcBorders>
          </w:tcPr>
          <w:p w:rsidR="0047564F" w:rsidRDefault="009856F0">
            <w:pPr>
              <w:spacing w:after="22"/>
              <w:ind w:left="65"/>
            </w:pPr>
            <w:r>
              <w:rPr>
                <w:rFonts w:ascii="Arial" w:eastAsia="Arial" w:hAnsi="Arial" w:cs="Arial"/>
                <w:sz w:val="13"/>
              </w:rPr>
              <w:t xml:space="preserve">                         2.626,05 €</w:t>
            </w:r>
          </w:p>
          <w:p w:rsidR="0047564F" w:rsidRDefault="009856F0">
            <w:pPr>
              <w:spacing w:after="0"/>
              <w:ind w:left="65"/>
            </w:pPr>
            <w:r>
              <w:rPr>
                <w:rFonts w:ascii="Arial" w:eastAsia="Arial" w:hAnsi="Arial" w:cs="Arial"/>
                <w:sz w:val="13"/>
              </w:rPr>
              <w:t xml:space="preserve">                         1.617,00 €</w:t>
            </w:r>
          </w:p>
        </w:tc>
      </w:tr>
      <w:tr w:rsidR="0047564F">
        <w:trPr>
          <w:trHeight w:val="450"/>
        </w:trPr>
        <w:tc>
          <w:tcPr>
            <w:tcW w:w="0" w:type="auto"/>
            <w:vMerge/>
            <w:tcBorders>
              <w:top w:val="nil"/>
              <w:left w:val="single" w:sz="4" w:space="0" w:color="000000"/>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gridSpan w:val="7"/>
            <w:vMerge/>
            <w:tcBorders>
              <w:top w:val="nil"/>
              <w:left w:val="nil"/>
              <w:bottom w:val="nil"/>
              <w:right w:val="single" w:sz="7" w:space="0" w:color="000000"/>
            </w:tcBorders>
          </w:tcPr>
          <w:p w:rsidR="0047564F" w:rsidRDefault="0047564F"/>
        </w:tc>
        <w:tc>
          <w:tcPr>
            <w:tcW w:w="0" w:type="auto"/>
            <w:vMerge/>
            <w:tcBorders>
              <w:top w:val="nil"/>
              <w:left w:val="single" w:sz="7" w:space="0" w:color="000000"/>
              <w:bottom w:val="nil"/>
              <w:right w:val="single" w:sz="7" w:space="0" w:color="000000"/>
            </w:tcBorders>
          </w:tcPr>
          <w:p w:rsidR="0047564F" w:rsidRDefault="0047564F"/>
        </w:tc>
      </w:tr>
      <w:tr w:rsidR="0047564F">
        <w:trPr>
          <w:trHeight w:val="177"/>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Kg de fangos</w:t>
            </w:r>
          </w:p>
        </w:tc>
        <w:tc>
          <w:tcPr>
            <w:tcW w:w="621" w:type="dxa"/>
            <w:tcBorders>
              <w:top w:val="nil"/>
              <w:left w:val="nil"/>
              <w:bottom w:val="nil"/>
              <w:right w:val="nil"/>
            </w:tcBorders>
          </w:tcPr>
          <w:p w:rsidR="0047564F" w:rsidRDefault="009856F0">
            <w:pPr>
              <w:spacing w:after="0"/>
              <w:ind w:left="124"/>
            </w:pPr>
            <w:r>
              <w:rPr>
                <w:rFonts w:ascii="Arial" w:eastAsia="Arial" w:hAnsi="Arial" w:cs="Arial"/>
                <w:sz w:val="13"/>
              </w:rPr>
              <w:t>393,75</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0,83 €</w:t>
            </w:r>
          </w:p>
        </w:tc>
        <w:tc>
          <w:tcPr>
            <w:tcW w:w="4228" w:type="dxa"/>
            <w:gridSpan w:val="7"/>
            <w:tcBorders>
              <w:top w:val="nil"/>
              <w:left w:val="nil"/>
              <w:bottom w:val="nil"/>
              <w:right w:val="single" w:sz="7" w:space="0" w:color="000000"/>
            </w:tcBorders>
          </w:tcPr>
          <w:p w:rsidR="0047564F" w:rsidRDefault="009856F0">
            <w:pPr>
              <w:tabs>
                <w:tab w:val="center" w:pos="913"/>
                <w:tab w:val="center" w:pos="1517"/>
                <w:tab w:val="center" w:pos="2121"/>
                <w:tab w:val="center" w:pos="2724"/>
                <w:tab w:val="center" w:pos="3328"/>
                <w:tab w:val="right" w:pos="4228"/>
              </w:tabs>
              <w:spacing w:after="0"/>
            </w:pPr>
            <w:r>
              <w:rPr>
                <w:rFonts w:ascii="Arial" w:eastAsia="Arial" w:hAnsi="Arial" w:cs="Arial"/>
                <w:sz w:val="13"/>
              </w:rPr>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p>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326,81 €</w:t>
            </w:r>
          </w:p>
        </w:tc>
      </w:tr>
      <w:tr w:rsidR="0047564F">
        <w:trPr>
          <w:trHeight w:val="174"/>
        </w:trPr>
        <w:tc>
          <w:tcPr>
            <w:tcW w:w="2134" w:type="dxa"/>
            <w:tcBorders>
              <w:top w:val="nil"/>
              <w:left w:val="single" w:sz="4" w:space="0" w:color="000000"/>
              <w:bottom w:val="single" w:sz="7" w:space="0" w:color="000000"/>
              <w:right w:val="nil"/>
            </w:tcBorders>
          </w:tcPr>
          <w:p w:rsidR="0047564F" w:rsidRDefault="009856F0">
            <w:pPr>
              <w:spacing w:after="0"/>
              <w:ind w:left="30"/>
            </w:pPr>
            <w:r>
              <w:rPr>
                <w:rFonts w:ascii="Arial" w:eastAsia="Arial" w:hAnsi="Arial" w:cs="Arial"/>
                <w:sz w:val="14"/>
              </w:rPr>
              <w:t>Cuba de 20 m3</w:t>
            </w:r>
          </w:p>
        </w:tc>
        <w:tc>
          <w:tcPr>
            <w:tcW w:w="621" w:type="dxa"/>
            <w:tcBorders>
              <w:top w:val="nil"/>
              <w:left w:val="nil"/>
              <w:bottom w:val="single" w:sz="7" w:space="0" w:color="000000"/>
              <w:right w:val="nil"/>
            </w:tcBorders>
          </w:tcPr>
          <w:p w:rsidR="0047564F" w:rsidRDefault="009856F0">
            <w:pPr>
              <w:spacing w:after="0"/>
              <w:ind w:left="20"/>
              <w:jc w:val="center"/>
            </w:pPr>
            <w:r>
              <w:rPr>
                <w:rFonts w:ascii="Arial" w:eastAsia="Arial" w:hAnsi="Arial" w:cs="Arial"/>
                <w:sz w:val="13"/>
              </w:rPr>
              <w:t>73,5</w:t>
            </w:r>
          </w:p>
        </w:tc>
        <w:tc>
          <w:tcPr>
            <w:tcW w:w="827" w:type="dxa"/>
            <w:tcBorders>
              <w:top w:val="nil"/>
              <w:left w:val="nil"/>
              <w:bottom w:val="single" w:sz="7" w:space="0" w:color="000000"/>
              <w:right w:val="nil"/>
            </w:tcBorders>
          </w:tcPr>
          <w:p w:rsidR="0047564F" w:rsidRDefault="009856F0">
            <w:pPr>
              <w:spacing w:after="0"/>
              <w:ind w:left="71"/>
            </w:pPr>
            <w:r>
              <w:rPr>
                <w:rFonts w:ascii="Arial" w:eastAsia="Arial" w:hAnsi="Arial" w:cs="Arial"/>
                <w:sz w:val="13"/>
              </w:rPr>
              <w:t xml:space="preserve">      420,00 €</w:t>
            </w:r>
          </w:p>
        </w:tc>
        <w:tc>
          <w:tcPr>
            <w:tcW w:w="4228" w:type="dxa"/>
            <w:gridSpan w:val="7"/>
            <w:tcBorders>
              <w:top w:val="nil"/>
              <w:left w:val="nil"/>
              <w:bottom w:val="single" w:sz="7" w:space="0" w:color="000000"/>
              <w:right w:val="single" w:sz="7" w:space="0" w:color="000000"/>
            </w:tcBorders>
          </w:tcPr>
          <w:p w:rsidR="0047564F" w:rsidRDefault="009856F0">
            <w:pPr>
              <w:tabs>
                <w:tab w:val="center" w:pos="310"/>
                <w:tab w:val="center" w:pos="913"/>
                <w:tab w:val="center" w:pos="1517"/>
                <w:tab w:val="center" w:pos="2121"/>
                <w:tab w:val="center" w:pos="2724"/>
                <w:tab w:val="center" w:pos="3328"/>
                <w:tab w:val="center" w:pos="3931"/>
              </w:tabs>
              <w:spacing w:after="0"/>
            </w:pPr>
            <w:r>
              <w:tab/>
            </w:r>
            <w:r>
              <w:rPr>
                <w:rFonts w:ascii="Arial" w:eastAsia="Arial" w:hAnsi="Arial" w:cs="Arial"/>
                <w:sz w:val="13"/>
              </w:rPr>
              <w:t>10,5</w:t>
            </w:r>
            <w:r>
              <w:rPr>
                <w:rFonts w:ascii="Arial" w:eastAsia="Arial" w:hAnsi="Arial" w:cs="Arial"/>
                <w:sz w:val="13"/>
              </w:rPr>
              <w:tab/>
              <w:t>10,5</w:t>
            </w:r>
            <w:r>
              <w:rPr>
                <w:rFonts w:ascii="Arial" w:eastAsia="Arial" w:hAnsi="Arial" w:cs="Arial"/>
                <w:sz w:val="13"/>
              </w:rPr>
              <w:tab/>
              <w:t>10,5</w:t>
            </w:r>
            <w:r>
              <w:rPr>
                <w:rFonts w:ascii="Arial" w:eastAsia="Arial" w:hAnsi="Arial" w:cs="Arial"/>
                <w:sz w:val="13"/>
              </w:rPr>
              <w:tab/>
              <w:t>10,5</w:t>
            </w:r>
            <w:r>
              <w:rPr>
                <w:rFonts w:ascii="Arial" w:eastAsia="Arial" w:hAnsi="Arial" w:cs="Arial"/>
                <w:sz w:val="13"/>
              </w:rPr>
              <w:tab/>
              <w:t>10,5</w:t>
            </w:r>
            <w:r>
              <w:rPr>
                <w:rFonts w:ascii="Arial" w:eastAsia="Arial" w:hAnsi="Arial" w:cs="Arial"/>
                <w:sz w:val="13"/>
              </w:rPr>
              <w:tab/>
              <w:t>10,5</w:t>
            </w:r>
            <w:r>
              <w:rPr>
                <w:rFonts w:ascii="Arial" w:eastAsia="Arial" w:hAnsi="Arial" w:cs="Arial"/>
                <w:sz w:val="13"/>
              </w:rPr>
              <w:tab/>
              <w:t>10,5</w:t>
            </w:r>
          </w:p>
        </w:tc>
        <w:tc>
          <w:tcPr>
            <w:tcW w:w="1585" w:type="dxa"/>
            <w:tcBorders>
              <w:top w:val="nil"/>
              <w:left w:val="single" w:sz="7" w:space="0" w:color="000000"/>
              <w:bottom w:val="single" w:sz="7" w:space="0" w:color="000000"/>
              <w:right w:val="single" w:sz="7" w:space="0" w:color="000000"/>
            </w:tcBorders>
          </w:tcPr>
          <w:p w:rsidR="0047564F" w:rsidRDefault="009856F0">
            <w:pPr>
              <w:spacing w:after="0"/>
              <w:ind w:left="65"/>
            </w:pPr>
            <w:r>
              <w:rPr>
                <w:rFonts w:ascii="Arial" w:eastAsia="Arial" w:hAnsi="Arial" w:cs="Arial"/>
                <w:sz w:val="13"/>
              </w:rPr>
              <w:t xml:space="preserve">                       30.870,00 €</w:t>
            </w:r>
          </w:p>
        </w:tc>
      </w:tr>
      <w:tr w:rsidR="0047564F">
        <w:trPr>
          <w:trHeight w:val="188"/>
        </w:trPr>
        <w:tc>
          <w:tcPr>
            <w:tcW w:w="2134" w:type="dxa"/>
            <w:vMerge w:val="restart"/>
            <w:tcBorders>
              <w:top w:val="single" w:sz="7" w:space="0" w:color="000000"/>
              <w:left w:val="nil"/>
              <w:bottom w:val="single" w:sz="7" w:space="0" w:color="000000"/>
              <w:right w:val="nil"/>
            </w:tcBorders>
          </w:tcPr>
          <w:p w:rsidR="0047564F" w:rsidRDefault="0047564F"/>
        </w:tc>
        <w:tc>
          <w:tcPr>
            <w:tcW w:w="621" w:type="dxa"/>
            <w:vMerge w:val="restart"/>
            <w:tcBorders>
              <w:top w:val="single" w:sz="7" w:space="0" w:color="000000"/>
              <w:left w:val="nil"/>
              <w:bottom w:val="single" w:sz="7" w:space="0" w:color="000000"/>
              <w:right w:val="nil"/>
            </w:tcBorders>
          </w:tcPr>
          <w:p w:rsidR="0047564F" w:rsidRDefault="0047564F"/>
        </w:tc>
        <w:tc>
          <w:tcPr>
            <w:tcW w:w="827" w:type="dxa"/>
            <w:tcBorders>
              <w:top w:val="single" w:sz="7" w:space="0" w:color="000000"/>
              <w:left w:val="nil"/>
              <w:bottom w:val="single" w:sz="7" w:space="0" w:color="000000"/>
              <w:right w:val="nil"/>
            </w:tcBorders>
          </w:tcPr>
          <w:p w:rsidR="0047564F" w:rsidRDefault="0047564F"/>
        </w:tc>
        <w:tc>
          <w:tcPr>
            <w:tcW w:w="4228" w:type="dxa"/>
            <w:gridSpan w:val="7"/>
            <w:vMerge w:val="restart"/>
            <w:tcBorders>
              <w:top w:val="single" w:sz="7" w:space="0" w:color="000000"/>
              <w:left w:val="nil"/>
              <w:bottom w:val="single" w:sz="7" w:space="0" w:color="000000"/>
              <w:right w:val="nil"/>
            </w:tcBorders>
          </w:tcPr>
          <w:p w:rsidR="0047564F" w:rsidRDefault="0047564F"/>
        </w:tc>
        <w:tc>
          <w:tcPr>
            <w:tcW w:w="158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65"/>
            </w:pPr>
            <w:r>
              <w:rPr>
                <w:rFonts w:ascii="Arial" w:eastAsia="Arial" w:hAnsi="Arial" w:cs="Arial"/>
                <w:b/>
                <w:sz w:val="13"/>
              </w:rPr>
              <w:t xml:space="preserve">                       36.474,06 €</w:t>
            </w:r>
          </w:p>
        </w:tc>
      </w:tr>
      <w:tr w:rsidR="0047564F">
        <w:trPr>
          <w:trHeight w:val="195"/>
        </w:trPr>
        <w:tc>
          <w:tcPr>
            <w:tcW w:w="0" w:type="auto"/>
            <w:vMerge/>
            <w:tcBorders>
              <w:top w:val="nil"/>
              <w:left w:val="nil"/>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827" w:type="dxa"/>
            <w:tcBorders>
              <w:top w:val="single" w:sz="7" w:space="0" w:color="000000"/>
              <w:left w:val="single" w:sz="7" w:space="0" w:color="000000"/>
              <w:bottom w:val="single" w:sz="7" w:space="0" w:color="000000"/>
              <w:right w:val="single" w:sz="7" w:space="0" w:color="000000"/>
            </w:tcBorders>
            <w:shd w:val="clear" w:color="auto" w:fill="9BBB59"/>
          </w:tcPr>
          <w:p w:rsidR="0047564F" w:rsidRDefault="009856F0">
            <w:pPr>
              <w:spacing w:after="0"/>
              <w:ind w:left="35"/>
              <w:jc w:val="both"/>
            </w:pPr>
            <w:r>
              <w:rPr>
                <w:rFonts w:ascii="Arial" w:eastAsia="Arial" w:hAnsi="Arial" w:cs="Arial"/>
                <w:b/>
                <w:sz w:val="14"/>
              </w:rPr>
              <w:t>SEMANA-3</w:t>
            </w:r>
          </w:p>
        </w:tc>
        <w:tc>
          <w:tcPr>
            <w:tcW w:w="0" w:type="auto"/>
            <w:gridSpan w:val="7"/>
            <w:vMerge/>
            <w:tcBorders>
              <w:top w:val="nil"/>
              <w:left w:val="nil"/>
              <w:bottom w:val="single" w:sz="7" w:space="0" w:color="000000"/>
              <w:right w:val="nil"/>
            </w:tcBorders>
          </w:tcPr>
          <w:p w:rsidR="0047564F" w:rsidRDefault="0047564F"/>
        </w:tc>
        <w:tc>
          <w:tcPr>
            <w:tcW w:w="1585" w:type="dxa"/>
            <w:tcBorders>
              <w:top w:val="single" w:sz="7" w:space="0" w:color="000000"/>
              <w:left w:val="nil"/>
              <w:bottom w:val="single" w:sz="7" w:space="0" w:color="000000"/>
              <w:right w:val="nil"/>
            </w:tcBorders>
          </w:tcPr>
          <w:p w:rsidR="0047564F" w:rsidRDefault="0047564F"/>
        </w:tc>
      </w:tr>
      <w:tr w:rsidR="0047564F">
        <w:trPr>
          <w:trHeight w:val="195"/>
        </w:trPr>
        <w:tc>
          <w:tcPr>
            <w:tcW w:w="2134" w:type="dxa"/>
            <w:tcBorders>
              <w:top w:val="single" w:sz="7" w:space="0" w:color="000000"/>
              <w:left w:val="single" w:sz="4" w:space="0" w:color="000000"/>
              <w:bottom w:val="single" w:sz="7" w:space="0" w:color="000000"/>
              <w:right w:val="single" w:sz="7" w:space="0" w:color="000000"/>
            </w:tcBorders>
            <w:shd w:val="clear" w:color="auto" w:fill="BFBFBF"/>
          </w:tcPr>
          <w:p w:rsidR="0047564F" w:rsidRDefault="009856F0">
            <w:pPr>
              <w:spacing w:after="0"/>
              <w:ind w:left="30"/>
            </w:pPr>
            <w:r>
              <w:rPr>
                <w:rFonts w:ascii="Arial" w:eastAsia="Arial" w:hAnsi="Arial" w:cs="Arial"/>
                <w:b/>
                <w:sz w:val="14"/>
              </w:rPr>
              <w:t>Concepto</w:t>
            </w:r>
          </w:p>
        </w:tc>
        <w:tc>
          <w:tcPr>
            <w:tcW w:w="621"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ud.</w:t>
            </w:r>
          </w:p>
        </w:tc>
        <w:tc>
          <w:tcPr>
            <w:tcW w:w="827"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Precio</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14</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15</w:t>
            </w:r>
          </w:p>
        </w:tc>
        <w:tc>
          <w:tcPr>
            <w:tcW w:w="60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16</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17</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18</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19</w:t>
            </w:r>
          </w:p>
        </w:tc>
        <w:tc>
          <w:tcPr>
            <w:tcW w:w="608"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4"/>
              <w:jc w:val="center"/>
            </w:pPr>
            <w:r>
              <w:rPr>
                <w:rFonts w:ascii="Arial" w:eastAsia="Arial" w:hAnsi="Arial" w:cs="Arial"/>
                <w:sz w:val="13"/>
              </w:rPr>
              <w:t>20</w:t>
            </w:r>
          </w:p>
        </w:tc>
        <w:tc>
          <w:tcPr>
            <w:tcW w:w="1585" w:type="dxa"/>
            <w:tcBorders>
              <w:top w:val="single" w:sz="7" w:space="0" w:color="000000"/>
              <w:left w:val="single" w:sz="7" w:space="0" w:color="000000"/>
              <w:bottom w:val="single" w:sz="7" w:space="0" w:color="000000"/>
              <w:right w:val="nil"/>
            </w:tcBorders>
            <w:shd w:val="clear" w:color="auto" w:fill="538DD5"/>
          </w:tcPr>
          <w:p w:rsidR="0047564F" w:rsidRDefault="009856F0">
            <w:pPr>
              <w:spacing w:after="0"/>
              <w:ind w:left="21" w:right="-14"/>
              <w:jc w:val="both"/>
            </w:pPr>
            <w:r>
              <w:rPr>
                <w:rFonts w:ascii="Arial" w:eastAsia="Arial" w:hAnsi="Arial" w:cs="Arial"/>
                <w:sz w:val="13"/>
              </w:rPr>
              <w:t>SUBTOTAL POR SEMANA</w:t>
            </w:r>
          </w:p>
        </w:tc>
      </w:tr>
      <w:tr w:rsidR="0047564F">
        <w:trPr>
          <w:trHeight w:val="366"/>
        </w:trPr>
        <w:tc>
          <w:tcPr>
            <w:tcW w:w="2134" w:type="dxa"/>
            <w:tcBorders>
              <w:top w:val="single" w:sz="7" w:space="0" w:color="000000"/>
              <w:left w:val="single" w:sz="4" w:space="0" w:color="000000"/>
              <w:bottom w:val="nil"/>
              <w:right w:val="nil"/>
            </w:tcBorders>
          </w:tcPr>
          <w:p w:rsidR="0047564F" w:rsidRDefault="009856F0">
            <w:pPr>
              <w:spacing w:after="0"/>
              <w:ind w:left="30"/>
            </w:pPr>
            <w:r>
              <w:rPr>
                <w:rFonts w:ascii="Arial" w:eastAsia="Arial" w:hAnsi="Arial" w:cs="Arial"/>
                <w:sz w:val="14"/>
              </w:rPr>
              <w:t>Analíticas semanales de agua bruta</w:t>
            </w:r>
          </w:p>
        </w:tc>
        <w:tc>
          <w:tcPr>
            <w:tcW w:w="621" w:type="dxa"/>
            <w:tcBorders>
              <w:top w:val="single" w:sz="7" w:space="0" w:color="000000"/>
              <w:left w:val="nil"/>
              <w:bottom w:val="nil"/>
              <w:right w:val="nil"/>
            </w:tcBorders>
            <w:vAlign w:val="bottom"/>
          </w:tcPr>
          <w:p w:rsidR="0047564F" w:rsidRDefault="009856F0">
            <w:pPr>
              <w:spacing w:after="0"/>
              <w:ind w:left="21"/>
              <w:jc w:val="center"/>
            </w:pPr>
            <w:r>
              <w:rPr>
                <w:rFonts w:ascii="Arial" w:eastAsia="Arial" w:hAnsi="Arial" w:cs="Arial"/>
                <w:sz w:val="13"/>
              </w:rPr>
              <w:t>2</w:t>
            </w:r>
          </w:p>
        </w:tc>
        <w:tc>
          <w:tcPr>
            <w:tcW w:w="827" w:type="dxa"/>
            <w:tcBorders>
              <w:top w:val="single" w:sz="7" w:space="0" w:color="000000"/>
              <w:left w:val="nil"/>
              <w:bottom w:val="nil"/>
              <w:right w:val="nil"/>
            </w:tcBorders>
            <w:vAlign w:val="bottom"/>
          </w:tcPr>
          <w:p w:rsidR="0047564F" w:rsidRDefault="009856F0">
            <w:pPr>
              <w:spacing w:after="0"/>
              <w:ind w:left="71"/>
            </w:pPr>
            <w:r>
              <w:rPr>
                <w:rFonts w:ascii="Arial" w:eastAsia="Arial" w:hAnsi="Arial" w:cs="Arial"/>
                <w:sz w:val="13"/>
              </w:rPr>
              <w:t xml:space="preserve">      249,39 €</w:t>
            </w:r>
          </w:p>
        </w:tc>
        <w:tc>
          <w:tcPr>
            <w:tcW w:w="4228" w:type="dxa"/>
            <w:gridSpan w:val="7"/>
            <w:tcBorders>
              <w:top w:val="single" w:sz="7" w:space="0" w:color="000000"/>
              <w:left w:val="nil"/>
              <w:bottom w:val="nil"/>
              <w:right w:val="single" w:sz="7" w:space="0" w:color="000000"/>
            </w:tcBorders>
          </w:tcPr>
          <w:p w:rsidR="0047564F" w:rsidRDefault="0047564F"/>
        </w:tc>
        <w:tc>
          <w:tcPr>
            <w:tcW w:w="1585" w:type="dxa"/>
            <w:tcBorders>
              <w:top w:val="single" w:sz="7" w:space="0" w:color="000000"/>
              <w:left w:val="single" w:sz="7" w:space="0" w:color="000000"/>
              <w:bottom w:val="nil"/>
              <w:right w:val="single" w:sz="7" w:space="0" w:color="000000"/>
            </w:tcBorders>
            <w:vAlign w:val="center"/>
          </w:tcPr>
          <w:p w:rsidR="0047564F" w:rsidRDefault="009856F0">
            <w:pPr>
              <w:spacing w:after="0"/>
              <w:ind w:left="65"/>
            </w:pPr>
            <w:r>
              <w:rPr>
                <w:rFonts w:ascii="Arial" w:eastAsia="Arial" w:hAnsi="Arial" w:cs="Arial"/>
                <w:sz w:val="13"/>
              </w:rPr>
              <w:t xml:space="preserve">                            498,78 €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Analíticas semanales de fango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196,41 €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392,82 €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Toma de muestra agua bruta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177"/>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Toma de muestra fangos</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290"/>
        </w:trPr>
        <w:tc>
          <w:tcPr>
            <w:tcW w:w="2134" w:type="dxa"/>
            <w:vMerge w:val="restart"/>
            <w:tcBorders>
              <w:top w:val="nil"/>
              <w:left w:val="single" w:sz="4" w:space="0" w:color="000000"/>
              <w:bottom w:val="nil"/>
              <w:right w:val="nil"/>
            </w:tcBorders>
          </w:tcPr>
          <w:p w:rsidR="0047564F" w:rsidRDefault="009856F0">
            <w:pPr>
              <w:spacing w:after="2"/>
              <w:ind w:left="30"/>
            </w:pPr>
            <w:r>
              <w:rPr>
                <w:rFonts w:ascii="Arial" w:eastAsia="Arial" w:hAnsi="Arial" w:cs="Arial"/>
                <w:sz w:val="14"/>
              </w:rPr>
              <w:t>Personal en planta</w:t>
            </w:r>
          </w:p>
          <w:p w:rsidR="0047564F" w:rsidRDefault="009856F0">
            <w:pPr>
              <w:spacing w:after="0"/>
              <w:ind w:left="30"/>
            </w:pPr>
            <w:r>
              <w:rPr>
                <w:rFonts w:ascii="Arial" w:eastAsia="Arial" w:hAnsi="Arial" w:cs="Arial"/>
                <w:sz w:val="14"/>
              </w:rPr>
              <w:t xml:space="preserve">M3 Caudal de aguas </w:t>
            </w:r>
          </w:p>
        </w:tc>
        <w:tc>
          <w:tcPr>
            <w:tcW w:w="621" w:type="dxa"/>
            <w:vMerge w:val="restart"/>
            <w:tcBorders>
              <w:top w:val="nil"/>
              <w:left w:val="nil"/>
              <w:bottom w:val="nil"/>
              <w:right w:val="nil"/>
            </w:tcBorders>
          </w:tcPr>
          <w:p w:rsidR="0047564F" w:rsidRDefault="009856F0">
            <w:pPr>
              <w:spacing w:after="13"/>
              <w:ind w:left="21"/>
              <w:jc w:val="center"/>
            </w:pPr>
            <w:r>
              <w:rPr>
                <w:rFonts w:ascii="Arial" w:eastAsia="Arial" w:hAnsi="Arial" w:cs="Arial"/>
                <w:sz w:val="13"/>
              </w:rPr>
              <w:t>105</w:t>
            </w:r>
          </w:p>
          <w:p w:rsidR="0047564F" w:rsidRDefault="009856F0">
            <w:pPr>
              <w:spacing w:after="0"/>
              <w:ind w:left="20"/>
              <w:jc w:val="center"/>
            </w:pPr>
            <w:r>
              <w:rPr>
                <w:rFonts w:ascii="Arial" w:eastAsia="Arial" w:hAnsi="Arial" w:cs="Arial"/>
                <w:sz w:val="13"/>
              </w:rPr>
              <w:t>1680</w:t>
            </w:r>
          </w:p>
        </w:tc>
        <w:tc>
          <w:tcPr>
            <w:tcW w:w="827" w:type="dxa"/>
            <w:vMerge w:val="restart"/>
            <w:tcBorders>
              <w:top w:val="nil"/>
              <w:left w:val="nil"/>
              <w:bottom w:val="nil"/>
              <w:right w:val="nil"/>
            </w:tcBorders>
          </w:tcPr>
          <w:p w:rsidR="0047564F" w:rsidRDefault="009856F0">
            <w:pPr>
              <w:spacing w:after="24"/>
              <w:ind w:left="71"/>
            </w:pPr>
            <w:r>
              <w:rPr>
                <w:rFonts w:ascii="Arial" w:eastAsia="Arial" w:hAnsi="Arial" w:cs="Arial"/>
                <w:sz w:val="13"/>
              </w:rPr>
              <w:t xml:space="preserve">        25,01 €</w:t>
            </w:r>
          </w:p>
          <w:p w:rsidR="0047564F" w:rsidRDefault="009856F0">
            <w:pPr>
              <w:spacing w:after="0"/>
              <w:ind w:left="71"/>
            </w:pPr>
            <w:r>
              <w:rPr>
                <w:rFonts w:ascii="Arial" w:eastAsia="Arial" w:hAnsi="Arial" w:cs="Arial"/>
                <w:sz w:val="13"/>
              </w:rPr>
              <w:t xml:space="preserve">          1,10 €</w:t>
            </w:r>
          </w:p>
        </w:tc>
        <w:tc>
          <w:tcPr>
            <w:tcW w:w="4228" w:type="dxa"/>
            <w:gridSpan w:val="7"/>
            <w:vMerge w:val="restart"/>
            <w:tcBorders>
              <w:top w:val="nil"/>
              <w:left w:val="nil"/>
              <w:bottom w:val="nil"/>
              <w:right w:val="single" w:sz="7" w:space="0" w:color="000000"/>
            </w:tcBorders>
          </w:tcPr>
          <w:p w:rsidR="0047564F" w:rsidRDefault="009856F0">
            <w:pPr>
              <w:tabs>
                <w:tab w:val="center" w:pos="310"/>
                <w:tab w:val="center" w:pos="913"/>
                <w:tab w:val="center" w:pos="1517"/>
                <w:tab w:val="center" w:pos="2121"/>
                <w:tab w:val="center" w:pos="2724"/>
                <w:tab w:val="center" w:pos="3328"/>
                <w:tab w:val="center" w:pos="3931"/>
              </w:tabs>
              <w:spacing w:after="17"/>
            </w:pPr>
            <w:r>
              <w:tab/>
            </w:r>
            <w:r>
              <w:rPr>
                <w:rFonts w:ascii="Arial" w:eastAsia="Arial" w:hAnsi="Arial" w:cs="Arial"/>
                <w:sz w:val="13"/>
              </w:rPr>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p>
          <w:p w:rsidR="0047564F" w:rsidRDefault="009856F0">
            <w:pPr>
              <w:tabs>
                <w:tab w:val="center" w:pos="310"/>
                <w:tab w:val="center" w:pos="913"/>
                <w:tab w:val="center" w:pos="1517"/>
                <w:tab w:val="center" w:pos="2121"/>
                <w:tab w:val="center" w:pos="2724"/>
                <w:tab w:val="center" w:pos="3328"/>
                <w:tab w:val="center" w:pos="3931"/>
              </w:tabs>
              <w:spacing w:after="0"/>
            </w:pPr>
            <w:r>
              <w:tab/>
            </w:r>
            <w:r>
              <w:rPr>
                <w:rFonts w:ascii="Arial" w:eastAsia="Arial" w:hAnsi="Arial" w:cs="Arial"/>
                <w:sz w:val="13"/>
              </w:rPr>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p>
        </w:tc>
        <w:tc>
          <w:tcPr>
            <w:tcW w:w="1585" w:type="dxa"/>
            <w:vMerge w:val="restart"/>
            <w:tcBorders>
              <w:top w:val="nil"/>
              <w:left w:val="single" w:sz="7" w:space="0" w:color="000000"/>
              <w:bottom w:val="nil"/>
              <w:right w:val="single" w:sz="7" w:space="0" w:color="000000"/>
            </w:tcBorders>
          </w:tcPr>
          <w:p w:rsidR="0047564F" w:rsidRDefault="009856F0">
            <w:pPr>
              <w:spacing w:after="0"/>
              <w:jc w:val="center"/>
            </w:pPr>
            <w:r>
              <w:rPr>
                <w:rFonts w:ascii="Arial" w:eastAsia="Arial" w:hAnsi="Arial" w:cs="Arial"/>
                <w:sz w:val="13"/>
              </w:rPr>
              <w:t xml:space="preserve">                         2.626,05 €                          1.848,00 €</w:t>
            </w:r>
          </w:p>
        </w:tc>
      </w:tr>
      <w:tr w:rsidR="0047564F">
        <w:trPr>
          <w:trHeight w:val="450"/>
        </w:trPr>
        <w:tc>
          <w:tcPr>
            <w:tcW w:w="0" w:type="auto"/>
            <w:vMerge/>
            <w:tcBorders>
              <w:top w:val="nil"/>
              <w:left w:val="single" w:sz="4" w:space="0" w:color="000000"/>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gridSpan w:val="7"/>
            <w:vMerge/>
            <w:tcBorders>
              <w:top w:val="nil"/>
              <w:left w:val="nil"/>
              <w:bottom w:val="nil"/>
              <w:right w:val="single" w:sz="7" w:space="0" w:color="000000"/>
            </w:tcBorders>
          </w:tcPr>
          <w:p w:rsidR="0047564F" w:rsidRDefault="0047564F"/>
        </w:tc>
        <w:tc>
          <w:tcPr>
            <w:tcW w:w="0" w:type="auto"/>
            <w:vMerge/>
            <w:tcBorders>
              <w:top w:val="nil"/>
              <w:left w:val="single" w:sz="7" w:space="0" w:color="000000"/>
              <w:bottom w:val="nil"/>
              <w:right w:val="single" w:sz="7" w:space="0" w:color="000000"/>
            </w:tcBorders>
          </w:tcPr>
          <w:p w:rsidR="0047564F" w:rsidRDefault="0047564F"/>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Kg de fangos</w:t>
            </w:r>
          </w:p>
        </w:tc>
        <w:tc>
          <w:tcPr>
            <w:tcW w:w="621" w:type="dxa"/>
            <w:tcBorders>
              <w:top w:val="nil"/>
              <w:left w:val="nil"/>
              <w:bottom w:val="nil"/>
              <w:right w:val="nil"/>
            </w:tcBorders>
          </w:tcPr>
          <w:p w:rsidR="0047564F" w:rsidRDefault="009856F0">
            <w:pPr>
              <w:spacing w:after="0"/>
              <w:ind w:left="124"/>
            </w:pPr>
            <w:r>
              <w:rPr>
                <w:rFonts w:ascii="Arial" w:eastAsia="Arial" w:hAnsi="Arial" w:cs="Arial"/>
                <w:sz w:val="13"/>
              </w:rPr>
              <w:t>393,75</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0,83 €</w:t>
            </w:r>
          </w:p>
        </w:tc>
        <w:tc>
          <w:tcPr>
            <w:tcW w:w="4228" w:type="dxa"/>
            <w:gridSpan w:val="7"/>
            <w:tcBorders>
              <w:top w:val="nil"/>
              <w:left w:val="nil"/>
              <w:bottom w:val="nil"/>
              <w:right w:val="single" w:sz="7" w:space="0" w:color="000000"/>
            </w:tcBorders>
          </w:tcPr>
          <w:p w:rsidR="0047564F" w:rsidRDefault="009856F0">
            <w:pPr>
              <w:tabs>
                <w:tab w:val="center" w:pos="913"/>
                <w:tab w:val="center" w:pos="1517"/>
                <w:tab w:val="center" w:pos="2121"/>
                <w:tab w:val="center" w:pos="2724"/>
                <w:tab w:val="center" w:pos="3328"/>
                <w:tab w:val="right" w:pos="4228"/>
              </w:tabs>
              <w:spacing w:after="0"/>
            </w:pPr>
            <w:r>
              <w:rPr>
                <w:rFonts w:ascii="Arial" w:eastAsia="Arial" w:hAnsi="Arial" w:cs="Arial"/>
                <w:sz w:val="13"/>
              </w:rPr>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p>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326,81 €</w:t>
            </w:r>
          </w:p>
        </w:tc>
      </w:tr>
      <w:tr w:rsidR="0047564F">
        <w:trPr>
          <w:trHeight w:val="174"/>
        </w:trPr>
        <w:tc>
          <w:tcPr>
            <w:tcW w:w="2134" w:type="dxa"/>
            <w:tcBorders>
              <w:top w:val="nil"/>
              <w:left w:val="single" w:sz="4" w:space="0" w:color="000000"/>
              <w:bottom w:val="single" w:sz="7" w:space="0" w:color="000000"/>
              <w:right w:val="nil"/>
            </w:tcBorders>
          </w:tcPr>
          <w:p w:rsidR="0047564F" w:rsidRDefault="009856F0">
            <w:pPr>
              <w:spacing w:after="0"/>
              <w:ind w:left="30"/>
            </w:pPr>
            <w:r>
              <w:rPr>
                <w:rFonts w:ascii="Arial" w:eastAsia="Arial" w:hAnsi="Arial" w:cs="Arial"/>
                <w:sz w:val="14"/>
              </w:rPr>
              <w:t>Cuba de 20 m3</w:t>
            </w:r>
          </w:p>
        </w:tc>
        <w:tc>
          <w:tcPr>
            <w:tcW w:w="621" w:type="dxa"/>
            <w:tcBorders>
              <w:top w:val="nil"/>
              <w:left w:val="nil"/>
              <w:bottom w:val="single" w:sz="7" w:space="0" w:color="000000"/>
              <w:right w:val="nil"/>
            </w:tcBorders>
          </w:tcPr>
          <w:p w:rsidR="0047564F" w:rsidRDefault="009856F0">
            <w:pPr>
              <w:spacing w:after="0"/>
              <w:ind w:left="21"/>
              <w:jc w:val="center"/>
            </w:pPr>
            <w:r>
              <w:rPr>
                <w:rFonts w:ascii="Arial" w:eastAsia="Arial" w:hAnsi="Arial" w:cs="Arial"/>
                <w:sz w:val="13"/>
              </w:rPr>
              <w:t>84</w:t>
            </w:r>
          </w:p>
        </w:tc>
        <w:tc>
          <w:tcPr>
            <w:tcW w:w="827" w:type="dxa"/>
            <w:tcBorders>
              <w:top w:val="nil"/>
              <w:left w:val="nil"/>
              <w:bottom w:val="single" w:sz="7" w:space="0" w:color="000000"/>
              <w:right w:val="nil"/>
            </w:tcBorders>
          </w:tcPr>
          <w:p w:rsidR="0047564F" w:rsidRDefault="009856F0">
            <w:pPr>
              <w:spacing w:after="0"/>
              <w:ind w:left="71"/>
            </w:pPr>
            <w:r>
              <w:rPr>
                <w:rFonts w:ascii="Arial" w:eastAsia="Arial" w:hAnsi="Arial" w:cs="Arial"/>
                <w:sz w:val="13"/>
              </w:rPr>
              <w:t xml:space="preserve">      420,00 €</w:t>
            </w:r>
          </w:p>
        </w:tc>
        <w:tc>
          <w:tcPr>
            <w:tcW w:w="4228" w:type="dxa"/>
            <w:gridSpan w:val="7"/>
            <w:tcBorders>
              <w:top w:val="nil"/>
              <w:left w:val="nil"/>
              <w:bottom w:val="single" w:sz="7" w:space="0" w:color="000000"/>
              <w:right w:val="single" w:sz="7" w:space="0" w:color="000000"/>
            </w:tcBorders>
          </w:tcPr>
          <w:p w:rsidR="0047564F" w:rsidRDefault="009856F0">
            <w:pPr>
              <w:tabs>
                <w:tab w:val="center" w:pos="310"/>
                <w:tab w:val="center" w:pos="913"/>
                <w:tab w:val="center" w:pos="1517"/>
                <w:tab w:val="center" w:pos="2121"/>
                <w:tab w:val="center" w:pos="2724"/>
                <w:tab w:val="center" w:pos="3328"/>
                <w:tab w:val="center" w:pos="3931"/>
              </w:tabs>
              <w:spacing w:after="0"/>
            </w:pPr>
            <w:r>
              <w:tab/>
            </w:r>
            <w:r>
              <w:rPr>
                <w:rFonts w:ascii="Arial" w:eastAsia="Arial" w:hAnsi="Arial" w:cs="Arial"/>
                <w:sz w:val="13"/>
              </w:rPr>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p>
        </w:tc>
        <w:tc>
          <w:tcPr>
            <w:tcW w:w="1585" w:type="dxa"/>
            <w:tcBorders>
              <w:top w:val="nil"/>
              <w:left w:val="single" w:sz="7" w:space="0" w:color="000000"/>
              <w:bottom w:val="single" w:sz="7" w:space="0" w:color="000000"/>
              <w:right w:val="single" w:sz="7" w:space="0" w:color="000000"/>
            </w:tcBorders>
          </w:tcPr>
          <w:p w:rsidR="0047564F" w:rsidRDefault="009856F0">
            <w:pPr>
              <w:spacing w:after="0"/>
              <w:ind w:left="65"/>
            </w:pPr>
            <w:r>
              <w:rPr>
                <w:rFonts w:ascii="Arial" w:eastAsia="Arial" w:hAnsi="Arial" w:cs="Arial"/>
                <w:sz w:val="13"/>
              </w:rPr>
              <w:t xml:space="preserve">                       35.280,00 €</w:t>
            </w:r>
          </w:p>
        </w:tc>
      </w:tr>
      <w:tr w:rsidR="0047564F">
        <w:trPr>
          <w:trHeight w:val="188"/>
        </w:trPr>
        <w:tc>
          <w:tcPr>
            <w:tcW w:w="2134" w:type="dxa"/>
            <w:vMerge w:val="restart"/>
            <w:tcBorders>
              <w:top w:val="single" w:sz="7" w:space="0" w:color="000000"/>
              <w:left w:val="nil"/>
              <w:bottom w:val="single" w:sz="7" w:space="0" w:color="000000"/>
              <w:right w:val="nil"/>
            </w:tcBorders>
          </w:tcPr>
          <w:p w:rsidR="0047564F" w:rsidRDefault="0047564F"/>
        </w:tc>
        <w:tc>
          <w:tcPr>
            <w:tcW w:w="621" w:type="dxa"/>
            <w:vMerge w:val="restart"/>
            <w:tcBorders>
              <w:top w:val="single" w:sz="7" w:space="0" w:color="000000"/>
              <w:left w:val="nil"/>
              <w:bottom w:val="single" w:sz="7" w:space="0" w:color="000000"/>
              <w:right w:val="nil"/>
            </w:tcBorders>
          </w:tcPr>
          <w:p w:rsidR="0047564F" w:rsidRDefault="0047564F"/>
        </w:tc>
        <w:tc>
          <w:tcPr>
            <w:tcW w:w="827" w:type="dxa"/>
            <w:tcBorders>
              <w:top w:val="single" w:sz="7" w:space="0" w:color="000000"/>
              <w:left w:val="nil"/>
              <w:bottom w:val="single" w:sz="7" w:space="0" w:color="000000"/>
              <w:right w:val="nil"/>
            </w:tcBorders>
          </w:tcPr>
          <w:p w:rsidR="0047564F" w:rsidRDefault="0047564F"/>
        </w:tc>
        <w:tc>
          <w:tcPr>
            <w:tcW w:w="4228" w:type="dxa"/>
            <w:gridSpan w:val="7"/>
            <w:vMerge w:val="restart"/>
            <w:tcBorders>
              <w:top w:val="single" w:sz="7" w:space="0" w:color="000000"/>
              <w:left w:val="nil"/>
              <w:bottom w:val="single" w:sz="7" w:space="0" w:color="000000"/>
              <w:right w:val="nil"/>
            </w:tcBorders>
          </w:tcPr>
          <w:p w:rsidR="0047564F" w:rsidRDefault="0047564F"/>
        </w:tc>
        <w:tc>
          <w:tcPr>
            <w:tcW w:w="158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65"/>
            </w:pPr>
            <w:r>
              <w:rPr>
                <w:rFonts w:ascii="Arial" w:eastAsia="Arial" w:hAnsi="Arial" w:cs="Arial"/>
                <w:b/>
                <w:sz w:val="13"/>
              </w:rPr>
              <w:t xml:space="preserve">                       41.115,06 €</w:t>
            </w:r>
          </w:p>
        </w:tc>
      </w:tr>
      <w:tr w:rsidR="0047564F">
        <w:trPr>
          <w:trHeight w:val="195"/>
        </w:trPr>
        <w:tc>
          <w:tcPr>
            <w:tcW w:w="0" w:type="auto"/>
            <w:vMerge/>
            <w:tcBorders>
              <w:top w:val="nil"/>
              <w:left w:val="nil"/>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827" w:type="dxa"/>
            <w:tcBorders>
              <w:top w:val="single" w:sz="7" w:space="0" w:color="000000"/>
              <w:left w:val="single" w:sz="7" w:space="0" w:color="000000"/>
              <w:bottom w:val="single" w:sz="7" w:space="0" w:color="000000"/>
              <w:right w:val="single" w:sz="7" w:space="0" w:color="000000"/>
            </w:tcBorders>
            <w:shd w:val="clear" w:color="auto" w:fill="9BBB59"/>
          </w:tcPr>
          <w:p w:rsidR="0047564F" w:rsidRDefault="009856F0">
            <w:pPr>
              <w:spacing w:after="0"/>
              <w:ind w:left="35"/>
              <w:jc w:val="both"/>
            </w:pPr>
            <w:r>
              <w:rPr>
                <w:rFonts w:ascii="Arial" w:eastAsia="Arial" w:hAnsi="Arial" w:cs="Arial"/>
                <w:b/>
                <w:sz w:val="14"/>
              </w:rPr>
              <w:t>SEMANA-4</w:t>
            </w:r>
          </w:p>
        </w:tc>
        <w:tc>
          <w:tcPr>
            <w:tcW w:w="0" w:type="auto"/>
            <w:gridSpan w:val="7"/>
            <w:vMerge/>
            <w:tcBorders>
              <w:top w:val="nil"/>
              <w:left w:val="nil"/>
              <w:bottom w:val="single" w:sz="7" w:space="0" w:color="000000"/>
              <w:right w:val="nil"/>
            </w:tcBorders>
          </w:tcPr>
          <w:p w:rsidR="0047564F" w:rsidRDefault="0047564F"/>
        </w:tc>
        <w:tc>
          <w:tcPr>
            <w:tcW w:w="1585" w:type="dxa"/>
            <w:tcBorders>
              <w:top w:val="single" w:sz="7" w:space="0" w:color="000000"/>
              <w:left w:val="nil"/>
              <w:bottom w:val="single" w:sz="7" w:space="0" w:color="000000"/>
              <w:right w:val="nil"/>
            </w:tcBorders>
          </w:tcPr>
          <w:p w:rsidR="0047564F" w:rsidRDefault="0047564F"/>
        </w:tc>
      </w:tr>
      <w:tr w:rsidR="0047564F">
        <w:trPr>
          <w:trHeight w:val="195"/>
        </w:trPr>
        <w:tc>
          <w:tcPr>
            <w:tcW w:w="2134" w:type="dxa"/>
            <w:tcBorders>
              <w:top w:val="single" w:sz="7" w:space="0" w:color="000000"/>
              <w:left w:val="single" w:sz="4" w:space="0" w:color="000000"/>
              <w:bottom w:val="single" w:sz="7" w:space="0" w:color="000000"/>
              <w:right w:val="single" w:sz="7" w:space="0" w:color="000000"/>
            </w:tcBorders>
            <w:shd w:val="clear" w:color="auto" w:fill="BFBFBF"/>
          </w:tcPr>
          <w:p w:rsidR="0047564F" w:rsidRDefault="009856F0">
            <w:pPr>
              <w:spacing w:after="0"/>
              <w:ind w:left="30"/>
            </w:pPr>
            <w:r>
              <w:rPr>
                <w:rFonts w:ascii="Arial" w:eastAsia="Arial" w:hAnsi="Arial" w:cs="Arial"/>
                <w:b/>
                <w:sz w:val="14"/>
              </w:rPr>
              <w:t>Concepto</w:t>
            </w:r>
          </w:p>
        </w:tc>
        <w:tc>
          <w:tcPr>
            <w:tcW w:w="621"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ud.</w:t>
            </w:r>
          </w:p>
        </w:tc>
        <w:tc>
          <w:tcPr>
            <w:tcW w:w="827"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Precio</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21</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22</w:t>
            </w:r>
          </w:p>
        </w:tc>
        <w:tc>
          <w:tcPr>
            <w:tcW w:w="60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23</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24</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25</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8"/>
              <w:jc w:val="center"/>
            </w:pPr>
            <w:r>
              <w:rPr>
                <w:rFonts w:ascii="Arial" w:eastAsia="Arial" w:hAnsi="Arial" w:cs="Arial"/>
                <w:sz w:val="13"/>
              </w:rPr>
              <w:t>26</w:t>
            </w:r>
          </w:p>
        </w:tc>
        <w:tc>
          <w:tcPr>
            <w:tcW w:w="608"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4"/>
              <w:jc w:val="center"/>
            </w:pPr>
            <w:r>
              <w:rPr>
                <w:rFonts w:ascii="Arial" w:eastAsia="Arial" w:hAnsi="Arial" w:cs="Arial"/>
                <w:sz w:val="13"/>
              </w:rPr>
              <w:t>27</w:t>
            </w:r>
          </w:p>
        </w:tc>
        <w:tc>
          <w:tcPr>
            <w:tcW w:w="1585" w:type="dxa"/>
            <w:tcBorders>
              <w:top w:val="single" w:sz="7" w:space="0" w:color="000000"/>
              <w:left w:val="single" w:sz="7" w:space="0" w:color="000000"/>
              <w:bottom w:val="single" w:sz="7" w:space="0" w:color="000000"/>
              <w:right w:val="nil"/>
            </w:tcBorders>
            <w:shd w:val="clear" w:color="auto" w:fill="538DD5"/>
          </w:tcPr>
          <w:p w:rsidR="0047564F" w:rsidRDefault="009856F0">
            <w:pPr>
              <w:spacing w:after="0"/>
              <w:ind w:left="21" w:right="-14"/>
              <w:jc w:val="both"/>
            </w:pPr>
            <w:r>
              <w:rPr>
                <w:rFonts w:ascii="Arial" w:eastAsia="Arial" w:hAnsi="Arial" w:cs="Arial"/>
                <w:sz w:val="13"/>
              </w:rPr>
              <w:t>SUBTOTAL POR SEMANA</w:t>
            </w:r>
          </w:p>
        </w:tc>
      </w:tr>
      <w:tr w:rsidR="0047564F">
        <w:trPr>
          <w:trHeight w:val="366"/>
        </w:trPr>
        <w:tc>
          <w:tcPr>
            <w:tcW w:w="2134" w:type="dxa"/>
            <w:tcBorders>
              <w:top w:val="single" w:sz="7" w:space="0" w:color="000000"/>
              <w:left w:val="single" w:sz="4" w:space="0" w:color="000000"/>
              <w:bottom w:val="nil"/>
              <w:right w:val="nil"/>
            </w:tcBorders>
          </w:tcPr>
          <w:p w:rsidR="0047564F" w:rsidRDefault="009856F0">
            <w:pPr>
              <w:spacing w:after="0"/>
              <w:ind w:left="30"/>
            </w:pPr>
            <w:r>
              <w:rPr>
                <w:rFonts w:ascii="Arial" w:eastAsia="Arial" w:hAnsi="Arial" w:cs="Arial"/>
                <w:sz w:val="14"/>
              </w:rPr>
              <w:t>Analíticas semanales de agua bruta</w:t>
            </w:r>
          </w:p>
        </w:tc>
        <w:tc>
          <w:tcPr>
            <w:tcW w:w="621" w:type="dxa"/>
            <w:tcBorders>
              <w:top w:val="single" w:sz="7" w:space="0" w:color="000000"/>
              <w:left w:val="nil"/>
              <w:bottom w:val="nil"/>
              <w:right w:val="nil"/>
            </w:tcBorders>
            <w:vAlign w:val="bottom"/>
          </w:tcPr>
          <w:p w:rsidR="0047564F" w:rsidRDefault="009856F0">
            <w:pPr>
              <w:spacing w:after="0"/>
              <w:ind w:left="21"/>
              <w:jc w:val="center"/>
            </w:pPr>
            <w:r>
              <w:rPr>
                <w:rFonts w:ascii="Arial" w:eastAsia="Arial" w:hAnsi="Arial" w:cs="Arial"/>
                <w:sz w:val="13"/>
              </w:rPr>
              <w:t>2</w:t>
            </w:r>
          </w:p>
        </w:tc>
        <w:tc>
          <w:tcPr>
            <w:tcW w:w="827" w:type="dxa"/>
            <w:tcBorders>
              <w:top w:val="single" w:sz="7" w:space="0" w:color="000000"/>
              <w:left w:val="nil"/>
              <w:bottom w:val="nil"/>
              <w:right w:val="nil"/>
            </w:tcBorders>
            <w:vAlign w:val="bottom"/>
          </w:tcPr>
          <w:p w:rsidR="0047564F" w:rsidRDefault="009856F0">
            <w:pPr>
              <w:spacing w:after="0"/>
              <w:ind w:left="71"/>
            </w:pPr>
            <w:r>
              <w:rPr>
                <w:rFonts w:ascii="Arial" w:eastAsia="Arial" w:hAnsi="Arial" w:cs="Arial"/>
                <w:sz w:val="13"/>
              </w:rPr>
              <w:t xml:space="preserve">      249,39 €</w:t>
            </w:r>
          </w:p>
        </w:tc>
        <w:tc>
          <w:tcPr>
            <w:tcW w:w="4228" w:type="dxa"/>
            <w:gridSpan w:val="7"/>
            <w:tcBorders>
              <w:top w:val="single" w:sz="7" w:space="0" w:color="000000"/>
              <w:left w:val="nil"/>
              <w:bottom w:val="nil"/>
              <w:right w:val="single" w:sz="7" w:space="0" w:color="000000"/>
            </w:tcBorders>
          </w:tcPr>
          <w:p w:rsidR="0047564F" w:rsidRDefault="0047564F"/>
        </w:tc>
        <w:tc>
          <w:tcPr>
            <w:tcW w:w="1585" w:type="dxa"/>
            <w:tcBorders>
              <w:top w:val="single" w:sz="7" w:space="0" w:color="000000"/>
              <w:left w:val="single" w:sz="7" w:space="0" w:color="000000"/>
              <w:bottom w:val="nil"/>
              <w:right w:val="single" w:sz="7" w:space="0" w:color="000000"/>
            </w:tcBorders>
            <w:vAlign w:val="center"/>
          </w:tcPr>
          <w:p w:rsidR="0047564F" w:rsidRDefault="009856F0">
            <w:pPr>
              <w:spacing w:after="0"/>
              <w:ind w:left="65"/>
            </w:pPr>
            <w:r>
              <w:rPr>
                <w:rFonts w:ascii="Arial" w:eastAsia="Arial" w:hAnsi="Arial" w:cs="Arial"/>
                <w:sz w:val="13"/>
              </w:rPr>
              <w:t xml:space="preserve">                            </w:t>
            </w:r>
            <w:r>
              <w:rPr>
                <w:rFonts w:ascii="Arial" w:eastAsia="Arial" w:hAnsi="Arial" w:cs="Arial"/>
                <w:sz w:val="13"/>
              </w:rPr>
              <w:t>498,78 €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Analíticas semanales de fango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196,41 €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392,82 €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Toma de muestra agua bruta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Toma de muestra fangos</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w:t>
            </w:r>
            <w:r>
              <w:rPr>
                <w:rFonts w:ascii="Arial" w:eastAsia="Arial" w:hAnsi="Arial" w:cs="Arial"/>
                <w:sz w:val="13"/>
              </w:rPr>
              <w:t>71,30 €</w:t>
            </w:r>
          </w:p>
        </w:tc>
      </w:tr>
      <w:tr w:rsidR="0047564F">
        <w:trPr>
          <w:trHeight w:val="290"/>
        </w:trPr>
        <w:tc>
          <w:tcPr>
            <w:tcW w:w="2134" w:type="dxa"/>
            <w:vMerge w:val="restart"/>
            <w:tcBorders>
              <w:top w:val="nil"/>
              <w:left w:val="single" w:sz="4" w:space="0" w:color="000000"/>
              <w:bottom w:val="nil"/>
              <w:right w:val="nil"/>
            </w:tcBorders>
          </w:tcPr>
          <w:p w:rsidR="0047564F" w:rsidRDefault="009856F0">
            <w:pPr>
              <w:spacing w:after="1"/>
              <w:ind w:left="30"/>
            </w:pPr>
            <w:r>
              <w:rPr>
                <w:rFonts w:ascii="Arial" w:eastAsia="Arial" w:hAnsi="Arial" w:cs="Arial"/>
                <w:sz w:val="14"/>
              </w:rPr>
              <w:t>Personal en planta</w:t>
            </w:r>
          </w:p>
          <w:p w:rsidR="0047564F" w:rsidRDefault="009856F0">
            <w:pPr>
              <w:spacing w:after="0"/>
              <w:ind w:left="30"/>
            </w:pPr>
            <w:r>
              <w:rPr>
                <w:rFonts w:ascii="Arial" w:eastAsia="Arial" w:hAnsi="Arial" w:cs="Arial"/>
                <w:sz w:val="14"/>
              </w:rPr>
              <w:t xml:space="preserve">M3 Caudal de aguas </w:t>
            </w:r>
          </w:p>
        </w:tc>
        <w:tc>
          <w:tcPr>
            <w:tcW w:w="621" w:type="dxa"/>
            <w:vMerge w:val="restart"/>
            <w:tcBorders>
              <w:top w:val="nil"/>
              <w:left w:val="nil"/>
              <w:bottom w:val="nil"/>
              <w:right w:val="nil"/>
            </w:tcBorders>
          </w:tcPr>
          <w:p w:rsidR="0047564F" w:rsidRDefault="009856F0">
            <w:pPr>
              <w:spacing w:after="12"/>
              <w:ind w:left="21"/>
              <w:jc w:val="center"/>
            </w:pPr>
            <w:r>
              <w:rPr>
                <w:rFonts w:ascii="Arial" w:eastAsia="Arial" w:hAnsi="Arial" w:cs="Arial"/>
                <w:sz w:val="13"/>
              </w:rPr>
              <w:t>105</w:t>
            </w:r>
          </w:p>
          <w:p w:rsidR="0047564F" w:rsidRDefault="009856F0">
            <w:pPr>
              <w:spacing w:after="0"/>
              <w:ind w:left="20"/>
              <w:jc w:val="center"/>
            </w:pPr>
            <w:r>
              <w:rPr>
                <w:rFonts w:ascii="Arial" w:eastAsia="Arial" w:hAnsi="Arial" w:cs="Arial"/>
                <w:sz w:val="13"/>
              </w:rPr>
              <w:t>1680</w:t>
            </w:r>
          </w:p>
        </w:tc>
        <w:tc>
          <w:tcPr>
            <w:tcW w:w="827" w:type="dxa"/>
            <w:vMerge w:val="restart"/>
            <w:tcBorders>
              <w:top w:val="nil"/>
              <w:left w:val="nil"/>
              <w:bottom w:val="nil"/>
              <w:right w:val="nil"/>
            </w:tcBorders>
          </w:tcPr>
          <w:p w:rsidR="0047564F" w:rsidRDefault="009856F0">
            <w:pPr>
              <w:spacing w:after="24"/>
              <w:ind w:left="71"/>
            </w:pPr>
            <w:r>
              <w:rPr>
                <w:rFonts w:ascii="Arial" w:eastAsia="Arial" w:hAnsi="Arial" w:cs="Arial"/>
                <w:sz w:val="13"/>
              </w:rPr>
              <w:t xml:space="preserve">        25,01 €</w:t>
            </w:r>
          </w:p>
          <w:p w:rsidR="0047564F" w:rsidRDefault="009856F0">
            <w:pPr>
              <w:spacing w:after="0"/>
              <w:ind w:left="71"/>
            </w:pPr>
            <w:r>
              <w:rPr>
                <w:rFonts w:ascii="Arial" w:eastAsia="Arial" w:hAnsi="Arial" w:cs="Arial"/>
                <w:sz w:val="13"/>
              </w:rPr>
              <w:t xml:space="preserve">          1,10 €</w:t>
            </w:r>
          </w:p>
        </w:tc>
        <w:tc>
          <w:tcPr>
            <w:tcW w:w="4228" w:type="dxa"/>
            <w:gridSpan w:val="7"/>
            <w:vMerge w:val="restart"/>
            <w:tcBorders>
              <w:top w:val="nil"/>
              <w:left w:val="nil"/>
              <w:bottom w:val="nil"/>
              <w:right w:val="single" w:sz="7" w:space="0" w:color="000000"/>
            </w:tcBorders>
          </w:tcPr>
          <w:p w:rsidR="0047564F" w:rsidRDefault="009856F0">
            <w:pPr>
              <w:tabs>
                <w:tab w:val="center" w:pos="310"/>
                <w:tab w:val="center" w:pos="913"/>
                <w:tab w:val="center" w:pos="1517"/>
                <w:tab w:val="center" w:pos="2121"/>
                <w:tab w:val="center" w:pos="2724"/>
                <w:tab w:val="center" w:pos="3328"/>
                <w:tab w:val="center" w:pos="3931"/>
              </w:tabs>
              <w:spacing w:after="17"/>
            </w:pPr>
            <w:r>
              <w:tab/>
            </w:r>
            <w:r>
              <w:rPr>
                <w:rFonts w:ascii="Arial" w:eastAsia="Arial" w:hAnsi="Arial" w:cs="Arial"/>
                <w:sz w:val="13"/>
              </w:rPr>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r>
              <w:rPr>
                <w:rFonts w:ascii="Arial" w:eastAsia="Arial" w:hAnsi="Arial" w:cs="Arial"/>
                <w:sz w:val="13"/>
              </w:rPr>
              <w:tab/>
              <w:t>15</w:t>
            </w:r>
          </w:p>
          <w:p w:rsidR="0047564F" w:rsidRDefault="009856F0">
            <w:pPr>
              <w:tabs>
                <w:tab w:val="center" w:pos="310"/>
                <w:tab w:val="center" w:pos="913"/>
                <w:tab w:val="center" w:pos="1517"/>
                <w:tab w:val="center" w:pos="2121"/>
                <w:tab w:val="center" w:pos="2724"/>
                <w:tab w:val="center" w:pos="3328"/>
                <w:tab w:val="center" w:pos="3931"/>
              </w:tabs>
              <w:spacing w:after="0"/>
            </w:pPr>
            <w:r>
              <w:tab/>
            </w:r>
            <w:r>
              <w:rPr>
                <w:rFonts w:ascii="Arial" w:eastAsia="Arial" w:hAnsi="Arial" w:cs="Arial"/>
                <w:sz w:val="13"/>
              </w:rPr>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r>
              <w:rPr>
                <w:rFonts w:ascii="Arial" w:eastAsia="Arial" w:hAnsi="Arial" w:cs="Arial"/>
                <w:sz w:val="13"/>
              </w:rPr>
              <w:tab/>
              <w:t>240</w:t>
            </w:r>
          </w:p>
        </w:tc>
        <w:tc>
          <w:tcPr>
            <w:tcW w:w="1585" w:type="dxa"/>
            <w:vMerge w:val="restart"/>
            <w:tcBorders>
              <w:top w:val="nil"/>
              <w:left w:val="single" w:sz="7" w:space="0" w:color="000000"/>
              <w:bottom w:val="nil"/>
              <w:right w:val="single" w:sz="7" w:space="0" w:color="000000"/>
            </w:tcBorders>
          </w:tcPr>
          <w:p w:rsidR="0047564F" w:rsidRDefault="009856F0">
            <w:pPr>
              <w:spacing w:after="22"/>
              <w:ind w:left="65"/>
            </w:pPr>
            <w:r>
              <w:rPr>
                <w:rFonts w:ascii="Arial" w:eastAsia="Arial" w:hAnsi="Arial" w:cs="Arial"/>
                <w:sz w:val="13"/>
              </w:rPr>
              <w:t xml:space="preserve">                         2.626,05 €</w:t>
            </w:r>
          </w:p>
          <w:p w:rsidR="0047564F" w:rsidRDefault="009856F0">
            <w:pPr>
              <w:spacing w:after="0"/>
              <w:ind w:left="65"/>
            </w:pPr>
            <w:r>
              <w:rPr>
                <w:rFonts w:ascii="Arial" w:eastAsia="Arial" w:hAnsi="Arial" w:cs="Arial"/>
                <w:sz w:val="13"/>
              </w:rPr>
              <w:t xml:space="preserve">                         1.848,00 €</w:t>
            </w:r>
          </w:p>
        </w:tc>
      </w:tr>
      <w:tr w:rsidR="0047564F">
        <w:trPr>
          <w:trHeight w:val="450"/>
        </w:trPr>
        <w:tc>
          <w:tcPr>
            <w:tcW w:w="0" w:type="auto"/>
            <w:vMerge/>
            <w:tcBorders>
              <w:top w:val="nil"/>
              <w:left w:val="single" w:sz="4" w:space="0" w:color="000000"/>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gridSpan w:val="7"/>
            <w:vMerge/>
            <w:tcBorders>
              <w:top w:val="nil"/>
              <w:left w:val="nil"/>
              <w:bottom w:val="nil"/>
              <w:right w:val="single" w:sz="7" w:space="0" w:color="000000"/>
            </w:tcBorders>
          </w:tcPr>
          <w:p w:rsidR="0047564F" w:rsidRDefault="0047564F"/>
        </w:tc>
        <w:tc>
          <w:tcPr>
            <w:tcW w:w="0" w:type="auto"/>
            <w:vMerge/>
            <w:tcBorders>
              <w:top w:val="nil"/>
              <w:left w:val="single" w:sz="7" w:space="0" w:color="000000"/>
              <w:bottom w:val="nil"/>
              <w:right w:val="single" w:sz="7" w:space="0" w:color="000000"/>
            </w:tcBorders>
          </w:tcPr>
          <w:p w:rsidR="0047564F" w:rsidRDefault="0047564F"/>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Kg de fangos</w:t>
            </w:r>
          </w:p>
        </w:tc>
        <w:tc>
          <w:tcPr>
            <w:tcW w:w="621" w:type="dxa"/>
            <w:tcBorders>
              <w:top w:val="nil"/>
              <w:left w:val="nil"/>
              <w:bottom w:val="nil"/>
              <w:right w:val="nil"/>
            </w:tcBorders>
          </w:tcPr>
          <w:p w:rsidR="0047564F" w:rsidRDefault="009856F0">
            <w:pPr>
              <w:spacing w:after="0"/>
              <w:ind w:left="124"/>
            </w:pPr>
            <w:r>
              <w:rPr>
                <w:rFonts w:ascii="Arial" w:eastAsia="Arial" w:hAnsi="Arial" w:cs="Arial"/>
                <w:sz w:val="13"/>
              </w:rPr>
              <w:t>393,75</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0,83 €</w:t>
            </w:r>
          </w:p>
        </w:tc>
        <w:tc>
          <w:tcPr>
            <w:tcW w:w="4228" w:type="dxa"/>
            <w:gridSpan w:val="7"/>
            <w:tcBorders>
              <w:top w:val="nil"/>
              <w:left w:val="nil"/>
              <w:bottom w:val="nil"/>
              <w:right w:val="single" w:sz="7" w:space="0" w:color="000000"/>
            </w:tcBorders>
          </w:tcPr>
          <w:p w:rsidR="0047564F" w:rsidRDefault="009856F0">
            <w:pPr>
              <w:tabs>
                <w:tab w:val="center" w:pos="913"/>
                <w:tab w:val="center" w:pos="1517"/>
                <w:tab w:val="center" w:pos="2121"/>
                <w:tab w:val="center" w:pos="2724"/>
                <w:tab w:val="center" w:pos="3328"/>
                <w:tab w:val="right" w:pos="4228"/>
              </w:tabs>
              <w:spacing w:after="0"/>
            </w:pPr>
            <w:r>
              <w:rPr>
                <w:rFonts w:ascii="Arial" w:eastAsia="Arial" w:hAnsi="Arial" w:cs="Arial"/>
                <w:sz w:val="13"/>
              </w:rPr>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r>
              <w:rPr>
                <w:rFonts w:ascii="Arial" w:eastAsia="Arial" w:hAnsi="Arial" w:cs="Arial"/>
                <w:sz w:val="13"/>
              </w:rPr>
              <w:tab/>
              <w:t>56,25</w:t>
            </w:r>
          </w:p>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326,81 €</w:t>
            </w:r>
          </w:p>
        </w:tc>
      </w:tr>
      <w:tr w:rsidR="0047564F">
        <w:trPr>
          <w:trHeight w:val="173"/>
        </w:trPr>
        <w:tc>
          <w:tcPr>
            <w:tcW w:w="2134" w:type="dxa"/>
            <w:tcBorders>
              <w:top w:val="nil"/>
              <w:left w:val="single" w:sz="4" w:space="0" w:color="000000"/>
              <w:bottom w:val="single" w:sz="7" w:space="0" w:color="000000"/>
              <w:right w:val="nil"/>
            </w:tcBorders>
          </w:tcPr>
          <w:p w:rsidR="0047564F" w:rsidRDefault="009856F0">
            <w:pPr>
              <w:spacing w:after="0"/>
              <w:ind w:left="30"/>
            </w:pPr>
            <w:r>
              <w:rPr>
                <w:rFonts w:ascii="Arial" w:eastAsia="Arial" w:hAnsi="Arial" w:cs="Arial"/>
                <w:sz w:val="14"/>
              </w:rPr>
              <w:t>Cuba de 20 m3</w:t>
            </w:r>
          </w:p>
        </w:tc>
        <w:tc>
          <w:tcPr>
            <w:tcW w:w="621" w:type="dxa"/>
            <w:tcBorders>
              <w:top w:val="nil"/>
              <w:left w:val="nil"/>
              <w:bottom w:val="single" w:sz="7" w:space="0" w:color="000000"/>
              <w:right w:val="nil"/>
            </w:tcBorders>
          </w:tcPr>
          <w:p w:rsidR="0047564F" w:rsidRDefault="009856F0">
            <w:pPr>
              <w:spacing w:after="0"/>
              <w:ind w:left="21"/>
              <w:jc w:val="center"/>
            </w:pPr>
            <w:r>
              <w:rPr>
                <w:rFonts w:ascii="Arial" w:eastAsia="Arial" w:hAnsi="Arial" w:cs="Arial"/>
                <w:sz w:val="13"/>
              </w:rPr>
              <w:t>84</w:t>
            </w:r>
          </w:p>
        </w:tc>
        <w:tc>
          <w:tcPr>
            <w:tcW w:w="827" w:type="dxa"/>
            <w:tcBorders>
              <w:top w:val="nil"/>
              <w:left w:val="nil"/>
              <w:bottom w:val="single" w:sz="7" w:space="0" w:color="000000"/>
              <w:right w:val="nil"/>
            </w:tcBorders>
          </w:tcPr>
          <w:p w:rsidR="0047564F" w:rsidRDefault="009856F0">
            <w:pPr>
              <w:spacing w:after="0"/>
              <w:ind w:left="71"/>
            </w:pPr>
            <w:r>
              <w:rPr>
                <w:rFonts w:ascii="Arial" w:eastAsia="Arial" w:hAnsi="Arial" w:cs="Arial"/>
                <w:sz w:val="13"/>
              </w:rPr>
              <w:t xml:space="preserve">      420,00 €</w:t>
            </w:r>
          </w:p>
        </w:tc>
        <w:tc>
          <w:tcPr>
            <w:tcW w:w="4228" w:type="dxa"/>
            <w:gridSpan w:val="7"/>
            <w:tcBorders>
              <w:top w:val="nil"/>
              <w:left w:val="nil"/>
              <w:bottom w:val="single" w:sz="7" w:space="0" w:color="000000"/>
              <w:right w:val="single" w:sz="7" w:space="0" w:color="000000"/>
            </w:tcBorders>
          </w:tcPr>
          <w:p w:rsidR="0047564F" w:rsidRDefault="009856F0">
            <w:pPr>
              <w:tabs>
                <w:tab w:val="center" w:pos="310"/>
                <w:tab w:val="center" w:pos="913"/>
                <w:tab w:val="center" w:pos="1517"/>
                <w:tab w:val="center" w:pos="2121"/>
                <w:tab w:val="center" w:pos="2724"/>
                <w:tab w:val="center" w:pos="3328"/>
                <w:tab w:val="center" w:pos="3931"/>
              </w:tabs>
              <w:spacing w:after="0"/>
            </w:pPr>
            <w:r>
              <w:tab/>
            </w:r>
            <w:r>
              <w:rPr>
                <w:rFonts w:ascii="Arial" w:eastAsia="Arial" w:hAnsi="Arial" w:cs="Arial"/>
                <w:sz w:val="13"/>
              </w:rPr>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r>
              <w:rPr>
                <w:rFonts w:ascii="Arial" w:eastAsia="Arial" w:hAnsi="Arial" w:cs="Arial"/>
                <w:sz w:val="13"/>
              </w:rPr>
              <w:tab/>
              <w:t>12</w:t>
            </w:r>
          </w:p>
        </w:tc>
        <w:tc>
          <w:tcPr>
            <w:tcW w:w="1585" w:type="dxa"/>
            <w:tcBorders>
              <w:top w:val="nil"/>
              <w:left w:val="single" w:sz="7" w:space="0" w:color="000000"/>
              <w:bottom w:val="single" w:sz="7" w:space="0" w:color="000000"/>
              <w:right w:val="single" w:sz="7" w:space="0" w:color="000000"/>
            </w:tcBorders>
          </w:tcPr>
          <w:p w:rsidR="0047564F" w:rsidRDefault="009856F0">
            <w:pPr>
              <w:spacing w:after="0"/>
              <w:ind w:left="65"/>
            </w:pPr>
            <w:r>
              <w:rPr>
                <w:rFonts w:ascii="Arial" w:eastAsia="Arial" w:hAnsi="Arial" w:cs="Arial"/>
                <w:sz w:val="13"/>
              </w:rPr>
              <w:t xml:space="preserve">                       35.280,00 €</w:t>
            </w:r>
          </w:p>
        </w:tc>
      </w:tr>
      <w:tr w:rsidR="0047564F">
        <w:trPr>
          <w:trHeight w:val="189"/>
        </w:trPr>
        <w:tc>
          <w:tcPr>
            <w:tcW w:w="2134" w:type="dxa"/>
            <w:vMerge w:val="restart"/>
            <w:tcBorders>
              <w:top w:val="single" w:sz="7" w:space="0" w:color="000000"/>
              <w:left w:val="nil"/>
              <w:bottom w:val="single" w:sz="7" w:space="0" w:color="000000"/>
              <w:right w:val="nil"/>
            </w:tcBorders>
          </w:tcPr>
          <w:p w:rsidR="0047564F" w:rsidRDefault="0047564F"/>
        </w:tc>
        <w:tc>
          <w:tcPr>
            <w:tcW w:w="621" w:type="dxa"/>
            <w:vMerge w:val="restart"/>
            <w:tcBorders>
              <w:top w:val="single" w:sz="7" w:space="0" w:color="000000"/>
              <w:left w:val="nil"/>
              <w:bottom w:val="single" w:sz="7" w:space="0" w:color="000000"/>
              <w:right w:val="nil"/>
            </w:tcBorders>
          </w:tcPr>
          <w:p w:rsidR="0047564F" w:rsidRDefault="0047564F"/>
        </w:tc>
        <w:tc>
          <w:tcPr>
            <w:tcW w:w="827" w:type="dxa"/>
            <w:tcBorders>
              <w:top w:val="single" w:sz="7" w:space="0" w:color="000000"/>
              <w:left w:val="nil"/>
              <w:bottom w:val="single" w:sz="7" w:space="0" w:color="000000"/>
              <w:right w:val="nil"/>
            </w:tcBorders>
          </w:tcPr>
          <w:p w:rsidR="0047564F" w:rsidRDefault="0047564F"/>
        </w:tc>
        <w:tc>
          <w:tcPr>
            <w:tcW w:w="4228" w:type="dxa"/>
            <w:gridSpan w:val="7"/>
            <w:vMerge w:val="restart"/>
            <w:tcBorders>
              <w:top w:val="single" w:sz="7" w:space="0" w:color="000000"/>
              <w:left w:val="nil"/>
              <w:bottom w:val="single" w:sz="7" w:space="0" w:color="000000"/>
              <w:right w:val="nil"/>
            </w:tcBorders>
          </w:tcPr>
          <w:p w:rsidR="0047564F" w:rsidRDefault="0047564F"/>
        </w:tc>
        <w:tc>
          <w:tcPr>
            <w:tcW w:w="158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65"/>
            </w:pPr>
            <w:r>
              <w:rPr>
                <w:rFonts w:ascii="Arial" w:eastAsia="Arial" w:hAnsi="Arial" w:cs="Arial"/>
                <w:b/>
                <w:sz w:val="13"/>
              </w:rPr>
              <w:t xml:space="preserve">                       41.115,06 €</w:t>
            </w:r>
          </w:p>
        </w:tc>
      </w:tr>
      <w:tr w:rsidR="0047564F">
        <w:trPr>
          <w:trHeight w:val="195"/>
        </w:trPr>
        <w:tc>
          <w:tcPr>
            <w:tcW w:w="0" w:type="auto"/>
            <w:vMerge/>
            <w:tcBorders>
              <w:top w:val="nil"/>
              <w:left w:val="nil"/>
              <w:bottom w:val="single" w:sz="7" w:space="0" w:color="000000"/>
              <w:right w:val="nil"/>
            </w:tcBorders>
          </w:tcPr>
          <w:p w:rsidR="0047564F" w:rsidRDefault="0047564F"/>
        </w:tc>
        <w:tc>
          <w:tcPr>
            <w:tcW w:w="0" w:type="auto"/>
            <w:vMerge/>
            <w:tcBorders>
              <w:top w:val="nil"/>
              <w:left w:val="nil"/>
              <w:bottom w:val="single" w:sz="7" w:space="0" w:color="000000"/>
              <w:right w:val="nil"/>
            </w:tcBorders>
          </w:tcPr>
          <w:p w:rsidR="0047564F" w:rsidRDefault="0047564F"/>
        </w:tc>
        <w:tc>
          <w:tcPr>
            <w:tcW w:w="827" w:type="dxa"/>
            <w:tcBorders>
              <w:top w:val="single" w:sz="7" w:space="0" w:color="000000"/>
              <w:left w:val="single" w:sz="7" w:space="0" w:color="000000"/>
              <w:bottom w:val="single" w:sz="7" w:space="0" w:color="000000"/>
              <w:right w:val="single" w:sz="7" w:space="0" w:color="000000"/>
            </w:tcBorders>
            <w:shd w:val="clear" w:color="auto" w:fill="9BBB59"/>
          </w:tcPr>
          <w:p w:rsidR="0047564F" w:rsidRDefault="009856F0">
            <w:pPr>
              <w:spacing w:after="0"/>
              <w:ind w:left="35"/>
              <w:jc w:val="both"/>
            </w:pPr>
            <w:r>
              <w:rPr>
                <w:rFonts w:ascii="Arial" w:eastAsia="Arial" w:hAnsi="Arial" w:cs="Arial"/>
                <w:b/>
                <w:sz w:val="14"/>
              </w:rPr>
              <w:t>SEMANA-5</w:t>
            </w:r>
          </w:p>
        </w:tc>
        <w:tc>
          <w:tcPr>
            <w:tcW w:w="0" w:type="auto"/>
            <w:gridSpan w:val="7"/>
            <w:vMerge/>
            <w:tcBorders>
              <w:top w:val="nil"/>
              <w:left w:val="nil"/>
              <w:bottom w:val="single" w:sz="7" w:space="0" w:color="000000"/>
              <w:right w:val="nil"/>
            </w:tcBorders>
          </w:tcPr>
          <w:p w:rsidR="0047564F" w:rsidRDefault="0047564F"/>
        </w:tc>
        <w:tc>
          <w:tcPr>
            <w:tcW w:w="1585" w:type="dxa"/>
            <w:tcBorders>
              <w:top w:val="single" w:sz="7" w:space="0" w:color="000000"/>
              <w:left w:val="nil"/>
              <w:bottom w:val="single" w:sz="7" w:space="0" w:color="000000"/>
              <w:right w:val="nil"/>
            </w:tcBorders>
          </w:tcPr>
          <w:p w:rsidR="0047564F" w:rsidRDefault="0047564F"/>
        </w:tc>
      </w:tr>
      <w:tr w:rsidR="0047564F">
        <w:trPr>
          <w:trHeight w:val="195"/>
        </w:trPr>
        <w:tc>
          <w:tcPr>
            <w:tcW w:w="2134" w:type="dxa"/>
            <w:tcBorders>
              <w:top w:val="single" w:sz="7" w:space="0" w:color="000000"/>
              <w:left w:val="single" w:sz="4" w:space="0" w:color="000000"/>
              <w:bottom w:val="single" w:sz="7" w:space="0" w:color="000000"/>
              <w:right w:val="single" w:sz="7" w:space="0" w:color="000000"/>
            </w:tcBorders>
            <w:shd w:val="clear" w:color="auto" w:fill="BFBFBF"/>
          </w:tcPr>
          <w:p w:rsidR="0047564F" w:rsidRDefault="009856F0">
            <w:pPr>
              <w:spacing w:after="0"/>
              <w:ind w:left="30"/>
            </w:pPr>
            <w:r>
              <w:rPr>
                <w:rFonts w:ascii="Arial" w:eastAsia="Arial" w:hAnsi="Arial" w:cs="Arial"/>
                <w:b/>
                <w:sz w:val="14"/>
              </w:rPr>
              <w:t>Concepto</w:t>
            </w:r>
          </w:p>
        </w:tc>
        <w:tc>
          <w:tcPr>
            <w:tcW w:w="621"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ud.</w:t>
            </w:r>
          </w:p>
        </w:tc>
        <w:tc>
          <w:tcPr>
            <w:tcW w:w="827" w:type="dxa"/>
            <w:tcBorders>
              <w:top w:val="single" w:sz="7" w:space="0" w:color="000000"/>
              <w:left w:val="single" w:sz="7" w:space="0" w:color="000000"/>
              <w:bottom w:val="single" w:sz="7" w:space="0" w:color="000000"/>
              <w:right w:val="single" w:sz="7" w:space="0" w:color="000000"/>
            </w:tcBorders>
            <w:shd w:val="clear" w:color="auto" w:fill="BFBFBF"/>
          </w:tcPr>
          <w:p w:rsidR="0047564F" w:rsidRDefault="009856F0">
            <w:pPr>
              <w:spacing w:after="0"/>
              <w:ind w:left="35"/>
            </w:pPr>
            <w:r>
              <w:rPr>
                <w:rFonts w:ascii="Arial" w:eastAsia="Arial" w:hAnsi="Arial" w:cs="Arial"/>
                <w:b/>
                <w:sz w:val="14"/>
              </w:rPr>
              <w:t>Precio</w:t>
            </w:r>
          </w:p>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17"/>
              <w:jc w:val="center"/>
            </w:pPr>
            <w:r>
              <w:rPr>
                <w:rFonts w:ascii="Arial" w:eastAsia="Arial" w:hAnsi="Arial" w:cs="Arial"/>
                <w:sz w:val="13"/>
              </w:rPr>
              <w:t>28</w:t>
            </w:r>
          </w:p>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47564F"/>
        </w:tc>
        <w:tc>
          <w:tcPr>
            <w:tcW w:w="60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47564F"/>
        </w:tc>
        <w:tc>
          <w:tcPr>
            <w:tcW w:w="603"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47564F"/>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47564F"/>
        </w:tc>
        <w:tc>
          <w:tcPr>
            <w:tcW w:w="604"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47564F"/>
        </w:tc>
        <w:tc>
          <w:tcPr>
            <w:tcW w:w="608"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47564F"/>
        </w:tc>
        <w:tc>
          <w:tcPr>
            <w:tcW w:w="1585" w:type="dxa"/>
            <w:tcBorders>
              <w:top w:val="single" w:sz="7" w:space="0" w:color="000000"/>
              <w:left w:val="single" w:sz="7" w:space="0" w:color="000000"/>
              <w:bottom w:val="single" w:sz="7" w:space="0" w:color="000000"/>
              <w:right w:val="nil"/>
            </w:tcBorders>
            <w:shd w:val="clear" w:color="auto" w:fill="538DD5"/>
          </w:tcPr>
          <w:p w:rsidR="0047564F" w:rsidRDefault="009856F0">
            <w:pPr>
              <w:spacing w:after="0"/>
              <w:ind w:left="21" w:right="-14"/>
              <w:jc w:val="both"/>
            </w:pPr>
            <w:r>
              <w:rPr>
                <w:rFonts w:ascii="Arial" w:eastAsia="Arial" w:hAnsi="Arial" w:cs="Arial"/>
                <w:sz w:val="13"/>
              </w:rPr>
              <w:t>SUBTOTAL POR SEMANA</w:t>
            </w:r>
          </w:p>
        </w:tc>
      </w:tr>
      <w:tr w:rsidR="0047564F">
        <w:trPr>
          <w:trHeight w:val="365"/>
        </w:trPr>
        <w:tc>
          <w:tcPr>
            <w:tcW w:w="2134" w:type="dxa"/>
            <w:tcBorders>
              <w:top w:val="single" w:sz="7" w:space="0" w:color="000000"/>
              <w:left w:val="single" w:sz="4" w:space="0" w:color="000000"/>
              <w:bottom w:val="nil"/>
              <w:right w:val="nil"/>
            </w:tcBorders>
          </w:tcPr>
          <w:p w:rsidR="0047564F" w:rsidRDefault="009856F0">
            <w:pPr>
              <w:spacing w:after="0"/>
              <w:ind w:left="30"/>
            </w:pPr>
            <w:r>
              <w:rPr>
                <w:rFonts w:ascii="Arial" w:eastAsia="Arial" w:hAnsi="Arial" w:cs="Arial"/>
                <w:sz w:val="14"/>
              </w:rPr>
              <w:t>Analíticas semanales de agua bruta</w:t>
            </w:r>
          </w:p>
        </w:tc>
        <w:tc>
          <w:tcPr>
            <w:tcW w:w="621" w:type="dxa"/>
            <w:tcBorders>
              <w:top w:val="single" w:sz="7" w:space="0" w:color="000000"/>
              <w:left w:val="nil"/>
              <w:bottom w:val="nil"/>
              <w:right w:val="nil"/>
            </w:tcBorders>
            <w:vAlign w:val="bottom"/>
          </w:tcPr>
          <w:p w:rsidR="0047564F" w:rsidRDefault="009856F0">
            <w:pPr>
              <w:spacing w:after="0"/>
              <w:ind w:left="21"/>
              <w:jc w:val="center"/>
            </w:pPr>
            <w:r>
              <w:rPr>
                <w:rFonts w:ascii="Arial" w:eastAsia="Arial" w:hAnsi="Arial" w:cs="Arial"/>
                <w:sz w:val="13"/>
              </w:rPr>
              <w:t>2</w:t>
            </w:r>
          </w:p>
        </w:tc>
        <w:tc>
          <w:tcPr>
            <w:tcW w:w="827" w:type="dxa"/>
            <w:tcBorders>
              <w:top w:val="single" w:sz="7" w:space="0" w:color="000000"/>
              <w:left w:val="nil"/>
              <w:bottom w:val="nil"/>
              <w:right w:val="nil"/>
            </w:tcBorders>
            <w:vAlign w:val="bottom"/>
          </w:tcPr>
          <w:p w:rsidR="0047564F" w:rsidRDefault="009856F0">
            <w:pPr>
              <w:spacing w:after="0"/>
              <w:ind w:left="71"/>
            </w:pPr>
            <w:r>
              <w:rPr>
                <w:rFonts w:ascii="Arial" w:eastAsia="Arial" w:hAnsi="Arial" w:cs="Arial"/>
                <w:sz w:val="13"/>
              </w:rPr>
              <w:t xml:space="preserve">      249,39 €</w:t>
            </w:r>
          </w:p>
        </w:tc>
        <w:tc>
          <w:tcPr>
            <w:tcW w:w="4228" w:type="dxa"/>
            <w:gridSpan w:val="7"/>
            <w:tcBorders>
              <w:top w:val="single" w:sz="7" w:space="0" w:color="000000"/>
              <w:left w:val="nil"/>
              <w:bottom w:val="nil"/>
              <w:right w:val="single" w:sz="7" w:space="0" w:color="000000"/>
            </w:tcBorders>
          </w:tcPr>
          <w:p w:rsidR="0047564F" w:rsidRDefault="0047564F"/>
        </w:tc>
        <w:tc>
          <w:tcPr>
            <w:tcW w:w="1585" w:type="dxa"/>
            <w:tcBorders>
              <w:top w:val="single" w:sz="7" w:space="0" w:color="000000"/>
              <w:left w:val="single" w:sz="7" w:space="0" w:color="000000"/>
              <w:bottom w:val="nil"/>
              <w:right w:val="single" w:sz="7" w:space="0" w:color="000000"/>
            </w:tcBorders>
            <w:vAlign w:val="center"/>
          </w:tcPr>
          <w:p w:rsidR="0047564F" w:rsidRDefault="009856F0">
            <w:pPr>
              <w:spacing w:after="0"/>
              <w:ind w:left="65"/>
            </w:pPr>
            <w:r>
              <w:rPr>
                <w:rFonts w:ascii="Arial" w:eastAsia="Arial" w:hAnsi="Arial" w:cs="Arial"/>
                <w:sz w:val="13"/>
              </w:rPr>
              <w:t xml:space="preserve">                            498,78 €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Analíticas semanales de fango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196,41 €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392,82 €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 xml:space="preserve">Toma de muestra agua bruta </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Toma de muestra fangos</w:t>
            </w:r>
          </w:p>
        </w:tc>
        <w:tc>
          <w:tcPr>
            <w:tcW w:w="621" w:type="dxa"/>
            <w:tcBorders>
              <w:top w:val="nil"/>
              <w:left w:val="nil"/>
              <w:bottom w:val="nil"/>
              <w:right w:val="nil"/>
            </w:tcBorders>
          </w:tcPr>
          <w:p w:rsidR="0047564F" w:rsidRDefault="009856F0">
            <w:pPr>
              <w:spacing w:after="0"/>
              <w:ind w:left="21"/>
              <w:jc w:val="center"/>
            </w:pPr>
            <w:r>
              <w:rPr>
                <w:rFonts w:ascii="Arial" w:eastAsia="Arial" w:hAnsi="Arial" w:cs="Arial"/>
                <w:sz w:val="13"/>
              </w:rPr>
              <w:t>2</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35,65 €</w:t>
            </w:r>
          </w:p>
        </w:tc>
        <w:tc>
          <w:tcPr>
            <w:tcW w:w="4228" w:type="dxa"/>
            <w:gridSpan w:val="7"/>
            <w:tcBorders>
              <w:top w:val="nil"/>
              <w:left w:val="nil"/>
              <w:bottom w:val="nil"/>
              <w:right w:val="single" w:sz="7" w:space="0" w:color="000000"/>
            </w:tcBorders>
          </w:tcPr>
          <w:p w:rsidR="0047564F" w:rsidRDefault="0047564F"/>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71,30 €</w:t>
            </w:r>
          </w:p>
        </w:tc>
      </w:tr>
      <w:tr w:rsidR="0047564F">
        <w:trPr>
          <w:trHeight w:val="290"/>
        </w:trPr>
        <w:tc>
          <w:tcPr>
            <w:tcW w:w="2134" w:type="dxa"/>
            <w:vMerge w:val="restart"/>
            <w:tcBorders>
              <w:top w:val="nil"/>
              <w:left w:val="single" w:sz="4" w:space="0" w:color="000000"/>
              <w:bottom w:val="nil"/>
              <w:right w:val="nil"/>
            </w:tcBorders>
          </w:tcPr>
          <w:p w:rsidR="0047564F" w:rsidRDefault="009856F0">
            <w:pPr>
              <w:spacing w:after="1"/>
              <w:ind w:left="30"/>
            </w:pPr>
            <w:r>
              <w:rPr>
                <w:rFonts w:ascii="Arial" w:eastAsia="Arial" w:hAnsi="Arial" w:cs="Arial"/>
                <w:sz w:val="14"/>
              </w:rPr>
              <w:t>Personal en planta</w:t>
            </w:r>
          </w:p>
          <w:p w:rsidR="0047564F" w:rsidRDefault="009856F0">
            <w:pPr>
              <w:spacing w:after="0"/>
              <w:ind w:left="30"/>
            </w:pPr>
            <w:r>
              <w:rPr>
                <w:rFonts w:ascii="Arial" w:eastAsia="Arial" w:hAnsi="Arial" w:cs="Arial"/>
                <w:sz w:val="14"/>
              </w:rPr>
              <w:t xml:space="preserve">M3 Caudal de aguas </w:t>
            </w:r>
          </w:p>
        </w:tc>
        <w:tc>
          <w:tcPr>
            <w:tcW w:w="621" w:type="dxa"/>
            <w:vMerge w:val="restart"/>
            <w:tcBorders>
              <w:top w:val="nil"/>
              <w:left w:val="nil"/>
              <w:bottom w:val="nil"/>
              <w:right w:val="nil"/>
            </w:tcBorders>
          </w:tcPr>
          <w:p w:rsidR="0047564F" w:rsidRDefault="009856F0">
            <w:pPr>
              <w:spacing w:after="12"/>
              <w:ind w:left="21"/>
              <w:jc w:val="center"/>
            </w:pPr>
            <w:r>
              <w:rPr>
                <w:rFonts w:ascii="Arial" w:eastAsia="Arial" w:hAnsi="Arial" w:cs="Arial"/>
                <w:sz w:val="13"/>
              </w:rPr>
              <w:t>15</w:t>
            </w:r>
          </w:p>
          <w:p w:rsidR="0047564F" w:rsidRDefault="009856F0">
            <w:pPr>
              <w:spacing w:after="0"/>
              <w:ind w:left="21"/>
              <w:jc w:val="center"/>
            </w:pPr>
            <w:r>
              <w:rPr>
                <w:rFonts w:ascii="Arial" w:eastAsia="Arial" w:hAnsi="Arial" w:cs="Arial"/>
                <w:sz w:val="13"/>
              </w:rPr>
              <w:t>240</w:t>
            </w:r>
          </w:p>
        </w:tc>
        <w:tc>
          <w:tcPr>
            <w:tcW w:w="827" w:type="dxa"/>
            <w:vMerge w:val="restart"/>
            <w:tcBorders>
              <w:top w:val="nil"/>
              <w:left w:val="nil"/>
              <w:bottom w:val="nil"/>
              <w:right w:val="nil"/>
            </w:tcBorders>
          </w:tcPr>
          <w:p w:rsidR="0047564F" w:rsidRDefault="009856F0">
            <w:pPr>
              <w:spacing w:after="24"/>
              <w:ind w:left="71"/>
            </w:pPr>
            <w:r>
              <w:rPr>
                <w:rFonts w:ascii="Arial" w:eastAsia="Arial" w:hAnsi="Arial" w:cs="Arial"/>
                <w:sz w:val="13"/>
              </w:rPr>
              <w:t xml:space="preserve">        25,01 €</w:t>
            </w:r>
          </w:p>
          <w:p w:rsidR="0047564F" w:rsidRDefault="009856F0">
            <w:pPr>
              <w:spacing w:after="0"/>
              <w:ind w:left="71"/>
            </w:pPr>
            <w:r>
              <w:rPr>
                <w:rFonts w:ascii="Arial" w:eastAsia="Arial" w:hAnsi="Arial" w:cs="Arial"/>
                <w:sz w:val="13"/>
              </w:rPr>
              <w:t xml:space="preserve">          1,10 €</w:t>
            </w:r>
          </w:p>
        </w:tc>
        <w:tc>
          <w:tcPr>
            <w:tcW w:w="4228" w:type="dxa"/>
            <w:gridSpan w:val="7"/>
            <w:vMerge w:val="restart"/>
            <w:tcBorders>
              <w:top w:val="nil"/>
              <w:left w:val="nil"/>
              <w:bottom w:val="nil"/>
              <w:right w:val="single" w:sz="7" w:space="0" w:color="000000"/>
            </w:tcBorders>
          </w:tcPr>
          <w:p w:rsidR="0047564F" w:rsidRDefault="009856F0">
            <w:pPr>
              <w:spacing w:after="12"/>
              <w:ind w:left="237"/>
            </w:pPr>
            <w:r>
              <w:rPr>
                <w:rFonts w:ascii="Arial" w:eastAsia="Arial" w:hAnsi="Arial" w:cs="Arial"/>
                <w:sz w:val="13"/>
              </w:rPr>
              <w:t>15</w:t>
            </w:r>
          </w:p>
          <w:p w:rsidR="0047564F" w:rsidRDefault="009856F0">
            <w:pPr>
              <w:spacing w:after="0"/>
              <w:ind w:left="202"/>
            </w:pPr>
            <w:r>
              <w:rPr>
                <w:rFonts w:ascii="Arial" w:eastAsia="Arial" w:hAnsi="Arial" w:cs="Arial"/>
                <w:sz w:val="13"/>
              </w:rPr>
              <w:t>240</w:t>
            </w:r>
          </w:p>
        </w:tc>
        <w:tc>
          <w:tcPr>
            <w:tcW w:w="1585" w:type="dxa"/>
            <w:vMerge w:val="restart"/>
            <w:tcBorders>
              <w:top w:val="nil"/>
              <w:left w:val="single" w:sz="7" w:space="0" w:color="000000"/>
              <w:bottom w:val="nil"/>
              <w:right w:val="single" w:sz="7" w:space="0" w:color="000000"/>
            </w:tcBorders>
          </w:tcPr>
          <w:p w:rsidR="0047564F" w:rsidRDefault="009856F0">
            <w:pPr>
              <w:spacing w:after="20"/>
              <w:ind w:left="65"/>
            </w:pPr>
            <w:r>
              <w:rPr>
                <w:rFonts w:ascii="Arial" w:eastAsia="Arial" w:hAnsi="Arial" w:cs="Arial"/>
                <w:sz w:val="13"/>
              </w:rPr>
              <w:t xml:space="preserve">                            375,15 €</w:t>
            </w:r>
          </w:p>
          <w:p w:rsidR="0047564F" w:rsidRDefault="009856F0">
            <w:pPr>
              <w:spacing w:after="0"/>
              <w:ind w:left="65"/>
            </w:pPr>
            <w:r>
              <w:rPr>
                <w:rFonts w:ascii="Arial" w:eastAsia="Arial" w:hAnsi="Arial" w:cs="Arial"/>
                <w:sz w:val="13"/>
              </w:rPr>
              <w:t xml:space="preserve">                            264,00 €</w:t>
            </w:r>
          </w:p>
        </w:tc>
      </w:tr>
      <w:tr w:rsidR="0047564F">
        <w:trPr>
          <w:trHeight w:val="450"/>
        </w:trPr>
        <w:tc>
          <w:tcPr>
            <w:tcW w:w="0" w:type="auto"/>
            <w:vMerge/>
            <w:tcBorders>
              <w:top w:val="nil"/>
              <w:left w:val="single" w:sz="4" w:space="0" w:color="000000"/>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vMerge/>
            <w:tcBorders>
              <w:top w:val="nil"/>
              <w:left w:val="nil"/>
              <w:bottom w:val="nil"/>
              <w:right w:val="nil"/>
            </w:tcBorders>
          </w:tcPr>
          <w:p w:rsidR="0047564F" w:rsidRDefault="0047564F"/>
        </w:tc>
        <w:tc>
          <w:tcPr>
            <w:tcW w:w="0" w:type="auto"/>
            <w:gridSpan w:val="7"/>
            <w:vMerge/>
            <w:tcBorders>
              <w:top w:val="nil"/>
              <w:left w:val="nil"/>
              <w:bottom w:val="nil"/>
              <w:right w:val="single" w:sz="7" w:space="0" w:color="000000"/>
            </w:tcBorders>
          </w:tcPr>
          <w:p w:rsidR="0047564F" w:rsidRDefault="0047564F"/>
        </w:tc>
        <w:tc>
          <w:tcPr>
            <w:tcW w:w="0" w:type="auto"/>
            <w:vMerge/>
            <w:tcBorders>
              <w:top w:val="nil"/>
              <w:left w:val="single" w:sz="7" w:space="0" w:color="000000"/>
              <w:bottom w:val="nil"/>
              <w:right w:val="single" w:sz="7" w:space="0" w:color="000000"/>
            </w:tcBorders>
          </w:tcPr>
          <w:p w:rsidR="0047564F" w:rsidRDefault="0047564F"/>
        </w:tc>
      </w:tr>
      <w:tr w:rsidR="0047564F">
        <w:trPr>
          <w:trHeight w:val="178"/>
        </w:trPr>
        <w:tc>
          <w:tcPr>
            <w:tcW w:w="2134" w:type="dxa"/>
            <w:tcBorders>
              <w:top w:val="nil"/>
              <w:left w:val="single" w:sz="4" w:space="0" w:color="000000"/>
              <w:bottom w:val="nil"/>
              <w:right w:val="nil"/>
            </w:tcBorders>
          </w:tcPr>
          <w:p w:rsidR="0047564F" w:rsidRDefault="009856F0">
            <w:pPr>
              <w:spacing w:after="0"/>
              <w:ind w:left="30"/>
            </w:pPr>
            <w:r>
              <w:rPr>
                <w:rFonts w:ascii="Arial" w:eastAsia="Arial" w:hAnsi="Arial" w:cs="Arial"/>
                <w:sz w:val="14"/>
              </w:rPr>
              <w:t>Kg de fangos</w:t>
            </w:r>
          </w:p>
        </w:tc>
        <w:tc>
          <w:tcPr>
            <w:tcW w:w="621" w:type="dxa"/>
            <w:tcBorders>
              <w:top w:val="nil"/>
              <w:left w:val="nil"/>
              <w:bottom w:val="nil"/>
              <w:right w:val="nil"/>
            </w:tcBorders>
          </w:tcPr>
          <w:p w:rsidR="0047564F" w:rsidRDefault="009856F0">
            <w:pPr>
              <w:spacing w:after="0"/>
              <w:ind w:left="20"/>
              <w:jc w:val="center"/>
            </w:pPr>
            <w:r>
              <w:rPr>
                <w:rFonts w:ascii="Arial" w:eastAsia="Arial" w:hAnsi="Arial" w:cs="Arial"/>
                <w:sz w:val="13"/>
              </w:rPr>
              <w:t>56,25</w:t>
            </w:r>
          </w:p>
        </w:tc>
        <w:tc>
          <w:tcPr>
            <w:tcW w:w="827" w:type="dxa"/>
            <w:tcBorders>
              <w:top w:val="nil"/>
              <w:left w:val="nil"/>
              <w:bottom w:val="nil"/>
              <w:right w:val="nil"/>
            </w:tcBorders>
          </w:tcPr>
          <w:p w:rsidR="0047564F" w:rsidRDefault="009856F0">
            <w:pPr>
              <w:spacing w:after="0"/>
              <w:ind w:left="71"/>
            </w:pPr>
            <w:r>
              <w:rPr>
                <w:rFonts w:ascii="Arial" w:eastAsia="Arial" w:hAnsi="Arial" w:cs="Arial"/>
                <w:sz w:val="13"/>
              </w:rPr>
              <w:t xml:space="preserve">          0,83 €</w:t>
            </w:r>
          </w:p>
        </w:tc>
        <w:tc>
          <w:tcPr>
            <w:tcW w:w="4228" w:type="dxa"/>
            <w:gridSpan w:val="7"/>
            <w:tcBorders>
              <w:top w:val="nil"/>
              <w:left w:val="nil"/>
              <w:bottom w:val="nil"/>
              <w:right w:val="single" w:sz="7" w:space="0" w:color="000000"/>
            </w:tcBorders>
          </w:tcPr>
          <w:p w:rsidR="0047564F" w:rsidRDefault="009856F0">
            <w:pPr>
              <w:spacing w:after="0"/>
              <w:ind w:left="149"/>
            </w:pPr>
            <w:r>
              <w:rPr>
                <w:rFonts w:ascii="Arial" w:eastAsia="Arial" w:hAnsi="Arial" w:cs="Arial"/>
                <w:sz w:val="13"/>
              </w:rPr>
              <w:t>56,25</w:t>
            </w:r>
          </w:p>
        </w:tc>
        <w:tc>
          <w:tcPr>
            <w:tcW w:w="1585" w:type="dxa"/>
            <w:tcBorders>
              <w:top w:val="nil"/>
              <w:left w:val="single" w:sz="7" w:space="0" w:color="000000"/>
              <w:bottom w:val="nil"/>
              <w:right w:val="single" w:sz="7" w:space="0" w:color="000000"/>
            </w:tcBorders>
          </w:tcPr>
          <w:p w:rsidR="0047564F" w:rsidRDefault="009856F0">
            <w:pPr>
              <w:spacing w:after="0"/>
              <w:ind w:left="65"/>
            </w:pPr>
            <w:r>
              <w:rPr>
                <w:rFonts w:ascii="Arial" w:eastAsia="Arial" w:hAnsi="Arial" w:cs="Arial"/>
                <w:sz w:val="13"/>
              </w:rPr>
              <w:t xml:space="preserve">                              46,69 €</w:t>
            </w:r>
          </w:p>
        </w:tc>
      </w:tr>
      <w:tr w:rsidR="0047564F">
        <w:trPr>
          <w:trHeight w:val="173"/>
        </w:trPr>
        <w:tc>
          <w:tcPr>
            <w:tcW w:w="2134" w:type="dxa"/>
            <w:tcBorders>
              <w:top w:val="nil"/>
              <w:left w:val="single" w:sz="4" w:space="0" w:color="000000"/>
              <w:bottom w:val="single" w:sz="7" w:space="0" w:color="000000"/>
              <w:right w:val="nil"/>
            </w:tcBorders>
          </w:tcPr>
          <w:p w:rsidR="0047564F" w:rsidRDefault="009856F0">
            <w:pPr>
              <w:spacing w:after="0"/>
              <w:ind w:left="30"/>
            </w:pPr>
            <w:r>
              <w:rPr>
                <w:rFonts w:ascii="Arial" w:eastAsia="Arial" w:hAnsi="Arial" w:cs="Arial"/>
                <w:sz w:val="14"/>
              </w:rPr>
              <w:t>Cuba de 20 m3</w:t>
            </w:r>
          </w:p>
        </w:tc>
        <w:tc>
          <w:tcPr>
            <w:tcW w:w="621" w:type="dxa"/>
            <w:tcBorders>
              <w:top w:val="nil"/>
              <w:left w:val="nil"/>
              <w:bottom w:val="single" w:sz="7" w:space="0" w:color="000000"/>
              <w:right w:val="nil"/>
            </w:tcBorders>
          </w:tcPr>
          <w:p w:rsidR="0047564F" w:rsidRDefault="009856F0">
            <w:pPr>
              <w:spacing w:after="0"/>
              <w:ind w:left="21"/>
              <w:jc w:val="center"/>
            </w:pPr>
            <w:r>
              <w:rPr>
                <w:rFonts w:ascii="Arial" w:eastAsia="Arial" w:hAnsi="Arial" w:cs="Arial"/>
                <w:sz w:val="13"/>
              </w:rPr>
              <w:t>12</w:t>
            </w:r>
          </w:p>
        </w:tc>
        <w:tc>
          <w:tcPr>
            <w:tcW w:w="827" w:type="dxa"/>
            <w:tcBorders>
              <w:top w:val="nil"/>
              <w:left w:val="nil"/>
              <w:bottom w:val="single" w:sz="7" w:space="0" w:color="000000"/>
              <w:right w:val="nil"/>
            </w:tcBorders>
          </w:tcPr>
          <w:p w:rsidR="0047564F" w:rsidRDefault="009856F0">
            <w:pPr>
              <w:spacing w:after="0"/>
              <w:ind w:left="71"/>
            </w:pPr>
            <w:r>
              <w:rPr>
                <w:rFonts w:ascii="Arial" w:eastAsia="Arial" w:hAnsi="Arial" w:cs="Arial"/>
                <w:sz w:val="13"/>
              </w:rPr>
              <w:t xml:space="preserve">      420,00 €</w:t>
            </w:r>
          </w:p>
        </w:tc>
        <w:tc>
          <w:tcPr>
            <w:tcW w:w="4228" w:type="dxa"/>
            <w:gridSpan w:val="7"/>
            <w:tcBorders>
              <w:top w:val="nil"/>
              <w:left w:val="nil"/>
              <w:bottom w:val="single" w:sz="7" w:space="0" w:color="000000"/>
              <w:right w:val="single" w:sz="7" w:space="0" w:color="000000"/>
            </w:tcBorders>
          </w:tcPr>
          <w:p w:rsidR="0047564F" w:rsidRDefault="009856F0">
            <w:pPr>
              <w:spacing w:after="0"/>
              <w:ind w:left="237"/>
            </w:pPr>
            <w:r>
              <w:rPr>
                <w:rFonts w:ascii="Arial" w:eastAsia="Arial" w:hAnsi="Arial" w:cs="Arial"/>
                <w:sz w:val="13"/>
              </w:rPr>
              <w:t>12</w:t>
            </w:r>
          </w:p>
        </w:tc>
        <w:tc>
          <w:tcPr>
            <w:tcW w:w="1585" w:type="dxa"/>
            <w:tcBorders>
              <w:top w:val="nil"/>
              <w:left w:val="single" w:sz="7" w:space="0" w:color="000000"/>
              <w:bottom w:val="single" w:sz="7" w:space="0" w:color="000000"/>
              <w:right w:val="single" w:sz="7" w:space="0" w:color="000000"/>
            </w:tcBorders>
          </w:tcPr>
          <w:p w:rsidR="0047564F" w:rsidRDefault="009856F0">
            <w:pPr>
              <w:spacing w:after="0"/>
              <w:ind w:left="65"/>
            </w:pPr>
            <w:r>
              <w:rPr>
                <w:rFonts w:ascii="Arial" w:eastAsia="Arial" w:hAnsi="Arial" w:cs="Arial"/>
                <w:sz w:val="13"/>
              </w:rPr>
              <w:t xml:space="preserve">                         5.040,00 €</w:t>
            </w:r>
          </w:p>
        </w:tc>
      </w:tr>
      <w:tr w:rsidR="0047564F">
        <w:trPr>
          <w:trHeight w:val="189"/>
        </w:trPr>
        <w:tc>
          <w:tcPr>
            <w:tcW w:w="2134" w:type="dxa"/>
            <w:tcBorders>
              <w:top w:val="single" w:sz="7" w:space="0" w:color="000000"/>
              <w:left w:val="nil"/>
              <w:bottom w:val="nil"/>
              <w:right w:val="nil"/>
            </w:tcBorders>
          </w:tcPr>
          <w:p w:rsidR="0047564F" w:rsidRDefault="0047564F"/>
        </w:tc>
        <w:tc>
          <w:tcPr>
            <w:tcW w:w="621" w:type="dxa"/>
            <w:tcBorders>
              <w:top w:val="single" w:sz="7" w:space="0" w:color="000000"/>
              <w:left w:val="nil"/>
              <w:bottom w:val="nil"/>
              <w:right w:val="nil"/>
            </w:tcBorders>
          </w:tcPr>
          <w:p w:rsidR="0047564F" w:rsidRDefault="0047564F"/>
        </w:tc>
        <w:tc>
          <w:tcPr>
            <w:tcW w:w="827" w:type="dxa"/>
            <w:tcBorders>
              <w:top w:val="single" w:sz="7" w:space="0" w:color="000000"/>
              <w:left w:val="nil"/>
              <w:bottom w:val="nil"/>
              <w:right w:val="nil"/>
            </w:tcBorders>
          </w:tcPr>
          <w:p w:rsidR="0047564F" w:rsidRDefault="0047564F"/>
        </w:tc>
        <w:tc>
          <w:tcPr>
            <w:tcW w:w="4228" w:type="dxa"/>
            <w:gridSpan w:val="7"/>
            <w:tcBorders>
              <w:top w:val="single" w:sz="7" w:space="0" w:color="000000"/>
              <w:left w:val="nil"/>
              <w:bottom w:val="nil"/>
              <w:right w:val="single" w:sz="7" w:space="0" w:color="000000"/>
            </w:tcBorders>
          </w:tcPr>
          <w:p w:rsidR="0047564F" w:rsidRDefault="0047564F"/>
        </w:tc>
        <w:tc>
          <w:tcPr>
            <w:tcW w:w="1585"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ind w:left="65"/>
            </w:pPr>
            <w:r>
              <w:rPr>
                <w:rFonts w:ascii="Arial" w:eastAsia="Arial" w:hAnsi="Arial" w:cs="Arial"/>
                <w:b/>
                <w:sz w:val="13"/>
              </w:rPr>
              <w:t xml:space="preserve">                         6.760,04 €</w:t>
            </w:r>
          </w:p>
        </w:tc>
      </w:tr>
    </w:tbl>
    <w:tbl>
      <w:tblPr>
        <w:tblStyle w:val="TableGrid"/>
        <w:tblpPr w:vertAnchor="text" w:tblpX="7383" w:tblpY="-31"/>
        <w:tblOverlap w:val="never"/>
        <w:tblW w:w="1591" w:type="dxa"/>
        <w:tblInd w:w="0" w:type="dxa"/>
        <w:tblCellMar>
          <w:top w:w="34" w:type="dxa"/>
          <w:left w:w="71" w:type="dxa"/>
          <w:bottom w:w="0" w:type="dxa"/>
          <w:right w:w="62" w:type="dxa"/>
        </w:tblCellMar>
        <w:tblLook w:val="04A0" w:firstRow="1" w:lastRow="0" w:firstColumn="1" w:lastColumn="0" w:noHBand="0" w:noVBand="1"/>
      </w:tblPr>
      <w:tblGrid>
        <w:gridCol w:w="1591"/>
      </w:tblGrid>
      <w:tr w:rsidR="0047564F">
        <w:trPr>
          <w:trHeight w:val="189"/>
        </w:trPr>
        <w:tc>
          <w:tcPr>
            <w:tcW w:w="1591" w:type="dxa"/>
            <w:tcBorders>
              <w:top w:val="single" w:sz="7" w:space="0" w:color="000000"/>
              <w:left w:val="single" w:sz="7" w:space="0" w:color="000000"/>
              <w:bottom w:val="single" w:sz="7" w:space="0" w:color="000000"/>
              <w:right w:val="single" w:sz="7" w:space="0" w:color="000000"/>
            </w:tcBorders>
            <w:shd w:val="clear" w:color="auto" w:fill="C5D9F1"/>
          </w:tcPr>
          <w:p w:rsidR="0047564F" w:rsidRDefault="009856F0">
            <w:pPr>
              <w:spacing w:after="0"/>
            </w:pPr>
            <w:r>
              <w:rPr>
                <w:rFonts w:ascii="Arial" w:eastAsia="Arial" w:hAnsi="Arial" w:cs="Arial"/>
                <w:b/>
                <w:sz w:val="13"/>
              </w:rPr>
              <w:t xml:space="preserve">                     139.366,44 €</w:t>
            </w:r>
          </w:p>
        </w:tc>
      </w:tr>
    </w:tbl>
    <w:tbl>
      <w:tblPr>
        <w:tblStyle w:val="TableGrid"/>
        <w:tblpPr w:vertAnchor="text" w:tblpX="4365" w:tblpY="156"/>
        <w:tblOverlap w:val="never"/>
        <w:tblW w:w="1813" w:type="dxa"/>
        <w:tblInd w:w="0" w:type="dxa"/>
        <w:tblCellMar>
          <w:top w:w="22" w:type="dxa"/>
          <w:left w:w="0" w:type="dxa"/>
          <w:bottom w:w="0" w:type="dxa"/>
          <w:right w:w="16" w:type="dxa"/>
        </w:tblCellMar>
        <w:tblLook w:val="04A0" w:firstRow="1" w:lastRow="0" w:firstColumn="1" w:lastColumn="0" w:noHBand="0" w:noVBand="1"/>
      </w:tblPr>
      <w:tblGrid>
        <w:gridCol w:w="443"/>
        <w:gridCol w:w="161"/>
        <w:gridCol w:w="604"/>
        <w:gridCol w:w="605"/>
      </w:tblGrid>
      <w:tr w:rsidR="0047564F">
        <w:trPr>
          <w:trHeight w:val="180"/>
        </w:trPr>
        <w:tc>
          <w:tcPr>
            <w:tcW w:w="444" w:type="dxa"/>
            <w:tcBorders>
              <w:top w:val="single" w:sz="7" w:space="0" w:color="000000"/>
              <w:left w:val="single" w:sz="7" w:space="0" w:color="000000"/>
              <w:bottom w:val="single" w:sz="7" w:space="0" w:color="000000"/>
              <w:right w:val="nil"/>
            </w:tcBorders>
            <w:shd w:val="clear" w:color="auto" w:fill="DA9694"/>
          </w:tcPr>
          <w:p w:rsidR="0047564F" w:rsidRDefault="009856F0">
            <w:pPr>
              <w:spacing w:after="0"/>
              <w:ind w:left="27"/>
            </w:pPr>
            <w:r>
              <w:rPr>
                <w:rFonts w:ascii="Arial" w:eastAsia="Arial" w:hAnsi="Arial" w:cs="Arial"/>
                <w:sz w:val="13"/>
              </w:rPr>
              <w:t>UD</w:t>
            </w:r>
          </w:p>
        </w:tc>
        <w:tc>
          <w:tcPr>
            <w:tcW w:w="161" w:type="dxa"/>
            <w:tcBorders>
              <w:top w:val="single" w:sz="7" w:space="0" w:color="000000"/>
              <w:left w:val="nil"/>
              <w:bottom w:val="single" w:sz="7" w:space="0" w:color="000000"/>
              <w:right w:val="single" w:sz="7" w:space="0" w:color="000000"/>
            </w:tcBorders>
            <w:shd w:val="clear" w:color="auto" w:fill="DA9694"/>
          </w:tcPr>
          <w:p w:rsidR="0047564F" w:rsidRDefault="0047564F"/>
        </w:tc>
        <w:tc>
          <w:tcPr>
            <w:tcW w:w="604" w:type="dxa"/>
            <w:tcBorders>
              <w:top w:val="single" w:sz="7" w:space="0" w:color="000000"/>
              <w:left w:val="single" w:sz="7" w:space="0" w:color="000000"/>
              <w:bottom w:val="single" w:sz="7" w:space="0" w:color="000000"/>
              <w:right w:val="single" w:sz="7" w:space="0" w:color="000000"/>
            </w:tcBorders>
            <w:shd w:val="clear" w:color="auto" w:fill="DA9694"/>
          </w:tcPr>
          <w:p w:rsidR="0047564F" w:rsidRDefault="009856F0">
            <w:pPr>
              <w:spacing w:after="0"/>
              <w:ind w:left="25"/>
              <w:jc w:val="both"/>
            </w:pPr>
            <w:r>
              <w:rPr>
                <w:rFonts w:ascii="Arial" w:eastAsia="Arial" w:hAnsi="Arial" w:cs="Arial"/>
                <w:sz w:val="13"/>
              </w:rPr>
              <w:t>PRECIO</w:t>
            </w:r>
          </w:p>
        </w:tc>
        <w:tc>
          <w:tcPr>
            <w:tcW w:w="605" w:type="dxa"/>
            <w:tcBorders>
              <w:top w:val="single" w:sz="7" w:space="0" w:color="000000"/>
              <w:left w:val="single" w:sz="7" w:space="0" w:color="000000"/>
              <w:bottom w:val="single" w:sz="7" w:space="0" w:color="000000"/>
              <w:right w:val="single" w:sz="7" w:space="0" w:color="000000"/>
            </w:tcBorders>
            <w:shd w:val="clear" w:color="auto" w:fill="DA9694"/>
          </w:tcPr>
          <w:p w:rsidR="0047564F" w:rsidRDefault="009856F0">
            <w:pPr>
              <w:spacing w:after="0"/>
              <w:ind w:left="25"/>
            </w:pPr>
            <w:r>
              <w:rPr>
                <w:rFonts w:ascii="Arial" w:eastAsia="Arial" w:hAnsi="Arial" w:cs="Arial"/>
                <w:sz w:val="13"/>
              </w:rPr>
              <w:t>TOTAL</w:t>
            </w:r>
          </w:p>
        </w:tc>
      </w:tr>
      <w:tr w:rsidR="0047564F">
        <w:trPr>
          <w:trHeight w:val="187"/>
        </w:trPr>
        <w:tc>
          <w:tcPr>
            <w:tcW w:w="444" w:type="dxa"/>
            <w:tcBorders>
              <w:top w:val="single" w:sz="7" w:space="0" w:color="000000"/>
              <w:left w:val="single" w:sz="7" w:space="0" w:color="000000"/>
              <w:bottom w:val="single" w:sz="7" w:space="0" w:color="000000"/>
              <w:right w:val="nil"/>
            </w:tcBorders>
            <w:shd w:val="clear" w:color="auto" w:fill="E6B8B7"/>
          </w:tcPr>
          <w:p w:rsidR="0047564F" w:rsidRDefault="0047564F"/>
        </w:tc>
        <w:tc>
          <w:tcPr>
            <w:tcW w:w="161" w:type="dxa"/>
            <w:tcBorders>
              <w:top w:val="single" w:sz="7" w:space="0" w:color="000000"/>
              <w:left w:val="nil"/>
              <w:bottom w:val="single" w:sz="7" w:space="0" w:color="000000"/>
              <w:right w:val="single" w:sz="4" w:space="0" w:color="000000"/>
            </w:tcBorders>
            <w:shd w:val="clear" w:color="auto" w:fill="E6B8B7"/>
          </w:tcPr>
          <w:p w:rsidR="0047564F" w:rsidRDefault="009856F0">
            <w:pPr>
              <w:spacing w:after="0"/>
              <w:jc w:val="both"/>
            </w:pPr>
            <w:r>
              <w:rPr>
                <w:rFonts w:ascii="Arial" w:eastAsia="Arial" w:hAnsi="Arial" w:cs="Arial"/>
                <w:sz w:val="13"/>
              </w:rPr>
              <w:t>16</w:t>
            </w:r>
          </w:p>
        </w:tc>
        <w:tc>
          <w:tcPr>
            <w:tcW w:w="604" w:type="dxa"/>
            <w:tcBorders>
              <w:top w:val="single" w:sz="7" w:space="0" w:color="000000"/>
              <w:left w:val="single" w:sz="4" w:space="0" w:color="000000"/>
              <w:bottom w:val="single" w:sz="7" w:space="0" w:color="000000"/>
              <w:right w:val="single" w:sz="4" w:space="0" w:color="000000"/>
            </w:tcBorders>
            <w:shd w:val="clear" w:color="auto" w:fill="E6B8B7"/>
          </w:tcPr>
          <w:p w:rsidR="0047564F" w:rsidRDefault="009856F0">
            <w:pPr>
              <w:spacing w:after="0"/>
              <w:jc w:val="right"/>
            </w:pPr>
            <w:r>
              <w:rPr>
                <w:rFonts w:ascii="Arial" w:eastAsia="Arial" w:hAnsi="Arial" w:cs="Arial"/>
                <w:sz w:val="13"/>
              </w:rPr>
              <w:t>250</w:t>
            </w:r>
          </w:p>
        </w:tc>
        <w:tc>
          <w:tcPr>
            <w:tcW w:w="605" w:type="dxa"/>
            <w:tcBorders>
              <w:top w:val="single" w:sz="7" w:space="0" w:color="000000"/>
              <w:left w:val="single" w:sz="4" w:space="0" w:color="000000"/>
              <w:bottom w:val="single" w:sz="7" w:space="0" w:color="000000"/>
              <w:right w:val="single" w:sz="7" w:space="0" w:color="000000"/>
            </w:tcBorders>
            <w:shd w:val="clear" w:color="auto" w:fill="E6B8B7"/>
          </w:tcPr>
          <w:p w:rsidR="0047564F" w:rsidRDefault="009856F0">
            <w:pPr>
              <w:spacing w:after="0"/>
              <w:ind w:right="1"/>
              <w:jc w:val="right"/>
            </w:pPr>
            <w:r>
              <w:rPr>
                <w:rFonts w:ascii="Arial" w:eastAsia="Arial" w:hAnsi="Arial" w:cs="Arial"/>
                <w:sz w:val="13"/>
              </w:rPr>
              <w:t>4000</w:t>
            </w:r>
          </w:p>
        </w:tc>
      </w:tr>
    </w:tbl>
    <w:tbl>
      <w:tblPr>
        <w:tblStyle w:val="TableGrid"/>
        <w:tblpPr w:vertAnchor="text" w:tblpX="7383" w:tblpY="333"/>
        <w:tblOverlap w:val="never"/>
        <w:tblW w:w="1597" w:type="dxa"/>
        <w:tblInd w:w="0" w:type="dxa"/>
        <w:tblCellMar>
          <w:top w:w="31" w:type="dxa"/>
          <w:left w:w="71" w:type="dxa"/>
          <w:bottom w:w="0" w:type="dxa"/>
          <w:right w:w="69" w:type="dxa"/>
        </w:tblCellMar>
        <w:tblLook w:val="04A0" w:firstRow="1" w:lastRow="0" w:firstColumn="1" w:lastColumn="0" w:noHBand="0" w:noVBand="1"/>
      </w:tblPr>
      <w:tblGrid>
        <w:gridCol w:w="1597"/>
      </w:tblGrid>
      <w:tr w:rsidR="0047564F">
        <w:trPr>
          <w:trHeight w:val="195"/>
        </w:trPr>
        <w:tc>
          <w:tcPr>
            <w:tcW w:w="1597" w:type="dxa"/>
            <w:tcBorders>
              <w:top w:val="nil"/>
              <w:left w:val="nil"/>
              <w:bottom w:val="nil"/>
              <w:right w:val="nil"/>
            </w:tcBorders>
            <w:shd w:val="clear" w:color="auto" w:fill="DA9694"/>
          </w:tcPr>
          <w:p w:rsidR="0047564F" w:rsidRDefault="009856F0">
            <w:pPr>
              <w:spacing w:after="0"/>
            </w:pPr>
            <w:r>
              <w:rPr>
                <w:rFonts w:ascii="Arial" w:eastAsia="Arial" w:hAnsi="Arial" w:cs="Arial"/>
                <w:b/>
                <w:sz w:val="13"/>
              </w:rPr>
              <w:t xml:space="preserve">                         4.000,00 €</w:t>
            </w:r>
          </w:p>
        </w:tc>
      </w:tr>
    </w:tbl>
    <w:p w:rsidR="0047564F" w:rsidRDefault="009856F0">
      <w:pPr>
        <w:spacing w:after="199"/>
        <w:ind w:left="6251" w:right="645" w:hanging="10"/>
      </w:pPr>
      <w:r>
        <w:rPr>
          <w:rFonts w:ascii="Arial" w:eastAsia="Arial" w:hAnsi="Arial" w:cs="Arial"/>
          <w:sz w:val="13"/>
        </w:rPr>
        <w:t>TOTAL SEMANAS</w:t>
      </w:r>
    </w:p>
    <w:p w:rsidR="0047564F" w:rsidRDefault="009856F0">
      <w:pPr>
        <w:spacing w:after="20"/>
        <w:ind w:left="6251" w:right="645" w:hanging="10"/>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51352" name="Group 5135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1509" name="Rectangle 150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1510" name="Rectangle 1510"/>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7 de 33 </w:t>
                              </w:r>
                            </w:p>
                          </w:txbxContent>
                        </wps:txbx>
                        <wps:bodyPr horzOverflow="overflow" vert="horz" lIns="0" tIns="0" rIns="0" bIns="0" rtlCol="0">
                          <a:noAutofit/>
                        </wps:bodyPr>
                      </wps:wsp>
                    </wpg:wgp>
                  </a:graphicData>
                </a:graphic>
              </wp:anchor>
            </w:drawing>
          </mc:Choice>
          <mc:Fallback xmlns:a="http://schemas.openxmlformats.org/drawingml/2006/main">
            <w:pict>
              <v:group id="Group 51352" style="width:12.7031pt;height:280.356pt;position:absolute;mso-position-horizontal-relative:page;mso-position-horizontal:absolute;margin-left:682.278pt;mso-position-vertical-relative:page;margin-top:531.564pt;" coordsize="1613,35605">
                <v:rect id="Rectangle 150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1510"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33 </w:t>
                        </w:r>
                      </w:p>
                    </w:txbxContent>
                  </v:textbox>
                </v:rect>
                <w10:wrap type="square"/>
              </v:group>
            </w:pict>
          </mc:Fallback>
        </mc:AlternateContent>
      </w:r>
      <w:r>
        <w:rPr>
          <w:rFonts w:ascii="Arial" w:eastAsia="Arial" w:hAnsi="Arial" w:cs="Arial"/>
          <w:sz w:val="13"/>
        </w:rPr>
        <w:t>Coste Cubas S1</w:t>
      </w:r>
    </w:p>
    <w:tbl>
      <w:tblPr>
        <w:tblStyle w:val="TableGrid"/>
        <w:tblW w:w="2798" w:type="dxa"/>
        <w:tblInd w:w="6176" w:type="dxa"/>
        <w:tblCellMar>
          <w:top w:w="46" w:type="dxa"/>
          <w:left w:w="89" w:type="dxa"/>
          <w:bottom w:w="0" w:type="dxa"/>
          <w:right w:w="88" w:type="dxa"/>
        </w:tblCellMar>
        <w:tblLook w:val="04A0" w:firstRow="1" w:lastRow="0" w:firstColumn="1" w:lastColumn="0" w:noHBand="0" w:noVBand="1"/>
      </w:tblPr>
      <w:tblGrid>
        <w:gridCol w:w="1207"/>
        <w:gridCol w:w="1591"/>
      </w:tblGrid>
      <w:tr w:rsidR="0047564F">
        <w:trPr>
          <w:trHeight w:val="224"/>
        </w:trPr>
        <w:tc>
          <w:tcPr>
            <w:tcW w:w="1207" w:type="dxa"/>
            <w:tcBorders>
              <w:top w:val="single" w:sz="7" w:space="0" w:color="000000"/>
              <w:left w:val="single" w:sz="7" w:space="0" w:color="000000"/>
              <w:bottom w:val="single" w:sz="7" w:space="0" w:color="000000"/>
              <w:right w:val="single" w:sz="7" w:space="0" w:color="000000"/>
            </w:tcBorders>
            <w:shd w:val="clear" w:color="auto" w:fill="76933C"/>
          </w:tcPr>
          <w:p w:rsidR="0047564F" w:rsidRDefault="009856F0">
            <w:pPr>
              <w:spacing w:after="0"/>
              <w:ind w:left="5"/>
              <w:jc w:val="center"/>
            </w:pPr>
            <w:r>
              <w:rPr>
                <w:rFonts w:ascii="Arial" w:eastAsia="Arial" w:hAnsi="Arial" w:cs="Arial"/>
                <w:b/>
                <w:sz w:val="14"/>
              </w:rPr>
              <w:t>TOTAL</w:t>
            </w:r>
          </w:p>
        </w:tc>
        <w:tc>
          <w:tcPr>
            <w:tcW w:w="1591" w:type="dxa"/>
            <w:tcBorders>
              <w:top w:val="single" w:sz="7" w:space="0" w:color="000000"/>
              <w:left w:val="single" w:sz="7" w:space="0" w:color="000000"/>
              <w:bottom w:val="single" w:sz="7" w:space="0" w:color="000000"/>
              <w:right w:val="single" w:sz="7" w:space="0" w:color="000000"/>
            </w:tcBorders>
            <w:shd w:val="clear" w:color="auto" w:fill="76933C"/>
          </w:tcPr>
          <w:p w:rsidR="0047564F" w:rsidRDefault="009856F0">
            <w:pPr>
              <w:spacing w:after="0"/>
            </w:pPr>
            <w:r>
              <w:rPr>
                <w:rFonts w:ascii="Arial" w:eastAsia="Arial" w:hAnsi="Arial" w:cs="Arial"/>
                <w:b/>
                <w:sz w:val="17"/>
              </w:rPr>
              <w:t xml:space="preserve">          143.865,22 €</w:t>
            </w:r>
          </w:p>
        </w:tc>
      </w:tr>
    </w:tbl>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0" w:hanging="10"/>
      </w:pPr>
      <w:r>
        <w:rPr>
          <w:rFonts w:ascii="Times New Roman" w:eastAsia="Times New Roman" w:hAnsi="Times New Roman" w:cs="Times New Roman"/>
          <w:i/>
          <w:sz w:val="24"/>
          <w:u w:val="single" w:color="000000"/>
        </w:rPr>
        <w:t xml:space="preserve">El coste de este convenio repercutirá a este Ayuntamiento un coste estimado de </w:t>
      </w:r>
      <w:r>
        <w:rPr>
          <w:rFonts w:ascii="Times New Roman" w:eastAsia="Times New Roman" w:hAnsi="Times New Roman" w:cs="Times New Roman"/>
          <w:i/>
          <w:sz w:val="24"/>
        </w:rPr>
        <w:t>47.955,07 €</w:t>
      </w:r>
      <w:r>
        <w:rPr>
          <w:i/>
          <w:sz w:val="24"/>
        </w:rPr>
        <w:t xml:space="preserve"> </w:t>
      </w:r>
    </w:p>
    <w:p w:rsidR="0047564F" w:rsidRDefault="009856F0">
      <w:pPr>
        <w:spacing w:after="76"/>
      </w:pPr>
      <w:r>
        <w:rPr>
          <w:rFonts w:ascii="Times New Roman" w:eastAsia="Times New Roman" w:hAnsi="Times New Roman" w:cs="Times New Roman"/>
          <w:i/>
          <w:sz w:val="24"/>
        </w:rPr>
        <w:t xml:space="preserve"> </w:t>
      </w:r>
    </w:p>
    <w:p w:rsidR="0047564F" w:rsidRDefault="009856F0">
      <w:pPr>
        <w:shd w:val="clear" w:color="auto" w:fill="E0E0E0"/>
        <w:spacing w:after="217"/>
        <w:ind w:left="10" w:right="55" w:hanging="10"/>
        <w:jc w:val="center"/>
      </w:pPr>
      <w:r>
        <w:rPr>
          <w:rFonts w:ascii="Times New Roman" w:eastAsia="Times New Roman" w:hAnsi="Times New Roman" w:cs="Times New Roman"/>
          <w:i/>
          <w:sz w:val="24"/>
          <w:shd w:val="clear" w:color="auto" w:fill="E6E6E6"/>
        </w:rPr>
        <w:t>CONCLUSIÓN</w:t>
      </w: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 En virtud de lo expuesto anteriormente, se informa </w:t>
      </w:r>
      <w:r>
        <w:rPr>
          <w:rFonts w:ascii="Times New Roman" w:eastAsia="Times New Roman" w:hAnsi="Times New Roman" w:cs="Times New Roman"/>
          <w:i/>
          <w:sz w:val="24"/>
          <w:u w:val="single" w:color="000000"/>
        </w:rPr>
        <w:t>FAVORABLE</w:t>
      </w:r>
      <w:r>
        <w:rPr>
          <w:rFonts w:ascii="Times New Roman" w:eastAsia="Times New Roman" w:hAnsi="Times New Roman" w:cs="Times New Roman"/>
          <w:i/>
          <w:sz w:val="24"/>
        </w:rPr>
        <w:t xml:space="preserve"> al “CONVENIO DE COLABORACIÓN ENTRE EL AYUNTAMIENTO DE ARAFO, ACTUANDO EN NOMBRE PROPIO Y </w:t>
      </w:r>
    </w:p>
    <w:p w:rsidR="0047564F" w:rsidRDefault="009856F0">
      <w:pPr>
        <w:spacing w:after="5" w:line="248" w:lineRule="auto"/>
        <w:ind w:left="-5" w:right="46" w:hanging="10"/>
        <w:jc w:val="both"/>
      </w:pPr>
      <w:r>
        <w:rPr>
          <w:rFonts w:ascii="Times New Roman" w:eastAsia="Times New Roman" w:hAnsi="Times New Roman" w:cs="Times New Roman"/>
          <w:i/>
          <w:sz w:val="24"/>
        </w:rPr>
        <w:t>POR ENCOMIENDA EN REPRESENTACIÓN DEL AYUNTAMIENTO DE GÜÍMAR Y DE CANDELARIA Y EL AYUNTAMIENTO DE EL ROS</w:t>
      </w:r>
      <w:r>
        <w:rPr>
          <w:rFonts w:ascii="Times New Roman" w:eastAsia="Times New Roman" w:hAnsi="Times New Roman" w:cs="Times New Roman"/>
          <w:i/>
          <w:sz w:val="24"/>
        </w:rPr>
        <w:t>ARIO PARA LA PUESTA A DISPOSICIÓN DE LA EDARI UBICADA EN EL POLÍGONO DE LA CAMPANA PARA LA DISMINUCIÓN DE LA CARGA TOTAL CONTAMINANTE EVACUADA A TRAVÉS DEL EMISARIO SUBMARINO UBICADO EN EL POLÍGONO INDUSTRIAL DEL VALLE DE GÜÍMAR MEDIANTE LA EVACUACIÓN PARC</w:t>
      </w:r>
      <w:r>
        <w:rPr>
          <w:rFonts w:ascii="Times New Roman" w:eastAsia="Times New Roman" w:hAnsi="Times New Roman" w:cs="Times New Roman"/>
          <w:i/>
          <w:sz w:val="24"/>
        </w:rPr>
        <w:t xml:space="preserve">IAL DEL EFLUENTE EN LA ENTRADA DE LA PLANTA”. </w:t>
      </w:r>
    </w:p>
    <w:p w:rsidR="0047564F" w:rsidRDefault="009856F0">
      <w:pPr>
        <w:spacing w:after="98"/>
        <w:ind w:left="1133"/>
      </w:pPr>
      <w:r>
        <w:rPr>
          <w:rFonts w:ascii="Arial" w:eastAsia="Arial" w:hAnsi="Arial" w:cs="Arial"/>
          <w:i/>
        </w:rPr>
        <w:t xml:space="preserve"> </w:t>
      </w:r>
    </w:p>
    <w:p w:rsidR="0047564F" w:rsidRDefault="009856F0">
      <w:pPr>
        <w:spacing w:after="0"/>
        <w:ind w:left="10" w:right="42" w:hanging="10"/>
        <w:jc w:val="right"/>
      </w:pPr>
      <w:r>
        <w:rPr>
          <w:rFonts w:ascii="Arial" w:eastAsia="Arial" w:hAnsi="Arial" w:cs="Arial"/>
          <w:i/>
        </w:rPr>
        <w:t xml:space="preserve">Sexto.- Consta en el expediente Retención de Crédito emitida por el Interventor por </w:t>
      </w:r>
    </w:p>
    <w:p w:rsidR="0047564F" w:rsidRDefault="009856F0">
      <w:pPr>
        <w:spacing w:after="108" w:line="248" w:lineRule="auto"/>
        <w:ind w:left="-5" w:right="44" w:hanging="10"/>
        <w:jc w:val="both"/>
      </w:pPr>
      <w:r>
        <w:rPr>
          <w:rFonts w:ascii="Arial" w:eastAsia="Arial" w:hAnsi="Arial" w:cs="Arial"/>
          <w:i/>
        </w:rPr>
        <w:t xml:space="preserve">importe de 47.955,07 euros. </w:t>
      </w:r>
    </w:p>
    <w:p w:rsidR="0047564F" w:rsidRDefault="009856F0">
      <w:pPr>
        <w:spacing w:after="98"/>
        <w:ind w:left="1133"/>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0888" name="Group 40888"/>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1910" name="Rectangle 1910"/>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1911" name="Rectangle 1911"/>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8 de 33 </w:t>
                              </w:r>
                            </w:p>
                          </w:txbxContent>
                        </wps:txbx>
                        <wps:bodyPr horzOverflow="overflow" vert="horz" lIns="0" tIns="0" rIns="0" bIns="0" rtlCol="0">
                          <a:noAutofit/>
                        </wps:bodyPr>
                      </wps:wsp>
                    </wpg:wgp>
                  </a:graphicData>
                </a:graphic>
              </wp:anchor>
            </w:drawing>
          </mc:Choice>
          <mc:Fallback xmlns:a="http://schemas.openxmlformats.org/drawingml/2006/main">
            <w:pict>
              <v:group id="Group 40888" style="width:12.7031pt;height:280.356pt;position:absolute;mso-position-horizontal-relative:page;mso-position-horizontal:absolute;margin-left:682.278pt;mso-position-vertical-relative:page;margin-top:531.564pt;" coordsize="1613,35605">
                <v:rect id="Rectangle 1910"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1911"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33 </w:t>
                        </w:r>
                      </w:p>
                    </w:txbxContent>
                  </v:textbox>
                </v:rect>
                <w10:wrap type="square"/>
              </v:group>
            </w:pict>
          </mc:Fallback>
        </mc:AlternateContent>
      </w:r>
      <w:r>
        <w:rPr>
          <w:rFonts w:ascii="Arial" w:eastAsia="Arial" w:hAnsi="Arial" w:cs="Arial"/>
          <w:i/>
        </w:rPr>
        <w:t xml:space="preserve"> </w:t>
      </w:r>
    </w:p>
    <w:p w:rsidR="0047564F" w:rsidRDefault="009856F0">
      <w:pPr>
        <w:spacing w:after="110" w:line="248" w:lineRule="auto"/>
        <w:ind w:left="2278" w:right="44" w:hanging="10"/>
        <w:jc w:val="both"/>
      </w:pPr>
      <w:r>
        <w:rPr>
          <w:rFonts w:ascii="Arial" w:eastAsia="Arial" w:hAnsi="Arial" w:cs="Arial"/>
          <w:i/>
        </w:rPr>
        <w:t xml:space="preserve">FUNDAMENTOS DE DERECHO  </w:t>
      </w:r>
    </w:p>
    <w:p w:rsidR="0047564F" w:rsidRDefault="009856F0">
      <w:pPr>
        <w:spacing w:after="110" w:line="248" w:lineRule="auto"/>
        <w:ind w:left="-5" w:right="44" w:hanging="10"/>
        <w:jc w:val="both"/>
      </w:pPr>
      <w:r>
        <w:rPr>
          <w:rFonts w:ascii="Arial" w:eastAsia="Arial" w:hAnsi="Arial" w:cs="Arial"/>
          <w:i/>
        </w:rPr>
        <w:t xml:space="preserve"> PRIMERO.- LA INELUDIBLE COORDINACIÓN</w:t>
      </w:r>
      <w:r>
        <w:rPr>
          <w:rFonts w:ascii="Arial" w:eastAsia="Arial" w:hAnsi="Arial" w:cs="Arial"/>
          <w:i/>
        </w:rPr>
        <w:t xml:space="preserve"> QUE DEBE EXISTIR ENTRE EL CONSEJO INSULAR DE AGUAS Y LOS AYUNTAMIENTOS DE ARAFO, CANDELARIA Y GÜIMAR.  </w:t>
      </w:r>
    </w:p>
    <w:p w:rsidR="0047564F" w:rsidRDefault="009856F0">
      <w:pPr>
        <w:spacing w:after="171" w:line="248" w:lineRule="auto"/>
        <w:ind w:left="-5" w:right="44" w:hanging="10"/>
        <w:jc w:val="both"/>
      </w:pPr>
      <w:r>
        <w:rPr>
          <w:rFonts w:ascii="Arial" w:eastAsia="Arial" w:hAnsi="Arial" w:cs="Arial"/>
          <w:i/>
        </w:rPr>
        <w:t xml:space="preserve"> A tal efecto conviene recordar lo que el auto judicial de 13 de junio de 2017 del Juzgado de lo Contencioso-Administrativo número 4 que estableció: A </w:t>
      </w:r>
      <w:r>
        <w:rPr>
          <w:rFonts w:ascii="Arial" w:eastAsia="Arial" w:hAnsi="Arial" w:cs="Arial"/>
          <w:i/>
        </w:rPr>
        <w:t xml:space="preserve">tal efecto destacamos el contenido del auto lo siguiente que dice literalmente:  </w:t>
      </w:r>
    </w:p>
    <w:p w:rsidR="0047564F" w:rsidRDefault="009856F0">
      <w:pPr>
        <w:spacing w:after="351" w:line="248" w:lineRule="auto"/>
        <w:ind w:left="-5" w:right="44" w:hanging="10"/>
        <w:jc w:val="both"/>
      </w:pPr>
      <w:r>
        <w:rPr>
          <w:rFonts w:ascii="Arial" w:eastAsia="Arial" w:hAnsi="Arial" w:cs="Arial"/>
          <w:i/>
        </w:rPr>
        <w:t xml:space="preserve"> </w:t>
      </w:r>
      <w:r>
        <w:rPr>
          <w:rFonts w:ascii="Arial" w:eastAsia="Arial" w:hAnsi="Arial" w:cs="Arial"/>
          <w:i/>
        </w:rPr>
        <w:t>(…) Tengamos en cuenta que las Administraciones públicas tienen el deber legal de actuar conforme a los principios generales del artículo 3.1 de la Ley 40/2015, de 1 de octubre, del Régimen Jurídico del Sector Público, es decir, sirviendo con objetividad l</w:t>
      </w:r>
      <w:r>
        <w:rPr>
          <w:rFonts w:ascii="Arial" w:eastAsia="Arial" w:hAnsi="Arial" w:cs="Arial"/>
          <w:i/>
        </w:rPr>
        <w:t>os intereses generales y actuando con los principios de eficacia, jerarquía, descentralización, desconcentración y coordinación, con sometimiento pleno a la Constitución, a la Ley y al Derecho. Una actuación descoordinada y desconectada de las Administraci</w:t>
      </w:r>
      <w:r>
        <w:rPr>
          <w:rFonts w:ascii="Arial" w:eastAsia="Arial" w:hAnsi="Arial" w:cs="Arial"/>
          <w:i/>
        </w:rPr>
        <w:t>ones concurrentes, cada uno con una visión en el ámbito de sus competencias limitadas supone merma del principio de eficacia e insatisfacción de los intereses generales. Este precepto no sólo es de aplicación a los Ayuntamientos, Administración insular y d</w:t>
      </w:r>
      <w:r>
        <w:rPr>
          <w:rFonts w:ascii="Arial" w:eastAsia="Arial" w:hAnsi="Arial" w:cs="Arial"/>
          <w:i/>
        </w:rPr>
        <w:t>e cuenca y Administración Autonómica, sino que también es de aplicación a la Asociación Mixta de Compensación del Polígono Industrial del Valle de Güimar en calidad de administración urbanizadora. En la comparecencia puse de manifiesto que el presente recu</w:t>
      </w:r>
      <w:r>
        <w:rPr>
          <w:rFonts w:ascii="Arial" w:eastAsia="Arial" w:hAnsi="Arial" w:cs="Arial"/>
          <w:i/>
        </w:rPr>
        <w:t>rso contencioso no va a resolver la ineludible necesidad de dar solución al problema de fondo de depurar debidamente los vertidos y ajustarlos a la legalidad, así como controlar y disciplinar individualmente a cada empresa por lo que vierta. Esa solución s</w:t>
      </w:r>
      <w:r>
        <w:rPr>
          <w:rFonts w:ascii="Arial" w:eastAsia="Arial" w:hAnsi="Arial" w:cs="Arial"/>
          <w:i/>
        </w:rPr>
        <w:t xml:space="preserve">ólo puede venir dada por la actuación diligente, decidida y coordinada de las Administraciones cuyas competencias y cotitularidades concurren. (…)”   SEGUNDO.- Es de aplicación la regulación jurídica de los convenios establecida en los artículos 47, 48 49 </w:t>
      </w:r>
      <w:r>
        <w:rPr>
          <w:rFonts w:ascii="Arial" w:eastAsia="Arial" w:hAnsi="Arial" w:cs="Arial"/>
          <w:i/>
        </w:rPr>
        <w:t xml:space="preserve">y 50 de la ley 40/2015, de 1 de octubre: </w:t>
      </w:r>
    </w:p>
    <w:p w:rsidR="0047564F" w:rsidRDefault="009856F0">
      <w:pPr>
        <w:spacing w:after="171" w:line="248" w:lineRule="auto"/>
        <w:ind w:left="-5" w:right="44" w:hanging="10"/>
        <w:jc w:val="both"/>
      </w:pPr>
      <w:r>
        <w:rPr>
          <w:rFonts w:ascii="Arial" w:eastAsia="Arial" w:hAnsi="Arial" w:cs="Arial"/>
          <w:i/>
        </w:rPr>
        <w:t xml:space="preserve">Artículo 47. Definición y tipos de convenios. </w:t>
      </w:r>
    </w:p>
    <w:p w:rsidR="0047564F" w:rsidRDefault="009856F0">
      <w:pPr>
        <w:numPr>
          <w:ilvl w:val="0"/>
          <w:numId w:val="2"/>
        </w:numPr>
        <w:spacing w:after="181" w:line="239" w:lineRule="auto"/>
        <w:ind w:right="22" w:firstLine="360"/>
      </w:pPr>
      <w:r>
        <w:rPr>
          <w:rFonts w:ascii="Arial" w:eastAsia="Arial" w:hAnsi="Arial" w:cs="Arial"/>
          <w:i/>
        </w:rPr>
        <w:t>Son convenios los acuerdos con efectos jurídicos adoptados por las Administraciones Públicas, los organismos públicos y entidades de derecho público vinculados o depen</w:t>
      </w:r>
      <w:r>
        <w:rPr>
          <w:rFonts w:ascii="Arial" w:eastAsia="Arial" w:hAnsi="Arial" w:cs="Arial"/>
          <w:i/>
        </w:rPr>
        <w:t xml:space="preserve">dientes o las Universidades públicas entre sí o con sujetos de derecho privado para un fin común. </w:t>
      </w:r>
    </w:p>
    <w:p w:rsidR="0047564F" w:rsidRDefault="009856F0">
      <w:pPr>
        <w:spacing w:after="171" w:line="248" w:lineRule="auto"/>
        <w:ind w:left="-15" w:right="44" w:firstLine="360"/>
        <w:jc w:val="both"/>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0596" name="Group 40596"/>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025" name="Rectangle 2025"/>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2026" name="Rectangle 2026"/>
                        <wps:cNvSpPr/>
                        <wps:spPr>
                          <a:xfrm rot="-5399999">
                            <a:off x="-2014050" y="1357046"/>
                            <a:ext cx="4293726" cy="113224"/>
                          </a:xfrm>
                          <a:prstGeom prst="rect">
                            <a:avLst/>
                          </a:prstGeom>
                          <a:ln>
                            <a:noFill/>
                          </a:ln>
                        </wps:spPr>
                        <wps:txbx>
                          <w:txbxContent>
                            <w:p w:rsidR="0047564F" w:rsidRDefault="009856F0">
                              <w:r>
                                <w:rPr>
                                  <w:rFonts w:ascii="Arial" w:eastAsia="Arial" w:hAnsi="Arial" w:cs="Arial"/>
                                  <w:sz w:val="12"/>
                                </w:rPr>
                                <w:t>Documento firmado electrónicamente desde la plataforma</w:t>
                              </w:r>
                              <w:r>
                                <w:rPr>
                                  <w:rFonts w:ascii="Arial" w:eastAsia="Arial" w:hAnsi="Arial" w:cs="Arial"/>
                                  <w:sz w:val="12"/>
                                </w:rPr>
                                <w:t xml:space="preserve"> esPublico Gestiona | Página 9 de 33 </w:t>
                              </w:r>
                            </w:p>
                          </w:txbxContent>
                        </wps:txbx>
                        <wps:bodyPr horzOverflow="overflow" vert="horz" lIns="0" tIns="0" rIns="0" bIns="0" rtlCol="0">
                          <a:noAutofit/>
                        </wps:bodyPr>
                      </wps:wsp>
                    </wpg:wgp>
                  </a:graphicData>
                </a:graphic>
              </wp:anchor>
            </w:drawing>
          </mc:Choice>
          <mc:Fallback xmlns:a="http://schemas.openxmlformats.org/drawingml/2006/main">
            <w:pict>
              <v:group id="Group 40596" style="width:12.7031pt;height:280.356pt;position:absolute;mso-position-horizontal-relative:page;mso-position-horizontal:absolute;margin-left:682.278pt;mso-position-vertical-relative:page;margin-top:531.564pt;" coordsize="1613,35605">
                <v:rect id="Rectangle 2025"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026" style="position:absolute;width:42937;height:1132;left:-20140;top:1357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33 </w:t>
                        </w:r>
                      </w:p>
                    </w:txbxContent>
                  </v:textbox>
                </v:rect>
                <w10:wrap type="square"/>
              </v:group>
            </w:pict>
          </mc:Fallback>
        </mc:AlternateContent>
      </w:r>
      <w:r>
        <w:rPr>
          <w:rFonts w:ascii="Arial" w:eastAsia="Arial" w:hAnsi="Arial" w:cs="Arial"/>
          <w:i/>
        </w:rPr>
        <w:t>No tienen la consideración de convenios, los Protocolos Generales de Actuación o instrumentos similares que comporten meras declaraciones de intención de contenido general o que expresen la voluntad de las Administraci</w:t>
      </w:r>
      <w:r>
        <w:rPr>
          <w:rFonts w:ascii="Arial" w:eastAsia="Arial" w:hAnsi="Arial" w:cs="Arial"/>
          <w:i/>
        </w:rPr>
        <w:t xml:space="preserve">ones y partes suscriptoras para actuar con un objetivo común, siempre que no supongan la formalización de compromisos jurídicos concretos y exigibles. </w:t>
      </w:r>
    </w:p>
    <w:p w:rsidR="0047564F" w:rsidRDefault="009856F0">
      <w:pPr>
        <w:spacing w:after="171" w:line="248" w:lineRule="auto"/>
        <w:ind w:left="-15" w:right="44" w:firstLine="360"/>
        <w:jc w:val="both"/>
      </w:pPr>
      <w:r>
        <w:rPr>
          <w:rFonts w:ascii="Arial" w:eastAsia="Arial" w:hAnsi="Arial" w:cs="Arial"/>
          <w:i/>
        </w:rPr>
        <w:t>Los convenios no podrán tener por objeto prestaciones propias de los contratos. En tal caso, su naturale</w:t>
      </w:r>
      <w:r>
        <w:rPr>
          <w:rFonts w:ascii="Arial" w:eastAsia="Arial" w:hAnsi="Arial" w:cs="Arial"/>
          <w:i/>
        </w:rPr>
        <w:t xml:space="preserve">za y régimen jurídico se ajustará a lo previsto en la legislación de contratos del sector público. </w:t>
      </w:r>
    </w:p>
    <w:p w:rsidR="0047564F" w:rsidRDefault="009856F0">
      <w:pPr>
        <w:numPr>
          <w:ilvl w:val="0"/>
          <w:numId w:val="2"/>
        </w:numPr>
        <w:spacing w:after="353" w:line="248" w:lineRule="auto"/>
        <w:ind w:right="22" w:firstLine="360"/>
      </w:pPr>
      <w:r>
        <w:rPr>
          <w:rFonts w:ascii="Arial" w:eastAsia="Arial" w:hAnsi="Arial" w:cs="Arial"/>
          <w:i/>
        </w:rPr>
        <w:t>Los convenios que suscriban las Administraciones Públicas, los organismos públicos y las entidades de derecho público vinculados o dependientes y las Univer</w:t>
      </w:r>
      <w:r>
        <w:rPr>
          <w:rFonts w:ascii="Arial" w:eastAsia="Arial" w:hAnsi="Arial" w:cs="Arial"/>
          <w:i/>
        </w:rPr>
        <w:t xml:space="preserve">sidades públicas, deberán corresponder a alguno de los siguientes tipos: </w:t>
      </w:r>
    </w:p>
    <w:p w:rsidR="0047564F" w:rsidRDefault="009856F0">
      <w:pPr>
        <w:numPr>
          <w:ilvl w:val="0"/>
          <w:numId w:val="3"/>
        </w:numPr>
        <w:spacing w:after="171" w:line="248" w:lineRule="auto"/>
        <w:ind w:right="43" w:firstLine="360"/>
        <w:jc w:val="both"/>
      </w:pPr>
      <w:r>
        <w:rPr>
          <w:rFonts w:ascii="Arial" w:eastAsia="Arial" w:hAnsi="Arial" w:cs="Arial"/>
          <w:i/>
        </w:rPr>
        <w:t>Convenios interadministrativos firmados entre dos o más Administraciones Públicas, o bien entre dos o más organismos públicos o entidades de derecho público vinculados o dependientes</w:t>
      </w:r>
      <w:r>
        <w:rPr>
          <w:rFonts w:ascii="Arial" w:eastAsia="Arial" w:hAnsi="Arial" w:cs="Arial"/>
          <w:i/>
        </w:rPr>
        <w:t xml:space="preserve"> de distintas Administraciones públicas, y que podrán incluir la utilización de medios, servicios y recursos de otra Administración Pública, organismo público o entidad de derecho público vinculado o dependiente, para el ejercicio de competencias propias o</w:t>
      </w:r>
      <w:r>
        <w:rPr>
          <w:rFonts w:ascii="Arial" w:eastAsia="Arial" w:hAnsi="Arial" w:cs="Arial"/>
          <w:i/>
        </w:rPr>
        <w:t xml:space="preserve"> delegadas. </w:t>
      </w:r>
    </w:p>
    <w:p w:rsidR="0047564F" w:rsidRDefault="009856F0">
      <w:pPr>
        <w:spacing w:after="171" w:line="248" w:lineRule="auto"/>
        <w:ind w:left="-15" w:right="44" w:firstLine="360"/>
        <w:jc w:val="both"/>
      </w:pPr>
      <w:r>
        <w:rPr>
          <w:rFonts w:ascii="Arial" w:eastAsia="Arial" w:hAnsi="Arial" w:cs="Arial"/>
          <w:i/>
        </w:rPr>
        <w:t>Quedan excluidos los convenios interadministrativos suscritos entre dos o más Comunidades Autónomas para la gestión y prestación de servicios propios de las mismas, que se regirán en cuanto a sus supuestos, requisitos y términos por lo previst</w:t>
      </w:r>
      <w:r>
        <w:rPr>
          <w:rFonts w:ascii="Arial" w:eastAsia="Arial" w:hAnsi="Arial" w:cs="Arial"/>
          <w:i/>
        </w:rPr>
        <w:t xml:space="preserve">o en sus respectivos Estatutos de autonomía. </w:t>
      </w:r>
    </w:p>
    <w:p w:rsidR="0047564F" w:rsidRDefault="009856F0">
      <w:pPr>
        <w:numPr>
          <w:ilvl w:val="0"/>
          <w:numId w:val="3"/>
        </w:numPr>
        <w:spacing w:after="0"/>
        <w:ind w:right="43" w:firstLine="360"/>
        <w:jc w:val="both"/>
      </w:pPr>
      <w:r>
        <w:rPr>
          <w:rFonts w:ascii="Arial" w:eastAsia="Arial" w:hAnsi="Arial" w:cs="Arial"/>
          <w:i/>
        </w:rPr>
        <w:t xml:space="preserve">Convenios intradministrativos firmados entre organismos públicos y entidades de derecho </w:t>
      </w:r>
    </w:p>
    <w:p w:rsidR="0047564F" w:rsidRDefault="009856F0">
      <w:pPr>
        <w:spacing w:after="171" w:line="248" w:lineRule="auto"/>
        <w:ind w:left="-5" w:right="44" w:hanging="10"/>
        <w:jc w:val="both"/>
      </w:pPr>
      <w:r>
        <w:rPr>
          <w:rFonts w:ascii="Arial" w:eastAsia="Arial" w:hAnsi="Arial" w:cs="Arial"/>
          <w:i/>
        </w:rPr>
        <w:t xml:space="preserve">público vinculados o dependientes de una misma Administración Pública. </w:t>
      </w:r>
    </w:p>
    <w:p w:rsidR="0047564F" w:rsidRDefault="009856F0">
      <w:pPr>
        <w:numPr>
          <w:ilvl w:val="0"/>
          <w:numId w:val="3"/>
        </w:numPr>
        <w:spacing w:after="171" w:line="248" w:lineRule="auto"/>
        <w:ind w:right="43" w:firstLine="360"/>
        <w:jc w:val="both"/>
      </w:pPr>
      <w:r>
        <w:rPr>
          <w:rFonts w:ascii="Arial" w:eastAsia="Arial" w:hAnsi="Arial" w:cs="Arial"/>
          <w:i/>
        </w:rPr>
        <w:t xml:space="preserve">Convenios firmados entre una Administración Pública u organismo o entidad de derecho público y un sujeto de Derecho privado. </w:t>
      </w:r>
    </w:p>
    <w:p w:rsidR="0047564F" w:rsidRDefault="009856F0">
      <w:pPr>
        <w:numPr>
          <w:ilvl w:val="0"/>
          <w:numId w:val="3"/>
        </w:numPr>
        <w:spacing w:after="0"/>
        <w:ind w:right="43" w:firstLine="360"/>
        <w:jc w:val="both"/>
      </w:pPr>
      <w:r>
        <w:rPr>
          <w:rFonts w:ascii="Arial" w:eastAsia="Arial" w:hAnsi="Arial" w:cs="Arial"/>
          <w:i/>
        </w:rPr>
        <w:t>Convenios no constitutivos ni de Tratado internacional, ni de Acuerdo internacional adminis-</w:t>
      </w:r>
    </w:p>
    <w:p w:rsidR="0047564F" w:rsidRDefault="009856F0">
      <w:pPr>
        <w:spacing w:after="353" w:line="248" w:lineRule="auto"/>
        <w:ind w:left="-5" w:right="44" w:hanging="10"/>
        <w:jc w:val="both"/>
      </w:pPr>
      <w:r>
        <w:rPr>
          <w:rFonts w:ascii="Arial" w:eastAsia="Arial" w:hAnsi="Arial" w:cs="Arial"/>
          <w:i/>
        </w:rPr>
        <w:t xml:space="preserve">trativo, ni de Acuerdo internacional </w:t>
      </w:r>
      <w:r>
        <w:rPr>
          <w:rFonts w:ascii="Arial" w:eastAsia="Arial" w:hAnsi="Arial" w:cs="Arial"/>
          <w:i/>
        </w:rPr>
        <w:t xml:space="preserve">no normativo, firmados entre las Administraciones Públicas y los órganos, organismos públicos o entes de un sujeto de Derecho internacional, que estarán sometidos al ordenamiento jurídico interno que determinen las partes. </w:t>
      </w:r>
    </w:p>
    <w:p w:rsidR="0047564F" w:rsidRDefault="009856F0">
      <w:pPr>
        <w:spacing w:after="171" w:line="248" w:lineRule="auto"/>
        <w:ind w:left="370" w:right="44" w:hanging="10"/>
        <w:jc w:val="both"/>
      </w:pPr>
      <w:r>
        <w:rPr>
          <w:rFonts w:ascii="Arial" w:eastAsia="Arial" w:hAnsi="Arial" w:cs="Arial"/>
          <w:i/>
        </w:rPr>
        <w:t>Artículo 48. Requisitos de valid</w:t>
      </w:r>
      <w:r>
        <w:rPr>
          <w:rFonts w:ascii="Arial" w:eastAsia="Arial" w:hAnsi="Arial" w:cs="Arial"/>
          <w:i/>
        </w:rPr>
        <w:t xml:space="preserve">ez y eficacia de los convenios. </w:t>
      </w:r>
    </w:p>
    <w:p w:rsidR="0047564F" w:rsidRDefault="009856F0">
      <w:pPr>
        <w:numPr>
          <w:ilvl w:val="0"/>
          <w:numId w:val="4"/>
        </w:numPr>
        <w:spacing w:after="171" w:line="248" w:lineRule="auto"/>
        <w:ind w:right="44" w:firstLine="360"/>
        <w:jc w:val="both"/>
      </w:pP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w:t>
      </w:r>
      <w:r>
        <w:rPr>
          <w:rFonts w:ascii="Arial" w:eastAsia="Arial" w:hAnsi="Arial" w:cs="Arial"/>
          <w:i/>
        </w:rPr>
        <w:t xml:space="preserve">tos de derecho público y privado, sin que ello pueda suponer cesión de la titularidad de la competencia. </w:t>
      </w:r>
    </w:p>
    <w:p w:rsidR="0047564F" w:rsidRDefault="009856F0">
      <w:pPr>
        <w:numPr>
          <w:ilvl w:val="0"/>
          <w:numId w:val="4"/>
        </w:numPr>
        <w:spacing w:after="171" w:line="248" w:lineRule="auto"/>
        <w:ind w:right="44" w:firstLine="360"/>
        <w:jc w:val="both"/>
      </w:pPr>
      <w:r>
        <w:rPr>
          <w:rFonts w:ascii="Arial" w:eastAsia="Arial" w:hAnsi="Arial" w:cs="Arial"/>
          <w:i/>
        </w:rPr>
        <w:t>En el ámbito de la Administración General del Estado y sus organismos públicos y entidades de derecho público vinculados o dependientes, podrán celebr</w:t>
      </w:r>
      <w:r>
        <w:rPr>
          <w:rFonts w:ascii="Arial" w:eastAsia="Arial" w:hAnsi="Arial" w:cs="Arial"/>
          <w:i/>
        </w:rPr>
        <w:t xml:space="preserve">ar convenios los titulares de los Departamentos Ministeriales y los Presidentes o Directores de las dichas entidades y organismos públicos. </w:t>
      </w:r>
    </w:p>
    <w:p w:rsidR="0047564F" w:rsidRDefault="009856F0">
      <w:pPr>
        <w:numPr>
          <w:ilvl w:val="0"/>
          <w:numId w:val="4"/>
        </w:numPr>
        <w:spacing w:after="171" w:line="248" w:lineRule="auto"/>
        <w:ind w:right="44" w:firstLine="360"/>
        <w:jc w:val="both"/>
      </w:pPr>
      <w:r>
        <w:rPr>
          <w:rFonts w:ascii="Arial" w:eastAsia="Arial" w:hAnsi="Arial" w:cs="Arial"/>
          <w:i/>
        </w:rPr>
        <w:t>La suscripción de convenios deberá mejorar la eficiencia de la gestión pública, facilitar la utilización conjunta d</w:t>
      </w:r>
      <w:r>
        <w:rPr>
          <w:rFonts w:ascii="Arial" w:eastAsia="Arial" w:hAnsi="Arial" w:cs="Arial"/>
          <w:i/>
        </w:rPr>
        <w:t xml:space="preserve">e medios y servicios públicos, contribuir a la realización de actividades de utilidad pública y cumplir con la legislación de estabilidad presupuestaria y sostenibilidad financiera. </w:t>
      </w:r>
    </w:p>
    <w:p w:rsidR="0047564F" w:rsidRDefault="009856F0">
      <w:pPr>
        <w:numPr>
          <w:ilvl w:val="0"/>
          <w:numId w:val="4"/>
        </w:numPr>
        <w:spacing w:after="171" w:line="248" w:lineRule="auto"/>
        <w:ind w:right="44" w:firstLine="36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0702" name="Group 4070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166" name="Rectangle 2166"/>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Cód. Validación: ALSXMMSP9NA5HCWNFRL4Z6ZE7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2167" name="Rectangle 2167"/>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10 de 33 </w:t>
                              </w:r>
                            </w:p>
                          </w:txbxContent>
                        </wps:txbx>
                        <wps:bodyPr horzOverflow="overflow" vert="horz" lIns="0" tIns="0" rIns="0" bIns="0" rtlCol="0">
                          <a:noAutofit/>
                        </wps:bodyPr>
                      </wps:wsp>
                    </wpg:wgp>
                  </a:graphicData>
                </a:graphic>
              </wp:anchor>
            </w:drawing>
          </mc:Choice>
          <mc:Fallback xmlns:a="http://schemas.openxmlformats.org/drawingml/2006/main">
            <w:pict>
              <v:group id="Group 40702" style="width:12.7031pt;height:280.356pt;position:absolute;mso-position-horizontal-relative:page;mso-position-horizontal:absolute;margin-left:682.278pt;mso-position-vertical-relative:page;margin-top:531.564pt;" coordsize="1613,35605">
                <v:rect id="Rectangle 2166"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167"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33 </w:t>
                        </w:r>
                      </w:p>
                    </w:txbxContent>
                  </v:textbox>
                </v:rect>
                <w10:wrap type="square"/>
              </v:group>
            </w:pict>
          </mc:Fallback>
        </mc:AlternateContent>
      </w:r>
      <w:r>
        <w:rPr>
          <w:rFonts w:ascii="Arial" w:eastAsia="Arial" w:hAnsi="Arial" w:cs="Arial"/>
          <w:i/>
        </w:rPr>
        <w:t xml:space="preserve">La gestión, justificación y resto de actuaciones relacionadas con los gastos derivados de los convenios que incluyan compromisos financieros para la Administración Pública o cualquiera de sus organismos públicos o entidades de derecho público vinculados o </w:t>
      </w:r>
      <w:r>
        <w:rPr>
          <w:rFonts w:ascii="Arial" w:eastAsia="Arial" w:hAnsi="Arial" w:cs="Arial"/>
          <w:i/>
        </w:rPr>
        <w:t xml:space="preserve">dependientes que lo suscriban, así como con los fondos comprometidos en virtud de dichos convenios, se ajustarán a lo dispuesto en la legislación presupuestaria. </w:t>
      </w:r>
    </w:p>
    <w:p w:rsidR="0047564F" w:rsidRDefault="009856F0">
      <w:pPr>
        <w:numPr>
          <w:ilvl w:val="0"/>
          <w:numId w:val="4"/>
        </w:numPr>
        <w:spacing w:after="171" w:line="248" w:lineRule="auto"/>
        <w:ind w:right="44" w:firstLine="360"/>
        <w:jc w:val="both"/>
      </w:pPr>
      <w:r>
        <w:rPr>
          <w:rFonts w:ascii="Arial" w:eastAsia="Arial" w:hAnsi="Arial" w:cs="Arial"/>
          <w:i/>
        </w:rPr>
        <w:t>Los convenios que incluyan compromisos financieros deberán ser financieramente sostenibles, d</w:t>
      </w:r>
      <w:r>
        <w:rPr>
          <w:rFonts w:ascii="Arial" w:eastAsia="Arial" w:hAnsi="Arial" w:cs="Arial"/>
          <w:i/>
        </w:rPr>
        <w:t xml:space="preserve">ebiendo quienes los suscriban tener capacidad para financiar los asumidos durante la vigencia del convenio. </w:t>
      </w:r>
    </w:p>
    <w:p w:rsidR="0047564F" w:rsidRDefault="009856F0">
      <w:pPr>
        <w:numPr>
          <w:ilvl w:val="0"/>
          <w:numId w:val="4"/>
        </w:numPr>
        <w:spacing w:after="171" w:line="248" w:lineRule="auto"/>
        <w:ind w:right="44" w:firstLine="360"/>
        <w:jc w:val="both"/>
      </w:pPr>
      <w:r>
        <w:rPr>
          <w:rFonts w:ascii="Arial" w:eastAsia="Arial" w:hAnsi="Arial" w:cs="Arial"/>
          <w:i/>
        </w:rPr>
        <w:t>Las aportaciones financieras que se comprometan a realizar los firmantes no podrán ser superiores a los gastos derivados de la ejecución del conven</w:t>
      </w:r>
      <w:r>
        <w:rPr>
          <w:rFonts w:ascii="Arial" w:eastAsia="Arial" w:hAnsi="Arial" w:cs="Arial"/>
          <w:i/>
        </w:rPr>
        <w:t xml:space="preserve">io. </w:t>
      </w:r>
    </w:p>
    <w:p w:rsidR="0047564F" w:rsidRDefault="009856F0">
      <w:pPr>
        <w:numPr>
          <w:ilvl w:val="0"/>
          <w:numId w:val="4"/>
        </w:numPr>
        <w:spacing w:after="171" w:line="248" w:lineRule="auto"/>
        <w:ind w:right="44" w:firstLine="360"/>
        <w:jc w:val="both"/>
      </w:pPr>
      <w:r>
        <w:rPr>
          <w:rFonts w:ascii="Arial" w:eastAsia="Arial" w:hAnsi="Arial" w:cs="Arial"/>
          <w:i/>
        </w:rPr>
        <w:t xml:space="preserve">Cuando el convenio instrumente una subvención deberá cumplir con lo previsto en la Ley 38/2003, de 17 de noviembre, General de Subvenciones y en la normativa autonómica de desarrollo que, en su caso, resulte aplicable. </w:t>
      </w:r>
    </w:p>
    <w:p w:rsidR="0047564F" w:rsidRDefault="009856F0">
      <w:pPr>
        <w:spacing w:after="171" w:line="248" w:lineRule="auto"/>
        <w:ind w:left="-15" w:right="44" w:firstLine="360"/>
        <w:jc w:val="both"/>
      </w:pPr>
      <w:r>
        <w:rPr>
          <w:rFonts w:ascii="Arial" w:eastAsia="Arial" w:hAnsi="Arial" w:cs="Arial"/>
          <w:i/>
        </w:rPr>
        <w:t>Asimismo, cuando el convenio te</w:t>
      </w:r>
      <w:r>
        <w:rPr>
          <w:rFonts w:ascii="Arial" w:eastAsia="Arial" w:hAnsi="Arial" w:cs="Arial"/>
          <w:i/>
        </w:rPr>
        <w:t xml:space="preserve">nga por objeto la delegación de competencias en una Entidad Local, deberá cumplir con lo dispuesto en Ley 7/1985, de 2 de abril, Reguladora de las Bases del Régimen Local. </w:t>
      </w:r>
    </w:p>
    <w:p w:rsidR="0047564F" w:rsidRDefault="009856F0">
      <w:pPr>
        <w:numPr>
          <w:ilvl w:val="0"/>
          <w:numId w:val="4"/>
        </w:numPr>
        <w:spacing w:after="171" w:line="248" w:lineRule="auto"/>
        <w:ind w:right="44" w:firstLine="360"/>
        <w:jc w:val="both"/>
      </w:pPr>
      <w:r>
        <w:rPr>
          <w:rFonts w:ascii="Arial" w:eastAsia="Arial" w:hAnsi="Arial" w:cs="Arial"/>
          <w:i/>
        </w:rPr>
        <w:t xml:space="preserve">Los convenios se perfeccionan por la prestación del consentimiento de las partes. </w:t>
      </w:r>
    </w:p>
    <w:p w:rsidR="0047564F" w:rsidRDefault="009856F0">
      <w:pPr>
        <w:spacing w:after="171" w:line="248" w:lineRule="auto"/>
        <w:ind w:left="-15" w:right="44" w:firstLine="360"/>
        <w:jc w:val="both"/>
      </w:pPr>
      <w:r>
        <w:rPr>
          <w:rFonts w:ascii="Arial" w:eastAsia="Arial" w:hAnsi="Arial" w:cs="Arial"/>
          <w:i/>
        </w:rPr>
        <w:t>Los convenios suscritos por la Administración General del Estado o alguno de sus organismos públicos o entidades de derecho público vinculados o dependientes resultarán eficaces una vez inscritos, en el plazo de 5 días hábiles desde su formalización, en el</w:t>
      </w:r>
      <w:r>
        <w:rPr>
          <w:rFonts w:ascii="Arial" w:eastAsia="Arial" w:hAnsi="Arial" w:cs="Arial"/>
          <w:i/>
        </w:rPr>
        <w:t xml:space="preserve"> Registro Electrónico estatal de Órganos e Instrumentos de Cooperación del sector público estatal, al que se refiere la disposición adicional séptima. Asimismo, serán publicados en el plazo de 10 días hábiles desde su formalización en el «Boletín Oficial d</w:t>
      </w:r>
      <w:r>
        <w:rPr>
          <w:rFonts w:ascii="Arial" w:eastAsia="Arial" w:hAnsi="Arial" w:cs="Arial"/>
          <w:i/>
        </w:rPr>
        <w:t xml:space="preserve">el Estado», sin perjuicio de su publicación facultativa en el boletín oficial de la comunidad autónoma o de la provincia que corresponda a la otra administración firmante. </w:t>
      </w:r>
    </w:p>
    <w:p w:rsidR="0047564F" w:rsidRDefault="009856F0">
      <w:pPr>
        <w:numPr>
          <w:ilvl w:val="0"/>
          <w:numId w:val="4"/>
        </w:numPr>
        <w:spacing w:after="353" w:line="248" w:lineRule="auto"/>
        <w:ind w:right="44" w:firstLine="360"/>
        <w:jc w:val="both"/>
      </w:pPr>
      <w:r>
        <w:rPr>
          <w:rFonts w:ascii="Arial" w:eastAsia="Arial" w:hAnsi="Arial" w:cs="Arial"/>
          <w:i/>
        </w:rPr>
        <w:t>Las normas del presente Capítulo no serán de aplicación a las encomiendas de gestió</w:t>
      </w:r>
      <w:r>
        <w:rPr>
          <w:rFonts w:ascii="Arial" w:eastAsia="Arial" w:hAnsi="Arial" w:cs="Arial"/>
          <w:i/>
        </w:rPr>
        <w:t xml:space="preserve">n y los acuerdos de terminación convencional de los procedimientos administrativos. </w:t>
      </w:r>
    </w:p>
    <w:p w:rsidR="0047564F" w:rsidRDefault="009856F0">
      <w:pPr>
        <w:spacing w:after="171" w:line="248" w:lineRule="auto"/>
        <w:ind w:left="-5" w:right="44" w:hanging="10"/>
        <w:jc w:val="both"/>
      </w:pPr>
      <w:r>
        <w:rPr>
          <w:rFonts w:ascii="Arial" w:eastAsia="Arial" w:hAnsi="Arial" w:cs="Arial"/>
          <w:i/>
        </w:rPr>
        <w:t xml:space="preserve">Artículo 49. Contenido de los convenios. </w:t>
      </w:r>
    </w:p>
    <w:p w:rsidR="0047564F" w:rsidRDefault="009856F0">
      <w:pPr>
        <w:spacing w:after="350" w:line="248" w:lineRule="auto"/>
        <w:ind w:left="-15" w:right="44" w:firstLine="360"/>
        <w:jc w:val="both"/>
      </w:pPr>
      <w:r>
        <w:rPr>
          <w:rFonts w:ascii="Arial" w:eastAsia="Arial" w:hAnsi="Arial" w:cs="Arial"/>
          <w:i/>
        </w:rPr>
        <w:t xml:space="preserve">Los convenios a los que se refiere el apartado 1 del artículo anterior deberán incluir, al menos, las siguientes materias: </w:t>
      </w:r>
    </w:p>
    <w:p w:rsidR="0047564F" w:rsidRDefault="009856F0">
      <w:pPr>
        <w:numPr>
          <w:ilvl w:val="0"/>
          <w:numId w:val="5"/>
        </w:numPr>
        <w:spacing w:after="10" w:line="248" w:lineRule="auto"/>
        <w:ind w:right="44" w:firstLine="360"/>
        <w:jc w:val="both"/>
      </w:pPr>
      <w:r>
        <w:rPr>
          <w:rFonts w:ascii="Arial" w:eastAsia="Arial" w:hAnsi="Arial" w:cs="Arial"/>
          <w:i/>
        </w:rPr>
        <w:t>Sujet</w:t>
      </w:r>
      <w:r>
        <w:rPr>
          <w:rFonts w:ascii="Arial" w:eastAsia="Arial" w:hAnsi="Arial" w:cs="Arial"/>
          <w:i/>
        </w:rPr>
        <w:t xml:space="preserve">os que suscriben el convenio y la capacidad jurídica con que actúa cada una de las </w:t>
      </w:r>
    </w:p>
    <w:p w:rsidR="0047564F" w:rsidRDefault="009856F0">
      <w:pPr>
        <w:spacing w:after="171" w:line="248" w:lineRule="auto"/>
        <w:ind w:left="-5" w:right="44" w:hanging="10"/>
        <w:jc w:val="both"/>
      </w:pPr>
      <w:r>
        <w:rPr>
          <w:rFonts w:ascii="Arial" w:eastAsia="Arial" w:hAnsi="Arial" w:cs="Arial"/>
          <w:i/>
        </w:rPr>
        <w:t xml:space="preserve">partes. </w:t>
      </w:r>
    </w:p>
    <w:p w:rsidR="0047564F" w:rsidRDefault="009856F0">
      <w:pPr>
        <w:numPr>
          <w:ilvl w:val="0"/>
          <w:numId w:val="5"/>
        </w:numPr>
        <w:spacing w:after="171" w:line="248" w:lineRule="auto"/>
        <w:ind w:right="44" w:firstLine="360"/>
        <w:jc w:val="both"/>
      </w:pPr>
      <w:r>
        <w:rPr>
          <w:rFonts w:ascii="Arial" w:eastAsia="Arial" w:hAnsi="Arial" w:cs="Arial"/>
          <w:i/>
        </w:rPr>
        <w:t xml:space="preserve">La competencia en la que se fundamenta la actuación de la Administración Pública, de los organismos públicos y las entidades de derecho público vinculados o dependientes de ella o de las Universidades públicas. </w:t>
      </w:r>
    </w:p>
    <w:p w:rsidR="0047564F" w:rsidRDefault="009856F0">
      <w:pPr>
        <w:numPr>
          <w:ilvl w:val="0"/>
          <w:numId w:val="5"/>
        </w:numPr>
        <w:spacing w:after="10" w:line="248" w:lineRule="auto"/>
        <w:ind w:right="44" w:firstLine="360"/>
        <w:jc w:val="both"/>
      </w:pPr>
      <w:r>
        <w:rPr>
          <w:rFonts w:ascii="Arial" w:eastAsia="Arial" w:hAnsi="Arial" w:cs="Arial"/>
          <w:i/>
        </w:rPr>
        <w:t>Objeto del convenio y actuaciones a realizar</w:t>
      </w:r>
      <w:r>
        <w:rPr>
          <w:rFonts w:ascii="Arial" w:eastAsia="Arial" w:hAnsi="Arial" w:cs="Arial"/>
          <w:i/>
        </w:rPr>
        <w:t xml:space="preserve"> por cada sujeto para su cumplimiento, indicando, </w:t>
      </w:r>
    </w:p>
    <w:p w:rsidR="0047564F" w:rsidRDefault="009856F0">
      <w:pPr>
        <w:spacing w:after="171" w:line="248" w:lineRule="auto"/>
        <w:ind w:left="-5" w:right="44" w:hanging="10"/>
        <w:jc w:val="both"/>
      </w:pPr>
      <w:r>
        <w:rPr>
          <w:rFonts w:ascii="Arial" w:eastAsia="Arial" w:hAnsi="Arial" w:cs="Arial"/>
          <w:i/>
        </w:rPr>
        <w:t xml:space="preserve">en su caso, la titularidad de los resultados obtenidos. </w:t>
      </w:r>
    </w:p>
    <w:p w:rsidR="0047564F" w:rsidRDefault="009856F0">
      <w:pPr>
        <w:numPr>
          <w:ilvl w:val="0"/>
          <w:numId w:val="5"/>
        </w:numPr>
        <w:spacing w:after="10" w:line="248" w:lineRule="auto"/>
        <w:ind w:right="44" w:firstLine="360"/>
        <w:jc w:val="both"/>
      </w:pPr>
      <w:r>
        <w:rPr>
          <w:rFonts w:ascii="Arial" w:eastAsia="Arial" w:hAnsi="Arial" w:cs="Arial"/>
          <w:i/>
        </w:rPr>
        <w:t>Obligaciones y compromisos económicos asumidos por cada una de las partes, si los hu-</w:t>
      </w:r>
    </w:p>
    <w:p w:rsidR="0047564F" w:rsidRDefault="009856F0">
      <w:pPr>
        <w:spacing w:after="171" w:line="248" w:lineRule="auto"/>
        <w:ind w:left="-5" w:right="44"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4091" name="Group 44091"/>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318" name="Rectangle 2318"/>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w:t>
                              </w:r>
                              <w:r>
                                <w:rPr>
                                  <w:rFonts w:ascii="Arial" w:eastAsia="Arial" w:hAnsi="Arial" w:cs="Arial"/>
                                  <w:sz w:val="12"/>
                                </w:rPr>
                                <w:t xml:space="preserve">https://candelaria.sedelectronica.es/ </w:t>
                              </w:r>
                            </w:p>
                          </w:txbxContent>
                        </wps:txbx>
                        <wps:bodyPr horzOverflow="overflow" vert="horz" lIns="0" tIns="0" rIns="0" bIns="0" rtlCol="0">
                          <a:noAutofit/>
                        </wps:bodyPr>
                      </wps:wsp>
                      <wps:wsp>
                        <wps:cNvPr id="2319" name="Rectangle 2319"/>
                        <wps:cNvSpPr/>
                        <wps:spPr>
                          <a:xfrm rot="-5399999">
                            <a:off x="-2038475" y="1332622"/>
                            <a:ext cx="43425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11 de 33 </w:t>
                              </w:r>
                            </w:p>
                          </w:txbxContent>
                        </wps:txbx>
                        <wps:bodyPr horzOverflow="overflow" vert="horz" lIns="0" tIns="0" rIns="0" bIns="0" rtlCol="0">
                          <a:noAutofit/>
                        </wps:bodyPr>
                      </wps:wsp>
                    </wpg:wgp>
                  </a:graphicData>
                </a:graphic>
              </wp:anchor>
            </w:drawing>
          </mc:Choice>
          <mc:Fallback xmlns:a="http://schemas.openxmlformats.org/drawingml/2006/main">
            <w:pict>
              <v:group id="Group 44091" style="width:12.7031pt;height:280.356pt;position:absolute;mso-position-horizontal-relative:page;mso-position-horizontal:absolute;margin-left:682.278pt;mso-position-vertical-relative:page;margin-top:531.564pt;" coordsize="1613,35605">
                <v:rect id="Rectangle 2318"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319" style="position:absolute;width:43425;height:1132;left:-20384;top:1332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33 </w:t>
                        </w:r>
                      </w:p>
                    </w:txbxContent>
                  </v:textbox>
                </v:rect>
                <w10:wrap type="square"/>
              </v:group>
            </w:pict>
          </mc:Fallback>
        </mc:AlternateContent>
      </w:r>
      <w:r>
        <w:rPr>
          <w:rFonts w:ascii="Arial" w:eastAsia="Arial" w:hAnsi="Arial" w:cs="Arial"/>
          <w:i/>
        </w:rPr>
        <w:t>biera, indicando su distribución temporal por anualidades y su imputación concreta al presupuesto correspondiente de acuer</w:t>
      </w:r>
      <w:r>
        <w:rPr>
          <w:rFonts w:ascii="Arial" w:eastAsia="Arial" w:hAnsi="Arial" w:cs="Arial"/>
          <w:i/>
        </w:rPr>
        <w:t xml:space="preserve">do con lo previsto en la legislación presupuestaria. </w:t>
      </w:r>
    </w:p>
    <w:p w:rsidR="0047564F" w:rsidRDefault="009856F0">
      <w:pPr>
        <w:numPr>
          <w:ilvl w:val="0"/>
          <w:numId w:val="5"/>
        </w:numPr>
        <w:spacing w:after="10" w:line="248" w:lineRule="auto"/>
        <w:ind w:right="44" w:firstLine="360"/>
        <w:jc w:val="both"/>
      </w:pPr>
      <w:r>
        <w:rPr>
          <w:rFonts w:ascii="Arial" w:eastAsia="Arial" w:hAnsi="Arial" w:cs="Arial"/>
          <w:i/>
        </w:rPr>
        <w:t xml:space="preserve">Consecuencias aplicables en caso de incumplimiento de las obligaciones y compromisos </w:t>
      </w:r>
    </w:p>
    <w:p w:rsidR="0047564F" w:rsidRDefault="009856F0">
      <w:pPr>
        <w:spacing w:after="171" w:line="248" w:lineRule="auto"/>
        <w:ind w:left="-5" w:right="44" w:hanging="10"/>
        <w:jc w:val="both"/>
      </w:pPr>
      <w:r>
        <w:rPr>
          <w:rFonts w:ascii="Arial" w:eastAsia="Arial" w:hAnsi="Arial" w:cs="Arial"/>
          <w:i/>
        </w:rPr>
        <w:t>asumidos por cada una de las partes y, en su caso, los criterios para determinar la posible indemnización por el inc</w:t>
      </w:r>
      <w:r>
        <w:rPr>
          <w:rFonts w:ascii="Arial" w:eastAsia="Arial" w:hAnsi="Arial" w:cs="Arial"/>
          <w:i/>
        </w:rPr>
        <w:t xml:space="preserve">umplimiento. </w:t>
      </w:r>
    </w:p>
    <w:p w:rsidR="0047564F" w:rsidRDefault="009856F0">
      <w:pPr>
        <w:numPr>
          <w:ilvl w:val="0"/>
          <w:numId w:val="5"/>
        </w:numPr>
        <w:spacing w:after="10" w:line="248" w:lineRule="auto"/>
        <w:ind w:right="44" w:firstLine="360"/>
        <w:jc w:val="both"/>
      </w:pPr>
      <w:r>
        <w:rPr>
          <w:rFonts w:ascii="Arial" w:eastAsia="Arial" w:hAnsi="Arial" w:cs="Arial"/>
          <w:i/>
        </w:rPr>
        <w:t>Mecanismos de seguimiento, vigilancia y control de la ejecución del convenio y de los com-</w:t>
      </w:r>
    </w:p>
    <w:p w:rsidR="0047564F" w:rsidRDefault="009856F0">
      <w:pPr>
        <w:spacing w:after="171" w:line="248" w:lineRule="auto"/>
        <w:ind w:left="-5" w:right="44" w:hanging="10"/>
        <w:jc w:val="both"/>
      </w:pPr>
      <w:r>
        <w:rPr>
          <w:rFonts w:ascii="Arial" w:eastAsia="Arial" w:hAnsi="Arial" w:cs="Arial"/>
          <w:i/>
        </w:rPr>
        <w:t>promisos adquiridos por los firmantes. Este mecanismo resolverá los problemas de interpretación y cumplimiento que puedan plantearse respecto de los co</w:t>
      </w:r>
      <w:r>
        <w:rPr>
          <w:rFonts w:ascii="Arial" w:eastAsia="Arial" w:hAnsi="Arial" w:cs="Arial"/>
          <w:i/>
        </w:rPr>
        <w:t xml:space="preserve">nvenios. </w:t>
      </w:r>
    </w:p>
    <w:p w:rsidR="0047564F" w:rsidRDefault="009856F0">
      <w:pPr>
        <w:numPr>
          <w:ilvl w:val="0"/>
          <w:numId w:val="5"/>
        </w:numPr>
        <w:spacing w:after="10" w:line="248" w:lineRule="auto"/>
        <w:ind w:right="44" w:firstLine="360"/>
        <w:jc w:val="both"/>
      </w:pPr>
      <w:r>
        <w:rPr>
          <w:rFonts w:ascii="Arial" w:eastAsia="Arial" w:hAnsi="Arial" w:cs="Arial"/>
          <w:i/>
        </w:rPr>
        <w:t xml:space="preserve">El régimen de modificación del convenio. A falta de regulación expresa la modificación del </w:t>
      </w:r>
    </w:p>
    <w:p w:rsidR="0047564F" w:rsidRDefault="009856F0">
      <w:pPr>
        <w:spacing w:after="171" w:line="248" w:lineRule="auto"/>
        <w:ind w:left="-5" w:right="44" w:hanging="10"/>
        <w:jc w:val="both"/>
      </w:pPr>
      <w:r>
        <w:rPr>
          <w:rFonts w:ascii="Arial" w:eastAsia="Arial" w:hAnsi="Arial" w:cs="Arial"/>
          <w:i/>
        </w:rPr>
        <w:t xml:space="preserve">contenido del convenio requerirá acuerdo unánime de los firmantes. </w:t>
      </w:r>
    </w:p>
    <w:p w:rsidR="0047564F" w:rsidRDefault="009856F0">
      <w:pPr>
        <w:numPr>
          <w:ilvl w:val="0"/>
          <w:numId w:val="5"/>
        </w:numPr>
        <w:spacing w:after="350" w:line="248" w:lineRule="auto"/>
        <w:ind w:right="44" w:firstLine="360"/>
        <w:jc w:val="both"/>
      </w:pPr>
      <w:r>
        <w:rPr>
          <w:rFonts w:ascii="Arial" w:eastAsia="Arial" w:hAnsi="Arial" w:cs="Arial"/>
          <w:i/>
        </w:rPr>
        <w:t xml:space="preserve">Plazo de vigencia del convenio teniendo en cuenta las siguientes reglas: </w:t>
      </w:r>
    </w:p>
    <w:p w:rsidR="0047564F" w:rsidRDefault="009856F0">
      <w:pPr>
        <w:spacing w:after="171" w:line="248" w:lineRule="auto"/>
        <w:ind w:left="-15" w:right="44" w:firstLine="360"/>
        <w:jc w:val="both"/>
      </w:pPr>
      <w:r>
        <w:rPr>
          <w:rFonts w:ascii="Arial" w:eastAsia="Arial" w:hAnsi="Arial" w:cs="Arial"/>
          <w:i/>
        </w:rPr>
        <w:t xml:space="preserve">1.º Los convenios deberán tener una duración determinada, que no podrá ser superior a cuatro años, salvo que normativamente se prevea un plazo superior. </w:t>
      </w:r>
    </w:p>
    <w:p w:rsidR="0047564F" w:rsidRDefault="009856F0">
      <w:pPr>
        <w:spacing w:after="322" w:line="248" w:lineRule="auto"/>
        <w:ind w:left="-15" w:right="44" w:firstLine="360"/>
        <w:jc w:val="both"/>
      </w:pPr>
      <w:r>
        <w:rPr>
          <w:rFonts w:ascii="Arial" w:eastAsia="Arial" w:hAnsi="Arial" w:cs="Arial"/>
          <w:i/>
        </w:rPr>
        <w:t>2.º En cualquier momento antes de la finalización del plazo previsto en el apartado anterior, los firm</w:t>
      </w:r>
      <w:r>
        <w:rPr>
          <w:rFonts w:ascii="Arial" w:eastAsia="Arial" w:hAnsi="Arial" w:cs="Arial"/>
          <w:i/>
        </w:rPr>
        <w:t>antes del convenio podrán acordar unánimemente su prórroga por un periodo de hasta cuatro años adicionales o su extinción</w:t>
      </w:r>
      <w:r>
        <w:rPr>
          <w:rFonts w:ascii="Verdana" w:eastAsia="Verdana" w:hAnsi="Verdana" w:cs="Verdana"/>
          <w:i/>
          <w:sz w:val="24"/>
        </w:rPr>
        <w:t xml:space="preserve">. </w:t>
      </w:r>
    </w:p>
    <w:p w:rsidR="0047564F" w:rsidRDefault="009856F0">
      <w:pPr>
        <w:spacing w:after="171" w:line="248" w:lineRule="auto"/>
        <w:ind w:left="-15" w:right="44" w:firstLine="360"/>
        <w:jc w:val="both"/>
      </w:pPr>
      <w:r>
        <w:rPr>
          <w:rFonts w:ascii="Arial" w:eastAsia="Arial" w:hAnsi="Arial" w:cs="Arial"/>
          <w:i/>
        </w:rPr>
        <w:t>En el caso de convenios suscritos por la Administración General del Estado o alguno de sus organismos públicos y entidades de derecho público vinculados o dependientes, esta prórroga deberá ser comunicada al Registro Electrónico estatal de Órganos e Instru</w:t>
      </w:r>
      <w:r>
        <w:rPr>
          <w:rFonts w:ascii="Arial" w:eastAsia="Arial" w:hAnsi="Arial" w:cs="Arial"/>
          <w:i/>
        </w:rPr>
        <w:t xml:space="preserve">mentos de Cooperación al que se refiere la disposición adicional séptima. </w:t>
      </w:r>
    </w:p>
    <w:p w:rsidR="0047564F" w:rsidRDefault="009856F0">
      <w:pPr>
        <w:spacing w:after="171" w:line="248" w:lineRule="auto"/>
        <w:ind w:left="370" w:right="44" w:hanging="10"/>
        <w:jc w:val="both"/>
      </w:pPr>
      <w:r>
        <w:rPr>
          <w:rFonts w:ascii="Arial" w:eastAsia="Arial" w:hAnsi="Arial" w:cs="Arial"/>
          <w:i/>
        </w:rPr>
        <w:t xml:space="preserve">Artículo 50. Trámites preceptivos para la suscripción de convenios y sus efectos. </w:t>
      </w:r>
    </w:p>
    <w:p w:rsidR="0047564F" w:rsidRDefault="009856F0">
      <w:pPr>
        <w:numPr>
          <w:ilvl w:val="0"/>
          <w:numId w:val="6"/>
        </w:numPr>
        <w:spacing w:after="171" w:line="248" w:lineRule="auto"/>
        <w:ind w:right="44" w:firstLine="360"/>
        <w:jc w:val="both"/>
      </w:pPr>
      <w:r>
        <w:rPr>
          <w:rFonts w:ascii="Arial" w:eastAsia="Arial" w:hAnsi="Arial" w:cs="Arial"/>
          <w:i/>
        </w:rPr>
        <w:t>Sin perjuicio de las especialidades que la legislación autonómica pueda prever, será necesario que</w:t>
      </w:r>
      <w:r>
        <w:rPr>
          <w:rFonts w:ascii="Arial" w:eastAsia="Arial" w:hAnsi="Arial" w:cs="Arial"/>
          <w:i/>
        </w:rPr>
        <w:t xml:space="preserve"> el convenio se acompañe de una memoria justificativa donde se analice su necesidad y oportunidad, su impacto económico, el carácter no contractual de la actividad en cuestión, así como el cumplimiento de lo previsto en esta Ley. </w:t>
      </w:r>
    </w:p>
    <w:p w:rsidR="0047564F" w:rsidRDefault="009856F0">
      <w:pPr>
        <w:numPr>
          <w:ilvl w:val="0"/>
          <w:numId w:val="6"/>
        </w:numPr>
        <w:spacing w:after="350" w:line="248" w:lineRule="auto"/>
        <w:ind w:right="44" w:firstLine="360"/>
        <w:jc w:val="both"/>
      </w:pPr>
      <w:r>
        <w:rPr>
          <w:rFonts w:ascii="Arial" w:eastAsia="Arial" w:hAnsi="Arial" w:cs="Arial"/>
          <w:i/>
        </w:rPr>
        <w:t>Los convenios que suscrib</w:t>
      </w:r>
      <w:r>
        <w:rPr>
          <w:rFonts w:ascii="Arial" w:eastAsia="Arial" w:hAnsi="Arial" w:cs="Arial"/>
          <w:i/>
        </w:rPr>
        <w:t xml:space="preserve">a la Administración General del Estado o sus organismos públicos y entidades de derecho público vinculados o dependientes se acompañarán además de: </w:t>
      </w:r>
    </w:p>
    <w:p w:rsidR="0047564F" w:rsidRDefault="009856F0">
      <w:pPr>
        <w:numPr>
          <w:ilvl w:val="0"/>
          <w:numId w:val="7"/>
        </w:numPr>
        <w:spacing w:after="171" w:line="248" w:lineRule="auto"/>
        <w:ind w:right="44" w:firstLine="360"/>
        <w:jc w:val="both"/>
      </w:pPr>
      <w:r>
        <w:rPr>
          <w:rFonts w:ascii="Arial" w:eastAsia="Arial" w:hAnsi="Arial" w:cs="Arial"/>
          <w:i/>
        </w:rPr>
        <w:t>El informe de su servicio jurídico, que deberá emitirse en un plazo máximo de siete días hábiles desde su s</w:t>
      </w:r>
      <w:r>
        <w:rPr>
          <w:rFonts w:ascii="Arial" w:eastAsia="Arial" w:hAnsi="Arial" w:cs="Arial"/>
          <w:i/>
        </w:rPr>
        <w:t>olicitud, transcurridos los cuales se continuará la tramitación. En todo/ caso, dicho informe deberá emitirse e incorporarse al expediente antes de proceder al perfeccionamiento del convenio. No será necesario solicitar este informe cuando el convenio se a</w:t>
      </w:r>
      <w:r>
        <w:rPr>
          <w:rFonts w:ascii="Arial" w:eastAsia="Arial" w:hAnsi="Arial" w:cs="Arial"/>
          <w:i/>
        </w:rPr>
        <w:t xml:space="preserve">juste a un modelo normalizado informado previamente por el servicio jurídico que corresponda. </w:t>
      </w:r>
    </w:p>
    <w:p w:rsidR="0047564F" w:rsidRDefault="009856F0">
      <w:pPr>
        <w:numPr>
          <w:ilvl w:val="0"/>
          <w:numId w:val="7"/>
        </w:numPr>
        <w:spacing w:after="171" w:line="248" w:lineRule="auto"/>
        <w:ind w:right="44" w:firstLine="360"/>
        <w:jc w:val="both"/>
      </w:pPr>
      <w:r>
        <w:rPr>
          <w:rFonts w:ascii="Arial" w:eastAsia="Arial" w:hAnsi="Arial" w:cs="Arial"/>
          <w:i/>
        </w:rPr>
        <w:t>Cualquier otro informe preceptivo que establezca la normativa aplicable, que deberá emitirse en un plazo máximo de siete días hábiles desde su solicitud, transcu</w:t>
      </w:r>
      <w:r>
        <w:rPr>
          <w:rFonts w:ascii="Arial" w:eastAsia="Arial" w:hAnsi="Arial" w:cs="Arial"/>
          <w:i/>
        </w:rPr>
        <w:t xml:space="preserve">rridos los cuales se continuará la tramitación. En cualquier caso, deberán emitirse e incorporarse al expediente todos los informes preceptivos antes de proceder al perfeccionamiento del convenio. </w:t>
      </w:r>
    </w:p>
    <w:p w:rsidR="0047564F" w:rsidRDefault="009856F0">
      <w:pPr>
        <w:numPr>
          <w:ilvl w:val="0"/>
          <w:numId w:val="7"/>
        </w:numPr>
        <w:spacing w:after="0"/>
        <w:ind w:right="44" w:firstLine="360"/>
        <w:jc w:val="both"/>
      </w:pPr>
      <w:r>
        <w:rPr>
          <w:rFonts w:ascii="Arial" w:eastAsia="Arial" w:hAnsi="Arial" w:cs="Arial"/>
          <w:i/>
        </w:rPr>
        <w:t>La autorización previa del Ministerio de Hacienda y Funció</w:t>
      </w:r>
      <w:r>
        <w:rPr>
          <w:rFonts w:ascii="Arial" w:eastAsia="Arial" w:hAnsi="Arial" w:cs="Arial"/>
          <w:i/>
        </w:rPr>
        <w:t>n Pública para su firma, modifica-</w:t>
      </w:r>
    </w:p>
    <w:p w:rsidR="0047564F" w:rsidRDefault="009856F0">
      <w:pPr>
        <w:spacing w:after="171" w:line="248" w:lineRule="auto"/>
        <w:ind w:left="-5" w:right="44"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2275" name="Group 42275"/>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453" name="Rectangle 2453"/>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2454" name="Rectangle 2454"/>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12 de 33 </w:t>
                              </w:r>
                            </w:p>
                          </w:txbxContent>
                        </wps:txbx>
                        <wps:bodyPr horzOverflow="overflow" vert="horz" lIns="0" tIns="0" rIns="0" bIns="0" rtlCol="0">
                          <a:noAutofit/>
                        </wps:bodyPr>
                      </wps:wsp>
                    </wpg:wgp>
                  </a:graphicData>
                </a:graphic>
              </wp:anchor>
            </w:drawing>
          </mc:Choice>
          <mc:Fallback xmlns:a="http://schemas.openxmlformats.org/drawingml/2006/main">
            <w:pict>
              <v:group id="Group 42275" style="width:12.7031pt;height:280.356pt;position:absolute;mso-position-horizontal-relative:page;mso-position-horizontal:absolute;margin-left:682.278pt;mso-position-vertical-relative:page;margin-top:531.564pt;" coordsize="1613,35605">
                <v:rect id="Rectangle 2453"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454"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33 </w:t>
                        </w:r>
                      </w:p>
                    </w:txbxContent>
                  </v:textbox>
                </v:rect>
                <w10:wrap type="square"/>
              </v:group>
            </w:pict>
          </mc:Fallback>
        </mc:AlternateContent>
      </w:r>
      <w:r>
        <w:rPr>
          <w:rFonts w:ascii="Arial" w:eastAsia="Arial" w:hAnsi="Arial" w:cs="Arial"/>
          <w:i/>
        </w:rPr>
        <w:t>ción, prórroga y resolución por mutuo acuerdo entre las partes, que deberá emitirse en un plazo máximo de siete días hábiles desde la solicitud, transcurridos los cuales se continuará la tramitación. En todo caso dicha autorización deberá emitirse e incorp</w:t>
      </w:r>
      <w:r>
        <w:rPr>
          <w:rFonts w:ascii="Arial" w:eastAsia="Arial" w:hAnsi="Arial" w:cs="Arial"/>
          <w:i/>
        </w:rPr>
        <w:t xml:space="preserve">orarse al expediente antes de proceder al perfeccionamiento del convenio. </w:t>
      </w:r>
    </w:p>
    <w:p w:rsidR="0047564F" w:rsidRDefault="009856F0">
      <w:pPr>
        <w:spacing w:after="171" w:line="248" w:lineRule="auto"/>
        <w:ind w:left="-15" w:right="44" w:firstLine="360"/>
        <w:jc w:val="both"/>
      </w:pPr>
      <w:r>
        <w:rPr>
          <w:rFonts w:ascii="Arial" w:eastAsia="Arial" w:hAnsi="Arial" w:cs="Arial"/>
          <w:i/>
        </w:rPr>
        <w:t xml:space="preserve">Cuando el convenio a suscribir esté excepcionado de la autorización a la que se refiere el párrafo anterior, también lo estará del informe del Ministerio de Política Territorial. </w:t>
      </w:r>
    </w:p>
    <w:p w:rsidR="0047564F" w:rsidRDefault="009856F0">
      <w:pPr>
        <w:spacing w:after="353" w:line="248" w:lineRule="auto"/>
        <w:ind w:left="-15" w:right="44" w:firstLine="360"/>
        <w:jc w:val="both"/>
      </w:pPr>
      <w:r>
        <w:rPr>
          <w:rFonts w:ascii="Arial" w:eastAsia="Arial" w:hAnsi="Arial" w:cs="Arial"/>
          <w:i/>
        </w:rPr>
        <w:t>N</w:t>
      </w:r>
      <w:r>
        <w:rPr>
          <w:rFonts w:ascii="Arial" w:eastAsia="Arial" w:hAnsi="Arial" w:cs="Arial"/>
          <w:i/>
        </w:rPr>
        <w:t>o obstante, en todo caso, será preceptivo el informe del Ministerio de Política Territorial, respecto de los convenios que se suscriban entre la Administración General del Estado y sus organismos públicos y entidades de derecho público vinculados o dependi</w:t>
      </w:r>
      <w:r>
        <w:rPr>
          <w:rFonts w:ascii="Arial" w:eastAsia="Arial" w:hAnsi="Arial" w:cs="Arial"/>
          <w:i/>
        </w:rPr>
        <w:t xml:space="preserve">entes, con las Comunidades Autónomas o con Entidades Locales o con sus organismos públicos y entidades de derecho público vinculados o dependientes, en los casos siguientes: </w:t>
      </w:r>
    </w:p>
    <w:p w:rsidR="0047564F" w:rsidRDefault="009856F0">
      <w:pPr>
        <w:numPr>
          <w:ilvl w:val="0"/>
          <w:numId w:val="8"/>
        </w:numPr>
        <w:spacing w:after="171" w:line="248" w:lineRule="auto"/>
        <w:ind w:right="44" w:firstLine="360"/>
        <w:jc w:val="both"/>
      </w:pPr>
      <w:r>
        <w:rPr>
          <w:rFonts w:ascii="Arial" w:eastAsia="Arial" w:hAnsi="Arial" w:cs="Arial"/>
          <w:i/>
        </w:rPr>
        <w:t>Convenios cuyo objeto sea la cesión o adquisición de la titularidad de infraestru</w:t>
      </w:r>
      <w:r>
        <w:rPr>
          <w:rFonts w:ascii="Arial" w:eastAsia="Arial" w:hAnsi="Arial" w:cs="Arial"/>
          <w:i/>
        </w:rPr>
        <w:t xml:space="preserve">cturas por la Administración General del Estado. </w:t>
      </w:r>
    </w:p>
    <w:p w:rsidR="0047564F" w:rsidRDefault="009856F0">
      <w:pPr>
        <w:numPr>
          <w:ilvl w:val="0"/>
          <w:numId w:val="8"/>
        </w:numPr>
        <w:spacing w:after="350" w:line="248" w:lineRule="auto"/>
        <w:ind w:right="44" w:firstLine="360"/>
        <w:jc w:val="both"/>
      </w:pPr>
      <w:r>
        <w:rPr>
          <w:rFonts w:ascii="Arial" w:eastAsia="Arial" w:hAnsi="Arial" w:cs="Arial"/>
          <w:i/>
        </w:rPr>
        <w:t xml:space="preserve">Convenios que tengan por objeto la creación de consorcios previstos en el artículo 123 de esta ley. </w:t>
      </w:r>
    </w:p>
    <w:p w:rsidR="0047564F" w:rsidRDefault="009856F0">
      <w:pPr>
        <w:numPr>
          <w:ilvl w:val="0"/>
          <w:numId w:val="9"/>
        </w:numPr>
        <w:spacing w:after="0"/>
        <w:ind w:right="42" w:hanging="261"/>
        <w:jc w:val="right"/>
      </w:pPr>
      <w:r>
        <w:rPr>
          <w:rFonts w:ascii="Arial" w:eastAsia="Arial" w:hAnsi="Arial" w:cs="Arial"/>
          <w:i/>
        </w:rPr>
        <w:t>Cuando los convenios plurianuales suscritos entre Administraciones Públicas incluyan apor-</w:t>
      </w:r>
    </w:p>
    <w:p w:rsidR="0047564F" w:rsidRDefault="009856F0">
      <w:pPr>
        <w:spacing w:after="171" w:line="248" w:lineRule="auto"/>
        <w:ind w:left="-5" w:right="44" w:hanging="10"/>
        <w:jc w:val="both"/>
      </w:pPr>
      <w:r>
        <w:rPr>
          <w:rFonts w:ascii="Arial" w:eastAsia="Arial" w:hAnsi="Arial" w:cs="Arial"/>
          <w:i/>
        </w:rPr>
        <w:t>taciones de fo</w:t>
      </w:r>
      <w:r>
        <w:rPr>
          <w:rFonts w:ascii="Arial" w:eastAsia="Arial" w:hAnsi="Arial" w:cs="Arial"/>
          <w:i/>
        </w:rPr>
        <w:t xml:space="preserve">ndos por parte del Estado para financiar actuaciones a ejecutar exclusivamente por parte de otra Administración Pública y el Estado asuma, en el ámbito de sus competencias, los compromisos frente a terceros, la aportación del Estado de anualidades futuras </w:t>
      </w:r>
      <w:r>
        <w:rPr>
          <w:rFonts w:ascii="Arial" w:eastAsia="Arial" w:hAnsi="Arial" w:cs="Arial"/>
          <w:i/>
        </w:rPr>
        <w:t xml:space="preserve">estará condicionada a la existencia de crédito en los correspondientes presupuestos. </w:t>
      </w:r>
    </w:p>
    <w:p w:rsidR="0047564F" w:rsidRDefault="009856F0">
      <w:pPr>
        <w:numPr>
          <w:ilvl w:val="0"/>
          <w:numId w:val="9"/>
        </w:numPr>
        <w:spacing w:after="0"/>
        <w:ind w:right="42" w:hanging="261"/>
        <w:jc w:val="right"/>
      </w:pPr>
      <w:r>
        <w:rPr>
          <w:rFonts w:ascii="Arial" w:eastAsia="Arial" w:hAnsi="Arial" w:cs="Arial"/>
          <w:i/>
        </w:rPr>
        <w:t>Los convenios interadministrativos suscritos con las Comunidades Autónomas serán remiti-</w:t>
      </w:r>
    </w:p>
    <w:p w:rsidR="0047564F" w:rsidRDefault="009856F0">
      <w:pPr>
        <w:spacing w:after="171" w:line="248" w:lineRule="auto"/>
        <w:ind w:left="-5" w:right="44" w:hanging="10"/>
        <w:jc w:val="both"/>
      </w:pPr>
      <w:r>
        <w:rPr>
          <w:rFonts w:ascii="Arial" w:eastAsia="Arial" w:hAnsi="Arial" w:cs="Arial"/>
          <w:i/>
        </w:rPr>
        <w:t xml:space="preserve">dos al Senado por el Ministerio de Política Territorial. </w:t>
      </w:r>
    </w:p>
    <w:p w:rsidR="0047564F" w:rsidRDefault="009856F0">
      <w:pPr>
        <w:spacing w:after="98"/>
      </w:pPr>
      <w:r>
        <w:rPr>
          <w:rFonts w:ascii="Arial" w:eastAsia="Arial" w:hAnsi="Arial" w:cs="Arial"/>
          <w:i/>
        </w:rPr>
        <w:t xml:space="preserve"> </w:t>
      </w:r>
    </w:p>
    <w:p w:rsidR="0047564F" w:rsidRDefault="009856F0">
      <w:pPr>
        <w:spacing w:after="100"/>
      </w:pPr>
      <w:r>
        <w:rPr>
          <w:rFonts w:ascii="Arial" w:eastAsia="Arial" w:hAnsi="Arial" w:cs="Arial"/>
          <w:i/>
        </w:rPr>
        <w:t xml:space="preserve"> </w:t>
      </w:r>
    </w:p>
    <w:p w:rsidR="0047564F" w:rsidRDefault="009856F0">
      <w:pPr>
        <w:spacing w:after="108" w:line="248" w:lineRule="auto"/>
        <w:ind w:left="2278" w:right="44" w:hanging="10"/>
        <w:jc w:val="both"/>
      </w:pPr>
      <w:r>
        <w:rPr>
          <w:rFonts w:ascii="Arial" w:eastAsia="Arial" w:hAnsi="Arial" w:cs="Arial"/>
          <w:i/>
        </w:rPr>
        <w:t xml:space="preserve">PROPUESTA DE ACUERDO AL PLENO </w:t>
      </w:r>
    </w:p>
    <w:p w:rsidR="0047564F" w:rsidRDefault="009856F0">
      <w:pPr>
        <w:spacing w:after="100"/>
      </w:pPr>
      <w:r>
        <w:rPr>
          <w:rFonts w:ascii="Arial" w:eastAsia="Arial" w:hAnsi="Arial" w:cs="Arial"/>
          <w:i/>
        </w:rPr>
        <w:t xml:space="preserve"> </w:t>
      </w:r>
    </w:p>
    <w:p w:rsidR="0047564F" w:rsidRDefault="009856F0">
      <w:pPr>
        <w:spacing w:after="125" w:line="248" w:lineRule="auto"/>
        <w:ind w:left="-5" w:right="44" w:hanging="10"/>
        <w:jc w:val="both"/>
      </w:pPr>
      <w:r>
        <w:rPr>
          <w:rFonts w:ascii="Arial" w:eastAsia="Arial" w:hAnsi="Arial" w:cs="Arial"/>
          <w:i/>
        </w:rPr>
        <w:t xml:space="preserve">Primero.- Aprobar el convenio de colaboración entre los Ayuntamientos de Arafo, Candelaria y Güimar y El Rosario cuyo tenor literal se inserta a continuación: </w:t>
      </w:r>
    </w:p>
    <w:p w:rsidR="0047564F" w:rsidRDefault="009856F0">
      <w:pPr>
        <w:spacing w:after="5" w:line="248" w:lineRule="auto"/>
        <w:ind w:left="-5" w:right="46" w:hanging="10"/>
        <w:jc w:val="both"/>
      </w:pPr>
      <w:r>
        <w:rPr>
          <w:rFonts w:ascii="Times New Roman" w:eastAsia="Times New Roman" w:hAnsi="Times New Roman" w:cs="Times New Roman"/>
          <w:i/>
          <w:sz w:val="24"/>
        </w:rPr>
        <w:t>CONVENIO DE COLABORACIÓN ENTRE LOS AYUNTAMIENTOS DE ARAFO,  CAN</w:t>
      </w:r>
      <w:r>
        <w:rPr>
          <w:rFonts w:ascii="Times New Roman" w:eastAsia="Times New Roman" w:hAnsi="Times New Roman" w:cs="Times New Roman"/>
          <w:i/>
          <w:sz w:val="24"/>
        </w:rPr>
        <w:t xml:space="preserve">DELARIA, GÜÍMAR Y EL ROSARIO PARA LA EJECUCIÓN DEL PLAN DE ETAPAS EN RELACIÓN CON EL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EMISARIO SUBMARINO UBICADO EN EL POLÍGONO INDUSTRIAL DEL VALLE DE GÜIMAR.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55" w:line="248" w:lineRule="auto"/>
        <w:ind w:left="-5" w:right="46" w:hanging="10"/>
        <w:jc w:val="both"/>
      </w:pPr>
      <w:r>
        <w:rPr>
          <w:rFonts w:ascii="Times New Roman" w:eastAsia="Times New Roman" w:hAnsi="Times New Roman" w:cs="Times New Roman"/>
          <w:i/>
          <w:sz w:val="24"/>
        </w:rPr>
        <w:t xml:space="preserve">En -------, a la fecha de la firma. </w:t>
      </w:r>
    </w:p>
    <w:p w:rsidR="0047564F" w:rsidRDefault="009856F0">
      <w:pPr>
        <w:spacing w:after="260"/>
        <w:ind w:left="10" w:right="56" w:hanging="10"/>
        <w:jc w:val="center"/>
      </w:pPr>
      <w:r>
        <w:rPr>
          <w:rFonts w:ascii="Arial" w:eastAsia="Arial" w:hAnsi="Arial" w:cs="Arial"/>
          <w:i/>
        </w:rPr>
        <w:t xml:space="preserve">REUNIDOS </w:t>
      </w:r>
    </w:p>
    <w:p w:rsidR="0047564F" w:rsidRDefault="009856F0">
      <w:pPr>
        <w:spacing w:after="0"/>
      </w:pPr>
      <w:r>
        <w:rPr>
          <w:rFonts w:ascii="Arial" w:eastAsia="Arial" w:hAnsi="Arial" w:cs="Arial"/>
          <w:i/>
        </w:rPr>
        <w:t xml:space="preserve"> </w:t>
      </w:r>
    </w:p>
    <w:p w:rsidR="0047564F" w:rsidRDefault="009856F0">
      <w:pPr>
        <w:spacing w:after="5" w:line="248" w:lineRule="auto"/>
        <w:ind w:left="-5" w:right="46"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1936" name="Group 41936"/>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559" name="Rectangle 255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2560" name="Rectangle 2560"/>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13 de 33 </w:t>
                              </w:r>
                            </w:p>
                          </w:txbxContent>
                        </wps:txbx>
                        <wps:bodyPr horzOverflow="overflow" vert="horz" lIns="0" tIns="0" rIns="0" bIns="0" rtlCol="0">
                          <a:noAutofit/>
                        </wps:bodyPr>
                      </wps:wsp>
                    </wpg:wgp>
                  </a:graphicData>
                </a:graphic>
              </wp:anchor>
            </w:drawing>
          </mc:Choice>
          <mc:Fallback xmlns:a="http://schemas.openxmlformats.org/drawingml/2006/main">
            <w:pict>
              <v:group id="Group 41936" style="width:12.7031pt;height:280.356pt;position:absolute;mso-position-horizontal-relative:page;mso-position-horizontal:absolute;margin-left:682.278pt;mso-position-vertical-relative:page;margin-top:531.564pt;" coordsize="1613,35605">
                <v:rect id="Rectangle 255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560"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33 </w:t>
                        </w:r>
                      </w:p>
                    </w:txbxContent>
                  </v:textbox>
                </v:rect>
                <w10:wrap type="square"/>
              </v:group>
            </w:pict>
          </mc:Fallback>
        </mc:AlternateContent>
      </w:r>
      <w:r>
        <w:rPr>
          <w:rFonts w:ascii="Times New Roman" w:eastAsia="Times New Roman" w:hAnsi="Times New Roman" w:cs="Times New Roman"/>
          <w:i/>
          <w:sz w:val="24"/>
        </w:rPr>
        <w:t>De una parte, D. ESCOLÁSTICO GIL HERNÁNDEZ, Alcalde del Ilustre</w:t>
      </w:r>
      <w:r>
        <w:rPr>
          <w:rFonts w:ascii="Times New Roman" w:eastAsia="Times New Roman" w:hAnsi="Times New Roman" w:cs="Times New Roman"/>
          <w:i/>
          <w:sz w:val="24"/>
        </w:rPr>
        <w:t xml:space="preserve"> Ayuntamiento de El Rosario, en nombre y representación del mismo, en ejercicio de las competencias que le atribuye el artículo 21 de la Ley 7/1985, de 2 de abril, Reguladora de las Bases del Régimen Local, facultado expresamente para este acto en virtud d</w:t>
      </w:r>
      <w:r>
        <w:rPr>
          <w:rFonts w:ascii="Times New Roman" w:eastAsia="Times New Roman" w:hAnsi="Times New Roman" w:cs="Times New Roman"/>
          <w:i/>
          <w:sz w:val="24"/>
        </w:rPr>
        <w:t xml:space="preserve">e Acuerdo de Junta de Gobierno Local adoptado en sesión celebrada el día XXXXXXXXX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Y de otra, D. JUAN RAMÓN MARTÍN PÉREZ, Alcalde del Ayuntamiento de Arafo, en nombre y representación del mismo, en ejercicio de las competencias que le atribuye el artícu</w:t>
      </w:r>
      <w:r>
        <w:rPr>
          <w:rFonts w:ascii="Times New Roman" w:eastAsia="Times New Roman" w:hAnsi="Times New Roman" w:cs="Times New Roman"/>
          <w:i/>
          <w:sz w:val="24"/>
        </w:rPr>
        <w:t xml:space="preserve">lo 21 de la Ley 7/1985, de 2 de abril, Reguladora de las Bases del Régimen Local, facultado expresamente para este acto en virtud de Acuerdo de la Junta de Gobierno Local adoptado en sesión celebrada el día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Dña. MARÍA CONCEPCIÓN BRITO NÚÑEZ, A</w:t>
      </w:r>
      <w:r>
        <w:rPr>
          <w:rFonts w:ascii="Times New Roman" w:eastAsia="Times New Roman" w:hAnsi="Times New Roman" w:cs="Times New Roman"/>
          <w:i/>
          <w:sz w:val="24"/>
        </w:rPr>
        <w:t>lcaldesa del Ayuntamiento de Candelaria, en nombre y representación del mismo, en ejercicio de las competencias que le atribuye el artículo 21 de la Ley 7/1985, de 2 de abril, Reguladora de las Bases del Régimen Local, facultado expresamente para este acto</w:t>
      </w:r>
      <w:r>
        <w:rPr>
          <w:rFonts w:ascii="Times New Roman" w:eastAsia="Times New Roman" w:hAnsi="Times New Roman" w:cs="Times New Roman"/>
          <w:i/>
          <w:sz w:val="24"/>
        </w:rPr>
        <w:t xml:space="preserve">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D. GUSTAVO PÉREZ MARTÍN, Alcalde del Ayuntamiento de Güímar, en nombre y representación del mismo, en ejercicio de las competencias que le atribuye el artículo 21 de la Ley 7/1985, de 2 de abril, Reguladora de las Bases del Régimen Local, facultado expresa</w:t>
      </w:r>
      <w:r>
        <w:rPr>
          <w:rFonts w:ascii="Times New Roman" w:eastAsia="Times New Roman" w:hAnsi="Times New Roman" w:cs="Times New Roman"/>
          <w:i/>
          <w:sz w:val="24"/>
        </w:rPr>
        <w:t xml:space="preserve">mente para este acto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Las partes intervinientes, que actúan en función de sus respectivos cargos y en el ejercicio de las facultades que a cada uno les están</w:t>
      </w:r>
      <w:r>
        <w:rPr>
          <w:rFonts w:ascii="Times New Roman" w:eastAsia="Times New Roman" w:hAnsi="Times New Roman" w:cs="Times New Roman"/>
          <w:i/>
          <w:sz w:val="24"/>
        </w:rPr>
        <w:t xml:space="preserve"> conferidas, se reconocen, mutua y recíprocamente, capacidad legal necesaria para la formalización del presente convenio interadministrativo, a cuyo efecto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0" w:right="57" w:hanging="10"/>
        <w:jc w:val="center"/>
      </w:pPr>
      <w:r>
        <w:rPr>
          <w:rFonts w:ascii="Times New Roman" w:eastAsia="Times New Roman" w:hAnsi="Times New Roman" w:cs="Times New Roman"/>
          <w:i/>
          <w:sz w:val="24"/>
        </w:rPr>
        <w:t xml:space="preserve">EXPONEN </w:t>
      </w:r>
    </w:p>
    <w:p w:rsidR="0047564F" w:rsidRDefault="009856F0">
      <w:pPr>
        <w:spacing w:after="16"/>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PRIMERO.- Con fecha 10 de junio de 2019 se conforma el “Convenio de Colaboración </w:t>
      </w:r>
    </w:p>
    <w:p w:rsidR="0047564F" w:rsidRDefault="009856F0">
      <w:pPr>
        <w:spacing w:after="36" w:line="248" w:lineRule="auto"/>
        <w:ind w:left="-5" w:right="46" w:hanging="10"/>
        <w:jc w:val="both"/>
      </w:pPr>
      <w:r>
        <w:rPr>
          <w:rFonts w:ascii="Times New Roman" w:eastAsia="Times New Roman" w:hAnsi="Times New Roman" w:cs="Times New Roman"/>
          <w:i/>
          <w:sz w:val="24"/>
        </w:rPr>
        <w:t xml:space="preserve">entre el Consejo Insular de Aguas de Tenerife y los Ayuntamientos de Arafo, Güímar y Candelaria, para el desarrollo del Plan de Etapas en el marco del expediente 2017/11106, relativo al Emisario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Submarino del Polígono Industrial del Valle de Güímar”.  </w:t>
      </w:r>
    </w:p>
    <w:p w:rsidR="0047564F" w:rsidRDefault="009856F0">
      <w:pPr>
        <w:spacing w:after="5" w:line="248" w:lineRule="auto"/>
        <w:ind w:left="1143" w:right="46" w:hanging="10"/>
        <w:jc w:val="both"/>
      </w:pPr>
      <w:r>
        <w:rPr>
          <w:rFonts w:ascii="Times New Roman" w:eastAsia="Times New Roman" w:hAnsi="Times New Roman" w:cs="Times New Roman"/>
          <w:i/>
          <w:sz w:val="24"/>
        </w:rPr>
        <w:t>En</w:t>
      </w:r>
      <w:r>
        <w:rPr>
          <w:rFonts w:ascii="Times New Roman" w:eastAsia="Times New Roman" w:hAnsi="Times New Roman" w:cs="Times New Roman"/>
          <w:i/>
          <w:sz w:val="24"/>
        </w:rPr>
        <w:t xml:space="preserve"> dicho Plan de Etapas, se determina la duración de la ejecución de las obras para la </w:t>
      </w:r>
    </w:p>
    <w:p w:rsidR="0047564F" w:rsidRDefault="009856F0">
      <w:pPr>
        <w:spacing w:after="5" w:line="248" w:lineRule="auto"/>
        <w:ind w:left="-5" w:right="46" w:hanging="10"/>
        <w:jc w:val="both"/>
      </w:pPr>
      <w:r>
        <w:rPr>
          <w:rFonts w:ascii="Times New Roman" w:eastAsia="Times New Roman" w:hAnsi="Times New Roman" w:cs="Times New Roman"/>
          <w:i/>
          <w:sz w:val="24"/>
        </w:rPr>
        <w:t>construcción de la EDARI del Polígono Industrial Valle de Güímar, que sumadas a los seis meses de la fase de pruebas de la instalación, en un total de 23 meses (17 + 6 me</w:t>
      </w:r>
      <w:r>
        <w:rPr>
          <w:rFonts w:ascii="Times New Roman" w:eastAsia="Times New Roman" w:hAnsi="Times New Roman" w:cs="Times New Roman"/>
          <w:i/>
          <w:sz w:val="24"/>
        </w:rPr>
        <w:t xml:space="preserve">ses), habiendo previsto el comienzo las mismas en mayo de 2019 y su finalización para septiembre de 2020.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SEGUNDO.- Con fecha 18 de septiembre de 2019, la Viceconsejería de Lucha contra el Cambio Climático del Gobierno de Canarias, dicta la Resolución d</w:t>
      </w:r>
      <w:r>
        <w:rPr>
          <w:rFonts w:ascii="Times New Roman" w:eastAsia="Times New Roman" w:hAnsi="Times New Roman" w:cs="Times New Roman"/>
          <w:i/>
          <w:sz w:val="24"/>
        </w:rPr>
        <w:t xml:space="preserve">e N.º 33/2019, por la que se otorga al Ayuntamiento de Arafo, en nombre propio y en representación de los Ayuntamientos de Candelaria y Güímar, </w:t>
      </w:r>
      <w:r>
        <w:rPr>
          <w:rFonts w:ascii="Times New Roman" w:eastAsia="Times New Roman" w:hAnsi="Times New Roman" w:cs="Times New Roman"/>
          <w:i/>
          <w:sz w:val="24"/>
          <w:u w:val="single" w:color="000000"/>
        </w:rPr>
        <w:t>autorización de vertido</w:t>
      </w:r>
      <w:r>
        <w:rPr>
          <w:rFonts w:ascii="Times New Roman" w:eastAsia="Times New Roman" w:hAnsi="Times New Roman" w:cs="Times New Roman"/>
          <w:i/>
          <w:sz w:val="24"/>
        </w:rPr>
        <w:t xml:space="preserve"> desde tierra al mar de aguas residuales urbanas e industriales depuradas a través del em</w:t>
      </w:r>
      <w:r>
        <w:rPr>
          <w:rFonts w:ascii="Times New Roman" w:eastAsia="Times New Roman" w:hAnsi="Times New Roman" w:cs="Times New Roman"/>
          <w:i/>
          <w:sz w:val="24"/>
        </w:rPr>
        <w:t xml:space="preserve">isario submarino del Polígono Industrial del Güímar, ubicado en el término municipal de Arafo. Dicha autorización </w:t>
      </w:r>
      <w:r>
        <w:rPr>
          <w:rFonts w:ascii="Times New Roman" w:eastAsia="Times New Roman" w:hAnsi="Times New Roman" w:cs="Times New Roman"/>
          <w:i/>
          <w:sz w:val="24"/>
          <w:u w:val="single" w:color="000000"/>
        </w:rPr>
        <w:t>fue modificada</w:t>
      </w:r>
      <w:r>
        <w:rPr>
          <w:rFonts w:ascii="Times New Roman" w:eastAsia="Times New Roman" w:hAnsi="Times New Roman" w:cs="Times New Roman"/>
          <w:i/>
          <w:sz w:val="24"/>
        </w:rPr>
        <w:t xml:space="preserve"> con fecha 30 de septiembre de 2020, mediante Resolución nº 207.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2183" name="Group 42183"/>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694" name="Rectangle 2694"/>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Cód. Validación: ALSXMMSP9NA5HCWNFRL4Z6ZE7 | Verificación</w:t>
                              </w:r>
                              <w:r>
                                <w:rPr>
                                  <w:rFonts w:ascii="Arial" w:eastAsia="Arial" w:hAnsi="Arial" w:cs="Arial"/>
                                  <w:sz w:val="12"/>
                                </w:rPr>
                                <w:t xml:space="preserve">: https://candelaria.sedelectronica.es/ </w:t>
                              </w:r>
                            </w:p>
                          </w:txbxContent>
                        </wps:txbx>
                        <wps:bodyPr horzOverflow="overflow" vert="horz" lIns="0" tIns="0" rIns="0" bIns="0" rtlCol="0">
                          <a:noAutofit/>
                        </wps:bodyPr>
                      </wps:wsp>
                      <wps:wsp>
                        <wps:cNvPr id="2695" name="Rectangle 2695"/>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14 de 33 </w:t>
                              </w:r>
                            </w:p>
                          </w:txbxContent>
                        </wps:txbx>
                        <wps:bodyPr horzOverflow="overflow" vert="horz" lIns="0" tIns="0" rIns="0" bIns="0" rtlCol="0">
                          <a:noAutofit/>
                        </wps:bodyPr>
                      </wps:wsp>
                    </wpg:wgp>
                  </a:graphicData>
                </a:graphic>
              </wp:anchor>
            </w:drawing>
          </mc:Choice>
          <mc:Fallback xmlns:a="http://schemas.openxmlformats.org/drawingml/2006/main">
            <w:pict>
              <v:group id="Group 42183" style="width:12.7031pt;height:280.356pt;position:absolute;mso-position-horizontal-relative:page;mso-position-horizontal:absolute;margin-left:682.278pt;mso-position-vertical-relative:page;margin-top:531.564pt;" coordsize="1613,35605">
                <v:rect id="Rectangle 2694"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695"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33 </w:t>
                        </w:r>
                      </w:p>
                    </w:txbxContent>
                  </v:textbox>
                </v:rect>
                <w10:wrap type="square"/>
              </v:group>
            </w:pict>
          </mc:Fallback>
        </mc:AlternateContent>
      </w:r>
      <w:r>
        <w:rPr>
          <w:rFonts w:ascii="Times New Roman" w:eastAsia="Times New Roman" w:hAnsi="Times New Roman" w:cs="Times New Roman"/>
          <w:i/>
          <w:sz w:val="24"/>
        </w:rPr>
        <w:t xml:space="preserve">TERCERO.-Mediante Resolución nº 312 de 02 de noviembre de 2021, del Viceconsejero </w:t>
      </w:r>
    </w:p>
    <w:p w:rsidR="0047564F" w:rsidRDefault="009856F0">
      <w:pPr>
        <w:spacing w:after="32" w:line="248" w:lineRule="auto"/>
        <w:ind w:left="-5" w:right="46" w:hanging="10"/>
        <w:jc w:val="both"/>
      </w:pPr>
      <w:r>
        <w:rPr>
          <w:rFonts w:ascii="Times New Roman" w:eastAsia="Times New Roman" w:hAnsi="Times New Roman" w:cs="Times New Roman"/>
          <w:i/>
          <w:sz w:val="24"/>
        </w:rPr>
        <w:t>de Lucha contra el Cambio Climático y</w:t>
      </w:r>
      <w:r>
        <w:rPr>
          <w:rFonts w:ascii="Times New Roman" w:eastAsia="Times New Roman" w:hAnsi="Times New Roman" w:cs="Times New Roman"/>
          <w:i/>
          <w:sz w:val="24"/>
        </w:rPr>
        <w:t xml:space="preserve"> Transición Ecológica del Gobierno de Canarias se </w:t>
      </w:r>
      <w:r>
        <w:rPr>
          <w:rFonts w:ascii="Times New Roman" w:eastAsia="Times New Roman" w:hAnsi="Times New Roman" w:cs="Times New Roman"/>
          <w:i/>
          <w:sz w:val="24"/>
          <w:u w:val="single" w:color="000000"/>
        </w:rPr>
        <w:t>modifica</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nuevamente la Autorización</w:t>
      </w:r>
      <w:r>
        <w:rPr>
          <w:rFonts w:ascii="Times New Roman" w:eastAsia="Times New Roman" w:hAnsi="Times New Roman" w:cs="Times New Roman"/>
          <w:i/>
          <w:sz w:val="24"/>
        </w:rPr>
        <w:t xml:space="preserve">, el Condicionante Técnico SEGUNDO establecía: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“...//...En virtud de la nueva documentación aportada, la puesta en funcionamiento de la </w:t>
      </w:r>
      <w:r>
        <w:rPr>
          <w:rFonts w:ascii="Times New Roman" w:eastAsia="Times New Roman" w:hAnsi="Times New Roman" w:cs="Times New Roman"/>
          <w:i/>
          <w:sz w:val="24"/>
          <w:u w:val="single" w:color="000000"/>
        </w:rPr>
        <w:t>EDARI se</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fija para el día 1 de mar</w:t>
      </w:r>
      <w:r>
        <w:rPr>
          <w:rFonts w:ascii="Times New Roman" w:eastAsia="Times New Roman" w:hAnsi="Times New Roman" w:cs="Times New Roman"/>
          <w:i/>
          <w:sz w:val="24"/>
          <w:u w:val="single" w:color="000000"/>
        </w:rPr>
        <w:t>zo de 2022</w:t>
      </w:r>
      <w:r>
        <w:rPr>
          <w:rFonts w:ascii="Times New Roman" w:eastAsia="Times New Roman" w:hAnsi="Times New Roman" w:cs="Times New Roman"/>
          <w:i/>
          <w:sz w:val="24"/>
        </w:rPr>
        <w:t xml:space="preserve">, momento a partir del cual las ARI deberán someterse a los tratamientos contemplados en la misma. </w:t>
      </w:r>
      <w:r>
        <w:rPr>
          <w:rFonts w:ascii="Times New Roman" w:eastAsia="Times New Roman" w:hAnsi="Times New Roman" w:cs="Times New Roman"/>
          <w:i/>
          <w:sz w:val="24"/>
          <w:u w:val="single" w:color="000000"/>
        </w:rPr>
        <w:t>La no finalización de las obras en el plazo aprobado</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supondrá el vencimiento de la AVM...//...”.</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CUARTO.-</w:t>
      </w:r>
      <w:r>
        <w:rPr>
          <w:rFonts w:ascii="Times New Roman" w:eastAsia="Times New Roman" w:hAnsi="Times New Roman" w:cs="Times New Roman"/>
          <w:i/>
          <w:sz w:val="24"/>
        </w:rPr>
        <w:t>El 25 de febrero del 2022 se nos remite por el Consejo Insular de Aguas de Tenerife CIATF, un nuevo informe técnico y la modificación del Plan de Etapas, concretamente se propone una “variación del Plan 2) Fase Intermedia III. Evacuación parcial del Efluen</w:t>
      </w:r>
      <w:r>
        <w:rPr>
          <w:rFonts w:ascii="Times New Roman" w:eastAsia="Times New Roman" w:hAnsi="Times New Roman" w:cs="Times New Roman"/>
          <w:i/>
          <w:sz w:val="24"/>
        </w:rPr>
        <w:t>te (del 1 de marzo al 28 de marzo)”, “...// … Dada la naturaleza de las aguas, dicha evacuación se realizará mediante camiones cubas desde la entrada de la planta del PIVG hasta la EDARI del Polígono Industrial de La Campana en el municipio de El Rosario p</w:t>
      </w:r>
      <w:r>
        <w:rPr>
          <w:rFonts w:ascii="Times New Roman" w:eastAsia="Times New Roman" w:hAnsi="Times New Roman" w:cs="Times New Roman"/>
          <w:i/>
          <w:sz w:val="24"/>
        </w:rPr>
        <w:t xml:space="preserve">uesto que es la única autorizada para poder tratar estos efluentes y que según los datos recabados está tratando una carga que si bien es variable en el tiempo, en líneas generales es inferior a la que fue diseñada...// …”.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QUINTO.- Consta solicitud de </w:t>
      </w:r>
      <w:r>
        <w:rPr>
          <w:rFonts w:ascii="Times New Roman" w:eastAsia="Times New Roman" w:hAnsi="Times New Roman" w:cs="Times New Roman"/>
          <w:i/>
          <w:sz w:val="24"/>
        </w:rPr>
        <w:t xml:space="preserve">ampliación de plazo del procedimiento de modificación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de autorización de vertidos desde tierra al mar y resolución de la Dirección General de Lucha contra el Cambio Climático y Planificación Territorial.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SEXTO.- El 26 de febrero del 2022, se emite info</w:t>
      </w:r>
      <w:r>
        <w:rPr>
          <w:rFonts w:ascii="Times New Roman" w:eastAsia="Times New Roman" w:hAnsi="Times New Roman" w:cs="Times New Roman"/>
          <w:i/>
          <w:sz w:val="24"/>
        </w:rPr>
        <w:t xml:space="preserve">rme por la Ingeniera Técnica Municipal,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Dª. Miriam Díaz Gómez relativo a la documentación presentada por el Consejo Insular de Aguas de Tenerife el 25 de febrero.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SÉPTIMO.- Los Plenos de los Ayuntamientos de Arafo, Güímar y Candelaria, en sesiones extr</w:t>
      </w:r>
      <w:r>
        <w:rPr>
          <w:rFonts w:ascii="Times New Roman" w:eastAsia="Times New Roman" w:hAnsi="Times New Roman" w:cs="Times New Roman"/>
          <w:i/>
          <w:sz w:val="24"/>
        </w:rPr>
        <w:t>aordinarias y de urgencia de fecha 28 de febrero del 2022, acordaron aprobar la modificación de los plazos contemplados en el “Plan de Etapas actualizado” y que ha sido remitido por el CIAT de fecha 25 de febrero del 2022, toda vez que prolongan la duració</w:t>
      </w:r>
      <w:r>
        <w:rPr>
          <w:rFonts w:ascii="Times New Roman" w:eastAsia="Times New Roman" w:hAnsi="Times New Roman" w:cs="Times New Roman"/>
          <w:i/>
          <w:sz w:val="24"/>
        </w:rPr>
        <w:t>n de la situación intermedia y por tanto, postergan la existencia de la puesta en funcionamiento de la etapa denominada como situación futura hasta el 30 de noviembre del 2022 a los efectos de solicitar la modificación de la “Autorización de vertidos desde</w:t>
      </w:r>
      <w:r>
        <w:rPr>
          <w:rFonts w:ascii="Times New Roman" w:eastAsia="Times New Roman" w:hAnsi="Times New Roman" w:cs="Times New Roman"/>
          <w:i/>
          <w:sz w:val="24"/>
        </w:rPr>
        <w:t xml:space="preserve"> la tierra al mar de aguas residuales urbanas e industriales depuradas a través del emisario submarino del Polígono Industrial del Valle de Güímar”.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 xml:space="preserve">OCTAVO.- </w:t>
      </w:r>
      <w:r>
        <w:rPr>
          <w:rFonts w:ascii="Times New Roman" w:eastAsia="Times New Roman" w:hAnsi="Times New Roman" w:cs="Times New Roman"/>
          <w:i/>
          <w:sz w:val="24"/>
        </w:rPr>
        <w:t xml:space="preserve">En el expediente relacionado 676/2022, ha quedado acreditada la imposibilidad material de puesta en funcionamiento de los elementos adicionales que pudieran disminuir la carga contaminante. El retraso en la ejecución de las obras, así como el corto margen </w:t>
      </w:r>
      <w:r>
        <w:rPr>
          <w:rFonts w:ascii="Times New Roman" w:eastAsia="Times New Roman" w:hAnsi="Times New Roman" w:cs="Times New Roman"/>
          <w:i/>
          <w:sz w:val="24"/>
        </w:rPr>
        <w:t xml:space="preserve">temporal para la puesta en marcha del tratamiento biológico, son argumentos informados por el Consejo Insular de Aguas de Tenerife.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4"/>
        <w:jc w:val="center"/>
      </w:pPr>
      <w:r>
        <w:rPr>
          <w:rFonts w:ascii="Times New Roman" w:eastAsia="Times New Roman" w:hAnsi="Times New Roman" w:cs="Times New Roman"/>
          <w:i/>
          <w:sz w:val="24"/>
        </w:rPr>
        <w:t xml:space="preserve"> </w:t>
      </w:r>
    </w:p>
    <w:p w:rsidR="0047564F" w:rsidRDefault="009856F0">
      <w:pPr>
        <w:spacing w:after="0"/>
        <w:ind w:left="4"/>
        <w:jc w:val="center"/>
      </w:pPr>
      <w:r>
        <w:rPr>
          <w:rFonts w:ascii="Times New Roman" w:eastAsia="Times New Roman" w:hAnsi="Times New Roman" w:cs="Times New Roman"/>
          <w:i/>
          <w:sz w:val="24"/>
        </w:rPr>
        <w:t xml:space="preserve"> </w:t>
      </w:r>
    </w:p>
    <w:p w:rsidR="0047564F" w:rsidRDefault="009856F0">
      <w:pPr>
        <w:spacing w:after="0"/>
        <w:ind w:left="4"/>
        <w:jc w:val="center"/>
      </w:pPr>
      <w:r>
        <w:rPr>
          <w:rFonts w:ascii="Times New Roman" w:eastAsia="Times New Roman" w:hAnsi="Times New Roman" w:cs="Times New Roman"/>
          <w:i/>
          <w:sz w:val="24"/>
        </w:rPr>
        <w:t xml:space="preserve"> </w:t>
      </w:r>
    </w:p>
    <w:p w:rsidR="0047564F" w:rsidRDefault="009856F0">
      <w:pPr>
        <w:spacing w:after="0"/>
        <w:ind w:left="10" w:right="55" w:hanging="10"/>
        <w:jc w:val="center"/>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2550" name="Group 42550"/>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809" name="Rectangle 280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2810" name="Rectangle 2810"/>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15 de 33 </w:t>
                              </w:r>
                            </w:p>
                          </w:txbxContent>
                        </wps:txbx>
                        <wps:bodyPr horzOverflow="overflow" vert="horz" lIns="0" tIns="0" rIns="0" bIns="0" rtlCol="0">
                          <a:noAutofit/>
                        </wps:bodyPr>
                      </wps:wsp>
                    </wpg:wgp>
                  </a:graphicData>
                </a:graphic>
              </wp:anchor>
            </w:drawing>
          </mc:Choice>
          <mc:Fallback xmlns:a="http://schemas.openxmlformats.org/drawingml/2006/main">
            <w:pict>
              <v:group id="Group 42550" style="width:12.7031pt;height:280.356pt;position:absolute;mso-position-horizontal-relative:page;mso-position-horizontal:absolute;margin-left:682.278pt;mso-position-vertical-relative:page;margin-top:531.564pt;" coordsize="1613,35605">
                <v:rect id="Rectangle 280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810"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33 </w:t>
                        </w:r>
                      </w:p>
                    </w:txbxContent>
                  </v:textbox>
                </v:rect>
                <w10:wrap type="square"/>
              </v:group>
            </w:pict>
          </mc:Fallback>
        </mc:AlternateContent>
      </w:r>
      <w:r>
        <w:rPr>
          <w:rFonts w:ascii="Times New Roman" w:eastAsia="Times New Roman" w:hAnsi="Times New Roman" w:cs="Times New Roman"/>
          <w:i/>
          <w:sz w:val="24"/>
        </w:rPr>
        <w:t xml:space="preserve">CLÁUSULAS </w:t>
      </w:r>
    </w:p>
    <w:p w:rsidR="0047564F" w:rsidRDefault="009856F0">
      <w:pPr>
        <w:spacing w:after="0"/>
        <w:ind w:left="1133"/>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PRIMERA.- Objeto del Convenio.</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Disminuir la carga total contaminante evacuada a través del emisario submarino </w:t>
      </w:r>
    </w:p>
    <w:p w:rsidR="0047564F" w:rsidRDefault="009856F0">
      <w:pPr>
        <w:spacing w:after="5" w:line="248" w:lineRule="auto"/>
        <w:ind w:left="-5" w:right="46" w:hanging="10"/>
        <w:jc w:val="both"/>
      </w:pPr>
      <w:r>
        <w:rPr>
          <w:rFonts w:ascii="Times New Roman" w:eastAsia="Times New Roman" w:hAnsi="Times New Roman" w:cs="Times New Roman"/>
          <w:i/>
          <w:sz w:val="24"/>
        </w:rPr>
        <w:t>mediante la evacuación parcial del e</w:t>
      </w:r>
      <w:r>
        <w:rPr>
          <w:rFonts w:ascii="Times New Roman" w:eastAsia="Times New Roman" w:hAnsi="Times New Roman" w:cs="Times New Roman"/>
          <w:i/>
          <w:sz w:val="24"/>
        </w:rPr>
        <w:t xml:space="preserve">fluente en la entrada de la planta. Dada la naturaleza de las aguas, dicha evacuación se realizará mediante camiones cubas desde la entrada de la planta del Polígono Industrial del Valle de Güímar hasta la EDARI del Polígono Industrial de La Campana en el </w:t>
      </w:r>
      <w:r>
        <w:rPr>
          <w:rFonts w:ascii="Times New Roman" w:eastAsia="Times New Roman" w:hAnsi="Times New Roman" w:cs="Times New Roman"/>
          <w:i/>
          <w:sz w:val="24"/>
        </w:rPr>
        <w:t xml:space="preserve">municipio de El Rosario, al ser la única autorizada para poder tratar estos efluentes y que según los datos recabados está tratando una carga que si bien es variable en el tiempo, en líneas generales es inferior a la que fue diseñada.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SEGUNDA.- Compromi</w:t>
      </w:r>
      <w:r>
        <w:rPr>
          <w:rFonts w:ascii="Times New Roman" w:eastAsia="Times New Roman" w:hAnsi="Times New Roman" w:cs="Times New Roman"/>
          <w:i/>
          <w:sz w:val="24"/>
          <w:u w:val="single" w:color="000000"/>
        </w:rPr>
        <w:t>sos de las partes.</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 xml:space="preserve">1.- El Ayuntamiento de Arafo se compromete a ejecutar los trabajos objeto del presente convenio, mediante la contratación de los servicios de una empresa autorizada, así como a coordinarlos tanto con el CIAT, como con el Ayuntamiento </w:t>
      </w:r>
      <w:r>
        <w:rPr>
          <w:rFonts w:ascii="Times New Roman" w:eastAsia="Times New Roman" w:hAnsi="Times New Roman" w:cs="Times New Roman"/>
          <w:i/>
          <w:sz w:val="24"/>
        </w:rPr>
        <w:t xml:space="preserve">de El Rosario.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 xml:space="preserve">2.- El volumen transportado será extraído de la zona de bombeo de microtamices de la EDARI en construcción en el Polígono Industrial del Valle de Güímar (PIVG), cuya capacidad es de 14,3 m³, una vez pretratado.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3.- </w:t>
      </w:r>
      <w:r>
        <w:rPr>
          <w:rFonts w:ascii="Times New Roman" w:eastAsia="Times New Roman" w:hAnsi="Times New Roman" w:cs="Times New Roman"/>
          <w:i/>
          <w:sz w:val="24"/>
        </w:rPr>
        <w:t xml:space="preserve">Ante la imposibilidad de depurar el volumen máximo estimado por el CIAT de </w:t>
      </w:r>
    </w:p>
    <w:p w:rsidR="0047564F" w:rsidRDefault="009856F0">
      <w:pPr>
        <w:spacing w:after="5" w:line="248" w:lineRule="auto"/>
        <w:ind w:left="-5" w:right="46" w:hanging="10"/>
        <w:jc w:val="both"/>
      </w:pPr>
      <w:r>
        <w:rPr>
          <w:rFonts w:ascii="Times New Roman" w:eastAsia="Times New Roman" w:hAnsi="Times New Roman" w:cs="Times New Roman"/>
          <w:i/>
          <w:sz w:val="24"/>
        </w:rPr>
        <w:t>360m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/día de trasvase desde el PIVG hasta la EDARI municipal de La Campana, se procederá a minimizar en origen de este caudal para lo que en el intervalo comprendido entre el 1 y e</w:t>
      </w:r>
      <w:r>
        <w:rPr>
          <w:rFonts w:ascii="Times New Roman" w:eastAsia="Times New Roman" w:hAnsi="Times New Roman" w:cs="Times New Roman"/>
          <w:i/>
          <w:sz w:val="24"/>
        </w:rPr>
        <w:t xml:space="preserve">l 28 de marzo del 2022, los Ayuntamientos de Arafo, Candelaria y Güímar, adoptarán medidas extraordinarias para su consecución, que consistirán en la limitación de los horarios de apertura, cierre y por tanto de operaciones a las empresas.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4.- El volume</w:t>
      </w:r>
      <w:r>
        <w:rPr>
          <w:rFonts w:ascii="Times New Roman" w:eastAsia="Times New Roman" w:hAnsi="Times New Roman" w:cs="Times New Roman"/>
          <w:i/>
          <w:sz w:val="24"/>
        </w:rPr>
        <w:t>n máximo será de 240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procedente del PIVG descargándose en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carrusel de cubas ininterrumpido entre las 06:00 h y las 21:00h, de lunes a domingo incluido días festivos.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5.- El Ayuntamiento de El Rosario, a los efectos de control de la caracterizac</w:t>
      </w:r>
      <w:r>
        <w:rPr>
          <w:rFonts w:ascii="Times New Roman" w:eastAsia="Times New Roman" w:hAnsi="Times New Roman" w:cs="Times New Roman"/>
          <w:i/>
          <w:sz w:val="24"/>
        </w:rPr>
        <w:t xml:space="preserve">ión del vertido que es recepcionado del PIVG, realizará analíticas microbiológicas para preservar el mantenimiento del proceso biológico de depuración de la EDARI de La Campana, cuyos costes están incluidos en los precios estipulados.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TERCERA.- Comprom</w:t>
      </w:r>
      <w:r>
        <w:rPr>
          <w:rFonts w:ascii="Times New Roman" w:eastAsia="Times New Roman" w:hAnsi="Times New Roman" w:cs="Times New Roman"/>
          <w:i/>
          <w:sz w:val="24"/>
          <w:u w:val="single" w:color="000000"/>
        </w:rPr>
        <w:t>iso financiero de las partes.</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 xml:space="preserve">A.- Cada Ayuntamiento interviniente asumirá con sus propios medios económicos y a partes iguales los gastos que deriven de las acciones que sean necesarias emprender para el cumplimiento de este Convenio.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2258" name="Group 42258"/>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2945" name="Rectangle 2945"/>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2946" name="Rectangle 2946"/>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16 de 33 </w:t>
                              </w:r>
                            </w:p>
                          </w:txbxContent>
                        </wps:txbx>
                        <wps:bodyPr horzOverflow="overflow" vert="horz" lIns="0" tIns="0" rIns="0" bIns="0" rtlCol="0">
                          <a:noAutofit/>
                        </wps:bodyPr>
                      </wps:wsp>
                    </wpg:wgp>
                  </a:graphicData>
                </a:graphic>
              </wp:anchor>
            </w:drawing>
          </mc:Choice>
          <mc:Fallback xmlns:a="http://schemas.openxmlformats.org/drawingml/2006/main">
            <w:pict>
              <v:group id="Group 42258" style="width:12.7031pt;height:280.356pt;position:absolute;mso-position-horizontal-relative:page;mso-position-horizontal:absolute;margin-left:682.278pt;mso-position-vertical-relative:page;margin-top:531.564pt;" coordsize="1613,35605">
                <v:rect id="Rectangle 2945"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2946"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33 </w:t>
                        </w:r>
                      </w:p>
                    </w:txbxContent>
                  </v:textbox>
                </v:rect>
                <w10:wrap type="square"/>
              </v:group>
            </w:pict>
          </mc:Fallback>
        </mc:AlternateContent>
      </w:r>
      <w:r>
        <w:rPr>
          <w:rFonts w:ascii="Times New Roman" w:eastAsia="Times New Roman" w:hAnsi="Times New Roman" w:cs="Times New Roman"/>
          <w:i/>
          <w:sz w:val="24"/>
        </w:rPr>
        <w:t xml:space="preserve">B.- </w:t>
      </w:r>
      <w:r>
        <w:rPr>
          <w:rFonts w:ascii="Times New Roman" w:eastAsia="Times New Roman" w:hAnsi="Times New Roman" w:cs="Times New Roman"/>
          <w:i/>
          <w:sz w:val="24"/>
        </w:rPr>
        <w:t xml:space="preserve">En este sentido, los costes variables en la facturación serán los del caudal de agua </w:t>
      </w:r>
    </w:p>
    <w:p w:rsidR="0047564F" w:rsidRDefault="009856F0">
      <w:pPr>
        <w:spacing w:after="30" w:line="248" w:lineRule="auto"/>
        <w:ind w:left="-5" w:right="46" w:hanging="10"/>
        <w:jc w:val="both"/>
      </w:pPr>
      <w:r>
        <w:rPr>
          <w:rFonts w:ascii="Times New Roman" w:eastAsia="Times New Roman" w:hAnsi="Times New Roman" w:cs="Times New Roman"/>
          <w:i/>
          <w:sz w:val="24"/>
        </w:rPr>
        <w:t xml:space="preserve">bruta medido en m³/día (a razón de 1,10€/m³) y los de la cantidad de fangos producidos medido en kg (a razón de 0,83€/kg). </w:t>
      </w:r>
    </w:p>
    <w:p w:rsidR="0047564F" w:rsidRDefault="009856F0">
      <w:pPr>
        <w:spacing w:after="5" w:line="248" w:lineRule="auto"/>
        <w:ind w:left="-5" w:right="46" w:hanging="10"/>
        <w:jc w:val="both"/>
      </w:pPr>
      <w:r>
        <w:rPr>
          <w:rFonts w:ascii="Times New Roman" w:eastAsia="Times New Roman" w:hAnsi="Times New Roman" w:cs="Times New Roman"/>
          <w:i/>
          <w:sz w:val="24"/>
        </w:rPr>
        <w:t>Los demás costes serán fijos entre el día de i</w:t>
      </w:r>
      <w:r>
        <w:rPr>
          <w:rFonts w:ascii="Times New Roman" w:eastAsia="Times New Roman" w:hAnsi="Times New Roman" w:cs="Times New Roman"/>
          <w:i/>
          <w:sz w:val="24"/>
        </w:rPr>
        <w:t xml:space="preserve">nicio de la prestación del servicio y el de la finalización, y serían los siguientes: </w:t>
      </w:r>
    </w:p>
    <w:p w:rsidR="0047564F" w:rsidRDefault="009856F0">
      <w:pPr>
        <w:numPr>
          <w:ilvl w:val="0"/>
          <w:numId w:val="10"/>
        </w:numPr>
        <w:spacing w:after="47" w:line="248" w:lineRule="auto"/>
        <w:ind w:right="44" w:hanging="360"/>
        <w:jc w:val="both"/>
      </w:pPr>
      <w:r>
        <w:rPr>
          <w:rFonts w:ascii="Arial" w:eastAsia="Arial" w:hAnsi="Arial" w:cs="Arial"/>
          <w:i/>
        </w:rPr>
        <w:t xml:space="preserve">Dos analíticas semanales de agua bruta (a razón de 249,39€ cada analítica) </w:t>
      </w:r>
    </w:p>
    <w:p w:rsidR="0047564F" w:rsidRDefault="009856F0">
      <w:pPr>
        <w:numPr>
          <w:ilvl w:val="0"/>
          <w:numId w:val="10"/>
        </w:numPr>
        <w:spacing w:after="38" w:line="248" w:lineRule="auto"/>
        <w:ind w:right="44" w:hanging="360"/>
        <w:jc w:val="both"/>
      </w:pPr>
      <w:r>
        <w:rPr>
          <w:rFonts w:ascii="Arial" w:eastAsia="Arial" w:hAnsi="Arial" w:cs="Arial"/>
          <w:i/>
        </w:rPr>
        <w:t xml:space="preserve">Dos analíticas semanales de fango (a razón de 196,41€ cada analítica) </w:t>
      </w:r>
    </w:p>
    <w:p w:rsidR="0047564F" w:rsidRDefault="009856F0">
      <w:pPr>
        <w:numPr>
          <w:ilvl w:val="0"/>
          <w:numId w:val="10"/>
        </w:numPr>
        <w:spacing w:after="48" w:line="248" w:lineRule="auto"/>
        <w:ind w:right="44" w:hanging="360"/>
        <w:jc w:val="both"/>
      </w:pPr>
      <w:r>
        <w:rPr>
          <w:rFonts w:ascii="Arial" w:eastAsia="Arial" w:hAnsi="Arial" w:cs="Arial"/>
          <w:i/>
        </w:rPr>
        <w:t xml:space="preserve">Dos tomas de muestras </w:t>
      </w:r>
      <w:r>
        <w:rPr>
          <w:rFonts w:ascii="Arial" w:eastAsia="Arial" w:hAnsi="Arial" w:cs="Arial"/>
          <w:i/>
        </w:rPr>
        <w:t xml:space="preserve">semanales para agua bruta (a razón de 35,65€ cada toma) </w:t>
      </w:r>
    </w:p>
    <w:p w:rsidR="0047564F" w:rsidRDefault="009856F0">
      <w:pPr>
        <w:numPr>
          <w:ilvl w:val="0"/>
          <w:numId w:val="10"/>
        </w:numPr>
        <w:spacing w:after="12" w:line="248" w:lineRule="auto"/>
        <w:ind w:right="44" w:hanging="360"/>
        <w:jc w:val="both"/>
      </w:pPr>
      <w:r>
        <w:rPr>
          <w:rFonts w:ascii="Arial" w:eastAsia="Arial" w:hAnsi="Arial" w:cs="Arial"/>
          <w:i/>
        </w:rPr>
        <w:t xml:space="preserve">Dos tomas de muestras semanales para fango (a razón de 35,65€ cada toma) </w:t>
      </w:r>
    </w:p>
    <w:p w:rsidR="0047564F" w:rsidRDefault="009856F0">
      <w:pPr>
        <w:numPr>
          <w:ilvl w:val="0"/>
          <w:numId w:val="10"/>
        </w:numPr>
        <w:spacing w:after="171" w:line="248" w:lineRule="auto"/>
        <w:ind w:right="44" w:hanging="360"/>
        <w:jc w:val="both"/>
      </w:pPr>
      <w:r>
        <w:rPr>
          <w:rFonts w:ascii="Arial" w:eastAsia="Arial" w:hAnsi="Arial" w:cs="Arial"/>
          <w:i/>
        </w:rPr>
        <w:t xml:space="preserve">El personal en planta, que estará de lunes a domingo, de 06:00 a 21:00 horas (a razón de 25,01€/hora) </w:t>
      </w:r>
    </w:p>
    <w:p w:rsidR="0047564F" w:rsidRDefault="009856F0">
      <w:pPr>
        <w:spacing w:after="5" w:line="248" w:lineRule="auto"/>
        <w:ind w:left="-15" w:right="46" w:firstLine="360"/>
        <w:jc w:val="both"/>
      </w:pPr>
      <w:r>
        <w:rPr>
          <w:rFonts w:ascii="Times New Roman" w:eastAsia="Times New Roman" w:hAnsi="Times New Roman" w:cs="Times New Roman"/>
          <w:i/>
          <w:sz w:val="24"/>
        </w:rPr>
        <w:t xml:space="preserve">C.- </w:t>
      </w:r>
      <w:r>
        <w:rPr>
          <w:rFonts w:ascii="Times New Roman" w:eastAsia="Times New Roman" w:hAnsi="Times New Roman" w:cs="Times New Roman"/>
          <w:i/>
          <w:sz w:val="24"/>
        </w:rPr>
        <w:t>Los demás costes en los que ha de incurrirse para el traslado del efluente desde el P.I.V.G. al Polígono Industrial de La Campana en camiones-cuba o de cualquier otra naturaleza distintos a los del proceso de depuración han de ser sufragados por los Ayunta</w:t>
      </w:r>
      <w:r>
        <w:rPr>
          <w:rFonts w:ascii="Times New Roman" w:eastAsia="Times New Roman" w:hAnsi="Times New Roman" w:cs="Times New Roman"/>
          <w:i/>
          <w:sz w:val="24"/>
        </w:rPr>
        <w:t xml:space="preserve">mientos de Arafo, Candelaria y Güimar al transportista.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CUARTA.- Calendario y lugar de descarga.</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360"/>
        <w:jc w:val="both"/>
      </w:pPr>
      <w:r>
        <w:rPr>
          <w:rFonts w:ascii="Times New Roman" w:eastAsia="Times New Roman" w:hAnsi="Times New Roman" w:cs="Times New Roman"/>
          <w:i/>
          <w:sz w:val="24"/>
        </w:rPr>
        <w:t>Para alcanzar el régimen de pleno funcionamiento de la EDARI del Polígono de La Campana en el que se trate el máximo caudal que se recepcione, ha de hace</w:t>
      </w:r>
      <w:r>
        <w:rPr>
          <w:rFonts w:ascii="Times New Roman" w:eastAsia="Times New Roman" w:hAnsi="Times New Roman" w:cs="Times New Roman"/>
          <w:i/>
          <w:sz w:val="24"/>
        </w:rPr>
        <w:t xml:space="preserve">rse de forma progresiva, previéndose los siguientes aportes desde el PIVG, con arreglo al siguiente calendario: </w:t>
      </w:r>
    </w:p>
    <w:p w:rsidR="0047564F" w:rsidRDefault="009856F0">
      <w:pPr>
        <w:numPr>
          <w:ilvl w:val="1"/>
          <w:numId w:val="10"/>
        </w:numPr>
        <w:spacing w:after="5" w:line="248" w:lineRule="auto"/>
        <w:ind w:right="46" w:hanging="360"/>
        <w:jc w:val="both"/>
      </w:pPr>
      <w:r>
        <w:rPr>
          <w:rFonts w:ascii="Times New Roman" w:eastAsia="Times New Roman" w:hAnsi="Times New Roman" w:cs="Times New Roman"/>
          <w:i/>
          <w:sz w:val="24"/>
        </w:rPr>
        <w:t>Del 01 al 06 de marzo del 2022: hasta un máximo de 175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w:t>
      </w:r>
    </w:p>
    <w:p w:rsidR="0047564F" w:rsidRDefault="009856F0">
      <w:pPr>
        <w:numPr>
          <w:ilvl w:val="1"/>
          <w:numId w:val="10"/>
        </w:numPr>
        <w:spacing w:after="162" w:line="248" w:lineRule="auto"/>
        <w:ind w:right="46" w:hanging="360"/>
        <w:jc w:val="both"/>
      </w:pPr>
      <w:r>
        <w:rPr>
          <w:rFonts w:ascii="Times New Roman" w:eastAsia="Times New Roman" w:hAnsi="Times New Roman" w:cs="Times New Roman"/>
          <w:i/>
          <w:sz w:val="24"/>
        </w:rPr>
        <w:t>Del 07 al 13 de marzo del 2022: hasta un máximo de 210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w:t>
      </w:r>
    </w:p>
    <w:p w:rsidR="0047564F" w:rsidRDefault="009856F0">
      <w:pPr>
        <w:numPr>
          <w:ilvl w:val="1"/>
          <w:numId w:val="10"/>
        </w:numPr>
        <w:spacing w:after="137" w:line="248" w:lineRule="auto"/>
        <w:ind w:right="46" w:hanging="360"/>
        <w:jc w:val="both"/>
      </w:pPr>
      <w:r>
        <w:rPr>
          <w:rFonts w:ascii="Times New Roman" w:eastAsia="Times New Roman" w:hAnsi="Times New Roman" w:cs="Times New Roman"/>
          <w:i/>
          <w:sz w:val="24"/>
        </w:rPr>
        <w:t>Del 14 al 28 de</w:t>
      </w:r>
      <w:r>
        <w:rPr>
          <w:rFonts w:ascii="Times New Roman" w:eastAsia="Times New Roman" w:hAnsi="Times New Roman" w:cs="Times New Roman"/>
          <w:i/>
          <w:sz w:val="24"/>
        </w:rPr>
        <w:t xml:space="preserve"> marzo del 2022: hasta 240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La descarga del efluente ha de realizarse en la Estación de Bombeo de Aguas Residuales Industriales (EBARI) del Polígono de la Campaña, cuyas coordenadas son: </w:t>
      </w:r>
    </w:p>
    <w:p w:rsidR="0047564F" w:rsidRDefault="009856F0">
      <w:pPr>
        <w:numPr>
          <w:ilvl w:val="0"/>
          <w:numId w:val="11"/>
        </w:numPr>
        <w:spacing w:after="5" w:line="248" w:lineRule="auto"/>
        <w:ind w:right="46" w:hanging="207"/>
        <w:jc w:val="both"/>
      </w:pPr>
      <w:r>
        <w:rPr>
          <w:rFonts w:ascii="Times New Roman" w:eastAsia="Times New Roman" w:hAnsi="Times New Roman" w:cs="Times New Roman"/>
          <w:i/>
          <w:sz w:val="24"/>
        </w:rPr>
        <w:t xml:space="preserve">370.865,08 </w:t>
      </w:r>
    </w:p>
    <w:p w:rsidR="0047564F" w:rsidRDefault="009856F0">
      <w:pPr>
        <w:numPr>
          <w:ilvl w:val="0"/>
          <w:numId w:val="11"/>
        </w:numPr>
        <w:spacing w:after="5" w:line="248" w:lineRule="auto"/>
        <w:ind w:right="46" w:hanging="207"/>
        <w:jc w:val="both"/>
      </w:pPr>
      <w:r>
        <w:rPr>
          <w:rFonts w:ascii="Times New Roman" w:eastAsia="Times New Roman" w:hAnsi="Times New Roman" w:cs="Times New Roman"/>
          <w:i/>
          <w:sz w:val="24"/>
        </w:rPr>
        <w:t xml:space="preserve">3.143.272,76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Es obligatoria la presencia de un operario del transportista en todo momento, además de un operario del Ayuntamiento de El Rosario.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QUINTA.- Documentación.</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Formarán parte de este convenio como Anexo el informe del Consejo Insular de Aguas de Tenerife</w:t>
      </w:r>
      <w:r>
        <w:rPr>
          <w:rFonts w:ascii="Times New Roman" w:eastAsia="Times New Roman" w:hAnsi="Times New Roman" w:cs="Times New Roman"/>
          <w:i/>
          <w:sz w:val="24"/>
        </w:rPr>
        <w:t xml:space="preserve"> de 25 de febrero de 2022, y el informe técnico de la Ingeniera Municipal del Ayuntamiento de Arafo de 26 de febrero de 2022, así como cualquiera otra documentación determinante para garantizar la correcta ejecución de su objeto.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33"/>
      </w:pPr>
      <w:r>
        <w:rPr>
          <w:rFonts w:ascii="Times New Roman" w:eastAsia="Times New Roman" w:hAnsi="Times New Roman" w:cs="Times New Roman"/>
          <w:i/>
          <w:sz w:val="24"/>
        </w:rPr>
        <w:t xml:space="preserve"> </w:t>
      </w:r>
    </w:p>
    <w:p w:rsidR="0047564F" w:rsidRDefault="009856F0">
      <w:pPr>
        <w:spacing w:after="0"/>
        <w:ind w:left="1133"/>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 xml:space="preserve">SEXTA.- </w:t>
      </w:r>
      <w:r>
        <w:rPr>
          <w:rFonts w:ascii="Times New Roman" w:eastAsia="Times New Roman" w:hAnsi="Times New Roman" w:cs="Times New Roman"/>
          <w:i/>
          <w:sz w:val="24"/>
          <w:u w:val="single" w:color="000000"/>
        </w:rPr>
        <w:t>Vigencia, modificación y extinción.</w:t>
      </w:r>
      <w:r>
        <w:rPr>
          <w:rFonts w:ascii="Times New Roman" w:eastAsia="Times New Roman" w:hAnsi="Times New Roman" w:cs="Times New Roman"/>
          <w:i/>
          <w:sz w:val="24"/>
        </w:rPr>
        <w:t xml:space="preserve"> </w:t>
      </w:r>
    </w:p>
    <w:p w:rsidR="0047564F" w:rsidRDefault="009856F0">
      <w:pPr>
        <w:spacing w:after="0"/>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6013" name="Group 46013"/>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064" name="Rectangle 3064"/>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065" name="Rectangle 3065"/>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17 de 33 </w:t>
                              </w:r>
                            </w:p>
                          </w:txbxContent>
                        </wps:txbx>
                        <wps:bodyPr horzOverflow="overflow" vert="horz" lIns="0" tIns="0" rIns="0" bIns="0" rtlCol="0">
                          <a:noAutofit/>
                        </wps:bodyPr>
                      </wps:wsp>
                    </wpg:wgp>
                  </a:graphicData>
                </a:graphic>
              </wp:anchor>
            </w:drawing>
          </mc:Choice>
          <mc:Fallback xmlns:a="http://schemas.openxmlformats.org/drawingml/2006/main">
            <w:pict>
              <v:group id="Group 46013" style="width:12.7031pt;height:280.356pt;position:absolute;mso-position-horizontal-relative:page;mso-position-horizontal:absolute;margin-left:682.278pt;mso-position-vertical-relative:page;margin-top:531.564pt;" coordsize="1613,35605">
                <v:rect id="Rectangle 3064"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065"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33 </w:t>
                        </w:r>
                      </w:p>
                    </w:txbxContent>
                  </v:textbox>
                </v:rect>
                <w10:wrap type="square"/>
              </v:group>
            </w:pict>
          </mc:Fallback>
        </mc:AlternateContent>
      </w: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El presente convenio </w:t>
      </w:r>
      <w:r>
        <w:rPr>
          <w:rFonts w:ascii="Times New Roman" w:eastAsia="Times New Roman" w:hAnsi="Times New Roman" w:cs="Times New Roman"/>
          <w:i/>
          <w:sz w:val="24"/>
        </w:rPr>
        <w:t xml:space="preserve">surtirá efectos desde el día siguiente a su formalización y el plazo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de vigencia será hasta el 28 de marzo de 2022, pudiendo los firmantes acordar unánimemente su prórroga en cualquier momento antes de su finalización.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La modificación del presente convenio podrá realizarse por mutuo acuerdo entre las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partes intervinientes cuando resulte necesaria para la mejor ejecución de su objeto.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El presente convenio se extinguirá por el cumplimiento de las actuaciones que </w:t>
      </w:r>
    </w:p>
    <w:p w:rsidR="0047564F" w:rsidRDefault="009856F0">
      <w:pPr>
        <w:spacing w:after="5" w:line="248" w:lineRule="auto"/>
        <w:ind w:left="-5" w:right="46" w:hanging="10"/>
        <w:jc w:val="both"/>
      </w:pPr>
      <w:r>
        <w:rPr>
          <w:rFonts w:ascii="Times New Roman" w:eastAsia="Times New Roman" w:hAnsi="Times New Roman" w:cs="Times New Roman"/>
          <w:i/>
          <w:sz w:val="24"/>
        </w:rPr>
        <w:t>constit</w:t>
      </w:r>
      <w:r>
        <w:rPr>
          <w:rFonts w:ascii="Times New Roman" w:eastAsia="Times New Roman" w:hAnsi="Times New Roman" w:cs="Times New Roman"/>
          <w:i/>
          <w:sz w:val="24"/>
        </w:rPr>
        <w:t xml:space="preserve">uyen su objeto, o por incurrir en causa de resolución.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Las causas de resolución del presente convenio serán: </w:t>
      </w:r>
    </w:p>
    <w:p w:rsidR="0047564F" w:rsidRDefault="009856F0">
      <w:pPr>
        <w:spacing w:after="0"/>
      </w:pPr>
      <w:r>
        <w:rPr>
          <w:rFonts w:ascii="Times New Roman" w:eastAsia="Times New Roman" w:hAnsi="Times New Roman" w:cs="Times New Roman"/>
          <w:i/>
          <w:sz w:val="24"/>
        </w:rPr>
        <w:t xml:space="preserve"> </w:t>
      </w:r>
    </w:p>
    <w:p w:rsidR="0047564F" w:rsidRDefault="009856F0">
      <w:pPr>
        <w:numPr>
          <w:ilvl w:val="0"/>
          <w:numId w:val="12"/>
        </w:numPr>
        <w:spacing w:after="167" w:line="248" w:lineRule="auto"/>
        <w:ind w:right="46" w:hanging="360"/>
        <w:jc w:val="both"/>
      </w:pPr>
      <w:r>
        <w:rPr>
          <w:rFonts w:ascii="Times New Roman" w:eastAsia="Times New Roman" w:hAnsi="Times New Roman" w:cs="Times New Roman"/>
          <w:i/>
          <w:sz w:val="24"/>
        </w:rPr>
        <w:t xml:space="preserve">El transcurso del plazo de vigencia del convenio sin haberse acordado la prórroga del mismo. </w:t>
      </w:r>
    </w:p>
    <w:p w:rsidR="0047564F" w:rsidRDefault="009856F0">
      <w:pPr>
        <w:numPr>
          <w:ilvl w:val="0"/>
          <w:numId w:val="12"/>
        </w:numPr>
        <w:spacing w:after="170" w:line="248" w:lineRule="auto"/>
        <w:ind w:right="46" w:hanging="360"/>
        <w:jc w:val="both"/>
      </w:pPr>
      <w:r>
        <w:rPr>
          <w:rFonts w:ascii="Times New Roman" w:eastAsia="Times New Roman" w:hAnsi="Times New Roman" w:cs="Times New Roman"/>
          <w:i/>
          <w:sz w:val="24"/>
        </w:rPr>
        <w:t xml:space="preserve">El acuerdo unánime de ambas partes. </w:t>
      </w:r>
    </w:p>
    <w:p w:rsidR="0047564F" w:rsidRDefault="009856F0">
      <w:pPr>
        <w:numPr>
          <w:ilvl w:val="0"/>
          <w:numId w:val="12"/>
        </w:numPr>
        <w:spacing w:after="171" w:line="248" w:lineRule="auto"/>
        <w:ind w:right="46" w:hanging="360"/>
        <w:jc w:val="both"/>
      </w:pPr>
      <w:r>
        <w:rPr>
          <w:rFonts w:ascii="Times New Roman" w:eastAsia="Times New Roman" w:hAnsi="Times New Roman" w:cs="Times New Roman"/>
          <w:i/>
          <w:sz w:val="24"/>
        </w:rPr>
        <w:t>El incumpl</w:t>
      </w:r>
      <w:r>
        <w:rPr>
          <w:rFonts w:ascii="Times New Roman" w:eastAsia="Times New Roman" w:hAnsi="Times New Roman" w:cs="Times New Roman"/>
          <w:i/>
          <w:sz w:val="24"/>
        </w:rPr>
        <w:t xml:space="preserve">imiento de las obligaciones y compromisos asumidos por parte de alguno de los firmantes. </w:t>
      </w:r>
    </w:p>
    <w:p w:rsidR="0047564F" w:rsidRDefault="009856F0">
      <w:pPr>
        <w:numPr>
          <w:ilvl w:val="0"/>
          <w:numId w:val="12"/>
        </w:numPr>
        <w:spacing w:after="167" w:line="248" w:lineRule="auto"/>
        <w:ind w:right="46" w:hanging="360"/>
        <w:jc w:val="both"/>
      </w:pPr>
      <w:r>
        <w:rPr>
          <w:rFonts w:ascii="Times New Roman" w:eastAsia="Times New Roman" w:hAnsi="Times New Roman" w:cs="Times New Roman"/>
          <w:i/>
          <w:sz w:val="24"/>
        </w:rPr>
        <w:t xml:space="preserve">Por decisión judicial declaratoria de la nulidad del convenio. </w:t>
      </w:r>
    </w:p>
    <w:p w:rsidR="0047564F" w:rsidRDefault="009856F0">
      <w:pPr>
        <w:numPr>
          <w:ilvl w:val="0"/>
          <w:numId w:val="12"/>
        </w:numPr>
        <w:spacing w:after="5" w:line="248" w:lineRule="auto"/>
        <w:ind w:right="46" w:hanging="360"/>
        <w:jc w:val="both"/>
      </w:pPr>
      <w:r>
        <w:rPr>
          <w:rFonts w:ascii="Times New Roman" w:eastAsia="Times New Roman" w:hAnsi="Times New Roman" w:cs="Times New Roman"/>
          <w:i/>
          <w:sz w:val="24"/>
        </w:rPr>
        <w:t>Por cualquier otra causa que, en su caso, le fuere de aplicación de acuerdo con la legislación vigente</w:t>
      </w: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Cualquiera de las partes interesadas podrá denunciar los incumplimientos que observe del convenio, pero su resolución exigirá el acuerdo unánime de ambas.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SÉPTIMA.- Comisión de Técnica de Control y Seguimiento del convenio.</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Tras la firma del presente convenio, se establecerá una Comisión Técnica de Control y Seguimiento a fin de garantizar el adecuado equilibrio entre las partes en la interpretación y cumplimiento del convenio, la cual estará integrada por 4 representantes, u</w:t>
      </w:r>
      <w:r>
        <w:rPr>
          <w:rFonts w:ascii="Times New Roman" w:eastAsia="Times New Roman" w:hAnsi="Times New Roman" w:cs="Times New Roman"/>
          <w:i/>
          <w:sz w:val="24"/>
        </w:rPr>
        <w:t xml:space="preserve">no nombrado por cada ayuntamiento.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Esta Comisión se reunirá a instancia de cualquiera de las partes para examinar los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resultados e incidencias que surjan de la colaboración realizada.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Su funcionamiento, en lo no previsto en este convenio, se acoge </w:t>
      </w:r>
      <w:r>
        <w:rPr>
          <w:rFonts w:ascii="Times New Roman" w:eastAsia="Times New Roman" w:hAnsi="Times New Roman" w:cs="Times New Roman"/>
          <w:i/>
          <w:sz w:val="24"/>
        </w:rPr>
        <w:t xml:space="preserve">a lo dispuesto sobre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órganos colegiados en el Capítulo II de la Ley 40/2015, de 1 de octubre, de Régimen Jurídico del Sector Público.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730" w:right="46" w:hanging="10"/>
        <w:jc w:val="both"/>
      </w:pPr>
      <w:r>
        <w:rPr>
          <w:rFonts w:ascii="Times New Roman" w:eastAsia="Times New Roman" w:hAnsi="Times New Roman" w:cs="Times New Roman"/>
          <w:i/>
          <w:sz w:val="24"/>
        </w:rPr>
        <w:t xml:space="preserve">Esta Comisión de Seguimiento se encargará de: </w:t>
      </w:r>
    </w:p>
    <w:p w:rsidR="0047564F" w:rsidRDefault="009856F0">
      <w:pPr>
        <w:spacing w:after="0"/>
      </w:pPr>
      <w:r>
        <w:rPr>
          <w:rFonts w:ascii="Times New Roman" w:eastAsia="Times New Roman" w:hAnsi="Times New Roman" w:cs="Times New Roman"/>
          <w:i/>
          <w:sz w:val="24"/>
        </w:rPr>
        <w:t xml:space="preserve"> </w:t>
      </w:r>
    </w:p>
    <w:p w:rsidR="0047564F" w:rsidRDefault="009856F0">
      <w:pPr>
        <w:numPr>
          <w:ilvl w:val="0"/>
          <w:numId w:val="13"/>
        </w:numPr>
        <w:spacing w:after="144" w:line="248" w:lineRule="auto"/>
        <w:ind w:right="46" w:hanging="360"/>
        <w:jc w:val="both"/>
      </w:pPr>
      <w:r>
        <w:rPr>
          <w:rFonts w:ascii="Times New Roman" w:eastAsia="Times New Roman" w:hAnsi="Times New Roman" w:cs="Times New Roman"/>
          <w:i/>
          <w:sz w:val="24"/>
        </w:rPr>
        <w:t xml:space="preserve">Realizar el seguimiento Técnico de las actuaciones del convenio. </w:t>
      </w:r>
    </w:p>
    <w:p w:rsidR="0047564F" w:rsidRDefault="009856F0">
      <w:pPr>
        <w:numPr>
          <w:ilvl w:val="0"/>
          <w:numId w:val="13"/>
        </w:numPr>
        <w:spacing w:after="189" w:line="248" w:lineRule="auto"/>
        <w:ind w:right="46" w:hanging="36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4827" name="Group 44827"/>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179" name="Rectangle 317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180" name="Rectangle 3180"/>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18 de 33 </w:t>
                              </w:r>
                            </w:p>
                          </w:txbxContent>
                        </wps:txbx>
                        <wps:bodyPr horzOverflow="overflow" vert="horz" lIns="0" tIns="0" rIns="0" bIns="0" rtlCol="0">
                          <a:noAutofit/>
                        </wps:bodyPr>
                      </wps:wsp>
                    </wpg:wgp>
                  </a:graphicData>
                </a:graphic>
              </wp:anchor>
            </w:drawing>
          </mc:Choice>
          <mc:Fallback xmlns:a="http://schemas.openxmlformats.org/drawingml/2006/main">
            <w:pict>
              <v:group id="Group 44827" style="width:12.7031pt;height:280.356pt;position:absolute;mso-position-horizontal-relative:page;mso-position-horizontal:absolute;margin-left:682.278pt;mso-position-vertical-relative:page;margin-top:531.564pt;" coordsize="1613,35605">
                <v:rect id="Rectangle 317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180"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33 </w:t>
                        </w:r>
                      </w:p>
                    </w:txbxContent>
                  </v:textbox>
                </v:rect>
                <w10:wrap type="square"/>
              </v:group>
            </w:pict>
          </mc:Fallback>
        </mc:AlternateContent>
      </w:r>
      <w:r>
        <w:rPr>
          <w:rFonts w:ascii="Times New Roman" w:eastAsia="Times New Roman" w:hAnsi="Times New Roman" w:cs="Times New Roman"/>
          <w:i/>
          <w:sz w:val="24"/>
        </w:rPr>
        <w:t xml:space="preserve">Resolver los problemas de interpretación y cumplimiento que se </w:t>
      </w:r>
      <w:r>
        <w:rPr>
          <w:rFonts w:ascii="Times New Roman" w:eastAsia="Times New Roman" w:hAnsi="Times New Roman" w:cs="Times New Roman"/>
          <w:i/>
          <w:sz w:val="24"/>
        </w:rPr>
        <w:t xml:space="preserve">deriven del presente convenio. </w:t>
      </w:r>
    </w:p>
    <w:p w:rsidR="0047564F" w:rsidRDefault="009856F0">
      <w:pPr>
        <w:numPr>
          <w:ilvl w:val="0"/>
          <w:numId w:val="13"/>
        </w:numPr>
        <w:spacing w:after="121" w:line="248" w:lineRule="auto"/>
        <w:ind w:right="46" w:hanging="360"/>
        <w:jc w:val="both"/>
      </w:pPr>
      <w:r>
        <w:rPr>
          <w:rFonts w:ascii="Times New Roman" w:eastAsia="Times New Roman" w:hAnsi="Times New Roman" w:cs="Times New Roman"/>
          <w:i/>
          <w:sz w:val="24"/>
        </w:rPr>
        <w:t xml:space="preserve">Garantizar el intercambio de la información.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720"/>
      </w:pPr>
      <w:r>
        <w:rPr>
          <w:rFonts w:ascii="Times New Roman" w:eastAsia="Times New Roman" w:hAnsi="Times New Roman" w:cs="Times New Roman"/>
          <w:i/>
          <w:sz w:val="24"/>
        </w:rPr>
        <w:t xml:space="preserve"> </w:t>
      </w:r>
    </w:p>
    <w:p w:rsidR="0047564F" w:rsidRDefault="009856F0">
      <w:pPr>
        <w:spacing w:after="0"/>
        <w:ind w:left="730" w:hanging="10"/>
      </w:pPr>
      <w:r>
        <w:rPr>
          <w:rFonts w:ascii="Times New Roman" w:eastAsia="Times New Roman" w:hAnsi="Times New Roman" w:cs="Times New Roman"/>
          <w:i/>
          <w:sz w:val="24"/>
          <w:u w:val="single" w:color="000000"/>
        </w:rPr>
        <w:t>OCTAVA.- Régimen Jurídico y Jurisdicción</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Será de aplicación al presente Convenio la Ley 40/2015, de 1 de octubre, de régimen </w:t>
      </w:r>
    </w:p>
    <w:p w:rsidR="0047564F" w:rsidRDefault="009856F0">
      <w:pPr>
        <w:spacing w:after="5" w:line="248" w:lineRule="auto"/>
        <w:ind w:left="-5" w:right="46" w:hanging="10"/>
        <w:jc w:val="both"/>
      </w:pPr>
      <w:r>
        <w:rPr>
          <w:rFonts w:ascii="Times New Roman" w:eastAsia="Times New Roman" w:hAnsi="Times New Roman" w:cs="Times New Roman"/>
          <w:i/>
          <w:sz w:val="24"/>
        </w:rPr>
        <w:t>jurídico del Sector Público; la Ley 7/1985, d</w:t>
      </w:r>
      <w:r>
        <w:rPr>
          <w:rFonts w:ascii="Times New Roman" w:eastAsia="Times New Roman" w:hAnsi="Times New Roman" w:cs="Times New Roman"/>
          <w:i/>
          <w:sz w:val="24"/>
        </w:rPr>
        <w:t xml:space="preserve">e 2 de abril, reguladora de las Bases del Régimen Local; la Ley 8/2015, de 1 de abril, de Cabildos Insulares; la Ley 4/2017, de 13 de julio, del Suelo y de los Espacios Naturales Protegidos de Canarias; y demás normativa concordante. </w:t>
      </w:r>
    </w:p>
    <w:p w:rsidR="0047564F" w:rsidRDefault="009856F0">
      <w:pPr>
        <w:spacing w:after="5" w:line="248" w:lineRule="auto"/>
        <w:ind w:left="1143" w:right="46" w:hanging="10"/>
        <w:jc w:val="both"/>
      </w:pPr>
      <w:r>
        <w:rPr>
          <w:rFonts w:ascii="Times New Roman" w:eastAsia="Times New Roman" w:hAnsi="Times New Roman" w:cs="Times New Roman"/>
          <w:i/>
          <w:sz w:val="24"/>
        </w:rPr>
        <w:t>Los Juzgados de lo Co</w:t>
      </w:r>
      <w:r>
        <w:rPr>
          <w:rFonts w:ascii="Times New Roman" w:eastAsia="Times New Roman" w:hAnsi="Times New Roman" w:cs="Times New Roman"/>
          <w:i/>
          <w:sz w:val="24"/>
        </w:rPr>
        <w:t xml:space="preserve">ntencioso-Administrativo de Santa Cruz de Tenerife son los </w:t>
      </w:r>
    </w:p>
    <w:p w:rsidR="0047564F" w:rsidRDefault="009856F0">
      <w:pPr>
        <w:spacing w:after="5" w:line="248" w:lineRule="auto"/>
        <w:ind w:left="-5" w:right="46" w:hanging="10"/>
        <w:jc w:val="both"/>
      </w:pPr>
      <w:r>
        <w:rPr>
          <w:rFonts w:ascii="Times New Roman" w:eastAsia="Times New Roman" w:hAnsi="Times New Roman" w:cs="Times New Roman"/>
          <w:i/>
          <w:sz w:val="24"/>
        </w:rPr>
        <w:t>competentes para conocer de los recursos que se deduzcan en relación con el presente Convenio, de conformidad con lo dispuesto en el artículo 8.1 de la Ley 29/1998, de 13 de julio, reguladora de l</w:t>
      </w:r>
      <w:r>
        <w:rPr>
          <w:rFonts w:ascii="Times New Roman" w:eastAsia="Times New Roman" w:hAnsi="Times New Roman" w:cs="Times New Roman"/>
          <w:i/>
          <w:sz w:val="24"/>
        </w:rPr>
        <w:t xml:space="preserve">a Jurisdicción Contencioso-administrativa.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Y en prueba de conformidad, firman las partes intervinientes el presente documento, </w:t>
      </w:r>
    </w:p>
    <w:p w:rsidR="0047564F" w:rsidRDefault="009856F0">
      <w:pPr>
        <w:spacing w:after="5" w:line="248" w:lineRule="auto"/>
        <w:ind w:left="-5" w:right="46" w:hanging="10"/>
        <w:jc w:val="both"/>
      </w:pPr>
      <w:r>
        <w:rPr>
          <w:rFonts w:ascii="Times New Roman" w:eastAsia="Times New Roman" w:hAnsi="Times New Roman" w:cs="Times New Roman"/>
          <w:i/>
          <w:sz w:val="24"/>
        </w:rPr>
        <w:t>dando fe pública de ello los Secretarios/as Generales de los Ayuntamientos, de conformidad con lo dispuesto en el artículo 3.2 i) del Real Decreto 128/2018, de 16 de marzo, por el que se regula el régimen jurídico de los funcionarios de Administración Loca</w:t>
      </w:r>
      <w:r>
        <w:rPr>
          <w:rFonts w:ascii="Times New Roman" w:eastAsia="Times New Roman" w:hAnsi="Times New Roman" w:cs="Times New Roman"/>
          <w:i/>
          <w:sz w:val="24"/>
        </w:rPr>
        <w:t xml:space="preserve">l con habilitación de carácter nacional. </w:t>
      </w:r>
    </w:p>
    <w:p w:rsidR="0047564F" w:rsidRDefault="009856F0">
      <w:pPr>
        <w:spacing w:after="98"/>
        <w:ind w:left="1133"/>
      </w:pPr>
      <w:r>
        <w:rPr>
          <w:rFonts w:ascii="Arial" w:eastAsia="Arial" w:hAnsi="Arial" w:cs="Arial"/>
          <w:i/>
        </w:rPr>
        <w:t xml:space="preserve"> </w:t>
      </w:r>
    </w:p>
    <w:p w:rsidR="0047564F" w:rsidRDefault="009856F0">
      <w:pPr>
        <w:spacing w:after="10" w:line="248" w:lineRule="auto"/>
        <w:ind w:left="1143" w:right="44" w:hanging="10"/>
        <w:jc w:val="both"/>
      </w:pPr>
      <w:r>
        <w:rPr>
          <w:rFonts w:ascii="Arial" w:eastAsia="Arial" w:hAnsi="Arial" w:cs="Arial"/>
          <w:i/>
        </w:rPr>
        <w:t xml:space="preserve">Segundo.- Autorizar a la Alcaldesa-Presidenta para la firma electrónica del presente </w:t>
      </w:r>
    </w:p>
    <w:p w:rsidR="0047564F" w:rsidRDefault="009856F0">
      <w:pPr>
        <w:spacing w:after="171" w:line="248" w:lineRule="auto"/>
        <w:ind w:left="-5" w:right="44" w:hanging="10"/>
        <w:jc w:val="both"/>
      </w:pPr>
      <w:r>
        <w:rPr>
          <w:rFonts w:ascii="Arial" w:eastAsia="Arial" w:hAnsi="Arial" w:cs="Arial"/>
          <w:i/>
        </w:rPr>
        <w:t xml:space="preserve">convenio. </w:t>
      </w:r>
    </w:p>
    <w:p w:rsidR="0047564F" w:rsidRDefault="009856F0">
      <w:pPr>
        <w:spacing w:after="110" w:line="248" w:lineRule="auto"/>
        <w:ind w:left="-15" w:right="44" w:firstLine="1133"/>
        <w:jc w:val="both"/>
      </w:pPr>
      <w:r>
        <w:rPr>
          <w:rFonts w:ascii="Arial" w:eastAsia="Arial" w:hAnsi="Arial" w:cs="Arial"/>
          <w:i/>
        </w:rPr>
        <w:t>Tercero.- Notificar el presente acuerdo a los Ayuntamientos de Arafo, Güimar y el Rosario, al Consejo Insular de Ag</w:t>
      </w:r>
      <w:r>
        <w:rPr>
          <w:rFonts w:ascii="Arial" w:eastAsia="Arial" w:hAnsi="Arial" w:cs="Arial"/>
          <w:i/>
        </w:rPr>
        <w:t xml:space="preserve">uas de Tenerife y la Dirección General del Cambio Climático y Medio Natural de la Consejería de Transición Ecológica del Gobierno de Canarias. </w:t>
      </w:r>
    </w:p>
    <w:p w:rsidR="0047564F" w:rsidRDefault="009856F0">
      <w:pPr>
        <w:spacing w:after="100"/>
        <w:ind w:left="1133"/>
      </w:pPr>
      <w:r>
        <w:rPr>
          <w:rFonts w:ascii="Arial" w:eastAsia="Arial" w:hAnsi="Arial" w:cs="Arial"/>
          <w:i/>
        </w:rPr>
        <w:t xml:space="preserve"> </w:t>
      </w:r>
    </w:p>
    <w:p w:rsidR="0047564F" w:rsidRDefault="009856F0">
      <w:pPr>
        <w:spacing w:after="108" w:line="248" w:lineRule="auto"/>
        <w:ind w:left="718" w:right="44" w:hanging="10"/>
        <w:jc w:val="both"/>
      </w:pPr>
      <w:r>
        <w:rPr>
          <w:rFonts w:ascii="Arial" w:eastAsia="Arial" w:hAnsi="Arial" w:cs="Arial"/>
          <w:i/>
        </w:rPr>
        <w:t xml:space="preserve">Esta Alcaldía-Presidencia eleva PROPUESTA AL PLENO: </w:t>
      </w:r>
    </w:p>
    <w:p w:rsidR="0047564F" w:rsidRDefault="009856F0">
      <w:pPr>
        <w:spacing w:after="171" w:line="248" w:lineRule="auto"/>
        <w:ind w:left="-5" w:right="44" w:hanging="10"/>
        <w:jc w:val="both"/>
      </w:pPr>
      <w:r>
        <w:rPr>
          <w:rFonts w:ascii="Arial" w:eastAsia="Arial" w:hAnsi="Arial" w:cs="Arial"/>
          <w:i/>
        </w:rPr>
        <w:t>Primero.- Aprobar el convenio de colaboración entre los A</w:t>
      </w:r>
      <w:r>
        <w:rPr>
          <w:rFonts w:ascii="Arial" w:eastAsia="Arial" w:hAnsi="Arial" w:cs="Arial"/>
          <w:i/>
        </w:rPr>
        <w:t xml:space="preserve">yuntamientos de Arafo, Candelaria y Güimar y El Rosario cuyo tenor literal se inserta a continuación: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“CONVENIO DE COLABORACIÓN ENTRE LOS AYUNTAMIENTOS DE ARAFO,  CANDELARIA, GÜÍMAR Y EL ROSARIO PARA LA EJECUCIÓN DEL PLAN DE ETAPAS EN RELACIÓN CON EL </w:t>
      </w:r>
    </w:p>
    <w:p w:rsidR="0047564F" w:rsidRDefault="009856F0">
      <w:pPr>
        <w:spacing w:after="5" w:line="248" w:lineRule="auto"/>
        <w:ind w:left="-5" w:right="46" w:hanging="10"/>
        <w:jc w:val="both"/>
      </w:pPr>
      <w:r>
        <w:rPr>
          <w:rFonts w:ascii="Times New Roman" w:eastAsia="Times New Roman" w:hAnsi="Times New Roman" w:cs="Times New Roman"/>
          <w:i/>
          <w:sz w:val="24"/>
        </w:rPr>
        <w:t>EMI</w:t>
      </w:r>
      <w:r>
        <w:rPr>
          <w:rFonts w:ascii="Times New Roman" w:eastAsia="Times New Roman" w:hAnsi="Times New Roman" w:cs="Times New Roman"/>
          <w:i/>
          <w:sz w:val="24"/>
        </w:rPr>
        <w:t xml:space="preserve">SARIO SUBMARINO UBICADO EN EL POLÍGONO INDUSTRIAL DEL VALLE DE GÜIMAR.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55" w:line="248" w:lineRule="auto"/>
        <w:ind w:left="-5" w:right="46" w:hanging="10"/>
        <w:jc w:val="both"/>
      </w:pPr>
      <w:r>
        <w:rPr>
          <w:rFonts w:ascii="Times New Roman" w:eastAsia="Times New Roman" w:hAnsi="Times New Roman" w:cs="Times New Roman"/>
          <w:i/>
          <w:sz w:val="24"/>
        </w:rPr>
        <w:t xml:space="preserve">En -------, a la fecha de la firma. </w:t>
      </w:r>
    </w:p>
    <w:p w:rsidR="0047564F" w:rsidRDefault="009856F0">
      <w:pPr>
        <w:spacing w:after="260"/>
        <w:ind w:left="10" w:right="56" w:hanging="10"/>
        <w:jc w:val="center"/>
      </w:pPr>
      <w:r>
        <w:rPr>
          <w:rFonts w:ascii="Arial" w:eastAsia="Arial" w:hAnsi="Arial" w:cs="Arial"/>
          <w:i/>
        </w:rPr>
        <w:t xml:space="preserve">REUNIDOS </w:t>
      </w:r>
    </w:p>
    <w:p w:rsidR="0047564F" w:rsidRDefault="009856F0">
      <w:pPr>
        <w:spacing w:after="0"/>
      </w:pPr>
      <w:r>
        <w:rPr>
          <w:rFonts w:ascii="Arial" w:eastAsia="Arial" w:hAnsi="Arial" w:cs="Arial"/>
          <w:i/>
        </w:rPr>
        <w:t xml:space="preserve"> </w:t>
      </w:r>
    </w:p>
    <w:p w:rsidR="0047564F" w:rsidRDefault="009856F0">
      <w:pPr>
        <w:spacing w:after="5" w:line="248" w:lineRule="auto"/>
        <w:ind w:left="-5" w:right="46"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5052" name="Group 4505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286" name="Rectangle 3286"/>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287" name="Rectangle 3287"/>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19 de 33 </w:t>
                              </w:r>
                            </w:p>
                          </w:txbxContent>
                        </wps:txbx>
                        <wps:bodyPr horzOverflow="overflow" vert="horz" lIns="0" tIns="0" rIns="0" bIns="0" rtlCol="0">
                          <a:noAutofit/>
                        </wps:bodyPr>
                      </wps:wsp>
                    </wpg:wgp>
                  </a:graphicData>
                </a:graphic>
              </wp:anchor>
            </w:drawing>
          </mc:Choice>
          <mc:Fallback xmlns:a="http://schemas.openxmlformats.org/drawingml/2006/main">
            <w:pict>
              <v:group id="Group 45052" style="width:12.7031pt;height:280.356pt;position:absolute;mso-position-horizontal-relative:page;mso-position-horizontal:absolute;margin-left:682.278pt;mso-position-vertical-relative:page;margin-top:531.564pt;" coordsize="1613,35605">
                <v:rect id="Rectangle 3286"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287"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33 </w:t>
                        </w:r>
                      </w:p>
                    </w:txbxContent>
                  </v:textbox>
                </v:rect>
                <w10:wrap type="square"/>
              </v:group>
            </w:pict>
          </mc:Fallback>
        </mc:AlternateContent>
      </w:r>
      <w:r>
        <w:rPr>
          <w:rFonts w:ascii="Times New Roman" w:eastAsia="Times New Roman" w:hAnsi="Times New Roman" w:cs="Times New Roman"/>
          <w:i/>
          <w:sz w:val="24"/>
        </w:rPr>
        <w:t xml:space="preserve">De una parte, D. ESCOLÁSTICO GIL HERNÁNDEZ, Alcalde del Ilustre Ayuntamiento de El Rosario, en nombre y representación del mismo, en ejercicio de las competencias </w:t>
      </w:r>
      <w:r>
        <w:rPr>
          <w:rFonts w:ascii="Times New Roman" w:eastAsia="Times New Roman" w:hAnsi="Times New Roman" w:cs="Times New Roman"/>
          <w:i/>
          <w:sz w:val="24"/>
        </w:rPr>
        <w:t xml:space="preserve">que le atribuye el artículo 21 de la Ley 7/1985, de 2 de abril, Reguladora de las Bases del Régimen Local, facultado expresamente para este acto en virtud de Acuerdo de Junta de Gobierno Local adoptado en sesión celebrada el día XXXXXXXXX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Y de otra, D. </w:t>
      </w:r>
      <w:r>
        <w:rPr>
          <w:rFonts w:ascii="Times New Roman" w:eastAsia="Times New Roman" w:hAnsi="Times New Roman" w:cs="Times New Roman"/>
          <w:i/>
          <w:sz w:val="24"/>
        </w:rPr>
        <w:t>JUAN RAMÓN MARTÍN PÉREZ, Alcalde del Ayuntamiento de Arafo, en nombre y representación del mismo, en ejercicio de las competencias que le atribuye el artículo 21 de la Ley 7/1985, de 2 de abril, Reguladora de las Bases del Régimen Local, facultado expresam</w:t>
      </w:r>
      <w:r>
        <w:rPr>
          <w:rFonts w:ascii="Times New Roman" w:eastAsia="Times New Roman" w:hAnsi="Times New Roman" w:cs="Times New Roman"/>
          <w:i/>
          <w:sz w:val="24"/>
        </w:rPr>
        <w:t xml:space="preserve">ente para este acto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Dña. MARÍA CONCEPCIÓN BRITO NÚÑEZ, Alcaldesa del Ayuntamiento de Candelaria, en nombre y representación del mismo, en ejercicio de las co</w:t>
      </w:r>
      <w:r>
        <w:rPr>
          <w:rFonts w:ascii="Times New Roman" w:eastAsia="Times New Roman" w:hAnsi="Times New Roman" w:cs="Times New Roman"/>
          <w:i/>
          <w:sz w:val="24"/>
        </w:rPr>
        <w:t xml:space="preserve">mpetencias que le atribuye el artículo 21 de la Ley 7/1985, de 2 de abril, Reguladora de las Bases del Régimen Local, facultado expresamente para este acto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D. GUSTAVO PÉREZ MARTÍN, Alcalde del Ayuntamiento de Güímar, en nombre y representación del mismo, en ejercicio de las competencias que le atribuye el artículo 21 de la Ley 7/1985, de 2 de abril, Reguladora de las Bases del Régimen Local, facultado expres</w:t>
      </w:r>
      <w:r>
        <w:rPr>
          <w:rFonts w:ascii="Times New Roman" w:eastAsia="Times New Roman" w:hAnsi="Times New Roman" w:cs="Times New Roman"/>
          <w:i/>
          <w:sz w:val="24"/>
        </w:rPr>
        <w:t xml:space="preserve">amente para este acto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Las partes intervinientes, que actúan en función de sus respectivos cargos y en el ejercicio de las facultades que a cada uno les está</w:t>
      </w:r>
      <w:r>
        <w:rPr>
          <w:rFonts w:ascii="Times New Roman" w:eastAsia="Times New Roman" w:hAnsi="Times New Roman" w:cs="Times New Roman"/>
          <w:i/>
          <w:sz w:val="24"/>
        </w:rPr>
        <w:t xml:space="preserve">n conferidas, se reconocen, mutua y recíprocamente, capacidad legal necesaria para la formalización del presente convenio interadministrativo, a cuyo efecto EXPONEN </w:t>
      </w:r>
    </w:p>
    <w:p w:rsidR="0047564F" w:rsidRDefault="009856F0">
      <w:pPr>
        <w:spacing w:after="16"/>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 xml:space="preserve">PRIMERO.- Con fecha 10 de junio de 2019 se conforma el “Convenio de Colaboración </w:t>
      </w:r>
    </w:p>
    <w:p w:rsidR="0047564F" w:rsidRDefault="009856F0">
      <w:pPr>
        <w:spacing w:after="35" w:line="248" w:lineRule="auto"/>
        <w:ind w:left="-5" w:right="46" w:hanging="10"/>
        <w:jc w:val="both"/>
      </w:pPr>
      <w:r>
        <w:rPr>
          <w:rFonts w:ascii="Times New Roman" w:eastAsia="Times New Roman" w:hAnsi="Times New Roman" w:cs="Times New Roman"/>
          <w:i/>
          <w:sz w:val="24"/>
        </w:rPr>
        <w:t xml:space="preserve">entre el Consejo Insular de Aguas de Tenerife y los Ayuntamientos de Arafo, Güímar y Candelaria, para el desarrollo del Plan de Etapas en el marco del expediente 2017/11106, relativo al Emisario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Submarino del Polígono Industrial del Valle de Güímar”.  </w:t>
      </w:r>
    </w:p>
    <w:p w:rsidR="0047564F" w:rsidRDefault="009856F0">
      <w:pPr>
        <w:spacing w:after="2"/>
        <w:ind w:left="10" w:right="47" w:hanging="10"/>
        <w:jc w:val="right"/>
      </w:pPr>
      <w:r>
        <w:rPr>
          <w:rFonts w:ascii="Times New Roman" w:eastAsia="Times New Roman" w:hAnsi="Times New Roman" w:cs="Times New Roman"/>
          <w:i/>
          <w:sz w:val="24"/>
        </w:rPr>
        <w:t>En</w:t>
      </w:r>
      <w:r>
        <w:rPr>
          <w:rFonts w:ascii="Times New Roman" w:eastAsia="Times New Roman" w:hAnsi="Times New Roman" w:cs="Times New Roman"/>
          <w:i/>
          <w:sz w:val="24"/>
        </w:rPr>
        <w:t xml:space="preserve"> dicho Plan de Etapas, se determina la duración de la ejecución de las obras para la </w:t>
      </w:r>
    </w:p>
    <w:p w:rsidR="0047564F" w:rsidRDefault="009856F0">
      <w:pPr>
        <w:spacing w:after="5" w:line="248" w:lineRule="auto"/>
        <w:ind w:left="-5" w:right="46" w:hanging="10"/>
        <w:jc w:val="both"/>
      </w:pPr>
      <w:r>
        <w:rPr>
          <w:rFonts w:ascii="Times New Roman" w:eastAsia="Times New Roman" w:hAnsi="Times New Roman" w:cs="Times New Roman"/>
          <w:i/>
          <w:sz w:val="24"/>
        </w:rPr>
        <w:t>construcción de la EDARI del Polígono Industrial Valle de Güímar, que sumadas a los seis meses de la fase de pruebas de la instalación, en un total de 23 meses (17 + 6 me</w:t>
      </w:r>
      <w:r>
        <w:rPr>
          <w:rFonts w:ascii="Times New Roman" w:eastAsia="Times New Roman" w:hAnsi="Times New Roman" w:cs="Times New Roman"/>
          <w:i/>
          <w:sz w:val="24"/>
        </w:rPr>
        <w:t xml:space="preserve">ses), habiendo previsto el comienzo las mismas en mayo de 2019 y su finalización para septiembre de 2020.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SEGUNDO.- Con fecha 18 de septiembre de 2019, la Viceconsejería de Lucha contra el Cambio Climático del Gobierno de Canarias, dicta la Resolución d</w:t>
      </w:r>
      <w:r>
        <w:rPr>
          <w:rFonts w:ascii="Times New Roman" w:eastAsia="Times New Roman" w:hAnsi="Times New Roman" w:cs="Times New Roman"/>
          <w:i/>
          <w:sz w:val="24"/>
        </w:rPr>
        <w:t xml:space="preserve">e N.º 33/2019, por la que se otorga al Ayuntamiento de Arafo, en nombre propio y en representación de los Ayuntamientos de Candelaria y Güímar, </w:t>
      </w:r>
      <w:r>
        <w:rPr>
          <w:rFonts w:ascii="Times New Roman" w:eastAsia="Times New Roman" w:hAnsi="Times New Roman" w:cs="Times New Roman"/>
          <w:i/>
          <w:sz w:val="24"/>
          <w:u w:val="single" w:color="000000"/>
        </w:rPr>
        <w:t>autorización de vertido</w:t>
      </w:r>
      <w:r>
        <w:rPr>
          <w:rFonts w:ascii="Times New Roman" w:eastAsia="Times New Roman" w:hAnsi="Times New Roman" w:cs="Times New Roman"/>
          <w:i/>
          <w:sz w:val="24"/>
        </w:rPr>
        <w:t xml:space="preserve"> desde tierra al mar de aguas residuales urbanas e industriales depuradas a través del em</w:t>
      </w:r>
      <w:r>
        <w:rPr>
          <w:rFonts w:ascii="Times New Roman" w:eastAsia="Times New Roman" w:hAnsi="Times New Roman" w:cs="Times New Roman"/>
          <w:i/>
          <w:sz w:val="24"/>
        </w:rPr>
        <w:t xml:space="preserve">isario submarino del Polígono Industrial del Güímar, ubicado en el término municipal de Arafo. Dicha autorización </w:t>
      </w:r>
      <w:r>
        <w:rPr>
          <w:rFonts w:ascii="Times New Roman" w:eastAsia="Times New Roman" w:hAnsi="Times New Roman" w:cs="Times New Roman"/>
          <w:i/>
          <w:sz w:val="24"/>
          <w:u w:val="single" w:color="000000"/>
        </w:rPr>
        <w:t>fue modificada</w:t>
      </w:r>
      <w:r>
        <w:rPr>
          <w:rFonts w:ascii="Times New Roman" w:eastAsia="Times New Roman" w:hAnsi="Times New Roman" w:cs="Times New Roman"/>
          <w:i/>
          <w:sz w:val="24"/>
        </w:rPr>
        <w:t xml:space="preserve"> con fecha 30 de septiembre de 2020, mediante Resolución nº 207.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TERCERO.-Mediante Resolución nº 312 de 02 de noviembre de 20</w:t>
      </w:r>
      <w:r>
        <w:rPr>
          <w:rFonts w:ascii="Times New Roman" w:eastAsia="Times New Roman" w:hAnsi="Times New Roman" w:cs="Times New Roman"/>
          <w:i/>
          <w:sz w:val="24"/>
        </w:rPr>
        <w:t xml:space="preserve">21, del Viceconsejero </w:t>
      </w:r>
    </w:p>
    <w:p w:rsidR="0047564F" w:rsidRDefault="009856F0">
      <w:pPr>
        <w:spacing w:after="32" w:line="248" w:lineRule="auto"/>
        <w:ind w:left="-5" w:right="46" w:hanging="10"/>
        <w:jc w:val="both"/>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4110" name="Group 44110"/>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419" name="Rectangle 341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420" name="Rectangle 3420"/>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20 de 33 </w:t>
                              </w:r>
                            </w:p>
                          </w:txbxContent>
                        </wps:txbx>
                        <wps:bodyPr horzOverflow="overflow" vert="horz" lIns="0" tIns="0" rIns="0" bIns="0" rtlCol="0">
                          <a:noAutofit/>
                        </wps:bodyPr>
                      </wps:wsp>
                    </wpg:wgp>
                  </a:graphicData>
                </a:graphic>
              </wp:anchor>
            </w:drawing>
          </mc:Choice>
          <mc:Fallback xmlns:a="http://schemas.openxmlformats.org/drawingml/2006/main">
            <w:pict>
              <v:group id="Group 44110" style="width:12.7031pt;height:280.356pt;position:absolute;mso-position-horizontal-relative:page;mso-position-horizontal:absolute;margin-left:682.278pt;mso-position-vertical-relative:page;margin-top:531.564pt;" coordsize="1613,35605">
                <v:rect id="Rectangle 341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420"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33 </w:t>
                        </w:r>
                      </w:p>
                    </w:txbxContent>
                  </v:textbox>
                </v:rect>
                <w10:wrap type="square"/>
              </v:group>
            </w:pict>
          </mc:Fallback>
        </mc:AlternateContent>
      </w:r>
      <w:r>
        <w:rPr>
          <w:rFonts w:ascii="Times New Roman" w:eastAsia="Times New Roman" w:hAnsi="Times New Roman" w:cs="Times New Roman"/>
          <w:i/>
          <w:sz w:val="24"/>
        </w:rPr>
        <w:t>de Lucha contra el Cambio Climático y</w:t>
      </w:r>
      <w:r>
        <w:rPr>
          <w:rFonts w:ascii="Times New Roman" w:eastAsia="Times New Roman" w:hAnsi="Times New Roman" w:cs="Times New Roman"/>
          <w:i/>
          <w:sz w:val="24"/>
        </w:rPr>
        <w:t xml:space="preserve"> Transición Ecológica del Gobierno de Canarias se </w:t>
      </w:r>
      <w:r>
        <w:rPr>
          <w:rFonts w:ascii="Times New Roman" w:eastAsia="Times New Roman" w:hAnsi="Times New Roman" w:cs="Times New Roman"/>
          <w:i/>
          <w:sz w:val="24"/>
          <w:u w:val="single" w:color="000000"/>
        </w:rPr>
        <w:t>modifica</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nuevamente la Autorización</w:t>
      </w:r>
      <w:r>
        <w:rPr>
          <w:rFonts w:ascii="Times New Roman" w:eastAsia="Times New Roman" w:hAnsi="Times New Roman" w:cs="Times New Roman"/>
          <w:i/>
          <w:sz w:val="24"/>
        </w:rPr>
        <w:t xml:space="preserve">, el Condicionante Técnico SEGUNDO establecía: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“...//...En virtud de la nueva documentación aportada, la puesta en funcionamiento de la </w:t>
      </w:r>
      <w:r>
        <w:rPr>
          <w:rFonts w:ascii="Times New Roman" w:eastAsia="Times New Roman" w:hAnsi="Times New Roman" w:cs="Times New Roman"/>
          <w:i/>
          <w:sz w:val="24"/>
          <w:u w:val="single" w:color="000000"/>
        </w:rPr>
        <w:t>EDARI se</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fija para el día 1 de marzo de 2022</w:t>
      </w:r>
      <w:r>
        <w:rPr>
          <w:rFonts w:ascii="Times New Roman" w:eastAsia="Times New Roman" w:hAnsi="Times New Roman" w:cs="Times New Roman"/>
          <w:i/>
          <w:sz w:val="24"/>
        </w:rPr>
        <w:t xml:space="preserve">, momento a partir del cual las ARI deberán someterse a los tratamientos contemplados en la misma. </w:t>
      </w:r>
      <w:r>
        <w:rPr>
          <w:rFonts w:ascii="Times New Roman" w:eastAsia="Times New Roman" w:hAnsi="Times New Roman" w:cs="Times New Roman"/>
          <w:i/>
          <w:sz w:val="24"/>
          <w:u w:val="single" w:color="000000"/>
        </w:rPr>
        <w:t>La no finalización de las obras en el plazo aprobado</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supondrá el vencimiento de la AVM...//...”.</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CUARTO.-El 25 de febre</w:t>
      </w:r>
      <w:r>
        <w:rPr>
          <w:rFonts w:ascii="Times New Roman" w:eastAsia="Times New Roman" w:hAnsi="Times New Roman" w:cs="Times New Roman"/>
          <w:i/>
          <w:sz w:val="24"/>
        </w:rPr>
        <w:t>ro del 2022 se nos remite por el Consejo Insular de Aguas de Tenerife CIATF, un nuevo informe técnico y la modificación del Plan de Etapas, concretamente se propone una “variación del Plan 2) Fase Intermedia III. Evacuación parcial del Efluente (del 1 de m</w:t>
      </w:r>
      <w:r>
        <w:rPr>
          <w:rFonts w:ascii="Times New Roman" w:eastAsia="Times New Roman" w:hAnsi="Times New Roman" w:cs="Times New Roman"/>
          <w:i/>
          <w:sz w:val="24"/>
        </w:rPr>
        <w:t>arzo al 28 de marzo)”, “...// … Dada la naturaleza de las aguas, dicha evacuación se realizará mediante camiones cubas desde la entrada de la planta del PIVG hasta la EDARI del Polígono Industrial de La Campana en el municipio de El Rosario puesto que es l</w:t>
      </w:r>
      <w:r>
        <w:rPr>
          <w:rFonts w:ascii="Times New Roman" w:eastAsia="Times New Roman" w:hAnsi="Times New Roman" w:cs="Times New Roman"/>
          <w:i/>
          <w:sz w:val="24"/>
        </w:rPr>
        <w:t xml:space="preserve">a única autorizada para poder tratar estos efluentes y que según los datos recabados está tratando una carga que si bien es variable en el tiempo, en líneas generales es inferior a la que fue diseñada...// …”.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 xml:space="preserve">QUINTO.- Consta solicitud de ampliación de </w:t>
      </w:r>
      <w:r>
        <w:rPr>
          <w:rFonts w:ascii="Times New Roman" w:eastAsia="Times New Roman" w:hAnsi="Times New Roman" w:cs="Times New Roman"/>
          <w:i/>
          <w:sz w:val="24"/>
        </w:rPr>
        <w:t xml:space="preserve">plazo del procedimiento de modificación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de autorización de vertidos desde tierra al mar y resolución de la Dirección General de Lucha contra el Cambio Climático y Planificación Territorial.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SEXTO.- El 26 de febrero del 2022, se emite informe por la Ing</w:t>
      </w:r>
      <w:r>
        <w:rPr>
          <w:rFonts w:ascii="Times New Roman" w:eastAsia="Times New Roman" w:hAnsi="Times New Roman" w:cs="Times New Roman"/>
          <w:i/>
          <w:sz w:val="24"/>
        </w:rPr>
        <w:t xml:space="preserve">eniera Técnica Municipal, Dª. Miriam Díaz Gómez relativo a la documentación presentada por el Consejo Insular de Aguas de Tenerife el 25 de febrero.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SÉPTIMO.- Los Plenos de los Ayuntamientos de Arafo, Güímar y Candelaria, en sesiones extraordinarias y d</w:t>
      </w:r>
      <w:r>
        <w:rPr>
          <w:rFonts w:ascii="Times New Roman" w:eastAsia="Times New Roman" w:hAnsi="Times New Roman" w:cs="Times New Roman"/>
          <w:i/>
          <w:sz w:val="24"/>
        </w:rPr>
        <w:t>e urgencia de fecha 28 de febrero del 2022, acordaron aprobar la modificación de los plazos contemplados en el “Plan de Etapas actualizado” y que ha sido remitido por el CIAT de fecha 25 de febrero del 2022, toda vez que prolongan la duración de la situaci</w:t>
      </w:r>
      <w:r>
        <w:rPr>
          <w:rFonts w:ascii="Times New Roman" w:eastAsia="Times New Roman" w:hAnsi="Times New Roman" w:cs="Times New Roman"/>
          <w:i/>
          <w:sz w:val="24"/>
        </w:rPr>
        <w:t>ón intermedia y por tanto, postergan la existencia de la puesta en funcionamiento de la etapa denominada como situación futura hasta el 30 de noviembre del 2022 a los efectos de solicitar la modificación de la “Autorización de vertidos desde la tierra al m</w:t>
      </w:r>
      <w:r>
        <w:rPr>
          <w:rFonts w:ascii="Times New Roman" w:eastAsia="Times New Roman" w:hAnsi="Times New Roman" w:cs="Times New Roman"/>
          <w:i/>
          <w:sz w:val="24"/>
        </w:rPr>
        <w:t xml:space="preserve">ar de aguas residuales urbanas e industriales depuradas a través del emisario submarino del Polígono Industrial del Valle de Güímar”.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OCTAVO.- En el expediente relacionado 676/2022, ha quedado acreditada la imposibilidad material de puesta en funcionami</w:t>
      </w:r>
      <w:r>
        <w:rPr>
          <w:rFonts w:ascii="Times New Roman" w:eastAsia="Times New Roman" w:hAnsi="Times New Roman" w:cs="Times New Roman"/>
          <w:i/>
          <w:sz w:val="24"/>
        </w:rPr>
        <w:t xml:space="preserve">ento de los elementos adicionales que pudieran disminuir la carga contaminante. El retraso en la ejecución de las obras, así como el corto margen temporal para la puesta en marcha del tratamiento biológico, son argumentos informados por el Consejo Insular </w:t>
      </w:r>
      <w:r>
        <w:rPr>
          <w:rFonts w:ascii="Times New Roman" w:eastAsia="Times New Roman" w:hAnsi="Times New Roman" w:cs="Times New Roman"/>
          <w:i/>
          <w:sz w:val="24"/>
        </w:rPr>
        <w:t xml:space="preserve">de Aguas de Tenerife.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4"/>
        <w:jc w:val="center"/>
      </w:pPr>
      <w:r>
        <w:rPr>
          <w:rFonts w:ascii="Times New Roman" w:eastAsia="Times New Roman" w:hAnsi="Times New Roman" w:cs="Times New Roman"/>
          <w:i/>
          <w:sz w:val="24"/>
        </w:rPr>
        <w:t xml:space="preserve"> </w:t>
      </w:r>
    </w:p>
    <w:p w:rsidR="0047564F" w:rsidRDefault="009856F0">
      <w:pPr>
        <w:spacing w:after="0"/>
        <w:ind w:left="4"/>
        <w:jc w:val="center"/>
      </w:pPr>
      <w:r>
        <w:rPr>
          <w:rFonts w:ascii="Times New Roman" w:eastAsia="Times New Roman" w:hAnsi="Times New Roman" w:cs="Times New Roman"/>
          <w:i/>
          <w:sz w:val="24"/>
        </w:rPr>
        <w:t xml:space="preserve"> </w:t>
      </w:r>
    </w:p>
    <w:p w:rsidR="0047564F" w:rsidRDefault="009856F0">
      <w:pPr>
        <w:spacing w:after="0"/>
        <w:ind w:left="4"/>
        <w:jc w:val="center"/>
      </w:pPr>
      <w:r>
        <w:rPr>
          <w:rFonts w:ascii="Times New Roman" w:eastAsia="Times New Roman" w:hAnsi="Times New Roman" w:cs="Times New Roman"/>
          <w:i/>
          <w:sz w:val="24"/>
        </w:rPr>
        <w:t xml:space="preserve"> </w:t>
      </w:r>
    </w:p>
    <w:p w:rsidR="0047564F" w:rsidRDefault="009856F0">
      <w:pPr>
        <w:spacing w:after="0"/>
        <w:ind w:left="10" w:right="55" w:hanging="10"/>
        <w:jc w:val="center"/>
      </w:pPr>
      <w:r>
        <w:rPr>
          <w:rFonts w:ascii="Times New Roman" w:eastAsia="Times New Roman" w:hAnsi="Times New Roman" w:cs="Times New Roman"/>
          <w:i/>
          <w:sz w:val="24"/>
        </w:rPr>
        <w:t xml:space="preserve">CLÁUSULAS </w:t>
      </w:r>
    </w:p>
    <w:p w:rsidR="0047564F" w:rsidRDefault="009856F0">
      <w:pPr>
        <w:spacing w:after="0"/>
        <w:ind w:left="1133"/>
      </w:pPr>
      <w:r>
        <w:rPr>
          <w:rFonts w:ascii="Times New Roman" w:eastAsia="Times New Roman" w:hAnsi="Times New Roman" w:cs="Times New Roman"/>
          <w:i/>
          <w:sz w:val="24"/>
        </w:rPr>
        <w:t xml:space="preserve"> </w:t>
      </w:r>
    </w:p>
    <w:p w:rsidR="0047564F" w:rsidRDefault="009856F0">
      <w:pPr>
        <w:spacing w:after="0"/>
        <w:ind w:left="1128" w:hanging="10"/>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5512" name="Group 4551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534" name="Rectangle 3534"/>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535" name="Rectangle 3535"/>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21 de 33 </w:t>
                              </w:r>
                            </w:p>
                          </w:txbxContent>
                        </wps:txbx>
                        <wps:bodyPr horzOverflow="overflow" vert="horz" lIns="0" tIns="0" rIns="0" bIns="0" rtlCol="0">
                          <a:noAutofit/>
                        </wps:bodyPr>
                      </wps:wsp>
                    </wpg:wgp>
                  </a:graphicData>
                </a:graphic>
              </wp:anchor>
            </w:drawing>
          </mc:Choice>
          <mc:Fallback xmlns:a="http://schemas.openxmlformats.org/drawingml/2006/main">
            <w:pict>
              <v:group id="Group 45512" style="width:12.7031pt;height:280.356pt;position:absolute;mso-position-horizontal-relative:page;mso-position-horizontal:absolute;margin-left:682.278pt;mso-position-vertical-relative:page;margin-top:531.564pt;" coordsize="1613,35605">
                <v:rect id="Rectangle 3534"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535"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33 </w:t>
                        </w:r>
                      </w:p>
                    </w:txbxContent>
                  </v:textbox>
                </v:rect>
                <w10:wrap type="square"/>
              </v:group>
            </w:pict>
          </mc:Fallback>
        </mc:AlternateContent>
      </w:r>
      <w:r>
        <w:rPr>
          <w:rFonts w:ascii="Times New Roman" w:eastAsia="Times New Roman" w:hAnsi="Times New Roman" w:cs="Times New Roman"/>
          <w:i/>
          <w:sz w:val="24"/>
          <w:u w:val="single" w:color="000000"/>
        </w:rPr>
        <w:t xml:space="preserve">PRIMERA.- </w:t>
      </w:r>
      <w:r>
        <w:rPr>
          <w:rFonts w:ascii="Times New Roman" w:eastAsia="Times New Roman" w:hAnsi="Times New Roman" w:cs="Times New Roman"/>
          <w:i/>
          <w:sz w:val="24"/>
          <w:u w:val="single" w:color="000000"/>
        </w:rPr>
        <w:t>Objeto del Convenio.</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 xml:space="preserve">Disminuir la carga total contaminante evacuada a través del emisario submarino </w:t>
      </w:r>
    </w:p>
    <w:p w:rsidR="0047564F" w:rsidRDefault="009856F0">
      <w:pPr>
        <w:spacing w:after="5" w:line="248" w:lineRule="auto"/>
        <w:ind w:left="-5" w:right="46" w:hanging="10"/>
        <w:jc w:val="both"/>
      </w:pPr>
      <w:r>
        <w:rPr>
          <w:rFonts w:ascii="Times New Roman" w:eastAsia="Times New Roman" w:hAnsi="Times New Roman" w:cs="Times New Roman"/>
          <w:i/>
          <w:sz w:val="24"/>
        </w:rPr>
        <w:t>mediante la evacuación parcial del efluente en la entrada de la planta. Dada la naturaleza de las aguas, dicha evacuación se realizará mediante camiones</w:t>
      </w:r>
      <w:r>
        <w:rPr>
          <w:rFonts w:ascii="Times New Roman" w:eastAsia="Times New Roman" w:hAnsi="Times New Roman" w:cs="Times New Roman"/>
          <w:i/>
          <w:sz w:val="24"/>
        </w:rPr>
        <w:t xml:space="preserve"> cubas desde la entrada de la planta del Polígono Industrial del Valle de Güímar hasta la EDARI del Polígono Industrial de La Campana en el municipio de El Rosario, al ser la única autorizada para poder tratar estos efluentes y que según los datos recabado</w:t>
      </w:r>
      <w:r>
        <w:rPr>
          <w:rFonts w:ascii="Times New Roman" w:eastAsia="Times New Roman" w:hAnsi="Times New Roman" w:cs="Times New Roman"/>
          <w:i/>
          <w:sz w:val="24"/>
        </w:rPr>
        <w:t xml:space="preserve">s está tratando una carga que si bien es variable en el tiempo, en líneas generales es inferior a la que fue diseñada.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SEGUNDA.- Compromisos de las partes.</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1.- El Ayuntamiento de Arafo se compromete a ejecutar los trabajos objeto del presente conveni</w:t>
      </w:r>
      <w:r>
        <w:rPr>
          <w:rFonts w:ascii="Times New Roman" w:eastAsia="Times New Roman" w:hAnsi="Times New Roman" w:cs="Times New Roman"/>
          <w:i/>
          <w:sz w:val="24"/>
        </w:rPr>
        <w:t xml:space="preserve">o, mediante la contratación de los servicios de una empresa autorizada, así como a coordinarlos tanto con el CIAT, como con el Ayuntamiento de El Rosario.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2.- El volumen transportado será extraído de la zona de bombeo de microtamices de la EDARI en cons</w:t>
      </w:r>
      <w:r>
        <w:rPr>
          <w:rFonts w:ascii="Times New Roman" w:eastAsia="Times New Roman" w:hAnsi="Times New Roman" w:cs="Times New Roman"/>
          <w:i/>
          <w:sz w:val="24"/>
        </w:rPr>
        <w:t xml:space="preserve">trucción en el Polígono Industrial del Valle de Güímar (PIVG), cuya capacidad es de 14,3 m³, una vez pretratado.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3.- Ante la imposibilidad de depurar el volumen máximo estimado por el CIAT de 360m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de trasvase desde el PIVG hasta la EDARI municipal </w:t>
      </w:r>
      <w:r>
        <w:rPr>
          <w:rFonts w:ascii="Times New Roman" w:eastAsia="Times New Roman" w:hAnsi="Times New Roman" w:cs="Times New Roman"/>
          <w:i/>
          <w:sz w:val="24"/>
        </w:rPr>
        <w:t>de La Campana, se procederá a minimizar en origen de este caudal para lo que en el intervalo comprendido entre el 1 y el 28 de marzo del 2022, los Ayuntamientos de Arafo, Candelaria y Güímar, adoptarán medidas extraordinarias para su consecución, que consi</w:t>
      </w:r>
      <w:r>
        <w:rPr>
          <w:rFonts w:ascii="Times New Roman" w:eastAsia="Times New Roman" w:hAnsi="Times New Roman" w:cs="Times New Roman"/>
          <w:i/>
          <w:sz w:val="24"/>
        </w:rPr>
        <w:t xml:space="preserve">stirán en la limitación de los horarios de apertura, cierre y por tanto de operaciones a las empresas.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4.- El volumen máximo será de 240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procedente del PIVG descargándose en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carrusel de cubas ininterrumpido entre las 06:00 h y las 21:00h, de lunes a domingo incluido días festivos.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5.- El Ayuntamiento de El Rosario, a los efectos de control de la caracterización del vertido que es recepcionado del PIVG, realizará analíticas</w:t>
      </w:r>
      <w:r>
        <w:rPr>
          <w:rFonts w:ascii="Times New Roman" w:eastAsia="Times New Roman" w:hAnsi="Times New Roman" w:cs="Times New Roman"/>
          <w:i/>
          <w:sz w:val="24"/>
        </w:rPr>
        <w:t xml:space="preserve"> microbiológicas para preservar el mantenimiento del proceso biológico de depuración de la EDARI de La Campana, cuyos costes están incluidos en los precios estipulados.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TERCERA.- Compromiso financiero de las partes.</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A.- Cada Ayuntamiento intervinien</w:t>
      </w:r>
      <w:r>
        <w:rPr>
          <w:rFonts w:ascii="Times New Roman" w:eastAsia="Times New Roman" w:hAnsi="Times New Roman" w:cs="Times New Roman"/>
          <w:i/>
          <w:sz w:val="24"/>
        </w:rPr>
        <w:t xml:space="preserve">te asumirá con sus propios medios económicos y a partes iguales los gastos que deriven de las acciones que sean necesarias emprender para el cumplimiento de este Convenio.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2"/>
        <w:ind w:left="10" w:right="47" w:hanging="10"/>
        <w:jc w:val="right"/>
      </w:pPr>
      <w:r>
        <w:rPr>
          <w:rFonts w:ascii="Times New Roman" w:eastAsia="Times New Roman" w:hAnsi="Times New Roman" w:cs="Times New Roman"/>
          <w:i/>
          <w:sz w:val="24"/>
        </w:rPr>
        <w:t>B.- En este sentido, los costes variables en la facturación serán los del caudal</w:t>
      </w:r>
      <w:r>
        <w:rPr>
          <w:rFonts w:ascii="Times New Roman" w:eastAsia="Times New Roman" w:hAnsi="Times New Roman" w:cs="Times New Roman"/>
          <w:i/>
          <w:sz w:val="24"/>
        </w:rPr>
        <w:t xml:space="preserve"> de agua </w:t>
      </w:r>
    </w:p>
    <w:p w:rsidR="0047564F" w:rsidRDefault="009856F0">
      <w:pPr>
        <w:spacing w:after="30" w:line="248" w:lineRule="auto"/>
        <w:ind w:left="-5" w:right="46" w:hanging="10"/>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4783" name="Group 44783"/>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672" name="Rectangle 3672"/>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673" name="Rectangle 3673"/>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22 de 33 </w:t>
                              </w:r>
                            </w:p>
                          </w:txbxContent>
                        </wps:txbx>
                        <wps:bodyPr horzOverflow="overflow" vert="horz" lIns="0" tIns="0" rIns="0" bIns="0" rtlCol="0">
                          <a:noAutofit/>
                        </wps:bodyPr>
                      </wps:wsp>
                    </wpg:wgp>
                  </a:graphicData>
                </a:graphic>
              </wp:anchor>
            </w:drawing>
          </mc:Choice>
          <mc:Fallback xmlns:a="http://schemas.openxmlformats.org/drawingml/2006/main">
            <w:pict>
              <v:group id="Group 44783" style="width:12.7031pt;height:280.356pt;position:absolute;mso-position-horizontal-relative:page;mso-position-horizontal:absolute;margin-left:682.278pt;mso-position-vertical-relative:page;margin-top:531.564pt;" coordsize="1613,35605">
                <v:rect id="Rectangle 3672"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673"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33 </w:t>
                        </w:r>
                      </w:p>
                    </w:txbxContent>
                  </v:textbox>
                </v:rect>
                <w10:wrap type="square"/>
              </v:group>
            </w:pict>
          </mc:Fallback>
        </mc:AlternateContent>
      </w:r>
      <w:r>
        <w:rPr>
          <w:rFonts w:ascii="Times New Roman" w:eastAsia="Times New Roman" w:hAnsi="Times New Roman" w:cs="Times New Roman"/>
          <w:i/>
          <w:sz w:val="24"/>
        </w:rPr>
        <w:t xml:space="preserve">bruta medido en m³/día (a razón de 1,10€/m³) y los de la cantidad de fangos producidos medido en kg (a razón de 0,83€/kg).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Los demás costes serán fijos entre el día de inicio de la prestación del servicio y el de la finalización, y serían los siguientes: </w:t>
      </w:r>
    </w:p>
    <w:p w:rsidR="0047564F" w:rsidRDefault="009856F0">
      <w:pPr>
        <w:numPr>
          <w:ilvl w:val="0"/>
          <w:numId w:val="14"/>
        </w:numPr>
        <w:spacing w:after="47" w:line="248" w:lineRule="auto"/>
        <w:ind w:right="44" w:hanging="360"/>
        <w:jc w:val="both"/>
      </w:pPr>
      <w:r>
        <w:rPr>
          <w:rFonts w:ascii="Arial" w:eastAsia="Arial" w:hAnsi="Arial" w:cs="Arial"/>
          <w:i/>
        </w:rPr>
        <w:t xml:space="preserve">Dos analíticas semanales de agua bruta (a razón de 249,39€ cada analítica) </w:t>
      </w:r>
    </w:p>
    <w:p w:rsidR="0047564F" w:rsidRDefault="009856F0">
      <w:pPr>
        <w:numPr>
          <w:ilvl w:val="0"/>
          <w:numId w:val="14"/>
        </w:numPr>
        <w:spacing w:after="50" w:line="248" w:lineRule="auto"/>
        <w:ind w:right="44" w:hanging="360"/>
        <w:jc w:val="both"/>
      </w:pPr>
      <w:r>
        <w:rPr>
          <w:rFonts w:ascii="Arial" w:eastAsia="Arial" w:hAnsi="Arial" w:cs="Arial"/>
          <w:i/>
        </w:rPr>
        <w:t xml:space="preserve">Dos analíticas semanales de fango (a razón de 196,41€ cada analítica) </w:t>
      </w:r>
    </w:p>
    <w:p w:rsidR="0047564F" w:rsidRDefault="009856F0">
      <w:pPr>
        <w:numPr>
          <w:ilvl w:val="0"/>
          <w:numId w:val="14"/>
        </w:numPr>
        <w:spacing w:after="47" w:line="248" w:lineRule="auto"/>
        <w:ind w:right="44" w:hanging="360"/>
        <w:jc w:val="both"/>
      </w:pPr>
      <w:r>
        <w:rPr>
          <w:rFonts w:ascii="Arial" w:eastAsia="Arial" w:hAnsi="Arial" w:cs="Arial"/>
          <w:i/>
        </w:rPr>
        <w:t xml:space="preserve">Dos tomas de muestras semanales para agua bruta (a razón de 35,65€ cada toma) </w:t>
      </w:r>
    </w:p>
    <w:p w:rsidR="0047564F" w:rsidRDefault="009856F0">
      <w:pPr>
        <w:numPr>
          <w:ilvl w:val="0"/>
          <w:numId w:val="14"/>
        </w:numPr>
        <w:spacing w:after="12" w:line="248" w:lineRule="auto"/>
        <w:ind w:right="44" w:hanging="360"/>
        <w:jc w:val="both"/>
      </w:pPr>
      <w:r>
        <w:rPr>
          <w:rFonts w:ascii="Arial" w:eastAsia="Arial" w:hAnsi="Arial" w:cs="Arial"/>
          <w:i/>
        </w:rPr>
        <w:t>Dos tomas de muestras semanal</w:t>
      </w:r>
      <w:r>
        <w:rPr>
          <w:rFonts w:ascii="Arial" w:eastAsia="Arial" w:hAnsi="Arial" w:cs="Arial"/>
          <w:i/>
        </w:rPr>
        <w:t xml:space="preserve">es para fango (a razón de 35,65€ cada toma) </w:t>
      </w:r>
    </w:p>
    <w:p w:rsidR="0047564F" w:rsidRDefault="009856F0">
      <w:pPr>
        <w:numPr>
          <w:ilvl w:val="0"/>
          <w:numId w:val="14"/>
        </w:numPr>
        <w:spacing w:after="171" w:line="248" w:lineRule="auto"/>
        <w:ind w:right="44" w:hanging="360"/>
        <w:jc w:val="both"/>
      </w:pPr>
      <w:r>
        <w:rPr>
          <w:rFonts w:ascii="Arial" w:eastAsia="Arial" w:hAnsi="Arial" w:cs="Arial"/>
          <w:i/>
        </w:rPr>
        <w:t xml:space="preserve">El personal en planta, que estará de lunes a domingo, de 06:00 a 21:00 horas (a razón de 25,01€/hora) </w:t>
      </w:r>
    </w:p>
    <w:p w:rsidR="0047564F" w:rsidRDefault="009856F0">
      <w:pPr>
        <w:spacing w:after="5" w:line="248" w:lineRule="auto"/>
        <w:ind w:left="-15" w:right="46" w:firstLine="360"/>
        <w:jc w:val="both"/>
      </w:pPr>
      <w:r>
        <w:rPr>
          <w:rFonts w:ascii="Times New Roman" w:eastAsia="Times New Roman" w:hAnsi="Times New Roman" w:cs="Times New Roman"/>
          <w:i/>
          <w:sz w:val="24"/>
        </w:rPr>
        <w:t>C.- Los demás costes en los que ha de incurrirse para el traslado del efluente desde el P.I.V.G. al Polígono</w:t>
      </w:r>
      <w:r>
        <w:rPr>
          <w:rFonts w:ascii="Times New Roman" w:eastAsia="Times New Roman" w:hAnsi="Times New Roman" w:cs="Times New Roman"/>
          <w:i/>
          <w:sz w:val="24"/>
        </w:rPr>
        <w:t xml:space="preserve"> Industrial de La Campana en camiones-cuba o de cualquier otra naturaleza distintos a los del proceso de depuración han de ser sufragados por los Ayuntamientos de Arafo, Candelaria y Güimar al transportista.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CUARTA.- Calendario y lugar de descarga.</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171" w:line="248" w:lineRule="auto"/>
        <w:ind w:left="-15" w:right="46" w:firstLine="360"/>
        <w:jc w:val="both"/>
      </w:pPr>
      <w:r>
        <w:rPr>
          <w:rFonts w:ascii="Times New Roman" w:eastAsia="Times New Roman" w:hAnsi="Times New Roman" w:cs="Times New Roman"/>
          <w:i/>
          <w:sz w:val="24"/>
        </w:rPr>
        <w:t>Para alcanzar el régimen de pleno funcionamiento de la EDARI del Polígono de La Campana en el que se trate el máximo caudal que se recepcione, ha de hacerse de forma progresiva, previéndose los siguientes aportes desde el PIVG, con arreglo al siguiente cal</w:t>
      </w:r>
      <w:r>
        <w:rPr>
          <w:rFonts w:ascii="Times New Roman" w:eastAsia="Times New Roman" w:hAnsi="Times New Roman" w:cs="Times New Roman"/>
          <w:i/>
          <w:sz w:val="24"/>
        </w:rPr>
        <w:t xml:space="preserve">endario: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i/>
          <w:sz w:val="24"/>
        </w:rPr>
        <w:t>Del 01 al 06 de marzo del 2022: hasta un máximo de 175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w:t>
      </w:r>
    </w:p>
    <w:p w:rsidR="0047564F" w:rsidRDefault="009856F0">
      <w:pPr>
        <w:numPr>
          <w:ilvl w:val="1"/>
          <w:numId w:val="14"/>
        </w:numPr>
        <w:spacing w:after="5" w:line="248" w:lineRule="auto"/>
        <w:ind w:right="46" w:hanging="360"/>
        <w:jc w:val="both"/>
      </w:pPr>
      <w:r>
        <w:rPr>
          <w:rFonts w:ascii="Times New Roman" w:eastAsia="Times New Roman" w:hAnsi="Times New Roman" w:cs="Times New Roman"/>
          <w:i/>
          <w:sz w:val="24"/>
        </w:rPr>
        <w:t>Del 07 al 13 de marzo del 2022: hasta un máximo de 210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w:t>
      </w:r>
    </w:p>
    <w:p w:rsidR="0047564F" w:rsidRDefault="009856F0">
      <w:pPr>
        <w:numPr>
          <w:ilvl w:val="1"/>
          <w:numId w:val="14"/>
        </w:numPr>
        <w:spacing w:after="140" w:line="248" w:lineRule="auto"/>
        <w:ind w:right="46" w:hanging="360"/>
        <w:jc w:val="both"/>
      </w:pPr>
      <w:r>
        <w:rPr>
          <w:rFonts w:ascii="Times New Roman" w:eastAsia="Times New Roman" w:hAnsi="Times New Roman" w:cs="Times New Roman"/>
          <w:i/>
          <w:sz w:val="24"/>
        </w:rPr>
        <w:t>Del 14 al 28 de marzo del 2022: hasta 240 m</w:t>
      </w:r>
      <w:r>
        <w:rPr>
          <w:rFonts w:ascii="Times New Roman" w:eastAsia="Times New Roman" w:hAnsi="Times New Roman" w:cs="Times New Roman"/>
          <w:i/>
          <w:sz w:val="24"/>
          <w:vertAlign w:val="superscript"/>
        </w:rPr>
        <w:t>3</w:t>
      </w:r>
      <w:r>
        <w:rPr>
          <w:rFonts w:ascii="Times New Roman" w:eastAsia="Times New Roman" w:hAnsi="Times New Roman" w:cs="Times New Roman"/>
          <w:i/>
          <w:sz w:val="24"/>
        </w:rPr>
        <w:t xml:space="preserve">/día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La descarga del efluente ha de realizarse en la Estación de Bombeo </w:t>
      </w:r>
      <w:r>
        <w:rPr>
          <w:rFonts w:ascii="Times New Roman" w:eastAsia="Times New Roman" w:hAnsi="Times New Roman" w:cs="Times New Roman"/>
          <w:i/>
          <w:sz w:val="24"/>
        </w:rPr>
        <w:t xml:space="preserve">de Aguas Residuales Industriales (EBARI) del Polígono de la Campaña, cuyas coordenadas son: </w:t>
      </w:r>
    </w:p>
    <w:p w:rsidR="0047564F" w:rsidRDefault="009856F0">
      <w:pPr>
        <w:numPr>
          <w:ilvl w:val="0"/>
          <w:numId w:val="15"/>
        </w:numPr>
        <w:spacing w:after="5" w:line="248" w:lineRule="auto"/>
        <w:ind w:right="46" w:hanging="207"/>
        <w:jc w:val="both"/>
      </w:pPr>
      <w:r>
        <w:rPr>
          <w:rFonts w:ascii="Times New Roman" w:eastAsia="Times New Roman" w:hAnsi="Times New Roman" w:cs="Times New Roman"/>
          <w:i/>
          <w:sz w:val="24"/>
        </w:rPr>
        <w:t xml:space="preserve">370.865,08 </w:t>
      </w:r>
    </w:p>
    <w:p w:rsidR="0047564F" w:rsidRDefault="009856F0">
      <w:pPr>
        <w:numPr>
          <w:ilvl w:val="0"/>
          <w:numId w:val="15"/>
        </w:numPr>
        <w:spacing w:after="5" w:line="248" w:lineRule="auto"/>
        <w:ind w:right="46" w:hanging="207"/>
        <w:jc w:val="both"/>
      </w:pPr>
      <w:r>
        <w:rPr>
          <w:rFonts w:ascii="Times New Roman" w:eastAsia="Times New Roman" w:hAnsi="Times New Roman" w:cs="Times New Roman"/>
          <w:i/>
          <w:sz w:val="24"/>
        </w:rPr>
        <w:t xml:space="preserve">3.143.272,76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Es obligatoria la presencia de un operario del transportista en todo momento, además de un operario del Ayuntamiento de El Rosario.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QUINTA.- Documentación.</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 xml:space="preserve">Formarán parte de este convenio como Anexo el informe del Consejo Insular de Aguas de Tenerife de 25 de febrero de 2022, y el informe técnico de la Ingeniera Municipal del Ayuntamiento de Arafo de 26 de febrero de 2022, así como </w:t>
      </w:r>
      <w:r>
        <w:rPr>
          <w:rFonts w:ascii="Times New Roman" w:eastAsia="Times New Roman" w:hAnsi="Times New Roman" w:cs="Times New Roman"/>
          <w:i/>
          <w:sz w:val="24"/>
        </w:rPr>
        <w:t xml:space="preserve">cualquiera otra documentación determinante para garantizar la correcta ejecución de su objeto.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33"/>
      </w:pPr>
      <w:r>
        <w:rPr>
          <w:rFonts w:ascii="Times New Roman" w:eastAsia="Times New Roman" w:hAnsi="Times New Roman" w:cs="Times New Roman"/>
          <w:i/>
          <w:sz w:val="24"/>
        </w:rPr>
        <w:t xml:space="preserve"> </w:t>
      </w:r>
    </w:p>
    <w:p w:rsidR="0047564F" w:rsidRDefault="009856F0">
      <w:pPr>
        <w:spacing w:after="0"/>
        <w:ind w:left="1133"/>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SEXTA.- Vigencia, modificación y extinción.</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El presente convenio surtirá efectos desde el día siguiente a su formalización y el plazo </w:t>
      </w:r>
    </w:p>
    <w:p w:rsidR="0047564F" w:rsidRDefault="009856F0">
      <w:pPr>
        <w:spacing w:after="5" w:line="248" w:lineRule="auto"/>
        <w:ind w:left="-5" w:right="46"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4555" name="Group 44555"/>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790" name="Rectangle 3790"/>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791" name="Rectangle 3791"/>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23 de 33 </w:t>
                              </w:r>
                            </w:p>
                          </w:txbxContent>
                        </wps:txbx>
                        <wps:bodyPr horzOverflow="overflow" vert="horz" lIns="0" tIns="0" rIns="0" bIns="0" rtlCol="0">
                          <a:noAutofit/>
                        </wps:bodyPr>
                      </wps:wsp>
                    </wpg:wgp>
                  </a:graphicData>
                </a:graphic>
              </wp:anchor>
            </w:drawing>
          </mc:Choice>
          <mc:Fallback xmlns:a="http://schemas.openxmlformats.org/drawingml/2006/main">
            <w:pict>
              <v:group id="Group 44555" style="width:12.7031pt;height:280.356pt;position:absolute;mso-position-horizontal-relative:page;mso-position-horizontal:absolute;margin-left:682.278pt;mso-position-vertical-relative:page;margin-top:531.564pt;" coordsize="1613,35605">
                <v:rect id="Rectangle 3790"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791"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33 </w:t>
                        </w:r>
                      </w:p>
                    </w:txbxContent>
                  </v:textbox>
                </v:rect>
                <w10:wrap type="square"/>
              </v:group>
            </w:pict>
          </mc:Fallback>
        </mc:AlternateContent>
      </w:r>
      <w:r>
        <w:rPr>
          <w:rFonts w:ascii="Times New Roman" w:eastAsia="Times New Roman" w:hAnsi="Times New Roman" w:cs="Times New Roman"/>
          <w:i/>
          <w:sz w:val="24"/>
        </w:rPr>
        <w:t>de vigencia será hasta el 28 de marzo de 2022, pudiendo los fir</w:t>
      </w:r>
      <w:r>
        <w:rPr>
          <w:rFonts w:ascii="Times New Roman" w:eastAsia="Times New Roman" w:hAnsi="Times New Roman" w:cs="Times New Roman"/>
          <w:i/>
          <w:sz w:val="24"/>
        </w:rPr>
        <w:t xml:space="preserve">mantes acordar unánimemente su prórroga en cualquier momento antes de su finalización.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La modificación del presente convenio podrá realizarse por mutuo acuerdo entre las </w:t>
      </w:r>
    </w:p>
    <w:p w:rsidR="0047564F" w:rsidRDefault="009856F0">
      <w:pPr>
        <w:spacing w:after="5" w:line="248" w:lineRule="auto"/>
        <w:ind w:left="-5" w:right="46" w:hanging="10"/>
        <w:jc w:val="both"/>
      </w:pPr>
      <w:r>
        <w:rPr>
          <w:rFonts w:ascii="Times New Roman" w:eastAsia="Times New Roman" w:hAnsi="Times New Roman" w:cs="Times New Roman"/>
          <w:i/>
          <w:sz w:val="24"/>
        </w:rPr>
        <w:t>partes intervinientes cuando resulte necesaria para la mejor ejecución de su obje</w:t>
      </w:r>
      <w:r>
        <w:rPr>
          <w:rFonts w:ascii="Times New Roman" w:eastAsia="Times New Roman" w:hAnsi="Times New Roman" w:cs="Times New Roman"/>
          <w:i/>
          <w:sz w:val="24"/>
        </w:rPr>
        <w:t xml:space="preserve">to.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El presente convenio se extinguirá por el cumplimiento de las actuaciones que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constituyen su objeto, o por incurrir en causa de resolución.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Las causas de resolución del presente convenio serán: </w:t>
      </w:r>
    </w:p>
    <w:p w:rsidR="0047564F" w:rsidRDefault="009856F0">
      <w:pPr>
        <w:spacing w:after="0"/>
      </w:pPr>
      <w:r>
        <w:rPr>
          <w:rFonts w:ascii="Times New Roman" w:eastAsia="Times New Roman" w:hAnsi="Times New Roman" w:cs="Times New Roman"/>
          <w:i/>
          <w:sz w:val="24"/>
        </w:rPr>
        <w:t xml:space="preserve"> </w:t>
      </w:r>
    </w:p>
    <w:p w:rsidR="0047564F" w:rsidRDefault="009856F0">
      <w:pPr>
        <w:numPr>
          <w:ilvl w:val="0"/>
          <w:numId w:val="16"/>
        </w:numPr>
        <w:spacing w:after="170" w:line="248" w:lineRule="auto"/>
        <w:ind w:right="46" w:hanging="360"/>
        <w:jc w:val="both"/>
      </w:pPr>
      <w:r>
        <w:rPr>
          <w:rFonts w:ascii="Times New Roman" w:eastAsia="Times New Roman" w:hAnsi="Times New Roman" w:cs="Times New Roman"/>
          <w:i/>
          <w:sz w:val="24"/>
        </w:rPr>
        <w:t xml:space="preserve">El transcurso del plazo de vigencia del convenio sin haberse acordado la prórroga del mismo. </w:t>
      </w:r>
    </w:p>
    <w:p w:rsidR="0047564F" w:rsidRDefault="009856F0">
      <w:pPr>
        <w:numPr>
          <w:ilvl w:val="0"/>
          <w:numId w:val="16"/>
        </w:numPr>
        <w:spacing w:after="167" w:line="248" w:lineRule="auto"/>
        <w:ind w:right="46" w:hanging="360"/>
        <w:jc w:val="both"/>
      </w:pPr>
      <w:r>
        <w:rPr>
          <w:rFonts w:ascii="Times New Roman" w:eastAsia="Times New Roman" w:hAnsi="Times New Roman" w:cs="Times New Roman"/>
          <w:i/>
          <w:sz w:val="24"/>
        </w:rPr>
        <w:t xml:space="preserve">El acuerdo unánime de ambas partes. </w:t>
      </w:r>
    </w:p>
    <w:p w:rsidR="0047564F" w:rsidRDefault="009856F0">
      <w:pPr>
        <w:numPr>
          <w:ilvl w:val="0"/>
          <w:numId w:val="16"/>
        </w:numPr>
        <w:spacing w:after="168" w:line="248" w:lineRule="auto"/>
        <w:ind w:right="46" w:hanging="360"/>
        <w:jc w:val="both"/>
      </w:pPr>
      <w:r>
        <w:rPr>
          <w:rFonts w:ascii="Times New Roman" w:eastAsia="Times New Roman" w:hAnsi="Times New Roman" w:cs="Times New Roman"/>
          <w:i/>
          <w:sz w:val="24"/>
        </w:rPr>
        <w:t xml:space="preserve">El incumplimiento de las obligaciones y compromisos asumidos por parte de alguno de los firmantes. </w:t>
      </w:r>
    </w:p>
    <w:p w:rsidR="0047564F" w:rsidRDefault="009856F0">
      <w:pPr>
        <w:numPr>
          <w:ilvl w:val="0"/>
          <w:numId w:val="16"/>
        </w:numPr>
        <w:spacing w:after="167" w:line="248" w:lineRule="auto"/>
        <w:ind w:right="46" w:hanging="360"/>
        <w:jc w:val="both"/>
      </w:pPr>
      <w:r>
        <w:rPr>
          <w:rFonts w:ascii="Times New Roman" w:eastAsia="Times New Roman" w:hAnsi="Times New Roman" w:cs="Times New Roman"/>
          <w:i/>
          <w:sz w:val="24"/>
        </w:rPr>
        <w:t>Por decisión judicial dec</w:t>
      </w:r>
      <w:r>
        <w:rPr>
          <w:rFonts w:ascii="Times New Roman" w:eastAsia="Times New Roman" w:hAnsi="Times New Roman" w:cs="Times New Roman"/>
          <w:i/>
          <w:sz w:val="24"/>
        </w:rPr>
        <w:t xml:space="preserve">laratoria de la nulidad del convenio. </w:t>
      </w:r>
    </w:p>
    <w:p w:rsidR="0047564F" w:rsidRDefault="009856F0">
      <w:pPr>
        <w:numPr>
          <w:ilvl w:val="0"/>
          <w:numId w:val="16"/>
        </w:numPr>
        <w:spacing w:after="165" w:line="248" w:lineRule="auto"/>
        <w:ind w:right="46" w:hanging="360"/>
        <w:jc w:val="both"/>
      </w:pPr>
      <w:r>
        <w:rPr>
          <w:rFonts w:ascii="Times New Roman" w:eastAsia="Times New Roman" w:hAnsi="Times New Roman" w:cs="Times New Roman"/>
          <w:i/>
          <w:sz w:val="24"/>
        </w:rPr>
        <w:t xml:space="preserve">Por cualquier otra causa que, en su caso, le fuere de aplicación de acuerdo con la legislación vigente. </w:t>
      </w:r>
    </w:p>
    <w:p w:rsidR="0047564F" w:rsidRDefault="009856F0">
      <w:pPr>
        <w:spacing w:after="5" w:line="248" w:lineRule="auto"/>
        <w:ind w:left="-5" w:right="46" w:hanging="10"/>
        <w:jc w:val="both"/>
      </w:pPr>
      <w:r>
        <w:rPr>
          <w:rFonts w:ascii="Times New Roman" w:eastAsia="Times New Roman" w:hAnsi="Times New Roman" w:cs="Times New Roman"/>
          <w:i/>
          <w:sz w:val="24"/>
        </w:rPr>
        <w:t>Cualquiera de las partes interesadas podrá denunciar los incumplimientos que observe del convenio, pero su resol</w:t>
      </w:r>
      <w:r>
        <w:rPr>
          <w:rFonts w:ascii="Times New Roman" w:eastAsia="Times New Roman" w:hAnsi="Times New Roman" w:cs="Times New Roman"/>
          <w:i/>
          <w:sz w:val="24"/>
        </w:rPr>
        <w:t xml:space="preserve">ución exigirá el acuerdo unánime de ambas.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1128" w:hanging="10"/>
      </w:pPr>
      <w:r>
        <w:rPr>
          <w:rFonts w:ascii="Times New Roman" w:eastAsia="Times New Roman" w:hAnsi="Times New Roman" w:cs="Times New Roman"/>
          <w:i/>
          <w:sz w:val="24"/>
          <w:u w:val="single" w:color="000000"/>
        </w:rPr>
        <w:t>SÉPTIMA.- Comisión de Técnica de Control y Seguimiento del convenio.</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5" w:right="46" w:firstLine="1133"/>
        <w:jc w:val="both"/>
      </w:pPr>
      <w:r>
        <w:rPr>
          <w:rFonts w:ascii="Times New Roman" w:eastAsia="Times New Roman" w:hAnsi="Times New Roman" w:cs="Times New Roman"/>
          <w:i/>
          <w:sz w:val="24"/>
        </w:rPr>
        <w:t>Tras la firma del presente convenio, se establecerá una Comisión Técnica de Control y Seguimiento a fin de garantizar el adecuado equilibr</w:t>
      </w:r>
      <w:r>
        <w:rPr>
          <w:rFonts w:ascii="Times New Roman" w:eastAsia="Times New Roman" w:hAnsi="Times New Roman" w:cs="Times New Roman"/>
          <w:i/>
          <w:sz w:val="24"/>
        </w:rPr>
        <w:t xml:space="preserve">io entre las partes en la interpretación y cumplimiento del convenio, la cual estará integrada por 4 representantes, uno nombrado por cada ayuntamiento.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Esta Comisión se reunirá a instancia de cualquiera de las partes para examinar los </w:t>
      </w:r>
    </w:p>
    <w:p w:rsidR="0047564F" w:rsidRDefault="009856F0">
      <w:pPr>
        <w:spacing w:after="5" w:line="248" w:lineRule="auto"/>
        <w:ind w:left="-5" w:right="46" w:hanging="10"/>
        <w:jc w:val="both"/>
      </w:pPr>
      <w:r>
        <w:rPr>
          <w:rFonts w:ascii="Times New Roman" w:eastAsia="Times New Roman" w:hAnsi="Times New Roman" w:cs="Times New Roman"/>
          <w:i/>
          <w:sz w:val="24"/>
        </w:rPr>
        <w:t xml:space="preserve">resultados e incidencias que surjan de la colaboración realizada.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Su funcionamiento, en lo no previsto en este convenio, se acoge a lo dispuesto sobre </w:t>
      </w:r>
    </w:p>
    <w:p w:rsidR="0047564F" w:rsidRDefault="009856F0">
      <w:pPr>
        <w:spacing w:after="5" w:line="248" w:lineRule="auto"/>
        <w:ind w:left="-5" w:right="46" w:hanging="10"/>
        <w:jc w:val="both"/>
      </w:pPr>
      <w:r>
        <w:rPr>
          <w:rFonts w:ascii="Times New Roman" w:eastAsia="Times New Roman" w:hAnsi="Times New Roman" w:cs="Times New Roman"/>
          <w:i/>
          <w:sz w:val="24"/>
        </w:rPr>
        <w:t>órganos colegiados en el Capítulo II de la Ley 40/2015, de 1 de octubre, de Régimen Jurídico del Sect</w:t>
      </w:r>
      <w:r>
        <w:rPr>
          <w:rFonts w:ascii="Times New Roman" w:eastAsia="Times New Roman" w:hAnsi="Times New Roman" w:cs="Times New Roman"/>
          <w:i/>
          <w:sz w:val="24"/>
        </w:rPr>
        <w:t xml:space="preserve">or Público.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730" w:right="46" w:hanging="10"/>
        <w:jc w:val="both"/>
      </w:pPr>
      <w:r>
        <w:rPr>
          <w:rFonts w:ascii="Times New Roman" w:eastAsia="Times New Roman" w:hAnsi="Times New Roman" w:cs="Times New Roman"/>
          <w:i/>
          <w:sz w:val="24"/>
        </w:rPr>
        <w:t xml:space="preserve">Esta Comisión de Seguimiento se encargará de: </w:t>
      </w:r>
    </w:p>
    <w:p w:rsidR="0047564F" w:rsidRDefault="009856F0">
      <w:pPr>
        <w:spacing w:after="0"/>
      </w:pPr>
      <w:r>
        <w:rPr>
          <w:rFonts w:ascii="Times New Roman" w:eastAsia="Times New Roman" w:hAnsi="Times New Roman" w:cs="Times New Roman"/>
          <w:i/>
          <w:sz w:val="24"/>
        </w:rPr>
        <w:t xml:space="preserve"> </w:t>
      </w:r>
    </w:p>
    <w:p w:rsidR="0047564F" w:rsidRDefault="009856F0">
      <w:pPr>
        <w:numPr>
          <w:ilvl w:val="0"/>
          <w:numId w:val="17"/>
        </w:numPr>
        <w:spacing w:after="144" w:line="248" w:lineRule="auto"/>
        <w:ind w:right="46" w:hanging="360"/>
        <w:jc w:val="both"/>
      </w:pPr>
      <w:r>
        <w:rPr>
          <w:rFonts w:ascii="Times New Roman" w:eastAsia="Times New Roman" w:hAnsi="Times New Roman" w:cs="Times New Roman"/>
          <w:i/>
          <w:sz w:val="24"/>
        </w:rPr>
        <w:t xml:space="preserve">Realizar el seguimiento Técnico de las actuaciones del convenio. </w:t>
      </w:r>
    </w:p>
    <w:p w:rsidR="0047564F" w:rsidRDefault="009856F0">
      <w:pPr>
        <w:numPr>
          <w:ilvl w:val="0"/>
          <w:numId w:val="17"/>
        </w:numPr>
        <w:spacing w:after="189" w:line="248" w:lineRule="auto"/>
        <w:ind w:right="46" w:hanging="360"/>
        <w:jc w:val="both"/>
      </w:pPr>
      <w:r>
        <w:rPr>
          <w:rFonts w:ascii="Times New Roman" w:eastAsia="Times New Roman" w:hAnsi="Times New Roman" w:cs="Times New Roman"/>
          <w:i/>
          <w:sz w:val="24"/>
        </w:rPr>
        <w:t xml:space="preserve">Resolver los problemas de interpretación y cumplimiento que se deriven del presente convenio. </w:t>
      </w:r>
    </w:p>
    <w:p w:rsidR="0047564F" w:rsidRDefault="009856F0">
      <w:pPr>
        <w:numPr>
          <w:ilvl w:val="0"/>
          <w:numId w:val="17"/>
        </w:numPr>
        <w:spacing w:after="121" w:line="248" w:lineRule="auto"/>
        <w:ind w:right="46" w:hanging="360"/>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4411" name="Group 44411"/>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907" name="Rectangle 3907"/>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908" name="Rectangle 3908"/>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24 de 33 </w:t>
                              </w:r>
                            </w:p>
                          </w:txbxContent>
                        </wps:txbx>
                        <wps:bodyPr horzOverflow="overflow" vert="horz" lIns="0" tIns="0" rIns="0" bIns="0" rtlCol="0">
                          <a:noAutofit/>
                        </wps:bodyPr>
                      </wps:wsp>
                    </wpg:wgp>
                  </a:graphicData>
                </a:graphic>
              </wp:anchor>
            </w:drawing>
          </mc:Choice>
          <mc:Fallback xmlns:a="http://schemas.openxmlformats.org/drawingml/2006/main">
            <w:pict>
              <v:group id="Group 44411" style="width:12.7031pt;height:280.356pt;position:absolute;mso-position-horizontal-relative:page;mso-position-horizontal:absolute;margin-left:682.278pt;mso-position-vertical-relative:page;margin-top:531.564pt;" coordsize="1613,35605">
                <v:rect id="Rectangle 3907"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908"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33 </w:t>
                        </w:r>
                      </w:p>
                    </w:txbxContent>
                  </v:textbox>
                </v:rect>
                <w10:wrap type="square"/>
              </v:group>
            </w:pict>
          </mc:Fallback>
        </mc:AlternateContent>
      </w:r>
      <w:r>
        <w:rPr>
          <w:rFonts w:ascii="Times New Roman" w:eastAsia="Times New Roman" w:hAnsi="Times New Roman" w:cs="Times New Roman"/>
          <w:i/>
          <w:sz w:val="24"/>
        </w:rPr>
        <w:t xml:space="preserve">Garantizar el intercambio de la información.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0"/>
        <w:ind w:left="720"/>
      </w:pPr>
      <w:r>
        <w:rPr>
          <w:rFonts w:ascii="Times New Roman" w:eastAsia="Times New Roman" w:hAnsi="Times New Roman" w:cs="Times New Roman"/>
          <w:i/>
          <w:sz w:val="24"/>
        </w:rPr>
        <w:t xml:space="preserve"> </w:t>
      </w:r>
    </w:p>
    <w:p w:rsidR="0047564F" w:rsidRDefault="009856F0">
      <w:pPr>
        <w:spacing w:after="0"/>
        <w:ind w:left="730" w:hanging="10"/>
      </w:pPr>
      <w:r>
        <w:rPr>
          <w:rFonts w:ascii="Times New Roman" w:eastAsia="Times New Roman" w:hAnsi="Times New Roman" w:cs="Times New Roman"/>
          <w:i/>
          <w:sz w:val="24"/>
          <w:u w:val="single" w:color="000000"/>
        </w:rPr>
        <w:t>OCTAVA.- Régi</w:t>
      </w:r>
      <w:r>
        <w:rPr>
          <w:rFonts w:ascii="Times New Roman" w:eastAsia="Times New Roman" w:hAnsi="Times New Roman" w:cs="Times New Roman"/>
          <w:i/>
          <w:sz w:val="24"/>
          <w:u w:val="single" w:color="000000"/>
        </w:rPr>
        <w:t>men Jurídico y Jurisdicción</w:t>
      </w:r>
      <w:r>
        <w:rPr>
          <w:rFonts w:ascii="Times New Roman" w:eastAsia="Times New Roman" w:hAnsi="Times New Roman" w:cs="Times New Roman"/>
          <w:i/>
          <w:sz w:val="24"/>
        </w:rPr>
        <w:t xml:space="preserve"> </w:t>
      </w:r>
    </w:p>
    <w:p w:rsidR="0047564F" w:rsidRDefault="009856F0">
      <w:pPr>
        <w:spacing w:after="0"/>
      </w:pPr>
      <w:r>
        <w:rPr>
          <w:rFonts w:ascii="Times New Roman" w:eastAsia="Times New Roman" w:hAnsi="Times New Roman" w:cs="Times New Roman"/>
          <w:i/>
          <w:sz w:val="24"/>
        </w:rPr>
        <w:t xml:space="preserv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Será de aplicación al presente Convenio la Ley 40/2015, de 1 de octubre, de régimen </w:t>
      </w:r>
    </w:p>
    <w:p w:rsidR="0047564F" w:rsidRDefault="009856F0">
      <w:pPr>
        <w:spacing w:after="5" w:line="248" w:lineRule="auto"/>
        <w:ind w:left="-5" w:right="46" w:hanging="10"/>
        <w:jc w:val="both"/>
      </w:pPr>
      <w:r>
        <w:rPr>
          <w:rFonts w:ascii="Times New Roman" w:eastAsia="Times New Roman" w:hAnsi="Times New Roman" w:cs="Times New Roman"/>
          <w:i/>
          <w:sz w:val="24"/>
        </w:rPr>
        <w:t>jurídico del Sector Público; la Ley 7/1985, de 2 de abril, reguladora de las Bases del Régimen Local; la Ley 8/2015, de 1 de abril, de Cabil</w:t>
      </w:r>
      <w:r>
        <w:rPr>
          <w:rFonts w:ascii="Times New Roman" w:eastAsia="Times New Roman" w:hAnsi="Times New Roman" w:cs="Times New Roman"/>
          <w:i/>
          <w:sz w:val="24"/>
        </w:rPr>
        <w:t xml:space="preserve">dos Insulares; la Ley 4/2017, de 13 de julio, del Suelo y de los Espacios Naturales Protegidos de Canarias; y demás normativa concordante. </w:t>
      </w:r>
    </w:p>
    <w:p w:rsidR="0047564F" w:rsidRDefault="009856F0">
      <w:pPr>
        <w:spacing w:after="5" w:line="248" w:lineRule="auto"/>
        <w:ind w:left="1143" w:right="46" w:hanging="10"/>
        <w:jc w:val="both"/>
      </w:pPr>
      <w:r>
        <w:rPr>
          <w:rFonts w:ascii="Times New Roman" w:eastAsia="Times New Roman" w:hAnsi="Times New Roman" w:cs="Times New Roman"/>
          <w:i/>
          <w:sz w:val="24"/>
        </w:rPr>
        <w:t xml:space="preserve">Los Juzgados de lo Contencioso-Administrativo de Santa Cruz de Tenerife son los </w:t>
      </w:r>
    </w:p>
    <w:p w:rsidR="0047564F" w:rsidRDefault="009856F0">
      <w:pPr>
        <w:spacing w:after="5" w:line="248" w:lineRule="auto"/>
        <w:ind w:left="-5" w:right="46" w:hanging="10"/>
        <w:jc w:val="both"/>
      </w:pPr>
      <w:r>
        <w:rPr>
          <w:rFonts w:ascii="Times New Roman" w:eastAsia="Times New Roman" w:hAnsi="Times New Roman" w:cs="Times New Roman"/>
          <w:i/>
          <w:sz w:val="24"/>
        </w:rPr>
        <w:t>competentes para conocer de los rec</w:t>
      </w:r>
      <w:r>
        <w:rPr>
          <w:rFonts w:ascii="Times New Roman" w:eastAsia="Times New Roman" w:hAnsi="Times New Roman" w:cs="Times New Roman"/>
          <w:i/>
          <w:sz w:val="24"/>
        </w:rPr>
        <w:t xml:space="preserve">ursos que se deduzcan en relación con el presente Convenio, de conformidad con lo dispuesto en el artículo 8.1 de la Ley 29/1998, de 13 de julio, reguladora de la Jurisdicción Contencioso-administrativa. </w:t>
      </w:r>
    </w:p>
    <w:p w:rsidR="0047564F" w:rsidRDefault="009856F0">
      <w:pPr>
        <w:spacing w:after="5" w:line="248" w:lineRule="auto"/>
        <w:ind w:left="1143" w:right="46" w:hanging="10"/>
        <w:jc w:val="both"/>
      </w:pPr>
      <w:r>
        <w:rPr>
          <w:rFonts w:ascii="Times New Roman" w:eastAsia="Times New Roman" w:hAnsi="Times New Roman" w:cs="Times New Roman"/>
          <w:i/>
          <w:sz w:val="24"/>
        </w:rPr>
        <w:t>Y en prueba de conformidad, firman las partes inter</w:t>
      </w:r>
      <w:r>
        <w:rPr>
          <w:rFonts w:ascii="Times New Roman" w:eastAsia="Times New Roman" w:hAnsi="Times New Roman" w:cs="Times New Roman"/>
          <w:i/>
          <w:sz w:val="24"/>
        </w:rPr>
        <w:t xml:space="preserve">vinientes el presente documento, </w:t>
      </w:r>
    </w:p>
    <w:p w:rsidR="0047564F" w:rsidRDefault="009856F0">
      <w:pPr>
        <w:spacing w:after="5" w:line="248" w:lineRule="auto"/>
        <w:ind w:left="-5" w:right="46" w:hanging="10"/>
        <w:jc w:val="both"/>
      </w:pPr>
      <w:r>
        <w:rPr>
          <w:rFonts w:ascii="Times New Roman" w:eastAsia="Times New Roman" w:hAnsi="Times New Roman" w:cs="Times New Roman"/>
          <w:i/>
          <w:sz w:val="24"/>
        </w:rPr>
        <w:t>dando fe pública de ello los Secretarios/as Generales de los Ayuntamientos, de conformidad con lo dispuesto en el artículo 3.2 i) del Real Decreto 128/2018, de 16 de marzo, por el que se regula el régimen jurídico de los f</w:t>
      </w:r>
      <w:r>
        <w:rPr>
          <w:rFonts w:ascii="Times New Roman" w:eastAsia="Times New Roman" w:hAnsi="Times New Roman" w:cs="Times New Roman"/>
          <w:i/>
          <w:sz w:val="24"/>
        </w:rPr>
        <w:t xml:space="preserve">uncionarios de Administración Local con habilitación de carácter nacional. </w:t>
      </w:r>
    </w:p>
    <w:p w:rsidR="0047564F" w:rsidRDefault="009856F0">
      <w:pPr>
        <w:spacing w:after="98"/>
        <w:ind w:left="1133"/>
      </w:pPr>
      <w:r>
        <w:rPr>
          <w:rFonts w:ascii="Arial" w:eastAsia="Arial" w:hAnsi="Arial" w:cs="Arial"/>
          <w:i/>
        </w:rPr>
        <w:t xml:space="preserve"> </w:t>
      </w:r>
    </w:p>
    <w:p w:rsidR="0047564F" w:rsidRDefault="009856F0">
      <w:pPr>
        <w:spacing w:after="10" w:line="248" w:lineRule="auto"/>
        <w:ind w:left="1143" w:right="44" w:hanging="10"/>
        <w:jc w:val="both"/>
      </w:pPr>
      <w:r>
        <w:rPr>
          <w:rFonts w:ascii="Arial" w:eastAsia="Arial" w:hAnsi="Arial" w:cs="Arial"/>
          <w:i/>
        </w:rPr>
        <w:t xml:space="preserve">Segundo.- Autorizar a la Alcaldesa-Presidenta para la firma electrónica del presente </w:t>
      </w:r>
    </w:p>
    <w:p w:rsidR="0047564F" w:rsidRDefault="009856F0">
      <w:pPr>
        <w:spacing w:after="108" w:line="248" w:lineRule="auto"/>
        <w:ind w:left="-5" w:right="44" w:hanging="10"/>
        <w:jc w:val="both"/>
      </w:pPr>
      <w:r>
        <w:rPr>
          <w:rFonts w:ascii="Arial" w:eastAsia="Arial" w:hAnsi="Arial" w:cs="Arial"/>
          <w:i/>
        </w:rPr>
        <w:t xml:space="preserve">convenio. </w:t>
      </w:r>
    </w:p>
    <w:p w:rsidR="0047564F" w:rsidRDefault="009856F0">
      <w:pPr>
        <w:spacing w:after="10" w:line="248" w:lineRule="auto"/>
        <w:ind w:left="1143" w:right="44" w:hanging="10"/>
        <w:jc w:val="both"/>
      </w:pPr>
      <w:r>
        <w:rPr>
          <w:rFonts w:ascii="Arial" w:eastAsia="Arial" w:hAnsi="Arial" w:cs="Arial"/>
          <w:i/>
        </w:rPr>
        <w:t xml:space="preserve">Tercero.- Nombrar al Ingeniero Técnico Industrial Don Daniel Espejo Cómez como </w:t>
      </w:r>
    </w:p>
    <w:p w:rsidR="0047564F" w:rsidRDefault="009856F0">
      <w:pPr>
        <w:spacing w:after="110" w:line="248" w:lineRule="auto"/>
        <w:ind w:left="-5" w:right="44" w:hanging="10"/>
        <w:jc w:val="both"/>
      </w:pPr>
      <w:r>
        <w:rPr>
          <w:rFonts w:ascii="Arial" w:eastAsia="Arial" w:hAnsi="Arial" w:cs="Arial"/>
          <w:i/>
        </w:rPr>
        <w:t>miembro de la Comisión técnica de Seguimiento del convenio en representación del Ayuntamiento de Candelaria que será el responsable técnico de la ejecución del presente convenio en representación del Ayuntamiento de Candelaria debiendo dar cuenta a este Ay</w:t>
      </w:r>
      <w:r>
        <w:rPr>
          <w:rFonts w:ascii="Arial" w:eastAsia="Arial" w:hAnsi="Arial" w:cs="Arial"/>
          <w:i/>
        </w:rPr>
        <w:t xml:space="preserve">untamiento del cumplimiento  y ejecución del convenio. </w:t>
      </w:r>
    </w:p>
    <w:p w:rsidR="0047564F" w:rsidRDefault="009856F0">
      <w:pPr>
        <w:spacing w:after="113" w:line="248" w:lineRule="auto"/>
        <w:ind w:left="-15" w:right="44" w:firstLine="1133"/>
        <w:jc w:val="both"/>
      </w:pPr>
      <w:r>
        <w:rPr>
          <w:rFonts w:ascii="Arial" w:eastAsia="Arial" w:hAnsi="Arial" w:cs="Arial"/>
          <w:i/>
        </w:rPr>
        <w:t>Cuarto.- Notificar el presente acuerdo a los Ayuntamientos de Arafo, Güimar y el Rosario, al Consejo Insular de Aguas de Tenerife y la Dirección General del Cambio Climático y Medio Natural de la Cons</w:t>
      </w:r>
      <w:r>
        <w:rPr>
          <w:rFonts w:ascii="Arial" w:eastAsia="Arial" w:hAnsi="Arial" w:cs="Arial"/>
          <w:i/>
        </w:rPr>
        <w:t xml:space="preserve">ejería de Transición Ecológica del Gobierno de Canarias”. </w:t>
      </w:r>
    </w:p>
    <w:p w:rsidR="0047564F" w:rsidRDefault="009856F0">
      <w:pPr>
        <w:spacing w:after="98"/>
        <w:ind w:left="1133"/>
      </w:pPr>
      <w:r>
        <w:rPr>
          <w:rFonts w:ascii="Arial" w:eastAsia="Arial" w:hAnsi="Arial" w:cs="Arial"/>
          <w:i/>
        </w:rPr>
        <w:t xml:space="preserve"> </w:t>
      </w:r>
    </w:p>
    <w:p w:rsidR="0047564F" w:rsidRDefault="009856F0">
      <w:pPr>
        <w:spacing w:after="98"/>
        <w:ind w:left="1133"/>
      </w:pPr>
      <w:r>
        <w:rPr>
          <w:rFonts w:ascii="Arial" w:eastAsia="Arial" w:hAnsi="Arial" w:cs="Arial"/>
          <w:i/>
        </w:rPr>
        <w:t xml:space="preserve"> </w:t>
      </w:r>
    </w:p>
    <w:p w:rsidR="0047564F" w:rsidRDefault="009856F0">
      <w:pPr>
        <w:spacing w:after="98"/>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6750863</wp:posOffset>
                </wp:positionV>
                <wp:extent cx="161330" cy="3560522"/>
                <wp:effectExtent l="0" t="0" r="0" b="0"/>
                <wp:wrapTopAndBottom/>
                <wp:docPr id="43722" name="Group 43722"/>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3976" name="Rectangle 3976"/>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3977" name="Rectangle 3977"/>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25 de 33 </w:t>
                              </w:r>
                            </w:p>
                          </w:txbxContent>
                        </wps:txbx>
                        <wps:bodyPr horzOverflow="overflow" vert="horz" lIns="0" tIns="0" rIns="0" bIns="0" rtlCol="0">
                          <a:noAutofit/>
                        </wps:bodyPr>
                      </wps:wsp>
                    </wpg:wgp>
                  </a:graphicData>
                </a:graphic>
              </wp:anchor>
            </w:drawing>
          </mc:Choice>
          <mc:Fallback xmlns:a="http://schemas.openxmlformats.org/drawingml/2006/main">
            <w:pict>
              <v:group id="Group 43722" style="width:12.7031pt;height:280.356pt;position:absolute;mso-position-horizontal-relative:page;mso-position-horizontal:absolute;margin-left:682.278pt;mso-position-vertical-relative:page;margin-top:531.564pt;" coordsize="1613,35605">
                <v:rect id="Rectangle 3976"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3977"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33 </w:t>
                        </w:r>
                      </w:p>
                    </w:txbxContent>
                  </v:textbox>
                </v:rect>
                <w10:wrap type="topAndBottom"/>
              </v:group>
            </w:pict>
          </mc:Fallback>
        </mc:AlternateContent>
      </w: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98"/>
        <w:ind w:left="3401"/>
      </w:pPr>
      <w:r>
        <w:rPr>
          <w:rFonts w:ascii="Arial" w:eastAsia="Arial" w:hAnsi="Arial" w:cs="Arial"/>
          <w:b/>
        </w:rPr>
        <w:t xml:space="preserve"> </w:t>
      </w:r>
    </w:p>
    <w:p w:rsidR="0047564F" w:rsidRDefault="009856F0">
      <w:pPr>
        <w:spacing w:after="100"/>
        <w:ind w:left="3401"/>
      </w:pPr>
      <w:r>
        <w:rPr>
          <w:rFonts w:ascii="Arial" w:eastAsia="Arial" w:hAnsi="Arial" w:cs="Arial"/>
          <w:b/>
        </w:rPr>
        <w:t xml:space="preserve"> </w:t>
      </w:r>
    </w:p>
    <w:p w:rsidR="0047564F" w:rsidRDefault="009856F0">
      <w:pPr>
        <w:spacing w:after="0"/>
        <w:ind w:left="3401"/>
      </w:pPr>
      <w:r>
        <w:rPr>
          <w:rFonts w:ascii="Arial" w:eastAsia="Arial" w:hAnsi="Arial" w:cs="Arial"/>
          <w:b/>
        </w:rPr>
        <w:t xml:space="preserve"> </w:t>
      </w:r>
    </w:p>
    <w:p w:rsidR="0047564F" w:rsidRDefault="009856F0">
      <w:pPr>
        <w:pStyle w:val="Ttulo1"/>
        <w:spacing w:after="110"/>
        <w:ind w:left="423"/>
      </w:pPr>
      <w:r>
        <w:t xml:space="preserve">DECLARACIÓN DE URGENCIA </w:t>
      </w:r>
    </w:p>
    <w:p w:rsidR="0047564F" w:rsidRDefault="009856F0">
      <w:pPr>
        <w:spacing w:after="5" w:line="249" w:lineRule="auto"/>
        <w:ind w:left="1143" w:right="46" w:hanging="10"/>
        <w:jc w:val="both"/>
      </w:pPr>
      <w:r>
        <w:rPr>
          <w:rFonts w:ascii="Arial" w:eastAsia="Arial" w:hAnsi="Arial" w:cs="Arial"/>
          <w:b/>
        </w:rPr>
        <w:t xml:space="preserve">El Pleno de la Corporación por la unanimidad de los miembros presentes declaró </w:t>
      </w:r>
    </w:p>
    <w:p w:rsidR="0047564F" w:rsidRDefault="009856F0">
      <w:pPr>
        <w:spacing w:after="115" w:line="249" w:lineRule="auto"/>
        <w:ind w:left="-5" w:right="46" w:hanging="10"/>
        <w:jc w:val="both"/>
      </w:pPr>
      <w:r>
        <w:rPr>
          <w:rFonts w:ascii="Arial" w:eastAsia="Arial" w:hAnsi="Arial" w:cs="Arial"/>
          <w:b/>
        </w:rPr>
        <w:t xml:space="preserve">la urgencia del presente asunto y su ratificación en el orden del día según el artículo 46.2 b) de la Ley de Bases del Régimen Local y el artículo 82.3 del ROF y todo ello que viene motivado según consta en la convocatoria de hoy realizada a las 14:00 del </w:t>
      </w:r>
      <w:r>
        <w:rPr>
          <w:rFonts w:ascii="Arial" w:eastAsia="Arial" w:hAnsi="Arial" w:cs="Arial"/>
          <w:b/>
        </w:rPr>
        <w:t xml:space="preserve">día 4 de marzo de 2022: </w:t>
      </w:r>
    </w:p>
    <w:p w:rsidR="0047564F" w:rsidRDefault="009856F0">
      <w:pPr>
        <w:spacing w:after="110" w:line="248" w:lineRule="auto"/>
        <w:ind w:left="-15" w:right="39" w:firstLine="708"/>
        <w:jc w:val="both"/>
      </w:pPr>
      <w:r>
        <w:rPr>
          <w:rFonts w:ascii="Arial" w:eastAsia="Arial" w:hAnsi="Arial" w:cs="Arial"/>
        </w:rPr>
        <w:t>Motivo: Es necesario en el día de hoy aprobar y formalizar el presente convenio a los efectos de que el Ayuntamiento de El Rosario autorice y se regule la forma de depositar en la Estación Depuradora del Polígono Industrial de la C</w:t>
      </w:r>
      <w:r>
        <w:rPr>
          <w:rFonts w:ascii="Arial" w:eastAsia="Arial" w:hAnsi="Arial" w:cs="Arial"/>
        </w:rPr>
        <w:t>ampana los vertidos del PI del Valle de Güimar según el Plan de Etapas aprobado el día 28-2-2022.</w:t>
      </w:r>
      <w:r>
        <w:rPr>
          <w:rFonts w:ascii="Arial" w:eastAsia="Arial" w:hAnsi="Arial" w:cs="Arial"/>
          <w:b/>
        </w:rPr>
        <w:t xml:space="preserve"> </w:t>
      </w:r>
    </w:p>
    <w:p w:rsidR="0047564F" w:rsidRDefault="009856F0">
      <w:pPr>
        <w:spacing w:after="100"/>
      </w:pPr>
      <w:r>
        <w:rPr>
          <w:rFonts w:ascii="Arial" w:eastAsia="Arial" w:hAnsi="Arial" w:cs="Arial"/>
          <w:b/>
        </w:rPr>
        <w:t xml:space="preserve"> </w:t>
      </w:r>
    </w:p>
    <w:p w:rsidR="0047564F" w:rsidRDefault="009856F0">
      <w:pPr>
        <w:spacing w:after="107" w:line="249" w:lineRule="auto"/>
        <w:ind w:left="-5" w:right="46" w:hanging="10"/>
        <w:jc w:val="both"/>
      </w:pPr>
      <w:r>
        <w:rPr>
          <w:rFonts w:ascii="Arial" w:eastAsia="Arial" w:hAnsi="Arial" w:cs="Arial"/>
          <w:b/>
        </w:rPr>
        <w:t xml:space="preserve">VOTACIÓN SOBRE EL FONDO DEL ASUNTO. </w:t>
      </w:r>
    </w:p>
    <w:p w:rsidR="0047564F" w:rsidRDefault="009856F0">
      <w:pPr>
        <w:spacing w:after="103"/>
      </w:pPr>
      <w:r>
        <w:rPr>
          <w:rFonts w:ascii="Arial" w:eastAsia="Arial" w:hAnsi="Arial" w:cs="Arial"/>
          <w:b/>
        </w:rPr>
        <w:t xml:space="preserve"> </w:t>
      </w:r>
    </w:p>
    <w:p w:rsidR="0047564F" w:rsidRDefault="009856F0">
      <w:pPr>
        <w:spacing w:after="11" w:line="248" w:lineRule="auto"/>
        <w:ind w:left="-5" w:right="39" w:hanging="10"/>
        <w:jc w:val="both"/>
      </w:pPr>
      <w:r>
        <w:rPr>
          <w:rFonts w:ascii="Arial" w:eastAsia="Arial" w:hAnsi="Arial" w:cs="Arial"/>
        </w:rPr>
        <w:t xml:space="preserve">Votos a favor: 12. </w:t>
      </w:r>
    </w:p>
    <w:p w:rsidR="0047564F" w:rsidRDefault="009856F0">
      <w:pPr>
        <w:spacing w:after="98"/>
      </w:pPr>
      <w:r>
        <w:rPr>
          <w:rFonts w:ascii="Arial" w:eastAsia="Arial" w:hAnsi="Arial" w:cs="Arial"/>
        </w:rPr>
        <w:t xml:space="preserve"> </w:t>
      </w:r>
    </w:p>
    <w:p w:rsidR="0047564F" w:rsidRDefault="009856F0">
      <w:pPr>
        <w:spacing w:after="110" w:line="248" w:lineRule="auto"/>
        <w:ind w:left="-5" w:right="39" w:hanging="10"/>
        <w:jc w:val="both"/>
      </w:pPr>
      <w:r>
        <w:rPr>
          <w:rFonts w:ascii="Arial" w:eastAsia="Arial" w:hAnsi="Arial" w:cs="Arial"/>
        </w:rPr>
        <w:t>11 concejales del Grupo Socialista: Doña María Concepción Brito Núñez, Doña Don Jorge Baute De</w:t>
      </w:r>
      <w:r>
        <w:rPr>
          <w:rFonts w:ascii="Arial" w:eastAsia="Arial" w:hAnsi="Arial" w:cs="Arial"/>
        </w:rPr>
        <w:t>lgado, Doña Olivia Concepción Pérez Díaz, Don José Francisco Pinto Ramos, Doña Hilaria Cecilia Otazo González, Don Airam Pérez Chinea, Doña Margarita Eva Tendero Barroso, Don Manuel Alberto González Pestano, Doña María del Carmen Clemente Díaz, Don Olegari</w:t>
      </w:r>
      <w:r>
        <w:rPr>
          <w:rFonts w:ascii="Arial" w:eastAsia="Arial" w:hAnsi="Arial" w:cs="Arial"/>
        </w:rPr>
        <w:t xml:space="preserve">o Francisco Alonso Bello y Don Reinaldo José Triviño Blanco. </w:t>
      </w:r>
    </w:p>
    <w:p w:rsidR="0047564F" w:rsidRDefault="009856F0">
      <w:pPr>
        <w:numPr>
          <w:ilvl w:val="0"/>
          <w:numId w:val="18"/>
        </w:numPr>
        <w:spacing w:after="110" w:line="248" w:lineRule="auto"/>
        <w:ind w:right="39" w:hanging="185"/>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3509" name="Group 43509"/>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083" name="Rectangle 4083"/>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084" name="Rectangle 4084"/>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26 de 33 </w:t>
                              </w:r>
                            </w:p>
                          </w:txbxContent>
                        </wps:txbx>
                        <wps:bodyPr horzOverflow="overflow" vert="horz" lIns="0" tIns="0" rIns="0" bIns="0" rtlCol="0">
                          <a:noAutofit/>
                        </wps:bodyPr>
                      </wps:wsp>
                    </wpg:wgp>
                  </a:graphicData>
                </a:graphic>
              </wp:anchor>
            </w:drawing>
          </mc:Choice>
          <mc:Fallback xmlns:a="http://schemas.openxmlformats.org/drawingml/2006/main">
            <w:pict>
              <v:group id="Group 43509" style="width:12.7031pt;height:280.356pt;position:absolute;mso-position-horizontal-relative:page;mso-position-horizontal:absolute;margin-left:682.278pt;mso-position-vertical-relative:page;margin-top:531.564pt;" coordsize="1613,35605">
                <v:rect id="Rectangle 4083"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084"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33 </w:t>
                        </w:r>
                      </w:p>
                    </w:txbxContent>
                  </v:textbox>
                </v:rect>
                <w10:wrap type="square"/>
              </v:group>
            </w:pict>
          </mc:Fallback>
        </mc:AlternateContent>
      </w:r>
      <w:r>
        <w:rPr>
          <w:rFonts w:ascii="Arial" w:eastAsia="Arial" w:hAnsi="Arial" w:cs="Arial"/>
        </w:rPr>
        <w:t xml:space="preserve">de la concejal del Grupo Mixto (VxC): Doña Alicia Mercedes Marrero Meneses. </w:t>
      </w:r>
    </w:p>
    <w:p w:rsidR="0047564F" w:rsidRDefault="009856F0">
      <w:pPr>
        <w:spacing w:after="98"/>
      </w:pPr>
      <w:r>
        <w:rPr>
          <w:rFonts w:ascii="Arial" w:eastAsia="Arial" w:hAnsi="Arial" w:cs="Arial"/>
        </w:rPr>
        <w:t xml:space="preserve"> </w:t>
      </w:r>
    </w:p>
    <w:p w:rsidR="0047564F" w:rsidRDefault="009856F0">
      <w:pPr>
        <w:spacing w:after="110" w:line="248" w:lineRule="auto"/>
        <w:ind w:left="-5" w:right="39" w:hanging="10"/>
        <w:jc w:val="both"/>
      </w:pPr>
      <w:r>
        <w:rPr>
          <w:rFonts w:ascii="Arial" w:eastAsia="Arial" w:hAnsi="Arial" w:cs="Arial"/>
        </w:rPr>
        <w:t xml:space="preserve">Abstenciones: 5. </w:t>
      </w:r>
    </w:p>
    <w:p w:rsidR="0047564F" w:rsidRDefault="009856F0">
      <w:pPr>
        <w:numPr>
          <w:ilvl w:val="0"/>
          <w:numId w:val="18"/>
        </w:numPr>
        <w:spacing w:after="110" w:line="248" w:lineRule="auto"/>
        <w:ind w:right="39" w:hanging="185"/>
        <w:jc w:val="both"/>
      </w:pPr>
      <w:r>
        <w:rPr>
          <w:rFonts w:ascii="Arial" w:eastAsia="Arial" w:hAnsi="Arial" w:cs="Arial"/>
        </w:rPr>
        <w:t>concejales del Grupo Popular: Don Jacobo López Fariña y Doña Raque</w:t>
      </w:r>
      <w:r>
        <w:rPr>
          <w:rFonts w:ascii="Arial" w:eastAsia="Arial" w:hAnsi="Arial" w:cs="Arial"/>
        </w:rPr>
        <w:t xml:space="preserve">l Martín Castro. </w:t>
      </w:r>
    </w:p>
    <w:p w:rsidR="0047564F" w:rsidRDefault="009856F0">
      <w:pPr>
        <w:spacing w:after="110" w:line="248" w:lineRule="auto"/>
        <w:ind w:left="-5" w:right="39" w:hanging="10"/>
        <w:jc w:val="both"/>
      </w:pPr>
      <w:r>
        <w:rPr>
          <w:rFonts w:ascii="Arial" w:eastAsia="Arial" w:hAnsi="Arial" w:cs="Arial"/>
        </w:rPr>
        <w:t xml:space="preserve">2 de los concejales del Grupo Mixto (SSP): Doña Lourdes del Carmen Mondéjar Rondón y Don Antonio Delgado García. </w:t>
      </w:r>
    </w:p>
    <w:p w:rsidR="0047564F" w:rsidRDefault="009856F0">
      <w:pPr>
        <w:spacing w:after="110" w:line="248" w:lineRule="auto"/>
        <w:ind w:left="-5" w:right="39" w:hanging="10"/>
        <w:jc w:val="both"/>
      </w:pPr>
      <w:r>
        <w:rPr>
          <w:rFonts w:ascii="Arial" w:eastAsia="Arial" w:hAnsi="Arial" w:cs="Arial"/>
        </w:rPr>
        <w:t xml:space="preserve">1 de la concejal del Grupo Mixto (CC-PNC): Doña Ángela Cruz Perera. </w:t>
      </w:r>
    </w:p>
    <w:p w:rsidR="0047564F" w:rsidRDefault="009856F0">
      <w:pPr>
        <w:spacing w:after="100"/>
      </w:pPr>
      <w:r>
        <w:rPr>
          <w:rFonts w:ascii="Arial" w:eastAsia="Arial" w:hAnsi="Arial" w:cs="Arial"/>
          <w:b/>
        </w:rPr>
        <w:t xml:space="preserve"> </w:t>
      </w:r>
    </w:p>
    <w:p w:rsidR="0047564F" w:rsidRDefault="009856F0">
      <w:pPr>
        <w:spacing w:after="98"/>
      </w:pPr>
      <w:r>
        <w:rPr>
          <w:rFonts w:ascii="Arial" w:eastAsia="Arial" w:hAnsi="Arial" w:cs="Arial"/>
          <w:b/>
        </w:rPr>
        <w:t xml:space="preserve"> </w:t>
      </w:r>
    </w:p>
    <w:p w:rsidR="0047564F" w:rsidRDefault="009856F0">
      <w:pPr>
        <w:spacing w:after="98"/>
      </w:pPr>
      <w:r>
        <w:rPr>
          <w:rFonts w:ascii="Arial" w:eastAsia="Arial" w:hAnsi="Arial" w:cs="Arial"/>
          <w:b/>
        </w:rPr>
        <w:t xml:space="preserve"> </w:t>
      </w:r>
    </w:p>
    <w:p w:rsidR="0047564F" w:rsidRDefault="009856F0">
      <w:pPr>
        <w:spacing w:after="100"/>
      </w:pPr>
      <w:r>
        <w:rPr>
          <w:rFonts w:ascii="Arial" w:eastAsia="Arial" w:hAnsi="Arial" w:cs="Arial"/>
          <w:b/>
        </w:rPr>
        <w:t xml:space="preserve"> </w:t>
      </w:r>
    </w:p>
    <w:p w:rsidR="0047564F" w:rsidRDefault="009856F0">
      <w:pPr>
        <w:spacing w:after="100"/>
      </w:pPr>
      <w:r>
        <w:rPr>
          <w:rFonts w:ascii="Arial" w:eastAsia="Arial" w:hAnsi="Arial" w:cs="Arial"/>
          <w:b/>
        </w:rPr>
        <w:t xml:space="preserve"> </w:t>
      </w:r>
    </w:p>
    <w:p w:rsidR="0047564F" w:rsidRDefault="009856F0">
      <w:pPr>
        <w:spacing w:after="100"/>
        <w:ind w:left="1133"/>
      </w:pPr>
      <w:r>
        <w:rPr>
          <w:rFonts w:ascii="Arial" w:eastAsia="Arial" w:hAnsi="Arial" w:cs="Arial"/>
          <w:i/>
        </w:rPr>
        <w:t xml:space="preserve"> </w:t>
      </w:r>
    </w:p>
    <w:p w:rsidR="0047564F" w:rsidRDefault="009856F0">
      <w:pPr>
        <w:spacing w:after="98"/>
        <w:ind w:left="1133"/>
      </w:pPr>
      <w:r>
        <w:rPr>
          <w:rFonts w:ascii="Arial" w:eastAsia="Arial" w:hAnsi="Arial" w:cs="Arial"/>
          <w:i/>
        </w:rPr>
        <w:t xml:space="preserve"> </w:t>
      </w:r>
    </w:p>
    <w:p w:rsidR="0047564F" w:rsidRDefault="009856F0">
      <w:pPr>
        <w:spacing w:after="115"/>
        <w:ind w:left="1133"/>
      </w:pPr>
      <w:r>
        <w:rPr>
          <w:rFonts w:ascii="Arial" w:eastAsia="Arial" w:hAnsi="Arial" w:cs="Arial"/>
          <w:i/>
        </w:rPr>
        <w:t xml:space="preserve"> </w:t>
      </w:r>
    </w:p>
    <w:p w:rsidR="0047564F" w:rsidRDefault="009856F0">
      <w:pPr>
        <w:spacing w:after="98"/>
        <w:ind w:left="1133"/>
      </w:pPr>
      <w:r>
        <w:rPr>
          <w:rFonts w:ascii="Arial" w:eastAsia="Arial" w:hAnsi="Arial" w:cs="Arial"/>
          <w:i/>
          <w:sz w:val="24"/>
        </w:rPr>
        <w:t xml:space="preserve"> </w:t>
      </w:r>
    </w:p>
    <w:p w:rsidR="0047564F" w:rsidRDefault="009856F0">
      <w:pPr>
        <w:spacing w:after="0"/>
        <w:ind w:left="1133"/>
      </w:pPr>
      <w:r>
        <w:rPr>
          <w:rFonts w:ascii="Arial" w:eastAsia="Arial" w:hAnsi="Arial" w:cs="Arial"/>
          <w:i/>
          <w:sz w:val="24"/>
        </w:rPr>
        <w:t xml:space="preserve"> </w:t>
      </w:r>
    </w:p>
    <w:p w:rsidR="0047564F" w:rsidRDefault="009856F0">
      <w:pPr>
        <w:pStyle w:val="Ttulo1"/>
        <w:spacing w:after="112"/>
        <w:ind w:left="151" w:right="252"/>
      </w:pPr>
      <w:r>
        <w:t xml:space="preserve">ACUERDO DEL PLENO </w:t>
      </w:r>
    </w:p>
    <w:p w:rsidR="0047564F" w:rsidRDefault="009856F0">
      <w:pPr>
        <w:spacing w:after="95"/>
        <w:ind w:left="3404"/>
      </w:pPr>
      <w:r>
        <w:rPr>
          <w:rFonts w:ascii="Arial" w:eastAsia="Arial" w:hAnsi="Arial" w:cs="Arial"/>
          <w:i/>
        </w:rPr>
        <w:t xml:space="preserve"> </w:t>
      </w:r>
    </w:p>
    <w:p w:rsidR="0047564F" w:rsidRDefault="009856F0">
      <w:pPr>
        <w:spacing w:after="127" w:line="249" w:lineRule="auto"/>
        <w:ind w:left="-15" w:right="46" w:firstLine="1133"/>
        <w:jc w:val="both"/>
      </w:pPr>
      <w:r>
        <w:rPr>
          <w:rFonts w:ascii="Arial" w:eastAsia="Arial" w:hAnsi="Arial" w:cs="Arial"/>
          <w:b/>
        </w:rPr>
        <w:t xml:space="preserve">Primero.- </w:t>
      </w:r>
      <w:r>
        <w:rPr>
          <w:rFonts w:ascii="Arial" w:eastAsia="Arial" w:hAnsi="Arial" w:cs="Arial"/>
          <w:b/>
        </w:rPr>
        <w:t xml:space="preserve">Aprobar el convenio de colaboración entre los Ayuntamientos de Arafo, Candelaria y Güimar y El Rosario cuyo tenor literal se inserta a continuación: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“CONVENIO DE COLABORACIÓN ENTRE LOS AYUNTAMIENTOS DE ARAFO,  CANDELARIA, GÜÍMAR Y EL ROSARIO PARA LA EJE</w:t>
      </w:r>
      <w:r>
        <w:rPr>
          <w:rFonts w:ascii="Times New Roman" w:eastAsia="Times New Roman" w:hAnsi="Times New Roman" w:cs="Times New Roman"/>
          <w:sz w:val="24"/>
        </w:rPr>
        <w:t xml:space="preserve">CUCIÓN DEL PLAN DE ETAPAS EN RELACIÓN CON EL EMISARIO SUBMARINO UBICADO EN EL POLÍGONO INDUSTRIAL DEL VALLE DE GÜIMAR.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255" w:line="249" w:lineRule="auto"/>
        <w:ind w:left="-5" w:right="45" w:hanging="10"/>
        <w:jc w:val="both"/>
      </w:pPr>
      <w:r>
        <w:rPr>
          <w:rFonts w:ascii="Times New Roman" w:eastAsia="Times New Roman" w:hAnsi="Times New Roman" w:cs="Times New Roman"/>
          <w:sz w:val="24"/>
        </w:rPr>
        <w:t xml:space="preserve">En -------, a la fecha de la firma. </w:t>
      </w:r>
    </w:p>
    <w:p w:rsidR="0047564F" w:rsidRDefault="009856F0">
      <w:pPr>
        <w:spacing w:after="259"/>
        <w:ind w:right="56"/>
        <w:jc w:val="center"/>
      </w:pPr>
      <w:r>
        <w:rPr>
          <w:rFonts w:ascii="Arial" w:eastAsia="Arial" w:hAnsi="Arial" w:cs="Arial"/>
        </w:rPr>
        <w:t xml:space="preserve">REUNIDOS </w:t>
      </w:r>
    </w:p>
    <w:p w:rsidR="0047564F" w:rsidRDefault="009856F0">
      <w:pPr>
        <w:spacing w:after="0"/>
      </w:pPr>
      <w:r>
        <w:rPr>
          <w:rFonts w:ascii="Arial" w:eastAsia="Arial" w:hAnsi="Arial" w:cs="Arial"/>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De una parte, D. ESCOLÁSTICO GIL HERNÁNDEZ, Alcalde del Ilustre Ayuntamiento de El Ro</w:t>
      </w:r>
      <w:r>
        <w:rPr>
          <w:rFonts w:ascii="Times New Roman" w:eastAsia="Times New Roman" w:hAnsi="Times New Roman" w:cs="Times New Roman"/>
          <w:sz w:val="24"/>
        </w:rPr>
        <w:t xml:space="preserve">sario, en nombre y representación del mismo, en ejercicio de las competencias que le atribuye el artículo 21 de la Ley 7/1985, de 2 de abril, Reguladora de las Bases del Régimen Local, facultado expresamente para este acto en virtud de Acuerdo de Junta de </w:t>
      </w:r>
      <w:r>
        <w:rPr>
          <w:rFonts w:ascii="Times New Roman" w:eastAsia="Times New Roman" w:hAnsi="Times New Roman" w:cs="Times New Roman"/>
          <w:sz w:val="24"/>
        </w:rPr>
        <w:t xml:space="preserve">Gobierno Local adoptado en sesión celebrada el día XXXXXXXXX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5903" name="Group 45903"/>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189" name="Rectangle 418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190" name="Rectangle 4190"/>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27 de 33 </w:t>
                              </w:r>
                            </w:p>
                          </w:txbxContent>
                        </wps:txbx>
                        <wps:bodyPr horzOverflow="overflow" vert="horz" lIns="0" tIns="0" rIns="0" bIns="0" rtlCol="0">
                          <a:noAutofit/>
                        </wps:bodyPr>
                      </wps:wsp>
                    </wpg:wgp>
                  </a:graphicData>
                </a:graphic>
              </wp:anchor>
            </w:drawing>
          </mc:Choice>
          <mc:Fallback xmlns:a="http://schemas.openxmlformats.org/drawingml/2006/main">
            <w:pict>
              <v:group id="Group 45903" style="width:12.7031pt;height:280.356pt;position:absolute;mso-position-horizontal-relative:page;mso-position-horizontal:absolute;margin-left:682.278pt;mso-position-vertical-relative:page;margin-top:531.564pt;" coordsize="1613,35605">
                <v:rect id="Rectangle 418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190"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33 </w:t>
                        </w:r>
                      </w:p>
                    </w:txbxContent>
                  </v:textbox>
                </v:rect>
                <w10:wrap type="square"/>
              </v:group>
            </w:pict>
          </mc:Fallback>
        </mc:AlternateContent>
      </w:r>
      <w:r>
        <w:rPr>
          <w:rFonts w:ascii="Times New Roman" w:eastAsia="Times New Roman" w:hAnsi="Times New Roman" w:cs="Times New Roman"/>
          <w:sz w:val="24"/>
        </w:rPr>
        <w:t>Y de otra, D. JUAN RAMÓN MARTÍN PÉREZ, Alcalde del Ayuntamiento de Arafo, en nombre y representación del mismo, en ejercicio de las competencias que le atribuye el</w:t>
      </w:r>
      <w:r>
        <w:rPr>
          <w:rFonts w:ascii="Times New Roman" w:eastAsia="Times New Roman" w:hAnsi="Times New Roman" w:cs="Times New Roman"/>
          <w:sz w:val="24"/>
        </w:rPr>
        <w:t xml:space="preserve"> artículo 21 de la Ley 7/1985, de 2 de abril, Reguladora de las Bases del Régimen Local, facultado expresamente para este acto en virtud de Acuerdo de la Junta de Gobierno Local adoptado en sesión celebrada el día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XXXXXXXX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Dña. MARÍA CONCEPCIÓN BRITO N</w:t>
      </w:r>
      <w:r>
        <w:rPr>
          <w:rFonts w:ascii="Times New Roman" w:eastAsia="Times New Roman" w:hAnsi="Times New Roman" w:cs="Times New Roman"/>
          <w:sz w:val="24"/>
        </w:rPr>
        <w:t>ÚÑEZ, Alcaldesa del Ayuntamiento de Candelaria, en nombre y representación del mismo, en ejercicio de las competencias que le atribuye el artículo 21 de la Ley 7/1985, de 2 de abril, Reguladora de las Bases del Régimen Local, facultado expresamente para es</w:t>
      </w:r>
      <w:r>
        <w:rPr>
          <w:rFonts w:ascii="Times New Roman" w:eastAsia="Times New Roman" w:hAnsi="Times New Roman" w:cs="Times New Roman"/>
          <w:sz w:val="24"/>
        </w:rPr>
        <w:t xml:space="preserve">te acto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D. GUSTAVO PÉREZ MARTÍN, Alcalde del Ayuntamiento de Güímar, en nombre y representación del mismo, en ejercicio de las competencias que le atribuye</w:t>
      </w:r>
      <w:r>
        <w:rPr>
          <w:rFonts w:ascii="Times New Roman" w:eastAsia="Times New Roman" w:hAnsi="Times New Roman" w:cs="Times New Roman"/>
          <w:sz w:val="24"/>
        </w:rPr>
        <w:t xml:space="preserve"> el artículo 21 de la Ley 7/1985, de 2 de abril, Reguladora de las Bases del Régimen Local, facultado expresamente para este acto en virtud de Acuerdo de la Junta de Gobierno Local adoptado en sesión celebrada el día XXXXXXXX,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Las partes intervinientes,</w:t>
      </w:r>
      <w:r>
        <w:rPr>
          <w:rFonts w:ascii="Times New Roman" w:eastAsia="Times New Roman" w:hAnsi="Times New Roman" w:cs="Times New Roman"/>
          <w:sz w:val="24"/>
        </w:rPr>
        <w:t xml:space="preserve"> que actúan en función de sus respectivos cargos y en el ejercicio de las facultades que a cada uno les están conferidas, se reconocen, mutua y recíprocamente, capacidad legal necesaria para la formalización del presente convenio interadministrativo, a cuy</w:t>
      </w:r>
      <w:r>
        <w:rPr>
          <w:rFonts w:ascii="Times New Roman" w:eastAsia="Times New Roman" w:hAnsi="Times New Roman" w:cs="Times New Roman"/>
          <w:sz w:val="24"/>
        </w:rPr>
        <w:t xml:space="preserve">o efecto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3"/>
        <w:ind w:left="10" w:right="56" w:hanging="10"/>
        <w:jc w:val="center"/>
      </w:pPr>
      <w:r>
        <w:rPr>
          <w:rFonts w:ascii="Times New Roman" w:eastAsia="Times New Roman" w:hAnsi="Times New Roman" w:cs="Times New Roman"/>
          <w:sz w:val="24"/>
        </w:rPr>
        <w:t xml:space="preserve">EXPONEN </w:t>
      </w:r>
    </w:p>
    <w:p w:rsidR="0047564F" w:rsidRDefault="009856F0">
      <w:pPr>
        <w:spacing w:after="16"/>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PRIMERO.- Con fecha 10 de junio de 2019 se conforma el “Convenio de Colaboración </w:t>
      </w:r>
    </w:p>
    <w:p w:rsidR="0047564F" w:rsidRDefault="009856F0">
      <w:pPr>
        <w:spacing w:after="35" w:line="249" w:lineRule="auto"/>
        <w:ind w:left="-5" w:right="45" w:hanging="10"/>
        <w:jc w:val="both"/>
      </w:pPr>
      <w:r>
        <w:rPr>
          <w:rFonts w:ascii="Times New Roman" w:eastAsia="Times New Roman" w:hAnsi="Times New Roman" w:cs="Times New Roman"/>
          <w:sz w:val="24"/>
        </w:rPr>
        <w:t xml:space="preserve">entre el Consejo Insular de Aguas de Tenerife y los Ayuntamientos de Arafo, Güímar y Candelaria, para el desarrollo del Plan de Etapas en el marco del expediente 2017/11106, relativo al Emisario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Submarino del Polígono Industrial del Valle de Güímar”.  </w:t>
      </w:r>
    </w:p>
    <w:p w:rsidR="0047564F" w:rsidRDefault="009856F0">
      <w:pPr>
        <w:spacing w:after="1" w:line="249" w:lineRule="auto"/>
        <w:ind w:left="1143" w:right="45" w:hanging="10"/>
        <w:jc w:val="both"/>
      </w:pPr>
      <w:r>
        <w:rPr>
          <w:rFonts w:ascii="Times New Roman" w:eastAsia="Times New Roman" w:hAnsi="Times New Roman" w:cs="Times New Roman"/>
          <w:sz w:val="24"/>
        </w:rPr>
        <w:t>En</w:t>
      </w:r>
      <w:r>
        <w:rPr>
          <w:rFonts w:ascii="Times New Roman" w:eastAsia="Times New Roman" w:hAnsi="Times New Roman" w:cs="Times New Roman"/>
          <w:sz w:val="24"/>
        </w:rPr>
        <w:t xml:space="preserve"> dicho Plan de Etapas, se determina la duración de la ejecución de las obras para la </w:t>
      </w:r>
    </w:p>
    <w:p w:rsidR="0047564F" w:rsidRDefault="009856F0">
      <w:pPr>
        <w:spacing w:after="1" w:line="249" w:lineRule="auto"/>
        <w:ind w:left="-5" w:right="45" w:hanging="10"/>
        <w:jc w:val="both"/>
      </w:pPr>
      <w:r>
        <w:rPr>
          <w:rFonts w:ascii="Times New Roman" w:eastAsia="Times New Roman" w:hAnsi="Times New Roman" w:cs="Times New Roman"/>
          <w:sz w:val="24"/>
        </w:rPr>
        <w:t>construcción de la EDARI del Polígono Industrial Valle de Güímar, que sumadas a los seis meses de la fase de pruebas de la instalación, en un total de 23 meses (17 + 6 me</w:t>
      </w:r>
      <w:r>
        <w:rPr>
          <w:rFonts w:ascii="Times New Roman" w:eastAsia="Times New Roman" w:hAnsi="Times New Roman" w:cs="Times New Roman"/>
          <w:sz w:val="24"/>
        </w:rPr>
        <w:t xml:space="preserve">ses), habiendo previsto el comienzo las mismas en mayo de 2019 y su finalización para septiembre de 2020.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 xml:space="preserve">SEGUNDO.- </w:t>
      </w:r>
      <w:r>
        <w:rPr>
          <w:rFonts w:ascii="Times New Roman" w:eastAsia="Times New Roman" w:hAnsi="Times New Roman" w:cs="Times New Roman"/>
          <w:sz w:val="24"/>
        </w:rPr>
        <w:t>Con fecha 18 de septiembre de 2019, la Viceconsejería de Lucha contra el Cambio Climático del Gobierno de Canarias, dicta la Resolución de N.º 33/2019, por la que se otorga al Ayuntamiento de Arafo, en nombre propio y en representación de los Ayuntamientos</w:t>
      </w:r>
      <w:r>
        <w:rPr>
          <w:rFonts w:ascii="Times New Roman" w:eastAsia="Times New Roman" w:hAnsi="Times New Roman" w:cs="Times New Roman"/>
          <w:sz w:val="24"/>
        </w:rPr>
        <w:t xml:space="preserve"> de Candelaria y Güímar, </w:t>
      </w:r>
      <w:r>
        <w:rPr>
          <w:rFonts w:ascii="Times New Roman" w:eastAsia="Times New Roman" w:hAnsi="Times New Roman" w:cs="Times New Roman"/>
          <w:sz w:val="24"/>
          <w:u w:val="single" w:color="000000"/>
        </w:rPr>
        <w:t>autorización de vertido</w:t>
      </w:r>
      <w:r>
        <w:rPr>
          <w:rFonts w:ascii="Times New Roman" w:eastAsia="Times New Roman" w:hAnsi="Times New Roman" w:cs="Times New Roman"/>
          <w:sz w:val="24"/>
        </w:rPr>
        <w:t xml:space="preserve"> desde tierra al mar de aguas residuales urbanas e industriales depuradas a través del emisario submarino del Polígono Industrial del Güímar, ubicado en el término municipal de Arafo. Dicha autorización </w:t>
      </w:r>
      <w:r>
        <w:rPr>
          <w:rFonts w:ascii="Times New Roman" w:eastAsia="Times New Roman" w:hAnsi="Times New Roman" w:cs="Times New Roman"/>
          <w:sz w:val="24"/>
          <w:u w:val="single" w:color="000000"/>
        </w:rPr>
        <w:t>fue m</w:t>
      </w:r>
      <w:r>
        <w:rPr>
          <w:rFonts w:ascii="Times New Roman" w:eastAsia="Times New Roman" w:hAnsi="Times New Roman" w:cs="Times New Roman"/>
          <w:sz w:val="24"/>
          <w:u w:val="single" w:color="000000"/>
        </w:rPr>
        <w:t>odificada</w:t>
      </w:r>
      <w:r>
        <w:rPr>
          <w:rFonts w:ascii="Times New Roman" w:eastAsia="Times New Roman" w:hAnsi="Times New Roman" w:cs="Times New Roman"/>
          <w:sz w:val="24"/>
        </w:rPr>
        <w:t xml:space="preserve"> con fecha 30 de septiembre de 2020, mediante Resolución nº 207.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TERCERO.-Mediante Resolución nº 312 de 02 de noviembre de 2021, del Viceconsejero </w:t>
      </w:r>
    </w:p>
    <w:p w:rsidR="0047564F" w:rsidRDefault="009856F0">
      <w:pPr>
        <w:spacing w:after="32" w:line="249" w:lineRule="auto"/>
        <w:ind w:left="-5" w:right="45" w:hanging="10"/>
        <w:jc w:val="both"/>
      </w:pPr>
      <w:r>
        <w:rPr>
          <w:rFonts w:ascii="Times New Roman" w:eastAsia="Times New Roman" w:hAnsi="Times New Roman" w:cs="Times New Roman"/>
          <w:sz w:val="24"/>
        </w:rPr>
        <w:t xml:space="preserve">de Lucha contra el Cambio Climático y Transición Ecológica del Gobierno de Canarias se </w:t>
      </w:r>
      <w:r>
        <w:rPr>
          <w:rFonts w:ascii="Times New Roman" w:eastAsia="Times New Roman" w:hAnsi="Times New Roman" w:cs="Times New Roman"/>
          <w:sz w:val="24"/>
          <w:u w:val="single" w:color="000000"/>
        </w:rPr>
        <w:t>modifica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nuevamente la Autorización</w:t>
      </w:r>
      <w:r>
        <w:rPr>
          <w:rFonts w:ascii="Times New Roman" w:eastAsia="Times New Roman" w:hAnsi="Times New Roman" w:cs="Times New Roman"/>
          <w:sz w:val="24"/>
        </w:rPr>
        <w:t xml:space="preserve">, el Condicionante Técnico SEGUNDO establecía: </w:t>
      </w:r>
    </w:p>
    <w:p w:rsidR="0047564F" w:rsidRDefault="009856F0">
      <w:pPr>
        <w:spacing w:after="1" w:line="249" w:lineRule="auto"/>
        <w:ind w:left="-5" w:right="45" w:hanging="10"/>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6360" name="Group 46360"/>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327" name="Rectangle 4327"/>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328" name="Rectangle 4328"/>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Documento firmado electrónicamente desde la plataforma esPublico Gestiona | Pág</w:t>
                              </w:r>
                              <w:r>
                                <w:rPr>
                                  <w:rFonts w:ascii="Arial" w:eastAsia="Arial" w:hAnsi="Arial" w:cs="Arial"/>
                                  <w:sz w:val="12"/>
                                </w:rPr>
                                <w:t xml:space="preserve">ina 28 de 33 </w:t>
                              </w:r>
                            </w:p>
                          </w:txbxContent>
                        </wps:txbx>
                        <wps:bodyPr horzOverflow="overflow" vert="horz" lIns="0" tIns="0" rIns="0" bIns="0" rtlCol="0">
                          <a:noAutofit/>
                        </wps:bodyPr>
                      </wps:wsp>
                    </wpg:wgp>
                  </a:graphicData>
                </a:graphic>
              </wp:anchor>
            </w:drawing>
          </mc:Choice>
          <mc:Fallback xmlns:a="http://schemas.openxmlformats.org/drawingml/2006/main">
            <w:pict>
              <v:group id="Group 46360" style="width:12.7031pt;height:280.356pt;position:absolute;mso-position-horizontal-relative:page;mso-position-horizontal:absolute;margin-left:682.278pt;mso-position-vertical-relative:page;margin-top:531.564pt;" coordsize="1613,35605">
                <v:rect id="Rectangle 4327"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328"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33 </w:t>
                        </w:r>
                      </w:p>
                    </w:txbxContent>
                  </v:textbox>
                </v:rect>
                <w10:wrap type="square"/>
              </v:group>
            </w:pict>
          </mc:Fallback>
        </mc:AlternateContent>
      </w:r>
      <w:r>
        <w:rPr>
          <w:rFonts w:ascii="Times New Roman" w:eastAsia="Times New Roman" w:hAnsi="Times New Roman" w:cs="Times New Roman"/>
          <w:sz w:val="24"/>
        </w:rPr>
        <w:t xml:space="preserve">“...//...En virtud de la nueva documentación aportada, la puesta en funcionamiento de la </w:t>
      </w:r>
      <w:r>
        <w:rPr>
          <w:rFonts w:ascii="Times New Roman" w:eastAsia="Times New Roman" w:hAnsi="Times New Roman" w:cs="Times New Roman"/>
          <w:sz w:val="24"/>
          <w:u w:val="single" w:color="000000"/>
        </w:rPr>
        <w:t>EDARI se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fija para el día 1 de marzo de 2022</w:t>
      </w:r>
      <w:r>
        <w:rPr>
          <w:rFonts w:ascii="Times New Roman" w:eastAsia="Times New Roman" w:hAnsi="Times New Roman" w:cs="Times New Roman"/>
          <w:sz w:val="24"/>
        </w:rPr>
        <w:t xml:space="preserve">, momento a partir del cual las ARI deberán someterse a los tratamientos contemplados en la misma. </w:t>
      </w:r>
      <w:r>
        <w:rPr>
          <w:rFonts w:ascii="Times New Roman" w:eastAsia="Times New Roman" w:hAnsi="Times New Roman" w:cs="Times New Roman"/>
          <w:sz w:val="24"/>
          <w:u w:val="single" w:color="000000"/>
        </w:rPr>
        <w:t>La no fina</w:t>
      </w:r>
      <w:r>
        <w:rPr>
          <w:rFonts w:ascii="Times New Roman" w:eastAsia="Times New Roman" w:hAnsi="Times New Roman" w:cs="Times New Roman"/>
          <w:sz w:val="24"/>
          <w:u w:val="single" w:color="000000"/>
        </w:rPr>
        <w:t>lización de las obras en el plazo aprobado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supondrá el vencimiento de la AVM...//...”.</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CUARTO.-El 25 de febrero del 2022 se nos remite por el Consejo Insular de Aguas de Tenerife CIATF, un nuevo informe técnico y la modificación del Plan de Etapas, conc</w:t>
      </w:r>
      <w:r>
        <w:rPr>
          <w:rFonts w:ascii="Times New Roman" w:eastAsia="Times New Roman" w:hAnsi="Times New Roman" w:cs="Times New Roman"/>
          <w:sz w:val="24"/>
        </w:rPr>
        <w:t>retamente se propone una “variación del Plan 2) Fase Intermedia III. Evacuación parcial del Efluente (del 1 de marzo al 28 de marzo)”, “...// … Dada la naturaleza de las aguas, dicha evacuación se realizará mediante camiones cubas desde la entrada de la pl</w:t>
      </w:r>
      <w:r>
        <w:rPr>
          <w:rFonts w:ascii="Times New Roman" w:eastAsia="Times New Roman" w:hAnsi="Times New Roman" w:cs="Times New Roman"/>
          <w:sz w:val="24"/>
        </w:rPr>
        <w:t>anta del PIVG hasta la EDARI del Polígono Industrial de La Campana en el municipio de El Rosario puesto que es la única autorizada para poder tratar estos efluentes y que según los datos recabados está tratando una carga que si bien es variable en el tiemp</w:t>
      </w:r>
      <w:r>
        <w:rPr>
          <w:rFonts w:ascii="Times New Roman" w:eastAsia="Times New Roman" w:hAnsi="Times New Roman" w:cs="Times New Roman"/>
          <w:sz w:val="24"/>
        </w:rPr>
        <w:t xml:space="preserve">o, en líneas generales es inferior a la que fue diseñada...// …”.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QUINTO.- Consta solicitud de ampliación de plazo del procedimiento de modificación </w:t>
      </w:r>
    </w:p>
    <w:p w:rsidR="0047564F" w:rsidRDefault="009856F0">
      <w:pPr>
        <w:spacing w:after="1" w:line="249" w:lineRule="auto"/>
        <w:ind w:left="-5" w:right="45" w:hanging="10"/>
        <w:jc w:val="both"/>
      </w:pPr>
      <w:r>
        <w:rPr>
          <w:rFonts w:ascii="Times New Roman" w:eastAsia="Times New Roman" w:hAnsi="Times New Roman" w:cs="Times New Roman"/>
          <w:sz w:val="24"/>
        </w:rPr>
        <w:t>de autorización de vertidos desde tierra al mar y resolución de la Dirección General de Lucha contra el</w:t>
      </w:r>
      <w:r>
        <w:rPr>
          <w:rFonts w:ascii="Times New Roman" w:eastAsia="Times New Roman" w:hAnsi="Times New Roman" w:cs="Times New Roman"/>
          <w:sz w:val="24"/>
        </w:rPr>
        <w:t xml:space="preserve"> Cambio Climático y Planificación Territorial.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 xml:space="preserve">SEXTO.- </w:t>
      </w:r>
      <w:r>
        <w:rPr>
          <w:rFonts w:ascii="Times New Roman" w:eastAsia="Times New Roman" w:hAnsi="Times New Roman" w:cs="Times New Roman"/>
          <w:sz w:val="24"/>
        </w:rPr>
        <w:t xml:space="preserve">El 26 de febrero del 2022, se emite informe por la Ingeniera Técnica Municipal, Dª. Miriam Díaz Gómez relativo a la documentación presentada por el Consejo Insular de Aguas de Tenerife el 25 de febrero.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SÉPTIMO.- Los Plenos de los Ayuntamientos de Arafo</w:t>
      </w:r>
      <w:r>
        <w:rPr>
          <w:rFonts w:ascii="Times New Roman" w:eastAsia="Times New Roman" w:hAnsi="Times New Roman" w:cs="Times New Roman"/>
          <w:sz w:val="24"/>
        </w:rPr>
        <w:t xml:space="preserve">, Güímar y Candelaria, en </w:t>
      </w:r>
    </w:p>
    <w:p w:rsidR="0047564F" w:rsidRDefault="009856F0">
      <w:pPr>
        <w:spacing w:after="1" w:line="249" w:lineRule="auto"/>
        <w:ind w:left="-5" w:right="45" w:hanging="10"/>
        <w:jc w:val="both"/>
      </w:pPr>
      <w:r>
        <w:rPr>
          <w:rFonts w:ascii="Times New Roman" w:eastAsia="Times New Roman" w:hAnsi="Times New Roman" w:cs="Times New Roman"/>
          <w:sz w:val="24"/>
        </w:rPr>
        <w:t>sesiones extraordinarias y de urgencia de fecha 28 de febrero del 2022, acordaron aprobar la modificación de los plazos contemplados en el “Plan de Etapas actualizado” y que ha sido remitido por el CIAT de fecha 25 de febrero del</w:t>
      </w:r>
      <w:r>
        <w:rPr>
          <w:rFonts w:ascii="Times New Roman" w:eastAsia="Times New Roman" w:hAnsi="Times New Roman" w:cs="Times New Roman"/>
          <w:sz w:val="24"/>
        </w:rPr>
        <w:t xml:space="preserve"> 2022, toda vez que prolongan la duración de la situación intermedia y por tanto, postergan la existencia de la puesta en funcionamiento de la etapa denominada como situación futura hasta el 30 de noviembre del 2022 a los efectos de solicitar la modificaci</w:t>
      </w:r>
      <w:r>
        <w:rPr>
          <w:rFonts w:ascii="Times New Roman" w:eastAsia="Times New Roman" w:hAnsi="Times New Roman" w:cs="Times New Roman"/>
          <w:sz w:val="24"/>
        </w:rPr>
        <w:t xml:space="preserve">ón de la “Autorización de vertidos desde la tierra al mar de aguas residuales urbanas e industriales depuradas a través del emisario submarino del Polígono Industrial del Valle de Güímar”.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OCTAVO.- En el expediente relacionado 676/2022, ha quedado acred</w:t>
      </w:r>
      <w:r>
        <w:rPr>
          <w:rFonts w:ascii="Times New Roman" w:eastAsia="Times New Roman" w:hAnsi="Times New Roman" w:cs="Times New Roman"/>
          <w:sz w:val="24"/>
        </w:rPr>
        <w:t>itada la imposibilidad material de puesta en funcionamiento de los elementos adicionales que pudieran disminuir la carga contaminante. El retraso en la ejecución de las obras, así como el corto margen temporal para la puesta en marcha del tratamiento bioló</w:t>
      </w:r>
      <w:r>
        <w:rPr>
          <w:rFonts w:ascii="Times New Roman" w:eastAsia="Times New Roman" w:hAnsi="Times New Roman" w:cs="Times New Roman"/>
          <w:sz w:val="24"/>
        </w:rPr>
        <w:t xml:space="preserve">gico, son argumentos informados por el Consejo Insular de Aguas de Tenerife.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4"/>
        <w:jc w:val="center"/>
      </w:pPr>
      <w:r>
        <w:rPr>
          <w:rFonts w:ascii="Times New Roman" w:eastAsia="Times New Roman" w:hAnsi="Times New Roman" w:cs="Times New Roman"/>
          <w:sz w:val="24"/>
        </w:rPr>
        <w:t xml:space="preserve"> </w:t>
      </w:r>
    </w:p>
    <w:p w:rsidR="0047564F" w:rsidRDefault="009856F0">
      <w:pPr>
        <w:spacing w:after="0"/>
        <w:ind w:left="4"/>
        <w:jc w:val="center"/>
      </w:pPr>
      <w:r>
        <w:rPr>
          <w:rFonts w:ascii="Times New Roman" w:eastAsia="Times New Roman" w:hAnsi="Times New Roman" w:cs="Times New Roman"/>
          <w:sz w:val="24"/>
        </w:rPr>
        <w:t xml:space="preserve"> </w:t>
      </w:r>
    </w:p>
    <w:p w:rsidR="0047564F" w:rsidRDefault="009856F0">
      <w:pPr>
        <w:spacing w:after="0"/>
        <w:ind w:left="4"/>
        <w:jc w:val="center"/>
      </w:pPr>
      <w:r>
        <w:rPr>
          <w:rFonts w:ascii="Times New Roman" w:eastAsia="Times New Roman" w:hAnsi="Times New Roman" w:cs="Times New Roman"/>
          <w:sz w:val="24"/>
        </w:rPr>
        <w:t xml:space="preserve"> </w:t>
      </w:r>
    </w:p>
    <w:p w:rsidR="0047564F" w:rsidRDefault="009856F0">
      <w:pPr>
        <w:spacing w:after="3"/>
        <w:ind w:left="10" w:right="58" w:hanging="10"/>
        <w:jc w:val="center"/>
      </w:pPr>
      <w:r>
        <w:rPr>
          <w:rFonts w:ascii="Times New Roman" w:eastAsia="Times New Roman" w:hAnsi="Times New Roman" w:cs="Times New Roman"/>
          <w:sz w:val="24"/>
        </w:rPr>
        <w:t xml:space="preserve">CLÁUSULAS </w:t>
      </w:r>
    </w:p>
    <w:p w:rsidR="0047564F" w:rsidRDefault="009856F0">
      <w:pPr>
        <w:spacing w:after="0"/>
        <w:ind w:left="1133"/>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PRIMERA.- Objeto del Convenio.</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0" w:right="45" w:hanging="10"/>
        <w:jc w:val="right"/>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5423" name="Group 45423"/>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439" name="Rectangle 4439"/>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440" name="Rectangle 4440"/>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29 de 33 </w:t>
                              </w:r>
                            </w:p>
                          </w:txbxContent>
                        </wps:txbx>
                        <wps:bodyPr horzOverflow="overflow" vert="horz" lIns="0" tIns="0" rIns="0" bIns="0" rtlCol="0">
                          <a:noAutofit/>
                        </wps:bodyPr>
                      </wps:wsp>
                    </wpg:wgp>
                  </a:graphicData>
                </a:graphic>
              </wp:anchor>
            </w:drawing>
          </mc:Choice>
          <mc:Fallback xmlns:a="http://schemas.openxmlformats.org/drawingml/2006/main">
            <w:pict>
              <v:group id="Group 45423" style="width:12.7031pt;height:280.356pt;position:absolute;mso-position-horizontal-relative:page;mso-position-horizontal:absolute;margin-left:682.278pt;mso-position-vertical-relative:page;margin-top:531.564pt;" coordsize="1613,35605">
                <v:rect id="Rectangle 4439"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440"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33 </w:t>
                        </w:r>
                      </w:p>
                    </w:txbxContent>
                  </v:textbox>
                </v:rect>
                <w10:wrap type="square"/>
              </v:group>
            </w:pict>
          </mc:Fallback>
        </mc:AlternateContent>
      </w:r>
      <w:r>
        <w:rPr>
          <w:rFonts w:ascii="Times New Roman" w:eastAsia="Times New Roman" w:hAnsi="Times New Roman" w:cs="Times New Roman"/>
          <w:sz w:val="24"/>
        </w:rPr>
        <w:t xml:space="preserve">Disminuir la carga total contaminante evacuada a través del emisario submarino </w:t>
      </w:r>
    </w:p>
    <w:p w:rsidR="0047564F" w:rsidRDefault="009856F0">
      <w:pPr>
        <w:spacing w:after="1" w:line="249" w:lineRule="auto"/>
        <w:ind w:left="-5" w:right="45" w:hanging="10"/>
        <w:jc w:val="both"/>
      </w:pPr>
      <w:r>
        <w:rPr>
          <w:rFonts w:ascii="Times New Roman" w:eastAsia="Times New Roman" w:hAnsi="Times New Roman" w:cs="Times New Roman"/>
          <w:sz w:val="24"/>
        </w:rPr>
        <w:t>mediante la evacuación parcial del efluente en la entrada de la planta. Dada la nat</w:t>
      </w:r>
      <w:r>
        <w:rPr>
          <w:rFonts w:ascii="Times New Roman" w:eastAsia="Times New Roman" w:hAnsi="Times New Roman" w:cs="Times New Roman"/>
          <w:sz w:val="24"/>
        </w:rPr>
        <w:t>uraleza de las aguas, dicha evacuación se realizará mediante camiones cubas desde la entrada de la planta del Polígono Industrial del Valle de Güímar hasta la EDARI del Polígono Industrial de La Campana en el municipio de El Rosario, al ser la única autori</w:t>
      </w:r>
      <w:r>
        <w:rPr>
          <w:rFonts w:ascii="Times New Roman" w:eastAsia="Times New Roman" w:hAnsi="Times New Roman" w:cs="Times New Roman"/>
          <w:sz w:val="24"/>
        </w:rPr>
        <w:t xml:space="preserve">zada para poder tratar estos efluentes y que según los datos recabados está tratando una carga que si bien es variable en el tiempo, en líneas generales es inferior a la que fue diseñada.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SEGUNDA.- Compromisos de las partes.</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1.- El Ayuntamiento de Ar</w:t>
      </w:r>
      <w:r>
        <w:rPr>
          <w:rFonts w:ascii="Times New Roman" w:eastAsia="Times New Roman" w:hAnsi="Times New Roman" w:cs="Times New Roman"/>
          <w:sz w:val="24"/>
        </w:rPr>
        <w:t xml:space="preserve">afo se compromete a ejecutar los trabajos objeto del presente convenio, mediante la contratación de los servicios de una empresa autorizada, así como a coordinarlos tanto con el CIAT, como con el Ayuntamiento de El Rosario.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2.- El volumen transportado s</w:t>
      </w:r>
      <w:r>
        <w:rPr>
          <w:rFonts w:ascii="Times New Roman" w:eastAsia="Times New Roman" w:hAnsi="Times New Roman" w:cs="Times New Roman"/>
          <w:sz w:val="24"/>
        </w:rPr>
        <w:t xml:space="preserve">erá extraído de la zona de bombeo de microtamices de la EDARI en construcción en el Polígono Industrial del Valle de Güímar (PIVG), cuya capacidad es de 14,3 m³, una vez pretratado.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 xml:space="preserve">3.- Ante la imposibilidad de depurar el volumen máximo estimado por el </w:t>
      </w:r>
      <w:r>
        <w:rPr>
          <w:rFonts w:ascii="Times New Roman" w:eastAsia="Times New Roman" w:hAnsi="Times New Roman" w:cs="Times New Roman"/>
          <w:sz w:val="24"/>
        </w:rPr>
        <w:t>CIAT de 360m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/día de trasvase desde el PIVG hasta la EDARI municipal de La Campana, se procederá a minimizar en origen de este caudal para lo que en el intervalo comprendido entre el 1 y el 28 de marzo del 2022, los Ayuntamientos de Arafo, Candelaria y Güí</w:t>
      </w:r>
      <w:r>
        <w:rPr>
          <w:rFonts w:ascii="Times New Roman" w:eastAsia="Times New Roman" w:hAnsi="Times New Roman" w:cs="Times New Roman"/>
          <w:sz w:val="24"/>
        </w:rPr>
        <w:t xml:space="preserve">mar, adoptarán medidas extraordinarias para su consecución, que consistirán en la limitación de los horarios de apertura, cierre y por tanto de operaciones a las empresas.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0" w:right="45" w:hanging="10"/>
        <w:jc w:val="right"/>
      </w:pPr>
      <w:r>
        <w:rPr>
          <w:rFonts w:ascii="Times New Roman" w:eastAsia="Times New Roman" w:hAnsi="Times New Roman" w:cs="Times New Roman"/>
          <w:sz w:val="24"/>
        </w:rPr>
        <w:t>4.- El volumen máximo será de 240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/día procedente del PIVG descargándose en </w:t>
      </w:r>
    </w:p>
    <w:p w:rsidR="0047564F" w:rsidRDefault="009856F0">
      <w:pPr>
        <w:spacing w:after="1" w:line="249" w:lineRule="auto"/>
        <w:ind w:left="-5" w:right="45" w:hanging="10"/>
        <w:jc w:val="both"/>
      </w:pPr>
      <w:r>
        <w:rPr>
          <w:rFonts w:ascii="Times New Roman" w:eastAsia="Times New Roman" w:hAnsi="Times New Roman" w:cs="Times New Roman"/>
          <w:sz w:val="24"/>
        </w:rPr>
        <w:t>ca</w:t>
      </w:r>
      <w:r>
        <w:rPr>
          <w:rFonts w:ascii="Times New Roman" w:eastAsia="Times New Roman" w:hAnsi="Times New Roman" w:cs="Times New Roman"/>
          <w:sz w:val="24"/>
        </w:rPr>
        <w:t xml:space="preserve">rrusel de cubas ininterrumpido entre las 06:00 h y las 21:00h, de lunes a domingo incluido días festivos.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 xml:space="preserve">5.- </w:t>
      </w:r>
      <w:r>
        <w:rPr>
          <w:rFonts w:ascii="Times New Roman" w:eastAsia="Times New Roman" w:hAnsi="Times New Roman" w:cs="Times New Roman"/>
          <w:sz w:val="24"/>
        </w:rPr>
        <w:t>El Ayuntamiento de El Rosario, a los efectos de control de la caracterización del vertido que es recepcionado del PIVG, realizará analíticas microbiológicas para preservar el mantenimiento del proceso biológico de depuración de la EDARI de La Campana, cuyo</w:t>
      </w:r>
      <w:r>
        <w:rPr>
          <w:rFonts w:ascii="Times New Roman" w:eastAsia="Times New Roman" w:hAnsi="Times New Roman" w:cs="Times New Roman"/>
          <w:sz w:val="24"/>
        </w:rPr>
        <w:t xml:space="preserve">s costes están incluidos en los precios estipulados.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TERCERA.- Compromiso financiero de las partes.</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A.- Cada Ayuntamiento interviniente asumirá con sus propios medios económicos y a partes iguales los gastos que deriven de las acciones que sean nece</w:t>
      </w:r>
      <w:r>
        <w:rPr>
          <w:rFonts w:ascii="Times New Roman" w:eastAsia="Times New Roman" w:hAnsi="Times New Roman" w:cs="Times New Roman"/>
          <w:sz w:val="24"/>
        </w:rPr>
        <w:t xml:space="preserve">sarias emprender para el cumplimiento de este Convenio.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0" w:right="45" w:hanging="10"/>
        <w:jc w:val="right"/>
      </w:pPr>
      <w:r>
        <w:rPr>
          <w:rFonts w:ascii="Times New Roman" w:eastAsia="Times New Roman" w:hAnsi="Times New Roman" w:cs="Times New Roman"/>
          <w:sz w:val="24"/>
        </w:rPr>
        <w:t xml:space="preserve">B.- En este sentido, los costes variables en la facturación serán los del caudal de agua </w:t>
      </w:r>
    </w:p>
    <w:p w:rsidR="0047564F" w:rsidRDefault="009856F0">
      <w:pPr>
        <w:spacing w:after="30" w:line="249" w:lineRule="auto"/>
        <w:ind w:left="-5" w:right="45" w:hanging="10"/>
        <w:jc w:val="both"/>
      </w:pPr>
      <w:r>
        <w:rPr>
          <w:rFonts w:ascii="Times New Roman" w:eastAsia="Times New Roman" w:hAnsi="Times New Roman" w:cs="Times New Roman"/>
          <w:sz w:val="24"/>
        </w:rPr>
        <w:t>bruta medido en m³/día (a razón de 1,10€/m³) y los de la cantidad de fangos producidos medido en kg (a raz</w:t>
      </w:r>
      <w:r>
        <w:rPr>
          <w:rFonts w:ascii="Times New Roman" w:eastAsia="Times New Roman" w:hAnsi="Times New Roman" w:cs="Times New Roman"/>
          <w:sz w:val="24"/>
        </w:rPr>
        <w:t xml:space="preserve">ón de 0,83€/kg).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Los demás costes serán fijos entre el día de inicio de la prestación del servicio y el de la finalización, y serían los siguientes: </w:t>
      </w:r>
    </w:p>
    <w:p w:rsidR="0047564F" w:rsidRDefault="009856F0">
      <w:pPr>
        <w:numPr>
          <w:ilvl w:val="0"/>
          <w:numId w:val="19"/>
        </w:numPr>
        <w:spacing w:after="48" w:line="248" w:lineRule="auto"/>
        <w:ind w:right="39" w:hanging="360"/>
        <w:jc w:val="both"/>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3187" name="Group 43187"/>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587" name="Rectangle 4587"/>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588" name="Rectangle 4588"/>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30 de 33 </w:t>
                              </w:r>
                            </w:p>
                          </w:txbxContent>
                        </wps:txbx>
                        <wps:bodyPr horzOverflow="overflow" vert="horz" lIns="0" tIns="0" rIns="0" bIns="0" rtlCol="0">
                          <a:noAutofit/>
                        </wps:bodyPr>
                      </wps:wsp>
                    </wpg:wgp>
                  </a:graphicData>
                </a:graphic>
              </wp:anchor>
            </w:drawing>
          </mc:Choice>
          <mc:Fallback xmlns:a="http://schemas.openxmlformats.org/drawingml/2006/main">
            <w:pict>
              <v:group id="Group 43187" style="width:12.7031pt;height:280.356pt;position:absolute;mso-position-horizontal-relative:page;mso-position-horizontal:absolute;margin-left:682.278pt;mso-position-vertical-relative:page;margin-top:531.564pt;" coordsize="1613,35605">
                <v:rect id="Rectangle 4587"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588"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33 </w:t>
                        </w:r>
                      </w:p>
                    </w:txbxContent>
                  </v:textbox>
                </v:rect>
                <w10:wrap type="square"/>
              </v:group>
            </w:pict>
          </mc:Fallback>
        </mc:AlternateContent>
      </w:r>
      <w:r>
        <w:rPr>
          <w:rFonts w:ascii="Arial" w:eastAsia="Arial" w:hAnsi="Arial" w:cs="Arial"/>
        </w:rPr>
        <w:t xml:space="preserve">Dos analíticas semanales de agua bruta (a razón de 249,39€ cada analítica) </w:t>
      </w:r>
    </w:p>
    <w:p w:rsidR="0047564F" w:rsidRDefault="009856F0">
      <w:pPr>
        <w:numPr>
          <w:ilvl w:val="0"/>
          <w:numId w:val="19"/>
        </w:numPr>
        <w:spacing w:after="31" w:line="248" w:lineRule="auto"/>
        <w:ind w:right="39" w:hanging="360"/>
        <w:jc w:val="both"/>
      </w:pPr>
      <w:r>
        <w:rPr>
          <w:rFonts w:ascii="Arial" w:eastAsia="Arial" w:hAnsi="Arial" w:cs="Arial"/>
        </w:rPr>
        <w:t xml:space="preserve">Dos analíticas semanales de fango (a razón de 196,41€ cada analítica) </w:t>
      </w:r>
    </w:p>
    <w:p w:rsidR="0047564F" w:rsidRDefault="009856F0">
      <w:pPr>
        <w:numPr>
          <w:ilvl w:val="0"/>
          <w:numId w:val="19"/>
        </w:numPr>
        <w:spacing w:after="48" w:line="248" w:lineRule="auto"/>
        <w:ind w:right="39" w:hanging="360"/>
        <w:jc w:val="both"/>
      </w:pPr>
      <w:r>
        <w:rPr>
          <w:rFonts w:ascii="Arial" w:eastAsia="Arial" w:hAnsi="Arial" w:cs="Arial"/>
        </w:rPr>
        <w:t xml:space="preserve">Dos tomas de muestras semanales para agua bruta (a razón de 35,65€ cada toma) </w:t>
      </w:r>
    </w:p>
    <w:p w:rsidR="0047564F" w:rsidRDefault="009856F0">
      <w:pPr>
        <w:numPr>
          <w:ilvl w:val="0"/>
          <w:numId w:val="19"/>
        </w:numPr>
        <w:spacing w:after="12" w:line="248" w:lineRule="auto"/>
        <w:ind w:right="39" w:hanging="360"/>
        <w:jc w:val="both"/>
      </w:pPr>
      <w:r>
        <w:rPr>
          <w:rFonts w:ascii="Arial" w:eastAsia="Arial" w:hAnsi="Arial" w:cs="Arial"/>
        </w:rPr>
        <w:t xml:space="preserve">Dos tomas de muestras semanales para fango (a razón de 35,65€ cada toma) </w:t>
      </w:r>
    </w:p>
    <w:p w:rsidR="0047564F" w:rsidRDefault="009856F0">
      <w:pPr>
        <w:numPr>
          <w:ilvl w:val="0"/>
          <w:numId w:val="19"/>
        </w:numPr>
        <w:spacing w:after="174" w:line="248" w:lineRule="auto"/>
        <w:ind w:right="39" w:hanging="360"/>
        <w:jc w:val="both"/>
      </w:pPr>
      <w:r>
        <w:rPr>
          <w:rFonts w:ascii="Arial" w:eastAsia="Arial" w:hAnsi="Arial" w:cs="Arial"/>
        </w:rPr>
        <w:t xml:space="preserve">El personal en planta, que estará de lunes a domingo, de 06:00 a 21:00 horas (a razón de 25,01€/hora) </w:t>
      </w:r>
    </w:p>
    <w:p w:rsidR="0047564F" w:rsidRDefault="009856F0">
      <w:pPr>
        <w:spacing w:after="1" w:line="249" w:lineRule="auto"/>
        <w:ind w:left="-15" w:right="45" w:firstLine="360"/>
        <w:jc w:val="both"/>
      </w:pPr>
      <w:r>
        <w:rPr>
          <w:rFonts w:ascii="Times New Roman" w:eastAsia="Times New Roman" w:hAnsi="Times New Roman" w:cs="Times New Roman"/>
          <w:sz w:val="24"/>
        </w:rPr>
        <w:t>C.- Los demás costes en los que ha de incurrirse para el traslado del efluente desde el P.I.V.G. al Polígono Industrial de La Campana en camiones-cuba o de cualquier otra naturaleza distintos a los del proceso de depuración han de ser sufragados por los Ay</w:t>
      </w:r>
      <w:r>
        <w:rPr>
          <w:rFonts w:ascii="Times New Roman" w:eastAsia="Times New Roman" w:hAnsi="Times New Roman" w:cs="Times New Roman"/>
          <w:sz w:val="24"/>
        </w:rPr>
        <w:t xml:space="preserve">untamientos de Arafo, Candelaria y Güimar al transportista.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CUARTA.- Calendario y lugar de descarga.</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85" w:line="234" w:lineRule="auto"/>
        <w:ind w:right="57" w:firstLine="360"/>
      </w:pPr>
      <w:r>
        <w:rPr>
          <w:rFonts w:ascii="Times New Roman" w:eastAsia="Times New Roman" w:hAnsi="Times New Roman" w:cs="Times New Roman"/>
          <w:sz w:val="24"/>
        </w:rPr>
        <w:t xml:space="preserve">Para alcanzar el régimen de pleno funcionamiento de la EDARI del Polígono de La Campana en el que se trate el máximo caudal que se recepcione, ha de </w:t>
      </w:r>
      <w:r>
        <w:rPr>
          <w:rFonts w:ascii="Times New Roman" w:eastAsia="Times New Roman" w:hAnsi="Times New Roman" w:cs="Times New Roman"/>
          <w:sz w:val="24"/>
        </w:rPr>
        <w:t xml:space="preserve">hacerse de forma progresiva, previéndose los siguientes aportes desde el PIVG, con arreglo al siguiente calendario: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Del 01 al 06 de marzo del 2022: hasta un máximo de 175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/día. </w:t>
      </w:r>
    </w:p>
    <w:p w:rsidR="0047564F" w:rsidRDefault="009856F0">
      <w:pPr>
        <w:numPr>
          <w:ilvl w:val="1"/>
          <w:numId w:val="19"/>
        </w:numPr>
        <w:spacing w:line="249" w:lineRule="auto"/>
        <w:ind w:right="45" w:hanging="360"/>
        <w:jc w:val="both"/>
      </w:pPr>
      <w:r>
        <w:rPr>
          <w:rFonts w:ascii="Times New Roman" w:eastAsia="Times New Roman" w:hAnsi="Times New Roman" w:cs="Times New Roman"/>
          <w:sz w:val="24"/>
        </w:rPr>
        <w:t>Del 07 al 13 de marzo del 2022: hasta un máximo de 210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/día. </w:t>
      </w:r>
    </w:p>
    <w:p w:rsidR="0047564F" w:rsidRDefault="009856F0">
      <w:pPr>
        <w:numPr>
          <w:ilvl w:val="1"/>
          <w:numId w:val="19"/>
        </w:numPr>
        <w:spacing w:after="140" w:line="249" w:lineRule="auto"/>
        <w:ind w:right="45" w:hanging="360"/>
        <w:jc w:val="both"/>
      </w:pPr>
      <w:r>
        <w:rPr>
          <w:rFonts w:ascii="Times New Roman" w:eastAsia="Times New Roman" w:hAnsi="Times New Roman" w:cs="Times New Roman"/>
          <w:sz w:val="24"/>
        </w:rPr>
        <w:t>Del 14 al 28 de marzo del 2022: hasta 240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/día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La descarga del efluente ha de realizarse en la Estación de Bombeo de Aguas Residuales Industriales (EBARI) del Polígono de la Campaña, cuyas coordenadas son: </w:t>
      </w:r>
    </w:p>
    <w:p w:rsidR="0047564F" w:rsidRDefault="009856F0">
      <w:pPr>
        <w:numPr>
          <w:ilvl w:val="0"/>
          <w:numId w:val="20"/>
        </w:numPr>
        <w:spacing w:after="1" w:line="249" w:lineRule="auto"/>
        <w:ind w:right="45" w:hanging="233"/>
        <w:jc w:val="both"/>
      </w:pPr>
      <w:r>
        <w:rPr>
          <w:rFonts w:ascii="Times New Roman" w:eastAsia="Times New Roman" w:hAnsi="Times New Roman" w:cs="Times New Roman"/>
          <w:sz w:val="24"/>
        </w:rPr>
        <w:t xml:space="preserve">370.865,08 </w:t>
      </w:r>
    </w:p>
    <w:p w:rsidR="0047564F" w:rsidRDefault="009856F0">
      <w:pPr>
        <w:numPr>
          <w:ilvl w:val="0"/>
          <w:numId w:val="20"/>
        </w:numPr>
        <w:spacing w:after="1" w:line="249" w:lineRule="auto"/>
        <w:ind w:right="45" w:hanging="233"/>
        <w:jc w:val="both"/>
      </w:pPr>
      <w:r>
        <w:rPr>
          <w:rFonts w:ascii="Times New Roman" w:eastAsia="Times New Roman" w:hAnsi="Times New Roman" w:cs="Times New Roman"/>
          <w:sz w:val="24"/>
        </w:rPr>
        <w:t xml:space="preserve">3.143.272,76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Es obligatoria la </w:t>
      </w:r>
      <w:r>
        <w:rPr>
          <w:rFonts w:ascii="Times New Roman" w:eastAsia="Times New Roman" w:hAnsi="Times New Roman" w:cs="Times New Roman"/>
          <w:sz w:val="24"/>
        </w:rPr>
        <w:t xml:space="preserve">presencia de un operario del transportista en todo momento, además de un operario del Ayuntamiento de El Rosario.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QUINTA.- Documentación.</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 xml:space="preserve">Formarán parte de este convenio como Anexo el informe del Consejo Insular de Aguas de Tenerife de 25 de febrero </w:t>
      </w:r>
      <w:r>
        <w:rPr>
          <w:rFonts w:ascii="Times New Roman" w:eastAsia="Times New Roman" w:hAnsi="Times New Roman" w:cs="Times New Roman"/>
          <w:sz w:val="24"/>
        </w:rPr>
        <w:t xml:space="preserve">de 2022, y el informe técnico de la Ingeniera Municipal del Ayuntamiento de Arafo de 26 de febrero de 2022, así como cualquiera otra documentación determinante para garantizar la correcta ejecución de su objeto.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133"/>
      </w:pPr>
      <w:r>
        <w:rPr>
          <w:rFonts w:ascii="Times New Roman" w:eastAsia="Times New Roman" w:hAnsi="Times New Roman" w:cs="Times New Roman"/>
          <w:sz w:val="24"/>
        </w:rPr>
        <w:t xml:space="preserve"> </w:t>
      </w:r>
    </w:p>
    <w:p w:rsidR="0047564F" w:rsidRDefault="009856F0">
      <w:pPr>
        <w:spacing w:after="0"/>
        <w:ind w:left="1133"/>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SEXTA.- Vigencia, modificación y exti</w:t>
      </w:r>
      <w:r>
        <w:rPr>
          <w:rFonts w:ascii="Times New Roman" w:eastAsia="Times New Roman" w:hAnsi="Times New Roman" w:cs="Times New Roman"/>
          <w:sz w:val="24"/>
          <w:u w:val="single" w:color="000000"/>
        </w:rPr>
        <w:t>nción.</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El presente convenio surtirá efectos desde el día siguiente a su formalización y el plazo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de vigencia será hasta el 28 de marzo de 2022, pudiendo los firmantes acordar unánimemente su prórroga en cualquier momento antes de su finalización.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3075" name="Group 43075"/>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701" name="Rectangle 4701"/>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702" name="Rectangle 4702"/>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31 de 33 </w:t>
                              </w:r>
                            </w:p>
                          </w:txbxContent>
                        </wps:txbx>
                        <wps:bodyPr horzOverflow="overflow" vert="horz" lIns="0" tIns="0" rIns="0" bIns="0" rtlCol="0">
                          <a:noAutofit/>
                        </wps:bodyPr>
                      </wps:wsp>
                    </wpg:wgp>
                  </a:graphicData>
                </a:graphic>
              </wp:anchor>
            </w:drawing>
          </mc:Choice>
          <mc:Fallback xmlns:a="http://schemas.openxmlformats.org/drawingml/2006/main">
            <w:pict>
              <v:group id="Group 43075" style="width:12.7031pt;height:280.356pt;position:absolute;mso-position-horizontal-relative:page;mso-position-horizontal:absolute;margin-left:682.278pt;mso-position-vertical-relative:page;margin-top:531.564pt;" coordsize="1613,35605">
                <v:rect id="Rectangle 4701"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702"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33 </w:t>
                        </w:r>
                      </w:p>
                    </w:txbxContent>
                  </v:textbox>
                </v:rect>
                <w10:wrap type="square"/>
              </v:group>
            </w:pict>
          </mc:Fallback>
        </mc:AlternateContent>
      </w:r>
      <w:r>
        <w:rPr>
          <w:rFonts w:ascii="Times New Roman" w:eastAsia="Times New Roman" w:hAnsi="Times New Roman" w:cs="Times New Roman"/>
          <w:sz w:val="24"/>
        </w:rPr>
        <w:t xml:space="preserve">La modificación del presente convenio podrá realizarse por mutuo acuerdo entre las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partes intervinientes cuando resulte necesaria para la mejor ejecución de su objeto.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El presente convenio se extinguirá por el cumplimiento de las actuaciones que </w:t>
      </w:r>
    </w:p>
    <w:p w:rsidR="0047564F" w:rsidRDefault="009856F0">
      <w:pPr>
        <w:spacing w:after="1" w:line="249" w:lineRule="auto"/>
        <w:ind w:left="-5" w:right="45" w:hanging="10"/>
        <w:jc w:val="both"/>
      </w:pPr>
      <w:r>
        <w:rPr>
          <w:rFonts w:ascii="Times New Roman" w:eastAsia="Times New Roman" w:hAnsi="Times New Roman" w:cs="Times New Roman"/>
          <w:sz w:val="24"/>
        </w:rPr>
        <w:t>constit</w:t>
      </w:r>
      <w:r>
        <w:rPr>
          <w:rFonts w:ascii="Times New Roman" w:eastAsia="Times New Roman" w:hAnsi="Times New Roman" w:cs="Times New Roman"/>
          <w:sz w:val="24"/>
        </w:rPr>
        <w:t xml:space="preserve">uyen su objeto, o por incurrir en causa de resolución.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Las causas de resolución del presente convenio serán: </w:t>
      </w:r>
    </w:p>
    <w:p w:rsidR="0047564F" w:rsidRDefault="009856F0">
      <w:pPr>
        <w:spacing w:after="0"/>
      </w:pPr>
      <w:r>
        <w:rPr>
          <w:rFonts w:ascii="Times New Roman" w:eastAsia="Times New Roman" w:hAnsi="Times New Roman" w:cs="Times New Roman"/>
          <w:sz w:val="24"/>
        </w:rPr>
        <w:t xml:space="preserve"> </w:t>
      </w:r>
    </w:p>
    <w:p w:rsidR="0047564F" w:rsidRDefault="009856F0">
      <w:pPr>
        <w:numPr>
          <w:ilvl w:val="0"/>
          <w:numId w:val="21"/>
        </w:numPr>
        <w:spacing w:after="168" w:line="249" w:lineRule="auto"/>
        <w:ind w:right="45" w:hanging="360"/>
        <w:jc w:val="both"/>
      </w:pPr>
      <w:r>
        <w:rPr>
          <w:rFonts w:ascii="Times New Roman" w:eastAsia="Times New Roman" w:hAnsi="Times New Roman" w:cs="Times New Roman"/>
          <w:sz w:val="24"/>
        </w:rPr>
        <w:t xml:space="preserve">El transcurso del plazo de vigencia del convenio sin haberse acordado la prórroga del mismo. </w:t>
      </w:r>
    </w:p>
    <w:p w:rsidR="0047564F" w:rsidRDefault="009856F0">
      <w:pPr>
        <w:numPr>
          <w:ilvl w:val="0"/>
          <w:numId w:val="21"/>
        </w:numPr>
        <w:spacing w:after="170" w:line="249" w:lineRule="auto"/>
        <w:ind w:right="45" w:hanging="360"/>
        <w:jc w:val="both"/>
      </w:pPr>
      <w:r>
        <w:rPr>
          <w:rFonts w:ascii="Times New Roman" w:eastAsia="Times New Roman" w:hAnsi="Times New Roman" w:cs="Times New Roman"/>
          <w:sz w:val="24"/>
        </w:rPr>
        <w:t xml:space="preserve">El acuerdo unánime de ambas partes. </w:t>
      </w:r>
    </w:p>
    <w:p w:rsidR="0047564F" w:rsidRDefault="009856F0">
      <w:pPr>
        <w:numPr>
          <w:ilvl w:val="0"/>
          <w:numId w:val="21"/>
        </w:numPr>
        <w:spacing w:after="171" w:line="249" w:lineRule="auto"/>
        <w:ind w:right="45" w:hanging="360"/>
        <w:jc w:val="both"/>
      </w:pPr>
      <w:r>
        <w:rPr>
          <w:rFonts w:ascii="Times New Roman" w:eastAsia="Times New Roman" w:hAnsi="Times New Roman" w:cs="Times New Roman"/>
          <w:sz w:val="24"/>
        </w:rPr>
        <w:t xml:space="preserve">El incumplimiento de las obligaciones y compromisos asumidos por parte de alguno de los firmantes. </w:t>
      </w:r>
    </w:p>
    <w:p w:rsidR="0047564F" w:rsidRDefault="009856F0">
      <w:pPr>
        <w:numPr>
          <w:ilvl w:val="0"/>
          <w:numId w:val="21"/>
        </w:numPr>
        <w:spacing w:after="167" w:line="249" w:lineRule="auto"/>
        <w:ind w:right="45" w:hanging="360"/>
        <w:jc w:val="both"/>
      </w:pPr>
      <w:r>
        <w:rPr>
          <w:rFonts w:ascii="Times New Roman" w:eastAsia="Times New Roman" w:hAnsi="Times New Roman" w:cs="Times New Roman"/>
          <w:sz w:val="24"/>
        </w:rPr>
        <w:t xml:space="preserve">Por decisión judicial declaratoria de la nulidad del convenio. </w:t>
      </w:r>
    </w:p>
    <w:p w:rsidR="0047564F" w:rsidRDefault="009856F0">
      <w:pPr>
        <w:numPr>
          <w:ilvl w:val="0"/>
          <w:numId w:val="21"/>
        </w:numPr>
        <w:spacing w:after="164" w:line="249" w:lineRule="auto"/>
        <w:ind w:right="45" w:hanging="360"/>
        <w:jc w:val="both"/>
      </w:pPr>
      <w:r>
        <w:rPr>
          <w:rFonts w:ascii="Times New Roman" w:eastAsia="Times New Roman" w:hAnsi="Times New Roman" w:cs="Times New Roman"/>
          <w:sz w:val="24"/>
        </w:rPr>
        <w:t>Por cualquier otra causa que, en su caso, le fuere de aplicación de acuerdo con la legislaci</w:t>
      </w:r>
      <w:r>
        <w:rPr>
          <w:rFonts w:ascii="Times New Roman" w:eastAsia="Times New Roman" w:hAnsi="Times New Roman" w:cs="Times New Roman"/>
          <w:sz w:val="24"/>
        </w:rPr>
        <w:t xml:space="preserve">ón vigente.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Cualquiera de las partes interesadas podrá denunciar los incumplimientos que observe del convenio, pero su resolución exigirá el acuerdo unánime de ambas.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1128" w:hanging="10"/>
      </w:pPr>
      <w:r>
        <w:rPr>
          <w:rFonts w:ascii="Times New Roman" w:eastAsia="Times New Roman" w:hAnsi="Times New Roman" w:cs="Times New Roman"/>
          <w:sz w:val="24"/>
          <w:u w:val="single" w:color="000000"/>
        </w:rPr>
        <w:t>SÉPTIMA.- Comisión de Técnica de Control y Seguimiento del convenio.</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5" w:right="45" w:firstLine="1133"/>
        <w:jc w:val="both"/>
      </w:pPr>
      <w:r>
        <w:rPr>
          <w:rFonts w:ascii="Times New Roman" w:eastAsia="Times New Roman" w:hAnsi="Times New Roman" w:cs="Times New Roman"/>
          <w:sz w:val="24"/>
        </w:rPr>
        <w:t>Tras la firma</w:t>
      </w:r>
      <w:r>
        <w:rPr>
          <w:rFonts w:ascii="Times New Roman" w:eastAsia="Times New Roman" w:hAnsi="Times New Roman" w:cs="Times New Roman"/>
          <w:sz w:val="24"/>
        </w:rPr>
        <w:t xml:space="preserve"> del presente convenio, se establecerá una Comisión Técnica de Control y Seguimiento a fin de garantizar el adecuado equilibrio entre las partes en la interpretación y cumplimiento del convenio, la cual estará integrada por 4 representantes, uno nombrado p</w:t>
      </w:r>
      <w:r>
        <w:rPr>
          <w:rFonts w:ascii="Times New Roman" w:eastAsia="Times New Roman" w:hAnsi="Times New Roman" w:cs="Times New Roman"/>
          <w:sz w:val="24"/>
        </w:rPr>
        <w:t xml:space="preserve">or cada ayuntamiento.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Esta Comisión se reunirá a instancia de cualquiera de las partes para examinar los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resultados e incidencias que surjan de la colaboración realizada.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Su funcionamiento, en lo no previsto en este convenio, se acoge a lo dispuesto sobre </w:t>
      </w:r>
    </w:p>
    <w:p w:rsidR="0047564F" w:rsidRDefault="009856F0">
      <w:pPr>
        <w:spacing w:after="1" w:line="249" w:lineRule="auto"/>
        <w:ind w:left="-5" w:right="45" w:hanging="10"/>
        <w:jc w:val="both"/>
      </w:pPr>
      <w:r>
        <w:rPr>
          <w:rFonts w:ascii="Times New Roman" w:eastAsia="Times New Roman" w:hAnsi="Times New Roman" w:cs="Times New Roman"/>
          <w:sz w:val="24"/>
        </w:rPr>
        <w:t xml:space="preserve">órganos colegiados en el Capítulo II de la Ley 40/2015, de 1 de octubre, de Régimen Jurídico del Sector Público.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730" w:right="45" w:hanging="10"/>
        <w:jc w:val="both"/>
      </w:pPr>
      <w:r>
        <w:rPr>
          <w:rFonts w:ascii="Times New Roman" w:eastAsia="Times New Roman" w:hAnsi="Times New Roman" w:cs="Times New Roman"/>
          <w:sz w:val="24"/>
        </w:rPr>
        <w:t xml:space="preserve">Esta Comisión de Seguimiento se encargará de: </w:t>
      </w:r>
    </w:p>
    <w:p w:rsidR="0047564F" w:rsidRDefault="009856F0">
      <w:pPr>
        <w:spacing w:after="0"/>
      </w:pPr>
      <w:r>
        <w:rPr>
          <w:rFonts w:ascii="Times New Roman" w:eastAsia="Times New Roman" w:hAnsi="Times New Roman" w:cs="Times New Roman"/>
          <w:sz w:val="24"/>
        </w:rPr>
        <w:t xml:space="preserve"> </w:t>
      </w:r>
    </w:p>
    <w:p w:rsidR="0047564F" w:rsidRDefault="009856F0">
      <w:pPr>
        <w:numPr>
          <w:ilvl w:val="0"/>
          <w:numId w:val="22"/>
        </w:numPr>
        <w:spacing w:after="143" w:line="249" w:lineRule="auto"/>
        <w:ind w:right="45" w:hanging="360"/>
        <w:jc w:val="both"/>
      </w:pPr>
      <w:r>
        <w:rPr>
          <w:rFonts w:ascii="Times New Roman" w:eastAsia="Times New Roman" w:hAnsi="Times New Roman" w:cs="Times New Roman"/>
          <w:sz w:val="24"/>
        </w:rPr>
        <w:t>Reali</w:t>
      </w:r>
      <w:r>
        <w:rPr>
          <w:rFonts w:ascii="Times New Roman" w:eastAsia="Times New Roman" w:hAnsi="Times New Roman" w:cs="Times New Roman"/>
          <w:sz w:val="24"/>
        </w:rPr>
        <w:t xml:space="preserve">zar el seguimiento Técnico de las actuaciones del convenio. </w:t>
      </w:r>
    </w:p>
    <w:p w:rsidR="0047564F" w:rsidRDefault="009856F0">
      <w:pPr>
        <w:numPr>
          <w:ilvl w:val="0"/>
          <w:numId w:val="22"/>
        </w:numPr>
        <w:spacing w:after="189" w:line="249" w:lineRule="auto"/>
        <w:ind w:right="45" w:hanging="360"/>
        <w:jc w:val="both"/>
      </w:pPr>
      <w:r>
        <w:rPr>
          <w:rFonts w:ascii="Times New Roman" w:eastAsia="Times New Roman" w:hAnsi="Times New Roman" w:cs="Times New Roman"/>
          <w:sz w:val="24"/>
        </w:rPr>
        <w:t xml:space="preserve">Resolver los problemas de interpretación y cumplimiento que se deriven del presente convenio. </w:t>
      </w:r>
    </w:p>
    <w:p w:rsidR="0047564F" w:rsidRDefault="009856F0">
      <w:pPr>
        <w:numPr>
          <w:ilvl w:val="0"/>
          <w:numId w:val="22"/>
        </w:numPr>
        <w:spacing w:after="120" w:line="249" w:lineRule="auto"/>
        <w:ind w:right="45" w:hanging="360"/>
        <w:jc w:val="both"/>
      </w:pPr>
      <w:r>
        <w:rPr>
          <w:rFonts w:ascii="Times New Roman" w:eastAsia="Times New Roman" w:hAnsi="Times New Roman" w:cs="Times New Roman"/>
          <w:sz w:val="24"/>
        </w:rPr>
        <w:t xml:space="preserve">Garantizar el intercambio de la información.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0"/>
        <w:ind w:left="720"/>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6750863</wp:posOffset>
                </wp:positionV>
                <wp:extent cx="161330" cy="3560522"/>
                <wp:effectExtent l="0" t="0" r="0" b="0"/>
                <wp:wrapSquare wrapText="bothSides"/>
                <wp:docPr id="43523" name="Group 43523"/>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815" name="Rectangle 4815"/>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 xml:space="preserve">Cód. Validación: ALSXMMSP9NA5HCWNFRL4Z6ZE7 | Verificación: https://candelaria.sedelectronica.es/ </w:t>
                              </w:r>
                            </w:p>
                          </w:txbxContent>
                        </wps:txbx>
                        <wps:bodyPr horzOverflow="overflow" vert="horz" lIns="0" tIns="0" rIns="0" bIns="0" rtlCol="0">
                          <a:noAutofit/>
                        </wps:bodyPr>
                      </wps:wsp>
                      <wps:wsp>
                        <wps:cNvPr id="4816" name="Rectangle 4816"/>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32 de 33 </w:t>
                              </w:r>
                            </w:p>
                          </w:txbxContent>
                        </wps:txbx>
                        <wps:bodyPr horzOverflow="overflow" vert="horz" lIns="0" tIns="0" rIns="0" bIns="0" rtlCol="0">
                          <a:noAutofit/>
                        </wps:bodyPr>
                      </wps:wsp>
                    </wpg:wgp>
                  </a:graphicData>
                </a:graphic>
              </wp:anchor>
            </w:drawing>
          </mc:Choice>
          <mc:Fallback xmlns:a="http://schemas.openxmlformats.org/drawingml/2006/main">
            <w:pict>
              <v:group id="Group 43523" style="width:12.7031pt;height:280.356pt;position:absolute;mso-position-horizontal-relative:page;mso-position-horizontal:absolute;margin-left:682.278pt;mso-position-vertical-relative:page;margin-top:531.564pt;" coordsize="1613,35605">
                <v:rect id="Rectangle 4815"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816"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33 </w:t>
                        </w:r>
                      </w:p>
                    </w:txbxContent>
                  </v:textbox>
                </v:rect>
                <w10:wrap type="square"/>
              </v:group>
            </w:pict>
          </mc:Fallback>
        </mc:AlternateContent>
      </w:r>
      <w:r>
        <w:rPr>
          <w:rFonts w:ascii="Times New Roman" w:eastAsia="Times New Roman" w:hAnsi="Times New Roman" w:cs="Times New Roman"/>
          <w:sz w:val="24"/>
        </w:rPr>
        <w:t xml:space="preserve"> </w:t>
      </w:r>
    </w:p>
    <w:p w:rsidR="0047564F" w:rsidRDefault="009856F0">
      <w:pPr>
        <w:spacing w:after="0"/>
        <w:ind w:left="730" w:hanging="10"/>
      </w:pPr>
      <w:r>
        <w:rPr>
          <w:rFonts w:ascii="Times New Roman" w:eastAsia="Times New Roman" w:hAnsi="Times New Roman" w:cs="Times New Roman"/>
          <w:sz w:val="24"/>
          <w:u w:val="single" w:color="000000"/>
        </w:rPr>
        <w:t>OCTAVA.- Régimen Jurídico y Jurisdicción</w:t>
      </w:r>
      <w:r>
        <w:rPr>
          <w:rFonts w:ascii="Times New Roman" w:eastAsia="Times New Roman" w:hAnsi="Times New Roman" w:cs="Times New Roman"/>
          <w:sz w:val="24"/>
        </w:rPr>
        <w:t xml:space="preserve"> </w:t>
      </w:r>
    </w:p>
    <w:p w:rsidR="0047564F" w:rsidRDefault="009856F0">
      <w:pPr>
        <w:spacing w:after="0"/>
      </w:pPr>
      <w:r>
        <w:rPr>
          <w:rFonts w:ascii="Times New Roman" w:eastAsia="Times New Roman" w:hAnsi="Times New Roman" w:cs="Times New Roman"/>
          <w:sz w:val="24"/>
        </w:rPr>
        <w:t xml:space="preserv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Será de aplicación al presente Convenio la Ley 40/2015, de 1 de octubre, de régimen </w:t>
      </w:r>
    </w:p>
    <w:p w:rsidR="0047564F" w:rsidRDefault="009856F0">
      <w:pPr>
        <w:spacing w:after="1" w:line="249" w:lineRule="auto"/>
        <w:ind w:left="-5" w:right="45" w:hanging="10"/>
        <w:jc w:val="both"/>
      </w:pPr>
      <w:r>
        <w:rPr>
          <w:rFonts w:ascii="Times New Roman" w:eastAsia="Times New Roman" w:hAnsi="Times New Roman" w:cs="Times New Roman"/>
          <w:sz w:val="24"/>
        </w:rPr>
        <w:t>jurídico del Sector Público; la Ley 7/1985, de 2 de abril, reguladora de las Bases del Régimen Local; la Ley 8/2015, de 1 de abril, de Cabildos Insulares; la Ley 4/2017, d</w:t>
      </w:r>
      <w:r>
        <w:rPr>
          <w:rFonts w:ascii="Times New Roman" w:eastAsia="Times New Roman" w:hAnsi="Times New Roman" w:cs="Times New Roman"/>
          <w:sz w:val="24"/>
        </w:rPr>
        <w:t xml:space="preserve">e 13 de julio, del Suelo y de los Espacios Naturales Protegidos de Canarias; y demás normativa concordante. </w:t>
      </w:r>
    </w:p>
    <w:p w:rsidR="0047564F" w:rsidRDefault="009856F0">
      <w:pPr>
        <w:spacing w:after="1" w:line="249" w:lineRule="auto"/>
        <w:ind w:left="1143" w:right="45" w:hanging="10"/>
        <w:jc w:val="both"/>
      </w:pPr>
      <w:r>
        <w:rPr>
          <w:rFonts w:ascii="Times New Roman" w:eastAsia="Times New Roman" w:hAnsi="Times New Roman" w:cs="Times New Roman"/>
          <w:sz w:val="24"/>
        </w:rPr>
        <w:t xml:space="preserve">Los Juzgados de lo Contencioso-Administrativo de Santa Cruz de Tenerife son los </w:t>
      </w:r>
    </w:p>
    <w:p w:rsidR="0047564F" w:rsidRDefault="009856F0">
      <w:pPr>
        <w:spacing w:after="1" w:line="249" w:lineRule="auto"/>
        <w:ind w:left="-5" w:right="45" w:hanging="10"/>
        <w:jc w:val="both"/>
      </w:pPr>
      <w:r>
        <w:rPr>
          <w:rFonts w:ascii="Times New Roman" w:eastAsia="Times New Roman" w:hAnsi="Times New Roman" w:cs="Times New Roman"/>
          <w:sz w:val="24"/>
        </w:rPr>
        <w:t>competentes para conocer de los recursos que se deduzcan en relaci</w:t>
      </w:r>
      <w:r>
        <w:rPr>
          <w:rFonts w:ascii="Times New Roman" w:eastAsia="Times New Roman" w:hAnsi="Times New Roman" w:cs="Times New Roman"/>
          <w:sz w:val="24"/>
        </w:rPr>
        <w:t xml:space="preserve">ón con el presente Convenio, de conformidad con lo dispuesto en el artículo 8.1 de la Ley 29/1998, de 13 de julio, reguladora de la Jurisdicción Contencioso-administrativa. </w:t>
      </w:r>
    </w:p>
    <w:p w:rsidR="0047564F" w:rsidRDefault="009856F0">
      <w:pPr>
        <w:spacing w:after="1" w:line="249" w:lineRule="auto"/>
        <w:ind w:left="1143" w:right="45" w:hanging="10"/>
        <w:jc w:val="both"/>
      </w:pPr>
      <w:r>
        <w:rPr>
          <w:rFonts w:ascii="Times New Roman" w:eastAsia="Times New Roman" w:hAnsi="Times New Roman" w:cs="Times New Roman"/>
          <w:sz w:val="24"/>
        </w:rPr>
        <w:t>Y en prueba de conformidad, firman las partes intervinientes el presente documento</w:t>
      </w:r>
      <w:r>
        <w:rPr>
          <w:rFonts w:ascii="Times New Roman" w:eastAsia="Times New Roman" w:hAnsi="Times New Roman" w:cs="Times New Roman"/>
          <w:sz w:val="24"/>
        </w:rPr>
        <w:t xml:space="preserve">, </w:t>
      </w:r>
    </w:p>
    <w:p w:rsidR="0047564F" w:rsidRDefault="009856F0">
      <w:pPr>
        <w:spacing w:after="1" w:line="249" w:lineRule="auto"/>
        <w:ind w:left="-5" w:right="45" w:hanging="10"/>
        <w:jc w:val="both"/>
      </w:pPr>
      <w:r>
        <w:rPr>
          <w:rFonts w:ascii="Times New Roman" w:eastAsia="Times New Roman" w:hAnsi="Times New Roman" w:cs="Times New Roman"/>
          <w:sz w:val="24"/>
        </w:rPr>
        <w:t>dando fe pública de ello los Secretarios/as Generales de los Ayuntamientos, de conformidad con lo dispuesto en el artículo 3.2 i) del Real Decreto 128/2018, de 16 de marzo, por el que se regula el régimen jurídico de los funcionarios de Administración L</w:t>
      </w:r>
      <w:r>
        <w:rPr>
          <w:rFonts w:ascii="Times New Roman" w:eastAsia="Times New Roman" w:hAnsi="Times New Roman" w:cs="Times New Roman"/>
          <w:sz w:val="24"/>
        </w:rPr>
        <w:t xml:space="preserve">ocal con habilitación de carácter nacional. </w:t>
      </w:r>
    </w:p>
    <w:p w:rsidR="0047564F" w:rsidRDefault="009856F0">
      <w:pPr>
        <w:spacing w:after="98"/>
        <w:ind w:left="1133"/>
      </w:pPr>
      <w:r>
        <w:rPr>
          <w:rFonts w:ascii="Arial" w:eastAsia="Arial" w:hAnsi="Arial" w:cs="Arial"/>
        </w:rPr>
        <w:t xml:space="preserve"> </w:t>
      </w:r>
    </w:p>
    <w:p w:rsidR="0047564F" w:rsidRDefault="009856F0">
      <w:pPr>
        <w:spacing w:after="110" w:line="249" w:lineRule="auto"/>
        <w:ind w:left="-15" w:right="46" w:firstLine="1133"/>
        <w:jc w:val="both"/>
      </w:pPr>
      <w:r>
        <w:rPr>
          <w:rFonts w:ascii="Arial" w:eastAsia="Arial" w:hAnsi="Arial" w:cs="Arial"/>
          <w:b/>
        </w:rPr>
        <w:t xml:space="preserve">Segundo.- Autorizar a la Alcaldesa-Presidenta para la firma electrónica del presente convenio. </w:t>
      </w:r>
    </w:p>
    <w:p w:rsidR="0047564F" w:rsidRDefault="009856F0">
      <w:pPr>
        <w:spacing w:after="5" w:line="249" w:lineRule="auto"/>
        <w:ind w:left="-15" w:right="46" w:firstLine="1133"/>
        <w:jc w:val="both"/>
      </w:pPr>
      <w:r>
        <w:rPr>
          <w:rFonts w:ascii="Arial" w:eastAsia="Arial" w:hAnsi="Arial" w:cs="Arial"/>
          <w:b/>
        </w:rPr>
        <w:t xml:space="preserve">Tercero.- Nombrar al Ingeniero Técnico Industrial Don Daniel Espejo Cómez como miembro de la Comisión técnica de </w:t>
      </w:r>
      <w:r>
        <w:rPr>
          <w:rFonts w:ascii="Arial" w:eastAsia="Arial" w:hAnsi="Arial" w:cs="Arial"/>
          <w:b/>
        </w:rPr>
        <w:t>Seguimiento del convenio en representación del Ayuntamiento de Candelaria que será el responsable técnico de la ejecución del presente convenio en representación del Ayuntamiento de Candelaria debiendo dar cuenta a este Ayuntamiento del cumplimiento  y eje</w:t>
      </w:r>
      <w:r>
        <w:rPr>
          <w:rFonts w:ascii="Arial" w:eastAsia="Arial" w:hAnsi="Arial" w:cs="Arial"/>
          <w:b/>
        </w:rPr>
        <w:t xml:space="preserve">cución del convenio. </w:t>
      </w:r>
    </w:p>
    <w:p w:rsidR="0047564F" w:rsidRDefault="009856F0">
      <w:pPr>
        <w:spacing w:after="108" w:line="249" w:lineRule="auto"/>
        <w:ind w:left="-15" w:right="46" w:firstLine="1133"/>
        <w:jc w:val="both"/>
      </w:pPr>
      <w:r>
        <w:rPr>
          <w:rFonts w:ascii="Arial" w:eastAsia="Arial" w:hAnsi="Arial" w:cs="Arial"/>
          <w:b/>
        </w:rPr>
        <w:t xml:space="preserve">Cuarto.- </w:t>
      </w:r>
      <w:r>
        <w:rPr>
          <w:rFonts w:ascii="Arial" w:eastAsia="Arial" w:hAnsi="Arial" w:cs="Arial"/>
          <w:b/>
        </w:rPr>
        <w:t xml:space="preserve">Notificar el presente acuerdo a los Ayuntamientos de Arafo, Güimar y el Rosario, al Consejo Insular de Aguas de Tenerife y la Dirección General del Cambio Climático y Medio Natural de la Consejería de Transición Ecológica del Gobierno de Canarias”. </w:t>
      </w:r>
    </w:p>
    <w:p w:rsidR="0047564F" w:rsidRDefault="009856F0">
      <w:pPr>
        <w:spacing w:after="103"/>
        <w:ind w:left="1133"/>
      </w:pPr>
      <w:r>
        <w:rPr>
          <w:rFonts w:ascii="Arial" w:eastAsia="Arial" w:hAnsi="Arial" w:cs="Arial"/>
          <w:b/>
        </w:rPr>
        <w:t xml:space="preserve"> </w:t>
      </w:r>
    </w:p>
    <w:p w:rsidR="0047564F" w:rsidRDefault="009856F0">
      <w:pPr>
        <w:spacing w:after="110" w:line="248" w:lineRule="auto"/>
        <w:ind w:left="-15" w:right="39" w:firstLine="708"/>
        <w:jc w:val="both"/>
      </w:pPr>
      <w:r>
        <w:rPr>
          <w:rFonts w:ascii="Arial" w:eastAsia="Arial" w:hAnsi="Arial" w:cs="Arial"/>
        </w:rPr>
        <w:t>Se l</w:t>
      </w:r>
      <w:r>
        <w:rPr>
          <w:rFonts w:ascii="Arial" w:eastAsia="Arial" w:hAnsi="Arial" w:cs="Arial"/>
        </w:rPr>
        <w:t xml:space="preserve">evanta la sesión a las 14:30 horas del mismo día. De todo lo cual yo, como Secretario General, doy fe. </w:t>
      </w:r>
    </w:p>
    <w:p w:rsidR="0047564F" w:rsidRDefault="009856F0">
      <w:pPr>
        <w:spacing w:after="98"/>
        <w:ind w:left="708"/>
      </w:pPr>
      <w:r>
        <w:rPr>
          <w:rFonts w:ascii="Arial" w:eastAsia="Arial" w:hAnsi="Arial" w:cs="Arial"/>
          <w:b/>
        </w:rPr>
        <w:t xml:space="preserve"> </w:t>
      </w:r>
    </w:p>
    <w:p w:rsidR="0047564F" w:rsidRDefault="009856F0">
      <w:pPr>
        <w:pStyle w:val="Ttulo1"/>
        <w:tabs>
          <w:tab w:val="center" w:pos="2647"/>
          <w:tab w:val="center" w:pos="4957"/>
          <w:tab w:val="center" w:pos="7359"/>
        </w:tabs>
        <w:ind w:left="0" w:firstLine="0"/>
        <w:jc w:val="left"/>
      </w:pPr>
      <w:r>
        <w:rPr>
          <w:rFonts w:ascii="Calibri" w:eastAsia="Calibri" w:hAnsi="Calibri" w:cs="Calibri"/>
          <w:b w:val="0"/>
        </w:rPr>
        <w:tab/>
      </w:r>
      <w:r>
        <w:t xml:space="preserve">Vº. Bº LA ALCALDESA-PRESIDENTA, </w:t>
      </w:r>
      <w:r>
        <w:tab/>
        <w:t xml:space="preserve"> </w:t>
      </w:r>
      <w:r>
        <w:tab/>
        <w:t xml:space="preserve">       EL SECRETARIO GENERAL,</w:t>
      </w:r>
      <w:r>
        <w:rPr>
          <w:b w:val="0"/>
          <w:vertAlign w:val="subscript"/>
        </w:rPr>
        <w:t xml:space="preserve"> </w:t>
      </w:r>
    </w:p>
    <w:p w:rsidR="0047564F" w:rsidRDefault="009856F0">
      <w:pPr>
        <w:spacing w:after="261"/>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6750863</wp:posOffset>
                </wp:positionV>
                <wp:extent cx="161330" cy="3560522"/>
                <wp:effectExtent l="0" t="0" r="0" b="0"/>
                <wp:wrapTopAndBottom/>
                <wp:docPr id="43188" name="Group 43188"/>
                <wp:cNvGraphicFramePr/>
                <a:graphic xmlns:a="http://schemas.openxmlformats.org/drawingml/2006/main">
                  <a:graphicData uri="http://schemas.microsoft.com/office/word/2010/wordprocessingGroup">
                    <wpg:wgp>
                      <wpg:cNvGrpSpPr/>
                      <wpg:grpSpPr>
                        <a:xfrm>
                          <a:off x="0" y="0"/>
                          <a:ext cx="161330" cy="3560522"/>
                          <a:chOff x="0" y="0"/>
                          <a:chExt cx="161330" cy="3560522"/>
                        </a:xfrm>
                      </wpg:grpSpPr>
                      <wps:wsp>
                        <wps:cNvPr id="4882" name="Rectangle 4882"/>
                        <wps:cNvSpPr/>
                        <wps:spPr>
                          <a:xfrm rot="-5399999">
                            <a:off x="-2311136" y="1136162"/>
                            <a:ext cx="4735494" cy="113224"/>
                          </a:xfrm>
                          <a:prstGeom prst="rect">
                            <a:avLst/>
                          </a:prstGeom>
                          <a:ln>
                            <a:noFill/>
                          </a:ln>
                        </wps:spPr>
                        <wps:txbx>
                          <w:txbxContent>
                            <w:p w:rsidR="0047564F" w:rsidRDefault="009856F0">
                              <w:r>
                                <w:rPr>
                                  <w:rFonts w:ascii="Arial" w:eastAsia="Arial" w:hAnsi="Arial" w:cs="Arial"/>
                                  <w:sz w:val="12"/>
                                </w:rPr>
                                <w:t>Cód. Validación: ALSXMMSP9NA5HCWNFRL4Z6ZE7 | Verificación: https://candelaria.se</w:t>
                              </w:r>
                              <w:r>
                                <w:rPr>
                                  <w:rFonts w:ascii="Arial" w:eastAsia="Arial" w:hAnsi="Arial" w:cs="Arial"/>
                                  <w:sz w:val="12"/>
                                </w:rPr>
                                <w:t xml:space="preserve">delectronica.es/ </w:t>
                              </w:r>
                            </w:p>
                          </w:txbxContent>
                        </wps:txbx>
                        <wps:bodyPr horzOverflow="overflow" vert="horz" lIns="0" tIns="0" rIns="0" bIns="0" rtlCol="0">
                          <a:noAutofit/>
                        </wps:bodyPr>
                      </wps:wsp>
                      <wps:wsp>
                        <wps:cNvPr id="4883" name="Rectangle 4883"/>
                        <wps:cNvSpPr/>
                        <wps:spPr>
                          <a:xfrm rot="-5399999">
                            <a:off x="-2042224" y="1328872"/>
                            <a:ext cx="4350075" cy="113224"/>
                          </a:xfrm>
                          <a:prstGeom prst="rect">
                            <a:avLst/>
                          </a:prstGeom>
                          <a:ln>
                            <a:noFill/>
                          </a:ln>
                        </wps:spPr>
                        <wps:txbx>
                          <w:txbxContent>
                            <w:p w:rsidR="0047564F" w:rsidRDefault="009856F0">
                              <w:r>
                                <w:rPr>
                                  <w:rFonts w:ascii="Arial" w:eastAsia="Arial" w:hAnsi="Arial" w:cs="Arial"/>
                                  <w:sz w:val="12"/>
                                </w:rPr>
                                <w:t xml:space="preserve">Documento firmado electrónicamente desde la plataforma esPublico Gestiona | Página 33 de 33 </w:t>
                              </w:r>
                            </w:p>
                          </w:txbxContent>
                        </wps:txbx>
                        <wps:bodyPr horzOverflow="overflow" vert="horz" lIns="0" tIns="0" rIns="0" bIns="0" rtlCol="0">
                          <a:noAutofit/>
                        </wps:bodyPr>
                      </wps:wsp>
                    </wpg:wgp>
                  </a:graphicData>
                </a:graphic>
              </wp:anchor>
            </w:drawing>
          </mc:Choice>
          <mc:Fallback xmlns:a="http://schemas.openxmlformats.org/drawingml/2006/main">
            <w:pict>
              <v:group id="Group 43188" style="width:12.7031pt;height:280.356pt;position:absolute;mso-position-horizontal-relative:page;mso-position-horizontal:absolute;margin-left:682.278pt;mso-position-vertical-relative:page;margin-top:531.564pt;" coordsize="1613,35605">
                <v:rect id="Rectangle 4882" style="position:absolute;width:47354;height:1132;left:-23111;top:1136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ALSXMMSP9NA5HCWNFRL4Z6ZE7 | Verificación: https://candelaria.sedelectronica.es/ </w:t>
                        </w:r>
                      </w:p>
                    </w:txbxContent>
                  </v:textbox>
                </v:rect>
                <v:rect id="Rectangle 4883" style="position:absolute;width:43500;height:1132;left:-20422;top:132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33 </w:t>
                        </w:r>
                      </w:p>
                    </w:txbxContent>
                  </v:textbox>
                </v:rect>
                <w10:wrap type="topAndBottom"/>
              </v:group>
            </w:pict>
          </mc:Fallback>
        </mc:AlternateContent>
      </w:r>
      <w:r>
        <w:rPr>
          <w:rFonts w:ascii="Arial" w:eastAsia="Arial" w:hAnsi="Arial" w:cs="Arial"/>
        </w:rPr>
        <w:t xml:space="preserve">              </w:t>
      </w:r>
    </w:p>
    <w:p w:rsidR="0047564F" w:rsidRDefault="009856F0">
      <w:pPr>
        <w:tabs>
          <w:tab w:val="center" w:pos="2205"/>
          <w:tab w:val="right" w:pos="9619"/>
        </w:tabs>
        <w:spacing w:after="268"/>
      </w:pPr>
      <w:r>
        <w:tab/>
      </w:r>
      <w:r>
        <w:rPr>
          <w:rFonts w:ascii="Arial" w:eastAsia="Arial" w:hAnsi="Arial" w:cs="Arial"/>
        </w:rPr>
        <w:t xml:space="preserve">María Concepción Brito Núñez                      </w:t>
      </w:r>
      <w:r>
        <w:rPr>
          <w:rFonts w:ascii="Arial" w:eastAsia="Arial" w:hAnsi="Arial" w:cs="Arial"/>
        </w:rPr>
        <w:tab/>
        <w:t xml:space="preserve">Octavio Manuel Hernández Fernández  </w:t>
      </w:r>
    </w:p>
    <w:p w:rsidR="0047564F" w:rsidRDefault="009856F0">
      <w:pPr>
        <w:spacing w:after="0"/>
      </w:pPr>
      <w:r>
        <w:rPr>
          <w:rFonts w:ascii="Arial" w:eastAsia="Arial" w:hAnsi="Arial" w:cs="Arial"/>
        </w:rPr>
        <w:t xml:space="preserve"> </w:t>
      </w:r>
    </w:p>
    <w:p w:rsidR="0047564F" w:rsidRDefault="009856F0">
      <w:pPr>
        <w:spacing w:after="98"/>
        <w:ind w:left="5"/>
        <w:jc w:val="center"/>
      </w:pPr>
      <w:r>
        <w:rPr>
          <w:rFonts w:ascii="Arial" w:eastAsia="Arial" w:hAnsi="Arial" w:cs="Arial"/>
          <w:b/>
        </w:rPr>
        <w:t xml:space="preserve"> </w:t>
      </w:r>
    </w:p>
    <w:p w:rsidR="0047564F" w:rsidRDefault="009856F0">
      <w:pPr>
        <w:pStyle w:val="Ttulo1"/>
        <w:spacing w:after="110"/>
        <w:ind w:left="151" w:right="198"/>
      </w:pPr>
      <w:r>
        <w:t>DOCUMENTO FIRMADO ELECTRÓNICAMENTE</w:t>
      </w:r>
      <w:r>
        <w:rPr>
          <w:b w:val="0"/>
        </w:rPr>
        <w:t xml:space="preserve">  </w:t>
      </w:r>
    </w:p>
    <w:p w:rsidR="0047564F" w:rsidRDefault="009856F0">
      <w:pPr>
        <w:spacing w:after="0"/>
      </w:pPr>
      <w:r>
        <w:rPr>
          <w:rFonts w:ascii="Arial" w:eastAsia="Arial" w:hAnsi="Arial" w:cs="Arial"/>
        </w:rPr>
        <w:t xml:space="preserve"> </w:t>
      </w:r>
    </w:p>
    <w:p w:rsidR="0047564F" w:rsidRDefault="009856F0">
      <w:pPr>
        <w:spacing w:after="0"/>
      </w:pPr>
      <w:r>
        <w:rPr>
          <w:rFonts w:ascii="Arial" w:eastAsia="Arial" w:hAnsi="Arial" w:cs="Arial"/>
          <w:b/>
        </w:rPr>
        <w:t xml:space="preserve"> </w:t>
      </w:r>
    </w:p>
    <w:p w:rsidR="0047564F" w:rsidRDefault="009856F0">
      <w:pPr>
        <w:spacing w:after="0"/>
      </w:pPr>
      <w:r>
        <w:rPr>
          <w:rFonts w:ascii="Arial" w:eastAsia="Arial" w:hAnsi="Arial" w:cs="Arial"/>
          <w:b/>
        </w:rPr>
        <w:t xml:space="preserve"> </w:t>
      </w:r>
    </w:p>
    <w:sectPr w:rsidR="0047564F">
      <w:headerReference w:type="even" r:id="rId9"/>
      <w:headerReference w:type="default" r:id="rId10"/>
      <w:footerReference w:type="even" r:id="rId11"/>
      <w:footerReference w:type="default" r:id="rId12"/>
      <w:headerReference w:type="first" r:id="rId13"/>
      <w:footerReference w:type="first" r:id="rId14"/>
      <w:pgSz w:w="14174" w:h="16838"/>
      <w:pgMar w:top="2837" w:right="2002" w:bottom="572" w:left="255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56F0">
      <w:pPr>
        <w:spacing w:after="0" w:line="240" w:lineRule="auto"/>
      </w:pPr>
      <w:r>
        <w:separator/>
      </w:r>
    </w:p>
  </w:endnote>
  <w:endnote w:type="continuationSeparator" w:id="0">
    <w:p w:rsidR="00000000" w:rsidRDefault="0098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4F" w:rsidRDefault="009856F0">
    <w:pPr>
      <w:spacing w:after="0"/>
      <w:ind w:left="54"/>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1436" name="Group 5143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1437" name="Shape 5143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436" style="width:459.1pt;height:1.34998pt;position:absolute;mso-position-horizontal-relative:page;mso-position-horizontal:absolute;margin-left:130.31pt;mso-position-vertical-relative:page;margin-top:783.42pt;" coordsize="58305,171">
              <v:shape id="Shape 5143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47564F" w:rsidRDefault="009856F0">
    <w:pPr>
      <w:spacing w:after="57" w:line="238" w:lineRule="auto"/>
      <w:ind w:left="4119" w:right="180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47564F" w:rsidRDefault="009856F0">
    <w:pPr>
      <w:spacing w:after="0"/>
      <w:ind w:right="53"/>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4F" w:rsidRDefault="009856F0">
    <w:pPr>
      <w:spacing w:after="0"/>
      <w:ind w:left="54"/>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1401" name="Group 5140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1402" name="Shape 5140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401" style="width:459.1pt;height:1.34998pt;position:absolute;mso-position-horizontal-relative:page;mso-position-horizontal:absolute;margin-left:130.31pt;mso-position-vertical-relative:page;margin-top:783.42pt;" coordsize="58305,171">
              <v:shape id="Shape 5140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47564F" w:rsidRDefault="009856F0">
    <w:pPr>
      <w:spacing w:after="57" w:line="238" w:lineRule="auto"/>
      <w:ind w:left="4119" w:right="180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47564F" w:rsidRDefault="009856F0">
    <w:pPr>
      <w:spacing w:after="0"/>
      <w:ind w:right="53"/>
      <w:jc w:val="right"/>
    </w:pPr>
    <w:r>
      <w:fldChar w:fldCharType="begin"/>
    </w:r>
    <w:r>
      <w:instrText xml:space="preserve"> PAGE   \* MERGEFORMAT </w:instrText>
    </w:r>
    <w:r>
      <w:fldChar w:fldCharType="separate"/>
    </w:r>
    <w:r w:rsidRPr="009856F0">
      <w:rPr>
        <w:rFonts w:ascii="Arial" w:eastAsia="Arial" w:hAnsi="Arial" w:cs="Arial"/>
        <w:noProof/>
        <w:sz w:val="14"/>
      </w:rPr>
      <w:t>32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4F" w:rsidRDefault="004756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56F0">
      <w:pPr>
        <w:spacing w:after="0" w:line="240" w:lineRule="auto"/>
      </w:pPr>
      <w:r>
        <w:separator/>
      </w:r>
    </w:p>
  </w:footnote>
  <w:footnote w:type="continuationSeparator" w:id="0">
    <w:p w:rsidR="00000000" w:rsidRDefault="0098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4F" w:rsidRDefault="009856F0">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1421" name="Group 5142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1422" name="Shape 5142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1424" name="Rectangle 51424"/>
                      <wps:cNvSpPr/>
                      <wps:spPr>
                        <a:xfrm>
                          <a:off x="1137158" y="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425" name="Rectangle 51425"/>
                      <wps:cNvSpPr/>
                      <wps:spPr>
                        <a:xfrm>
                          <a:off x="495554" y="17526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426" name="Rectangle 51426"/>
                      <wps:cNvSpPr/>
                      <wps:spPr>
                        <a:xfrm>
                          <a:off x="495554" y="35052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427" name="Rectangle 51427"/>
                      <wps:cNvSpPr/>
                      <wps:spPr>
                        <a:xfrm>
                          <a:off x="495554" y="526034"/>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1423" name="Picture 5142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1421" style="width:472.41pt;height:64.392pt;position:absolute;mso-position-horizontal-relative:page;mso-position-horizontal:absolute;margin-left:130.25pt;mso-position-vertical-relative:page;margin-top:34.668pt;" coordsize="59996,8177">
              <v:shape id="Shape 51422" style="position:absolute;width:59988;height:0;left:7;top:8177;" coordsize="5998845,0" path="m0,0l5998845,0">
                <v:stroke weight="2.04pt" endcap="square" joinstyle="miter" miterlimit="10" on="true" color="#993366"/>
                <v:fill on="false" color="#000000" opacity="0"/>
              </v:shape>
              <v:rect id="Rectangle 51424"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51425"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51426"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51427"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51423"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47564F" w:rsidRDefault="009856F0">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1428" name="Group 5142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1429" name="Picture 51429"/>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1428" style="width:28pt;height:310pt;position:absolute;z-index:-2147483648;mso-position-horizontal-relative:page;mso-position-horizontal:absolute;margin-left:653.71pt;mso-position-vertical-relative:page;margin-top:501.92pt;" coordsize="3556,39370">
              <v:shape id="Picture 51429"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4F" w:rsidRDefault="009856F0">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1386" name="Group 5138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1387" name="Shape 5138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1389" name="Rectangle 51389"/>
                      <wps:cNvSpPr/>
                      <wps:spPr>
                        <a:xfrm>
                          <a:off x="1137158" y="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390" name="Rectangle 51390"/>
                      <wps:cNvSpPr/>
                      <wps:spPr>
                        <a:xfrm>
                          <a:off x="495554" y="17526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391" name="Rectangle 51391"/>
                      <wps:cNvSpPr/>
                      <wps:spPr>
                        <a:xfrm>
                          <a:off x="495554" y="350520"/>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1392" name="Rectangle 51392"/>
                      <wps:cNvSpPr/>
                      <wps:spPr>
                        <a:xfrm>
                          <a:off x="495554" y="526034"/>
                          <a:ext cx="50673" cy="224380"/>
                        </a:xfrm>
                        <a:prstGeom prst="rect">
                          <a:avLst/>
                        </a:prstGeom>
                        <a:ln>
                          <a:noFill/>
                        </a:ln>
                      </wps:spPr>
                      <wps:txbx>
                        <w:txbxContent>
                          <w:p w:rsidR="0047564F" w:rsidRDefault="009856F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1388" name="Picture 5138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1386" style="width:472.41pt;height:64.392pt;position:absolute;mso-position-horizontal-relative:page;mso-position-horizontal:absolute;margin-left:130.25pt;mso-position-vertical-relative:page;margin-top:34.668pt;" coordsize="59996,8177">
              <v:shape id="Shape 51387" style="position:absolute;width:59988;height:0;left:7;top:8177;" coordsize="5998845,0" path="m0,0l5998845,0">
                <v:stroke weight="2.04pt" endcap="square" joinstyle="miter" miterlimit="10" on="true" color="#993366"/>
                <v:fill on="false" color="#000000" opacity="0"/>
              </v:shape>
              <v:rect id="Rectangle 51389"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51390"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51391"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51392"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51388"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47564F" w:rsidRDefault="009856F0">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1393" name="Group 5139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1394" name="Picture 5139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1393" style="width:28pt;height:310pt;position:absolute;z-index:-2147483648;mso-position-horizontal-relative:page;mso-position-horizontal:absolute;margin-left:653.71pt;mso-position-vertical-relative:page;margin-top:501.92pt;" coordsize="3556,39370">
              <v:shape id="Picture 51394"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4F" w:rsidRDefault="009856F0">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1377" name="Group 5137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1378" name="Picture 51378"/>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1377" style="width:28pt;height:310pt;position:absolute;z-index:-2147483648;mso-position-horizontal-relative:page;mso-position-horizontal:absolute;margin-left:653.71pt;mso-position-vertical-relative:page;margin-top:501.92pt;" coordsize="3556,39370">
              <v:shape id="Picture 51378"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487"/>
    <w:multiLevelType w:val="hybridMultilevel"/>
    <w:tmpl w:val="EAEC19F0"/>
    <w:lvl w:ilvl="0" w:tplc="6DDCF91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61D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92417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7864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7CD78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AE926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CA07E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9F1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4401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8579E"/>
    <w:multiLevelType w:val="hybridMultilevel"/>
    <w:tmpl w:val="1CCE7800"/>
    <w:lvl w:ilvl="0" w:tplc="1756B96A">
      <w:start w:val="1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CA41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A0BD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022F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984F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1295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5C38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5EAE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D0C4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173DEE"/>
    <w:multiLevelType w:val="hybridMultilevel"/>
    <w:tmpl w:val="46FED108"/>
    <w:lvl w:ilvl="0" w:tplc="C4AED73E">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30A8A3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90064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B41DB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CC18A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02BE1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86C55C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F098A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798366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23056E"/>
    <w:multiLevelType w:val="hybridMultilevel"/>
    <w:tmpl w:val="FA120D16"/>
    <w:lvl w:ilvl="0" w:tplc="84145C9C">
      <w:start w:val="1"/>
      <w:numFmt w:val="bullet"/>
      <w:lvlText w:val="-"/>
      <w:lvlJc w:val="left"/>
      <w:pPr>
        <w:ind w:left="140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FBC4C74">
      <w:start w:val="1"/>
      <w:numFmt w:val="bullet"/>
      <w:lvlText w:val="o"/>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4F22FB8">
      <w:start w:val="1"/>
      <w:numFmt w:val="bullet"/>
      <w:lvlText w:val="▪"/>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2700759A">
      <w:start w:val="1"/>
      <w:numFmt w:val="bullet"/>
      <w:lvlText w:val="•"/>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05B65938">
      <w:start w:val="1"/>
      <w:numFmt w:val="bullet"/>
      <w:lvlText w:val="o"/>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30325650">
      <w:start w:val="1"/>
      <w:numFmt w:val="bullet"/>
      <w:lvlText w:val="▪"/>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D32CF61E">
      <w:start w:val="1"/>
      <w:numFmt w:val="bullet"/>
      <w:lvlText w:val="•"/>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9740E97C">
      <w:start w:val="1"/>
      <w:numFmt w:val="bullet"/>
      <w:lvlText w:val="o"/>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FFE6B104">
      <w:start w:val="1"/>
      <w:numFmt w:val="bullet"/>
      <w:lvlText w:val="▪"/>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9F3129"/>
    <w:multiLevelType w:val="hybridMultilevel"/>
    <w:tmpl w:val="3E8607C4"/>
    <w:lvl w:ilvl="0" w:tplc="4B2E875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425A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A37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49B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B668C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8CE6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6C8D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0AC44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8C39A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7B41EC"/>
    <w:multiLevelType w:val="hybridMultilevel"/>
    <w:tmpl w:val="5B4020C4"/>
    <w:lvl w:ilvl="0" w:tplc="748C905A">
      <w:start w:val="24"/>
      <w:numFmt w:val="upperLetter"/>
      <w:lvlText w:val="%1"/>
      <w:lvlJc w:val="left"/>
      <w:pPr>
        <w:ind w:left="2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06CF77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9AF3C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E6F21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44515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CD8D24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7E0FE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CA44AF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A4CF2F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EE29FF"/>
    <w:multiLevelType w:val="hybridMultilevel"/>
    <w:tmpl w:val="B8B20556"/>
    <w:lvl w:ilvl="0" w:tplc="064E4CB6">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291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0C9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4291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CC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E4E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A842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A8D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9863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7B5286"/>
    <w:multiLevelType w:val="hybridMultilevel"/>
    <w:tmpl w:val="578E55BE"/>
    <w:lvl w:ilvl="0" w:tplc="CC86C4CE">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1FC5C8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4AB1A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A7A2D5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7ACEA4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0EA1B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CACE8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78328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04A3D4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237AA3"/>
    <w:multiLevelType w:val="hybridMultilevel"/>
    <w:tmpl w:val="0778CCCC"/>
    <w:lvl w:ilvl="0" w:tplc="376A5D9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50F3C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F4545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1E7A6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0927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56FE0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20BD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603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D22D8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E45616"/>
    <w:multiLevelType w:val="hybridMultilevel"/>
    <w:tmpl w:val="9544D26E"/>
    <w:lvl w:ilvl="0" w:tplc="69DA4480">
      <w:start w:val="4"/>
      <w:numFmt w:val="lowerLetter"/>
      <w:lvlText w:val="%1)"/>
      <w:lvlJc w:val="left"/>
      <w:pPr>
        <w:ind w:left="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FB81CA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A0E3F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7EBCE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BACFF6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8C268B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46B62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C49B3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3EC2ED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8F78A3"/>
    <w:multiLevelType w:val="hybridMultilevel"/>
    <w:tmpl w:val="D2361996"/>
    <w:lvl w:ilvl="0" w:tplc="D3945D92">
      <w:start w:val="24"/>
      <w:numFmt w:val="upperLetter"/>
      <w:lvlText w:val="%1"/>
      <w:lvlJc w:val="left"/>
      <w:pPr>
        <w:ind w:left="2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10640E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6A2DF0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3FE114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DEDC2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F02C60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F5C1AB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2D2D37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C1A5C1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F4353E"/>
    <w:multiLevelType w:val="hybridMultilevel"/>
    <w:tmpl w:val="AD42273E"/>
    <w:lvl w:ilvl="0" w:tplc="F7F2BF1E">
      <w:start w:val="1"/>
      <w:numFmt w:val="lowerLetter"/>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224B2C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01A773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426225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59053B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F7C5BF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FE002D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0B02F5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17455A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AB19FA"/>
    <w:multiLevelType w:val="hybridMultilevel"/>
    <w:tmpl w:val="8CCE510A"/>
    <w:lvl w:ilvl="0" w:tplc="63504C0C">
      <w:start w:val="6"/>
      <w:numFmt w:val="lowerLetter"/>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68C013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CA0B57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D62671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1C88A3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67EEBF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A3A948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3D488F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43EAEB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7D0381"/>
    <w:multiLevelType w:val="hybridMultilevel"/>
    <w:tmpl w:val="17321EE8"/>
    <w:lvl w:ilvl="0" w:tplc="305ECF1C">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A662F6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13A147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51AEC0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B4514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0A8E54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7C2D7D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2DE876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BDC581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A209CD"/>
    <w:multiLevelType w:val="hybridMultilevel"/>
    <w:tmpl w:val="7D36F6EE"/>
    <w:lvl w:ilvl="0" w:tplc="C0343CF6">
      <w:start w:val="24"/>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3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0C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ED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4F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04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049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61D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C2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324F7B"/>
    <w:multiLevelType w:val="hybridMultilevel"/>
    <w:tmpl w:val="E3B65162"/>
    <w:lvl w:ilvl="0" w:tplc="B7224A82">
      <w:start w:val="1"/>
      <w:numFmt w:val="lowerLetter"/>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46881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A98602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52A0F8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A6C367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2BE634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00AA6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A6675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C82690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117900"/>
    <w:multiLevelType w:val="hybridMultilevel"/>
    <w:tmpl w:val="B002D8FC"/>
    <w:lvl w:ilvl="0" w:tplc="B350AED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00B9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EE6B6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C177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88B4C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421B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6ADE6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8952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8757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7857BC"/>
    <w:multiLevelType w:val="hybridMultilevel"/>
    <w:tmpl w:val="41B6572C"/>
    <w:lvl w:ilvl="0" w:tplc="8CEA8F9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CC0F8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CA17A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45FB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25CC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A6BBD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1CFF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A2B4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A713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F1038D"/>
    <w:multiLevelType w:val="hybridMultilevel"/>
    <w:tmpl w:val="AB1A8060"/>
    <w:lvl w:ilvl="0" w:tplc="4BBE1660">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57A5C6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EDA4EB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4AACED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88A670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AB06F7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E4EA5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D04F4A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5015A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A8247B"/>
    <w:multiLevelType w:val="hybridMultilevel"/>
    <w:tmpl w:val="541C2EDC"/>
    <w:lvl w:ilvl="0" w:tplc="FD02B9E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AC9C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844DF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0187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8DD2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EEEFA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E76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003B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6831F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793B56"/>
    <w:multiLevelType w:val="hybridMultilevel"/>
    <w:tmpl w:val="2D8227AA"/>
    <w:lvl w:ilvl="0" w:tplc="13864CB0">
      <w:start w:val="1"/>
      <w:numFmt w:val="lowerLetter"/>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11AAD0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A4A3AB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163B5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DAB4A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3FC91F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46AE37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312C85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782E9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B45A5B"/>
    <w:multiLevelType w:val="hybridMultilevel"/>
    <w:tmpl w:val="46048F28"/>
    <w:lvl w:ilvl="0" w:tplc="8BFCD56A">
      <w:start w:val="1"/>
      <w:numFmt w:val="lowerLetter"/>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3CA79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83A3DA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A88C9C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F3E27D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6E635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E3C071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9082E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E9CF91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3"/>
  </w:num>
  <w:num w:numId="3">
    <w:abstractNumId w:val="15"/>
  </w:num>
  <w:num w:numId="4">
    <w:abstractNumId w:val="7"/>
  </w:num>
  <w:num w:numId="5">
    <w:abstractNumId w:val="20"/>
  </w:num>
  <w:num w:numId="6">
    <w:abstractNumId w:val="18"/>
  </w:num>
  <w:num w:numId="7">
    <w:abstractNumId w:val="21"/>
  </w:num>
  <w:num w:numId="8">
    <w:abstractNumId w:val="2"/>
  </w:num>
  <w:num w:numId="9">
    <w:abstractNumId w:val="9"/>
  </w:num>
  <w:num w:numId="10">
    <w:abstractNumId w:val="0"/>
  </w:num>
  <w:num w:numId="11">
    <w:abstractNumId w:val="10"/>
  </w:num>
  <w:num w:numId="12">
    <w:abstractNumId w:val="11"/>
  </w:num>
  <w:num w:numId="13">
    <w:abstractNumId w:val="17"/>
  </w:num>
  <w:num w:numId="14">
    <w:abstractNumId w:val="19"/>
  </w:num>
  <w:num w:numId="15">
    <w:abstractNumId w:val="5"/>
  </w:num>
  <w:num w:numId="16">
    <w:abstractNumId w:val="12"/>
  </w:num>
  <w:num w:numId="17">
    <w:abstractNumId w:val="16"/>
  </w:num>
  <w:num w:numId="18">
    <w:abstractNumId w:val="6"/>
  </w:num>
  <w:num w:numId="19">
    <w:abstractNumId w:val="4"/>
  </w:num>
  <w:num w:numId="20">
    <w:abstractNumId w:val="14"/>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4F"/>
    <w:rsid w:val="0047564F"/>
    <w:rsid w:val="00985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FDBD4-CF66-48A1-A04F-79CC0B49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5" w:line="249" w:lineRule="auto"/>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11927</Words>
  <Characters>65604</Characters>
  <Application>Microsoft Office Word</Application>
  <DocSecurity>0</DocSecurity>
  <Lines>546</Lines>
  <Paragraphs>154</Paragraphs>
  <ScaleCrop>false</ScaleCrop>
  <Company>HP</Company>
  <LinksUpToDate>false</LinksUpToDate>
  <CharactersWithSpaces>77377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2024-01-17T07:37:00Z</dcterms:created>
  <dcterms:modified xsi:type="dcterms:W3CDTF">2024-01-17T07:37:00Z</dcterms:modified>
</cp:coreProperties>
</file>