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0" w:type="dxa"/>
        <w:tblLayout w:type="fixed"/>
        <w:tblCellMar>
          <w:left w:w="10" w:type="dxa"/>
          <w:right w:w="10" w:type="dxa"/>
        </w:tblCellMar>
        <w:tblLook w:val="0000" w:firstRow="0" w:lastRow="0" w:firstColumn="0" w:lastColumn="0" w:noHBand="0" w:noVBand="0"/>
      </w:tblPr>
      <w:tblGrid>
        <w:gridCol w:w="2144"/>
        <w:gridCol w:w="3271"/>
        <w:gridCol w:w="1218"/>
        <w:gridCol w:w="2437"/>
      </w:tblGrid>
      <w:tr w:rsidR="00061CF1">
        <w:tblPrEx>
          <w:tblCellMar>
            <w:top w:w="0" w:type="dxa"/>
            <w:bottom w:w="0" w:type="dxa"/>
          </w:tblCellMar>
        </w:tblPrEx>
        <w:trPr>
          <w:trHeight w:val="157"/>
        </w:trPr>
        <w:tc>
          <w:tcPr>
            <w:tcW w:w="2144" w:type="dxa"/>
            <w:shd w:val="clear" w:color="auto" w:fill="auto"/>
            <w:tcMar>
              <w:top w:w="0" w:type="dxa"/>
              <w:left w:w="108" w:type="dxa"/>
              <w:bottom w:w="0" w:type="dxa"/>
              <w:right w:w="108" w:type="dxa"/>
            </w:tcMar>
          </w:tcPr>
          <w:tbl>
            <w:tblPr>
              <w:tblW w:w="8708" w:type="dxa"/>
              <w:tblLayout w:type="fixed"/>
              <w:tblCellMar>
                <w:left w:w="10" w:type="dxa"/>
                <w:right w:w="10" w:type="dxa"/>
              </w:tblCellMar>
              <w:tblLook w:val="0000" w:firstRow="0" w:lastRow="0" w:firstColumn="0" w:lastColumn="0" w:noHBand="0" w:noVBand="0"/>
            </w:tblPr>
            <w:tblGrid>
              <w:gridCol w:w="2058"/>
              <w:gridCol w:w="3141"/>
              <w:gridCol w:w="1169"/>
              <w:gridCol w:w="2340"/>
            </w:tblGrid>
            <w:tr w:rsidR="00061CF1">
              <w:tblPrEx>
                <w:tblCellMar>
                  <w:top w:w="0" w:type="dxa"/>
                  <w:bottom w:w="0" w:type="dxa"/>
                </w:tblCellMar>
              </w:tblPrEx>
              <w:trPr>
                <w:trHeight w:val="170"/>
              </w:trPr>
              <w:tc>
                <w:tcPr>
                  <w:tcW w:w="2058" w:type="dxa"/>
                  <w:shd w:val="clear" w:color="auto" w:fill="auto"/>
                  <w:tcMar>
                    <w:top w:w="0" w:type="dxa"/>
                    <w:left w:w="108" w:type="dxa"/>
                    <w:bottom w:w="0" w:type="dxa"/>
                    <w:right w:w="108" w:type="dxa"/>
                  </w:tcMar>
                </w:tcPr>
                <w:p w:rsidR="00061CF1" w:rsidRDefault="004E6D5A">
                  <w:pPr>
                    <w:pStyle w:val="Ttulo1"/>
                  </w:pPr>
                  <w:bookmarkStart w:id="0" w:name="_GoBack"/>
                  <w:bookmarkEnd w:id="0"/>
                  <w:r>
                    <w:rPr>
                      <w:rFonts w:ascii="Arial" w:hAnsi="Arial" w:cs="Arial"/>
                      <w:b w:val="0"/>
                      <w:bCs w:val="0"/>
                      <w:noProof/>
                      <w:sz w:val="22"/>
                      <w:szCs w:val="22"/>
                      <w:lang w:eastAsia="es-ES"/>
                    </w:rPr>
                    <mc:AlternateContent>
                      <mc:Choice Requires="wps">
                        <w:drawing>
                          <wp:anchor distT="0" distB="0" distL="114300" distR="114300" simplePos="0" relativeHeight="251665920" behindDoc="1" locked="0" layoutInCell="1" allowOverlap="1">
                            <wp:simplePos x="0" y="0"/>
                            <wp:positionH relativeFrom="column">
                              <wp:posOffset>1174117</wp:posOffset>
                            </wp:positionH>
                            <wp:positionV relativeFrom="paragraph">
                              <wp:posOffset>-1266828</wp:posOffset>
                            </wp:positionV>
                            <wp:extent cx="1790066" cy="799469"/>
                            <wp:effectExtent l="0" t="0" r="634" b="631"/>
                            <wp:wrapNone/>
                            <wp:docPr id="9"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061CF1" w:rsidRDefault="00061CF1">
                                        <w:pPr>
                                          <w:pStyle w:val="Textoindependiente21"/>
                                          <w:jc w:val="both"/>
                                          <w:rPr>
                                            <w:b w:val="0"/>
                                            <w:bCs w:val="0"/>
                                            <w:sz w:val="16"/>
                                          </w:rPr>
                                        </w:pPr>
                                      </w:p>
                                      <w:p w:rsidR="00061CF1" w:rsidRDefault="00061CF1">
                                        <w:pPr>
                                          <w:pStyle w:val="Textoindependiente21"/>
                                          <w:jc w:val="both"/>
                                        </w:pPr>
                                      </w:p>
                                      <w:p w:rsidR="00061CF1" w:rsidRDefault="00061CF1">
                                        <w:pPr>
                                          <w:pStyle w:val="Textoindependiente21"/>
                                          <w:jc w:val="both"/>
                                        </w:pPr>
                                      </w:p>
                                      <w:p w:rsidR="00061CF1" w:rsidRDefault="004E6D5A">
                                        <w:pPr>
                                          <w:pStyle w:val="Textoindependiente21"/>
                                          <w:jc w:val="both"/>
                                        </w:pPr>
                                        <w:r>
                                          <w:t>SECRETARÍA GENERAL</w:t>
                                        </w:r>
                                      </w:p>
                                      <w:p w:rsidR="00061CF1" w:rsidRDefault="00061CF1">
                                        <w:pPr>
                                          <w:pStyle w:val="Textoindependiente21"/>
                                          <w:jc w:val="both"/>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92.45pt;margin-top:-99.75pt;width:140.95pt;height:62.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" stroked="f">
                            <v:textbox inset="0,0,0,0">
                              <w:txbxContent>
                                <w:p w:rsidR="00061CF1" w:rsidRDefault="00061CF1">
                                  <w:pPr>
                                    <w:pStyle w:val="Textoindependiente21"/>
                                    <w:jc w:val="both"/>
                                    <w:rPr>
                                      <w:b w:val="0"/>
                                      <w:bCs w:val="0"/>
                                      <w:sz w:val="16"/>
                                    </w:rPr>
                                  </w:pPr>
                                </w:p>
                                <w:p w:rsidR="00061CF1" w:rsidRDefault="00061CF1">
                                  <w:pPr>
                                    <w:pStyle w:val="Textoindependiente21"/>
                                    <w:jc w:val="both"/>
                                  </w:pPr>
                                </w:p>
                                <w:p w:rsidR="00061CF1" w:rsidRDefault="00061CF1">
                                  <w:pPr>
                                    <w:pStyle w:val="Textoindependiente21"/>
                                    <w:jc w:val="both"/>
                                  </w:pPr>
                                </w:p>
                                <w:p w:rsidR="00061CF1" w:rsidRDefault="004E6D5A">
                                  <w:pPr>
                                    <w:pStyle w:val="Textoindependiente21"/>
                                    <w:jc w:val="both"/>
                                  </w:pPr>
                                  <w:r>
                                    <w:t>SECRETARÍA GENERAL</w:t>
                                  </w:r>
                                </w:p>
                                <w:p w:rsidR="00061CF1" w:rsidRDefault="00061CF1">
                                  <w:pPr>
                                    <w:pStyle w:val="Textoindependiente21"/>
                                    <w:jc w:val="both"/>
                                  </w:pPr>
                                </w:p>
                              </w:txbxContent>
                            </v:textbox>
                          </v:shape>
                        </w:pict>
                      </mc:Fallback>
                    </mc:AlternateContent>
                  </w:r>
                </w:p>
              </w:tc>
              <w:tc>
                <w:tcPr>
                  <w:tcW w:w="3141"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c>
                <w:tcPr>
                  <w:tcW w:w="1169" w:type="dxa"/>
                  <w:shd w:val="clear" w:color="auto" w:fill="auto"/>
                  <w:tcMar>
                    <w:top w:w="0" w:type="dxa"/>
                    <w:left w:w="108" w:type="dxa"/>
                    <w:bottom w:w="0" w:type="dxa"/>
                    <w:right w:w="108" w:type="dxa"/>
                  </w:tcMar>
                </w:tcPr>
                <w:p w:rsidR="00061CF1" w:rsidRDefault="00061CF1">
                  <w:pPr>
                    <w:pStyle w:val="Standard"/>
                    <w:rPr>
                      <w:rFonts w:ascii="Arial" w:hAnsi="Arial" w:cs="Arial"/>
                      <w:sz w:val="22"/>
                      <w:szCs w:val="22"/>
                    </w:rPr>
                  </w:pPr>
                </w:p>
              </w:tc>
              <w:tc>
                <w:tcPr>
                  <w:tcW w:w="2340"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r>
            <w:tr w:rsidR="00061CF1">
              <w:tblPrEx>
                <w:tblCellMar>
                  <w:top w:w="0" w:type="dxa"/>
                  <w:bottom w:w="0" w:type="dxa"/>
                </w:tblCellMar>
              </w:tblPrEx>
              <w:trPr>
                <w:trHeight w:val="206"/>
              </w:trPr>
              <w:tc>
                <w:tcPr>
                  <w:tcW w:w="2058"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c>
                <w:tcPr>
                  <w:tcW w:w="3141"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c>
                <w:tcPr>
                  <w:tcW w:w="1169" w:type="dxa"/>
                  <w:shd w:val="clear" w:color="auto" w:fill="auto"/>
                  <w:tcMar>
                    <w:top w:w="0" w:type="dxa"/>
                    <w:left w:w="108" w:type="dxa"/>
                    <w:bottom w:w="0" w:type="dxa"/>
                    <w:right w:w="108" w:type="dxa"/>
                  </w:tcMar>
                </w:tcPr>
                <w:p w:rsidR="00061CF1" w:rsidRDefault="00061CF1">
                  <w:pPr>
                    <w:pStyle w:val="Standard"/>
                    <w:rPr>
                      <w:rFonts w:ascii="Arial" w:hAnsi="Arial" w:cs="Arial"/>
                      <w:sz w:val="22"/>
                      <w:szCs w:val="22"/>
                    </w:rPr>
                  </w:pPr>
                </w:p>
              </w:tc>
              <w:tc>
                <w:tcPr>
                  <w:tcW w:w="2340"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r>
          </w:tbl>
          <w:p w:rsidR="00061CF1" w:rsidRDefault="00061CF1">
            <w:pPr>
              <w:pStyle w:val="Ttulo1"/>
              <w:rPr>
                <w:rFonts w:ascii="Arial" w:hAnsi="Arial" w:cs="Arial"/>
                <w:sz w:val="22"/>
                <w:szCs w:val="22"/>
              </w:rPr>
            </w:pPr>
          </w:p>
        </w:tc>
        <w:tc>
          <w:tcPr>
            <w:tcW w:w="3271"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c>
          <w:tcPr>
            <w:tcW w:w="1218" w:type="dxa"/>
            <w:shd w:val="clear" w:color="auto" w:fill="auto"/>
            <w:tcMar>
              <w:top w:w="0" w:type="dxa"/>
              <w:left w:w="108" w:type="dxa"/>
              <w:bottom w:w="0" w:type="dxa"/>
              <w:right w:w="108" w:type="dxa"/>
            </w:tcMar>
          </w:tcPr>
          <w:p w:rsidR="00061CF1" w:rsidRDefault="00061CF1">
            <w:pPr>
              <w:pStyle w:val="Standard"/>
              <w:rPr>
                <w:rFonts w:ascii="Arial" w:hAnsi="Arial" w:cs="Arial"/>
                <w:sz w:val="22"/>
                <w:szCs w:val="22"/>
              </w:rPr>
            </w:pPr>
          </w:p>
        </w:tc>
        <w:tc>
          <w:tcPr>
            <w:tcW w:w="2437" w:type="dxa"/>
            <w:shd w:val="clear" w:color="auto" w:fill="auto"/>
            <w:tcMar>
              <w:top w:w="0" w:type="dxa"/>
              <w:left w:w="108" w:type="dxa"/>
              <w:bottom w:w="0" w:type="dxa"/>
              <w:right w:w="108" w:type="dxa"/>
            </w:tcMar>
          </w:tcPr>
          <w:p w:rsidR="00061CF1" w:rsidRDefault="00061CF1">
            <w:pPr>
              <w:pStyle w:val="Standard"/>
              <w:snapToGrid w:val="0"/>
              <w:jc w:val="center"/>
              <w:rPr>
                <w:rFonts w:ascii="Arial" w:hAnsi="Arial" w:cs="Arial"/>
                <w:sz w:val="22"/>
                <w:szCs w:val="22"/>
              </w:rPr>
            </w:pPr>
          </w:p>
        </w:tc>
      </w:tr>
      <w:tr w:rsidR="00061CF1">
        <w:tblPrEx>
          <w:tblCellMar>
            <w:top w:w="0" w:type="dxa"/>
            <w:bottom w:w="0" w:type="dxa"/>
          </w:tblCellMar>
        </w:tblPrEx>
        <w:trPr>
          <w:trHeight w:val="190"/>
        </w:trPr>
        <w:tc>
          <w:tcPr>
            <w:tcW w:w="2144" w:type="dxa"/>
            <w:shd w:val="clear" w:color="auto" w:fill="auto"/>
            <w:tcMar>
              <w:top w:w="0" w:type="dxa"/>
              <w:left w:w="108" w:type="dxa"/>
              <w:bottom w:w="0" w:type="dxa"/>
              <w:right w:w="108" w:type="dxa"/>
            </w:tcMar>
          </w:tcPr>
          <w:p w:rsidR="00061CF1" w:rsidRDefault="00061CF1">
            <w:pPr>
              <w:pStyle w:val="Standard"/>
              <w:snapToGrid w:val="0"/>
              <w:jc w:val="center"/>
              <w:rPr>
                <w:rFonts w:ascii="Arial" w:hAnsi="Arial" w:cs="Arial"/>
                <w:sz w:val="22"/>
                <w:szCs w:val="22"/>
              </w:rPr>
            </w:pPr>
          </w:p>
        </w:tc>
        <w:tc>
          <w:tcPr>
            <w:tcW w:w="3271"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c>
          <w:tcPr>
            <w:tcW w:w="1218" w:type="dxa"/>
            <w:shd w:val="clear" w:color="auto" w:fill="auto"/>
            <w:tcMar>
              <w:top w:w="0" w:type="dxa"/>
              <w:left w:w="108" w:type="dxa"/>
              <w:bottom w:w="0" w:type="dxa"/>
              <w:right w:w="108" w:type="dxa"/>
            </w:tcMar>
          </w:tcPr>
          <w:p w:rsidR="00061CF1" w:rsidRDefault="00061CF1">
            <w:pPr>
              <w:pStyle w:val="Standard"/>
              <w:rPr>
                <w:rFonts w:ascii="Arial" w:hAnsi="Arial" w:cs="Arial"/>
                <w:sz w:val="22"/>
                <w:szCs w:val="22"/>
              </w:rPr>
            </w:pPr>
          </w:p>
        </w:tc>
        <w:tc>
          <w:tcPr>
            <w:tcW w:w="2437"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r>
      <w:tr w:rsidR="00061CF1">
        <w:tblPrEx>
          <w:tblCellMar>
            <w:top w:w="0" w:type="dxa"/>
            <w:bottom w:w="0" w:type="dxa"/>
          </w:tblCellMar>
        </w:tblPrEx>
        <w:trPr>
          <w:trHeight w:val="190"/>
        </w:trPr>
        <w:tc>
          <w:tcPr>
            <w:tcW w:w="2144" w:type="dxa"/>
            <w:shd w:val="clear" w:color="auto" w:fill="auto"/>
            <w:tcMar>
              <w:top w:w="0" w:type="dxa"/>
              <w:left w:w="108" w:type="dxa"/>
              <w:bottom w:w="0" w:type="dxa"/>
              <w:right w:w="108" w:type="dxa"/>
            </w:tcMar>
          </w:tcPr>
          <w:p w:rsidR="00061CF1" w:rsidRDefault="00061CF1">
            <w:pPr>
              <w:pStyle w:val="Standard"/>
              <w:snapToGrid w:val="0"/>
              <w:jc w:val="center"/>
              <w:rPr>
                <w:rFonts w:ascii="Arial" w:hAnsi="Arial" w:cs="Arial"/>
                <w:sz w:val="22"/>
                <w:szCs w:val="22"/>
              </w:rPr>
            </w:pPr>
          </w:p>
        </w:tc>
        <w:tc>
          <w:tcPr>
            <w:tcW w:w="3271" w:type="dxa"/>
            <w:shd w:val="clear" w:color="auto" w:fill="auto"/>
            <w:tcMar>
              <w:top w:w="0" w:type="dxa"/>
              <w:left w:w="108" w:type="dxa"/>
              <w:bottom w:w="0" w:type="dxa"/>
              <w:right w:w="108" w:type="dxa"/>
            </w:tcMar>
          </w:tcPr>
          <w:p w:rsidR="00061CF1" w:rsidRDefault="00061CF1">
            <w:pPr>
              <w:pStyle w:val="Standard"/>
              <w:snapToGrid w:val="0"/>
              <w:jc w:val="center"/>
              <w:rPr>
                <w:rFonts w:ascii="Arial" w:hAnsi="Arial" w:cs="Arial"/>
                <w:b/>
                <w:sz w:val="22"/>
                <w:szCs w:val="22"/>
              </w:rPr>
            </w:pPr>
          </w:p>
        </w:tc>
        <w:tc>
          <w:tcPr>
            <w:tcW w:w="1218" w:type="dxa"/>
            <w:shd w:val="clear" w:color="auto" w:fill="auto"/>
            <w:tcMar>
              <w:top w:w="0" w:type="dxa"/>
              <w:left w:w="108" w:type="dxa"/>
              <w:bottom w:w="0" w:type="dxa"/>
              <w:right w:w="108" w:type="dxa"/>
            </w:tcMar>
          </w:tcPr>
          <w:p w:rsidR="00061CF1" w:rsidRDefault="00061CF1">
            <w:pPr>
              <w:pStyle w:val="Standard"/>
              <w:rPr>
                <w:rFonts w:ascii="Arial" w:hAnsi="Arial" w:cs="Arial"/>
                <w:sz w:val="22"/>
                <w:szCs w:val="22"/>
              </w:rPr>
            </w:pPr>
          </w:p>
        </w:tc>
        <w:tc>
          <w:tcPr>
            <w:tcW w:w="2437" w:type="dxa"/>
            <w:shd w:val="clear" w:color="auto" w:fill="auto"/>
            <w:tcMar>
              <w:top w:w="0" w:type="dxa"/>
              <w:left w:w="108" w:type="dxa"/>
              <w:bottom w:w="0" w:type="dxa"/>
              <w:right w:w="108" w:type="dxa"/>
            </w:tcMar>
          </w:tcPr>
          <w:p w:rsidR="00061CF1" w:rsidRDefault="00061CF1">
            <w:pPr>
              <w:pStyle w:val="Standard"/>
              <w:snapToGrid w:val="0"/>
              <w:rPr>
                <w:rFonts w:ascii="Arial" w:hAnsi="Arial" w:cs="Arial"/>
                <w:sz w:val="22"/>
                <w:szCs w:val="22"/>
              </w:rPr>
            </w:pPr>
          </w:p>
        </w:tc>
      </w:tr>
    </w:tbl>
    <w:p w:rsidR="00061CF1" w:rsidRDefault="004E6D5A">
      <w:pPr>
        <w:pStyle w:val="Standard"/>
        <w:jc w:val="center"/>
      </w:pPr>
      <w:r>
        <w:rPr>
          <w:rFonts w:ascii="Arial" w:hAnsi="Arial" w:cs="Arial"/>
          <w:b/>
          <w:bCs/>
          <w:sz w:val="22"/>
          <w:szCs w:val="22"/>
          <w:lang w:val="fr-FR"/>
        </w:rPr>
        <w:t>A C T A</w:t>
      </w:r>
    </w:p>
    <w:p w:rsidR="00061CF1" w:rsidRDefault="004E6D5A">
      <w:pPr>
        <w:pStyle w:val="Standard"/>
        <w:jc w:val="center"/>
        <w:rPr>
          <w:rFonts w:ascii="Arial" w:hAnsi="Arial" w:cs="Arial"/>
          <w:b/>
          <w:bCs/>
          <w:sz w:val="22"/>
          <w:szCs w:val="22"/>
        </w:rPr>
      </w:pPr>
      <w:r>
        <w:rPr>
          <w:rFonts w:ascii="Arial" w:hAnsi="Arial" w:cs="Arial"/>
          <w:b/>
          <w:bCs/>
          <w:sz w:val="22"/>
          <w:szCs w:val="22"/>
        </w:rPr>
        <w:t xml:space="preserve">DE LA SESIÓN ORDINARIA CELEBRADA POR </w:t>
      </w:r>
    </w:p>
    <w:p w:rsidR="00061CF1" w:rsidRDefault="004E6D5A">
      <w:pPr>
        <w:pStyle w:val="Standard"/>
        <w:jc w:val="center"/>
        <w:rPr>
          <w:rFonts w:ascii="Arial" w:hAnsi="Arial" w:cs="Arial"/>
          <w:b/>
          <w:bCs/>
          <w:sz w:val="22"/>
          <w:szCs w:val="22"/>
        </w:rPr>
      </w:pPr>
      <w:r>
        <w:rPr>
          <w:rFonts w:ascii="Arial" w:hAnsi="Arial" w:cs="Arial"/>
          <w:b/>
          <w:bCs/>
          <w:sz w:val="22"/>
          <w:szCs w:val="22"/>
        </w:rPr>
        <w:t xml:space="preserve"> EL AYUNTAMIENTO PLENO</w:t>
      </w:r>
    </w:p>
    <w:p w:rsidR="00061CF1" w:rsidRDefault="004E6D5A">
      <w:pPr>
        <w:pStyle w:val="Standard"/>
        <w:jc w:val="center"/>
        <w:rPr>
          <w:rFonts w:ascii="Arial" w:hAnsi="Arial" w:cs="Arial"/>
          <w:b/>
          <w:bCs/>
          <w:sz w:val="22"/>
          <w:szCs w:val="22"/>
        </w:rPr>
      </w:pPr>
      <w:r>
        <w:rPr>
          <w:rFonts w:ascii="Arial" w:hAnsi="Arial" w:cs="Arial"/>
          <w:b/>
          <w:bCs/>
          <w:sz w:val="22"/>
          <w:szCs w:val="22"/>
        </w:rPr>
        <w:t>EL DÍA 31 DE OCTUBRE DE 2025. SESIÓN Nº15/2025</w:t>
      </w:r>
    </w:p>
    <w:p w:rsidR="00061CF1" w:rsidRDefault="00061CF1">
      <w:pPr>
        <w:pStyle w:val="Standard"/>
        <w:jc w:val="center"/>
        <w:rPr>
          <w:rFonts w:ascii="Arial" w:hAnsi="Arial" w:cs="Arial"/>
          <w:sz w:val="22"/>
          <w:szCs w:val="22"/>
        </w:rPr>
      </w:pPr>
    </w:p>
    <w:p w:rsidR="00061CF1" w:rsidRDefault="00061CF1">
      <w:pPr>
        <w:pStyle w:val="Standard"/>
        <w:jc w:val="both"/>
        <w:rPr>
          <w:rFonts w:ascii="Arial" w:hAnsi="Arial" w:cs="Arial"/>
          <w:sz w:val="22"/>
          <w:szCs w:val="22"/>
        </w:rPr>
      </w:pPr>
    </w:p>
    <w:p w:rsidR="00000000" w:rsidRDefault="004E6D5A">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061CF1" w:rsidRDefault="00061CF1">
      <w:pPr>
        <w:pStyle w:val="Standard"/>
        <w:jc w:val="center"/>
        <w:rPr>
          <w:rFonts w:ascii="Arial" w:hAnsi="Arial" w:cs="Arial"/>
          <w:sz w:val="22"/>
          <w:szCs w:val="22"/>
        </w:rPr>
      </w:pPr>
    </w:p>
    <w:p w:rsidR="00061CF1" w:rsidRDefault="004E6D5A">
      <w:pPr>
        <w:pStyle w:val="Standard"/>
        <w:jc w:val="center"/>
        <w:rPr>
          <w:rFonts w:ascii="Arial" w:hAnsi="Arial" w:cs="Arial"/>
          <w:b/>
          <w:bCs/>
          <w:sz w:val="22"/>
          <w:szCs w:val="22"/>
        </w:rPr>
      </w:pPr>
      <w:r>
        <w:rPr>
          <w:rFonts w:ascii="Arial" w:hAnsi="Arial" w:cs="Arial"/>
          <w:b/>
          <w:bCs/>
          <w:sz w:val="22"/>
          <w:szCs w:val="22"/>
        </w:rPr>
        <w:t xml:space="preserve">SEÑORES </w:t>
      </w:r>
      <w:r>
        <w:rPr>
          <w:rFonts w:ascii="Arial" w:hAnsi="Arial" w:cs="Arial"/>
          <w:b/>
          <w:bCs/>
          <w:sz w:val="22"/>
          <w:szCs w:val="22"/>
        </w:rPr>
        <w:t>ASISTENTES:</w:t>
      </w:r>
    </w:p>
    <w:p w:rsidR="00061CF1" w:rsidRDefault="00061CF1">
      <w:pPr>
        <w:pStyle w:val="Standard"/>
        <w:ind w:right="3931"/>
        <w:jc w:val="center"/>
        <w:rPr>
          <w:rFonts w:ascii="Arial" w:hAnsi="Arial" w:cs="Arial"/>
          <w:b/>
          <w:bCs/>
          <w:sz w:val="22"/>
          <w:szCs w:val="22"/>
        </w:rPr>
      </w:pPr>
    </w:p>
    <w:p w:rsidR="00061CF1" w:rsidRDefault="00061CF1">
      <w:pPr>
        <w:pStyle w:val="Standard"/>
        <w:ind w:right="3931"/>
        <w:jc w:val="center"/>
        <w:rPr>
          <w:rFonts w:ascii="Arial" w:hAnsi="Arial" w:cs="Arial"/>
          <w:b/>
          <w:bCs/>
          <w:sz w:val="22"/>
          <w:szCs w:val="22"/>
        </w:rPr>
      </w:pPr>
    </w:p>
    <w:p w:rsidR="00061CF1" w:rsidRDefault="004E6D5A">
      <w:pPr>
        <w:pStyle w:val="Standard"/>
        <w:ind w:right="-4857"/>
      </w:pPr>
      <w:r>
        <w:rPr>
          <w:rFonts w:ascii="Arial" w:hAnsi="Arial" w:cs="Arial"/>
          <w:b/>
          <w:bCs/>
          <w:sz w:val="22"/>
          <w:szCs w:val="22"/>
        </w:rPr>
        <w:t xml:space="preserve">            Alcaldesa-Presidenta: </w:t>
      </w:r>
      <w:r>
        <w:rPr>
          <w:rFonts w:ascii="Arial" w:hAnsi="Arial" w:cs="Arial"/>
          <w:sz w:val="22"/>
          <w:szCs w:val="22"/>
        </w:rPr>
        <w:t>Dª María Concepción Brito Núñez</w:t>
      </w:r>
    </w:p>
    <w:p w:rsidR="00061CF1" w:rsidRDefault="00061CF1">
      <w:pPr>
        <w:pStyle w:val="Standard"/>
        <w:jc w:val="both"/>
        <w:rPr>
          <w:rFonts w:ascii="Arial" w:hAnsi="Arial" w:cs="Arial"/>
          <w:b/>
          <w:sz w:val="22"/>
          <w:szCs w:val="22"/>
        </w:rPr>
      </w:pPr>
    </w:p>
    <w:p w:rsidR="00061CF1" w:rsidRDefault="004E6D5A">
      <w:pPr>
        <w:pStyle w:val="Heading"/>
        <w:jc w:val="both"/>
      </w:pPr>
      <w:r>
        <w:rPr>
          <w:rFonts w:cs="Arial"/>
          <w:b/>
          <w:sz w:val="22"/>
          <w:szCs w:val="22"/>
        </w:rPr>
        <w:t xml:space="preserve">           Grupo Socialista</w:t>
      </w:r>
      <w:r>
        <w:rPr>
          <w:rFonts w:cs="Arial"/>
          <w:sz w:val="22"/>
          <w:szCs w:val="22"/>
        </w:rPr>
        <w:t xml:space="preserve">: Don Jorge Baute Delgado, Don José Francisco Pinto Ramos, Doña Olivia Concepción Pérez Díaz, Don Reinaldo José Triviño Blanco, Don Manuel Alberto </w:t>
      </w:r>
      <w:r>
        <w:rPr>
          <w:rFonts w:cs="Arial"/>
          <w:sz w:val="22"/>
          <w:szCs w:val="22"/>
        </w:rPr>
        <w:t>González Pestano, Doña Margarita Eva Tendero Barroso, Don Airam Pérez Chinea, Doña María del Carmen Clemente Díaz, Don Olegario Francisco Alonso Bello, Doña Mónica Monserrat Yanes Delgado.</w:t>
      </w:r>
    </w:p>
    <w:p w:rsidR="00061CF1" w:rsidRDefault="00061CF1">
      <w:pPr>
        <w:pStyle w:val="Standard"/>
        <w:jc w:val="both"/>
        <w:rPr>
          <w:rFonts w:ascii="Arial" w:hAnsi="Arial" w:cs="Arial"/>
          <w:sz w:val="22"/>
          <w:szCs w:val="22"/>
        </w:rPr>
      </w:pPr>
    </w:p>
    <w:p w:rsidR="00061CF1" w:rsidRDefault="004E6D5A">
      <w:pPr>
        <w:pStyle w:val="Standard"/>
        <w:ind w:firstLine="708"/>
        <w:jc w:val="both"/>
      </w:pPr>
      <w:r>
        <w:rPr>
          <w:rFonts w:ascii="Arial" w:hAnsi="Arial" w:cs="Arial"/>
          <w:b/>
          <w:sz w:val="22"/>
          <w:szCs w:val="22"/>
        </w:rPr>
        <w:t xml:space="preserve">Grupo Popular: </w:t>
      </w:r>
      <w:r>
        <w:rPr>
          <w:rFonts w:ascii="Arial" w:hAnsi="Arial" w:cs="Arial"/>
          <w:sz w:val="22"/>
          <w:szCs w:val="22"/>
        </w:rPr>
        <w:t>Don Jacobo López Fariña, D. Miguel Eduardo Hernánde</w:t>
      </w:r>
      <w:r>
        <w:rPr>
          <w:rFonts w:ascii="Arial" w:hAnsi="Arial" w:cs="Arial"/>
          <w:sz w:val="22"/>
          <w:szCs w:val="22"/>
        </w:rPr>
        <w:t>z Chitty, D. José Daniel Sosa González, Dª Raquel Martín Castro y Doña Shaila Castellano Batista.</w:t>
      </w:r>
    </w:p>
    <w:p w:rsidR="00061CF1" w:rsidRDefault="00061CF1">
      <w:pPr>
        <w:pStyle w:val="Standard"/>
        <w:jc w:val="both"/>
        <w:rPr>
          <w:rFonts w:ascii="Arial" w:hAnsi="Arial" w:cs="Arial"/>
          <w:sz w:val="22"/>
          <w:szCs w:val="22"/>
        </w:rPr>
      </w:pPr>
    </w:p>
    <w:p w:rsidR="00061CF1" w:rsidRDefault="004E6D5A">
      <w:pPr>
        <w:pStyle w:val="Textoindependiente"/>
        <w:jc w:val="both"/>
      </w:pPr>
      <w:r>
        <w:rPr>
          <w:rFonts w:cs="Arial"/>
          <w:b/>
          <w:szCs w:val="22"/>
        </w:rPr>
        <w:t xml:space="preserve">           Grupo Mixto:</w:t>
      </w:r>
      <w:r>
        <w:rPr>
          <w:rFonts w:cs="Arial"/>
          <w:szCs w:val="22"/>
        </w:rPr>
        <w:t xml:space="preserve">  Dª Violeta López Jiménez (USP), Don José Tortosa Pallarés (VOX). </w:t>
      </w:r>
    </w:p>
    <w:p w:rsidR="00061CF1" w:rsidRDefault="004E6D5A">
      <w:pPr>
        <w:pStyle w:val="Standard"/>
        <w:jc w:val="both"/>
        <w:rPr>
          <w:rFonts w:ascii="Arial" w:hAnsi="Arial" w:cs="Arial"/>
          <w:b/>
          <w:bCs/>
          <w:sz w:val="22"/>
          <w:szCs w:val="22"/>
        </w:rPr>
      </w:pPr>
      <w:r>
        <w:rPr>
          <w:rFonts w:ascii="Arial" w:hAnsi="Arial" w:cs="Arial"/>
          <w:b/>
          <w:bCs/>
          <w:sz w:val="22"/>
          <w:szCs w:val="22"/>
        </w:rPr>
        <w:t xml:space="preserve">                </w:t>
      </w:r>
    </w:p>
    <w:p w:rsidR="00061CF1" w:rsidRDefault="00061CF1">
      <w:pPr>
        <w:pStyle w:val="Standard"/>
        <w:jc w:val="both"/>
      </w:pPr>
    </w:p>
    <w:p w:rsidR="00061CF1" w:rsidRDefault="004E6D5A">
      <w:pPr>
        <w:pStyle w:val="Standard"/>
        <w:jc w:val="both"/>
      </w:pPr>
      <w:r>
        <w:rPr>
          <w:rFonts w:ascii="Arial" w:hAnsi="Arial" w:cs="Arial"/>
          <w:b/>
          <w:bCs/>
          <w:sz w:val="22"/>
          <w:szCs w:val="22"/>
        </w:rPr>
        <w:t xml:space="preserve">           Secretario General: </w:t>
      </w:r>
      <w:r>
        <w:rPr>
          <w:rFonts w:ascii="Arial" w:hAnsi="Arial" w:cs="Arial"/>
          <w:bCs/>
          <w:sz w:val="22"/>
          <w:szCs w:val="22"/>
        </w:rPr>
        <w:t>D.</w:t>
      </w:r>
      <w:r>
        <w:rPr>
          <w:rFonts w:ascii="Arial" w:hAnsi="Arial" w:cs="Arial"/>
          <w:sz w:val="22"/>
          <w:szCs w:val="22"/>
        </w:rPr>
        <w:t xml:space="preserve"> Octavio Manuel</w:t>
      </w:r>
      <w:r>
        <w:rPr>
          <w:rFonts w:ascii="Arial" w:hAnsi="Arial" w:cs="Arial"/>
          <w:sz w:val="22"/>
          <w:szCs w:val="22"/>
        </w:rPr>
        <w:t xml:space="preserve"> Fernández Hernández</w:t>
      </w:r>
    </w:p>
    <w:p w:rsidR="00061CF1" w:rsidRDefault="00061CF1">
      <w:pPr>
        <w:pStyle w:val="Standard"/>
        <w:jc w:val="both"/>
        <w:rPr>
          <w:rFonts w:ascii="Arial" w:hAnsi="Arial" w:cs="Arial"/>
          <w:sz w:val="22"/>
          <w:szCs w:val="22"/>
        </w:rPr>
      </w:pPr>
    </w:p>
    <w:p w:rsidR="00061CF1" w:rsidRDefault="004E6D5A">
      <w:pPr>
        <w:pStyle w:val="Standard"/>
        <w:jc w:val="both"/>
      </w:pPr>
      <w:r>
        <w:rPr>
          <w:rFonts w:ascii="Arial" w:hAnsi="Arial" w:cs="Arial"/>
          <w:b/>
          <w:sz w:val="22"/>
          <w:szCs w:val="22"/>
        </w:rPr>
        <w:t xml:space="preserve">            Interventor:  </w:t>
      </w:r>
      <w:r>
        <w:rPr>
          <w:rFonts w:ascii="Arial" w:hAnsi="Arial" w:cs="Arial"/>
          <w:sz w:val="22"/>
          <w:szCs w:val="22"/>
        </w:rPr>
        <w:t>D. Nicolás Rojo Garnica</w:t>
      </w:r>
    </w:p>
    <w:p w:rsidR="00061CF1" w:rsidRDefault="00061CF1">
      <w:pPr>
        <w:pStyle w:val="Standard"/>
        <w:jc w:val="both"/>
        <w:rPr>
          <w:rFonts w:ascii="Arial" w:hAnsi="Arial" w:cs="Arial"/>
          <w:sz w:val="22"/>
          <w:szCs w:val="22"/>
        </w:rPr>
      </w:pPr>
    </w:p>
    <w:p w:rsidR="00061CF1" w:rsidRDefault="00061CF1">
      <w:pPr>
        <w:pStyle w:val="Standard"/>
        <w:ind w:left="3962"/>
        <w:jc w:val="both"/>
        <w:rPr>
          <w:rFonts w:ascii="Arial" w:hAnsi="Arial" w:cs="Arial"/>
          <w:sz w:val="22"/>
          <w:szCs w:val="22"/>
        </w:rPr>
      </w:pPr>
    </w:p>
    <w:p w:rsidR="00061CF1" w:rsidRDefault="00061CF1">
      <w:pPr>
        <w:pStyle w:val="Standard"/>
        <w:jc w:val="both"/>
        <w:rPr>
          <w:rFonts w:ascii="Arial" w:hAnsi="Arial" w:cs="Arial"/>
          <w:sz w:val="22"/>
          <w:szCs w:val="22"/>
        </w:rPr>
      </w:pPr>
    </w:p>
    <w:p w:rsidR="00061CF1" w:rsidRDefault="004E6D5A">
      <w:pPr>
        <w:pStyle w:val="Standard"/>
        <w:jc w:val="both"/>
        <w:rPr>
          <w:rFonts w:ascii="Arial" w:hAnsi="Arial" w:cs="Arial"/>
          <w:sz w:val="22"/>
          <w:szCs w:val="22"/>
        </w:rPr>
      </w:pPr>
      <w:r>
        <w:rPr>
          <w:rFonts w:ascii="Arial" w:hAnsi="Arial" w:cs="Arial"/>
          <w:sz w:val="22"/>
          <w:szCs w:val="22"/>
        </w:rPr>
        <w:t>En Candelaria, a treinta y uno de octubre de dos mil veinticinco, siendo las 9:00 horas, se constituyó el Ayuntamiento Pleno en el Salón de Sesiones de la Casa Consistorial con asis</w:t>
      </w:r>
      <w:r>
        <w:rPr>
          <w:rFonts w:ascii="Arial" w:hAnsi="Arial" w:cs="Arial"/>
          <w:sz w:val="22"/>
          <w:szCs w:val="22"/>
        </w:rPr>
        <w:t>tencia de los Sres. Concejales expresados al margen, y al objeto de celebrar sesión ordinaria para tratar los asuntos comprendidos en el orden del día de la convocatoria.</w:t>
      </w:r>
    </w:p>
    <w:p w:rsidR="00061CF1" w:rsidRDefault="00061CF1">
      <w:pPr>
        <w:pStyle w:val="Standard"/>
        <w:jc w:val="both"/>
        <w:rPr>
          <w:rFonts w:ascii="Arial" w:hAnsi="Arial" w:cs="Arial"/>
          <w:b/>
          <w:bCs/>
          <w:sz w:val="22"/>
          <w:szCs w:val="22"/>
          <w:lang w:val="fr-FR"/>
        </w:rPr>
      </w:pPr>
    </w:p>
    <w:p w:rsidR="00061CF1" w:rsidRDefault="00061CF1">
      <w:pPr>
        <w:pStyle w:val="Standard"/>
        <w:ind w:left="3962"/>
        <w:jc w:val="both"/>
        <w:rPr>
          <w:rFonts w:ascii="Arial" w:hAnsi="Arial" w:cs="Arial"/>
          <w:sz w:val="22"/>
          <w:szCs w:val="22"/>
        </w:rPr>
      </w:pPr>
    </w:p>
    <w:p w:rsidR="00061CF1" w:rsidRDefault="004E6D5A">
      <w:pPr>
        <w:pStyle w:val="Standard"/>
        <w:jc w:val="both"/>
      </w:pPr>
      <w:r>
        <w:br w:type="column"/>
      </w:r>
      <w:r>
        <w:rPr>
          <w:rFonts w:ascii="Arial" w:hAnsi="Arial" w:cs="Arial"/>
          <w:b/>
          <w:bCs/>
          <w:noProof/>
          <w:sz w:val="22"/>
          <w:szCs w:val="22"/>
          <w:lang w:eastAsia="es-ES"/>
        </w:rPr>
        <w:lastRenderedPageBreak/>
        <mc:AlternateContent>
          <mc:Choice Requires="wps">
            <w:drawing>
              <wp:anchor distT="0" distB="0" distL="114300" distR="114300" simplePos="0" relativeHeight="251667968" behindDoc="1" locked="0" layoutInCell="1" allowOverlap="1">
                <wp:simplePos x="0" y="0"/>
                <wp:positionH relativeFrom="column">
                  <wp:posOffset>1309365</wp:posOffset>
                </wp:positionH>
                <wp:positionV relativeFrom="paragraph">
                  <wp:posOffset>-739777</wp:posOffset>
                </wp:positionV>
                <wp:extent cx="1790066" cy="389891"/>
                <wp:effectExtent l="0" t="0" r="634" b="0"/>
                <wp:wrapNone/>
                <wp:docPr id="10" name="Marco1"/>
                <wp:cNvGraphicFramePr/>
                <a:graphic xmlns:a="http://schemas.openxmlformats.org/drawingml/2006/main">
                  <a:graphicData uri="http://schemas.microsoft.com/office/word/2010/wordprocessingShape">
                    <wps:wsp>
                      <wps:cNvSpPr txBox="1"/>
                      <wps:spPr>
                        <a:xfrm>
                          <a:off x="0" y="0"/>
                          <a:ext cx="1790066" cy="389891"/>
                        </a:xfrm>
                        <a:prstGeom prst="rect">
                          <a:avLst/>
                        </a:prstGeom>
                        <a:solidFill>
                          <a:srgbClr val="FFFFFF"/>
                        </a:solidFill>
                        <a:ln>
                          <a:noFill/>
                          <a:prstDash/>
                        </a:ln>
                      </wps:spPr>
                      <wps:txbx>
                        <w:txbxContent>
                          <w:p w:rsidR="00061CF1" w:rsidRDefault="00061CF1">
                            <w:pPr>
                              <w:pStyle w:val="Textoindependiente21"/>
                              <w:jc w:val="both"/>
                              <w:rPr>
                                <w:b w:val="0"/>
                                <w:bCs w:val="0"/>
                                <w:sz w:val="16"/>
                              </w:rPr>
                            </w:pPr>
                          </w:p>
                          <w:p w:rsidR="00061CF1" w:rsidRDefault="004E6D5A">
                            <w:pPr>
                              <w:pStyle w:val="Textoindependiente21"/>
                              <w:jc w:val="both"/>
                            </w:pPr>
                            <w:r>
                              <w:t>SECRETARÍA GENERAL</w:t>
                            </w:r>
                          </w:p>
                          <w:p w:rsidR="00061CF1" w:rsidRDefault="00061CF1">
                            <w:pPr>
                              <w:pStyle w:val="Textoindependiente21"/>
                              <w:jc w:val="both"/>
                            </w:pPr>
                          </w:p>
                        </w:txbxContent>
                      </wps:txbx>
                      <wps:bodyPr vert="horz" wrap="square" lIns="0" tIns="0" rIns="0" bIns="0" anchor="t" anchorCtr="0" compatLnSpc="0">
                        <a:noAutofit/>
                      </wps:bodyPr>
                    </wps:wsp>
                  </a:graphicData>
                </a:graphic>
              </wp:anchor>
            </w:drawing>
          </mc:Choice>
          <mc:Fallback>
            <w:pict>
              <v:shape id="_x0000_s1027" type="#_x0000_t202" style="position:absolute;left:0;text-align:left;margin-left:103.1pt;margin-top:-58.25pt;width:140.95pt;height:30.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" stroked="f">
                <v:textbox inset="0,0,0,0">
                  <w:txbxContent>
                    <w:p w:rsidR="00061CF1" w:rsidRDefault="00061CF1">
                      <w:pPr>
                        <w:pStyle w:val="Textoindependiente21"/>
                        <w:jc w:val="both"/>
                        <w:rPr>
                          <w:b w:val="0"/>
                          <w:bCs w:val="0"/>
                          <w:sz w:val="16"/>
                        </w:rPr>
                      </w:pPr>
                    </w:p>
                    <w:p w:rsidR="00061CF1" w:rsidRDefault="004E6D5A">
                      <w:pPr>
                        <w:pStyle w:val="Textoindependiente21"/>
                        <w:jc w:val="both"/>
                      </w:pPr>
                      <w:r>
                        <w:t>SECRETARÍA GENERAL</w:t>
                      </w:r>
                    </w:p>
                    <w:p w:rsidR="00061CF1" w:rsidRDefault="00061CF1">
                      <w:pPr>
                        <w:pStyle w:val="Textoindependiente21"/>
                        <w:jc w:val="both"/>
                      </w:pPr>
                    </w:p>
                  </w:txbxContent>
                </v:textbox>
              </v:shape>
            </w:pict>
          </mc:Fallback>
        </mc:AlternateContent>
      </w:r>
    </w:p>
    <w:p w:rsidR="00061CF1" w:rsidRDefault="004E6D5A">
      <w:pPr>
        <w:pStyle w:val="Standard"/>
        <w:jc w:val="center"/>
        <w:rPr>
          <w:rFonts w:ascii="Arial" w:hAnsi="Arial" w:cs="Arial"/>
          <w:b/>
          <w:sz w:val="22"/>
          <w:szCs w:val="22"/>
        </w:rPr>
      </w:pPr>
      <w:r>
        <w:rPr>
          <w:rFonts w:ascii="Arial" w:hAnsi="Arial" w:cs="Arial"/>
          <w:b/>
          <w:sz w:val="22"/>
          <w:szCs w:val="22"/>
        </w:rPr>
        <w:t>ORDEN DEL DÍA</w:t>
      </w:r>
    </w:p>
    <w:p w:rsidR="00061CF1" w:rsidRDefault="00061CF1">
      <w:pPr>
        <w:pStyle w:val="Standard"/>
        <w:jc w:val="center"/>
        <w:rPr>
          <w:rFonts w:ascii="Arial" w:hAnsi="Arial" w:cs="Arial"/>
          <w:b/>
          <w:sz w:val="22"/>
          <w:szCs w:val="22"/>
        </w:rPr>
      </w:pPr>
    </w:p>
    <w:p w:rsidR="00061CF1" w:rsidRDefault="004E6D5A">
      <w:pPr>
        <w:widowControl/>
        <w:suppressAutoHyphens w:val="0"/>
        <w:autoSpaceDE w:val="0"/>
        <w:jc w:val="both"/>
        <w:textAlignment w:val="auto"/>
      </w:pPr>
      <w:r>
        <w:rPr>
          <w:rFonts w:ascii="Arial" w:hAnsi="Arial" w:cs="Arial"/>
          <w:b/>
          <w:bCs/>
          <w:kern w:val="0"/>
          <w:sz w:val="22"/>
          <w:szCs w:val="22"/>
          <w:lang w:bidi="ar-SA"/>
        </w:rPr>
        <w:t xml:space="preserve">  El debate íntegro de la sesión del pleno</w:t>
      </w:r>
      <w:r>
        <w:rPr>
          <w:rFonts w:ascii="Arial" w:hAnsi="Arial" w:cs="Arial"/>
          <w:b/>
          <w:bCs/>
          <w:kern w:val="0"/>
          <w:sz w:val="22"/>
          <w:szCs w:val="22"/>
          <w:lang w:bidi="ar-SA"/>
        </w:rPr>
        <w:t xml:space="preserve"> está disponible en el siguiente enlace que es </w:t>
      </w:r>
      <w:r>
        <w:rPr>
          <w:rFonts w:ascii="Arial" w:hAnsi="Arial" w:cs="Arial"/>
          <w:b/>
          <w:bCs/>
          <w:kern w:val="0"/>
          <w:sz w:val="22"/>
          <w:szCs w:val="22"/>
        </w:rPr>
        <w:t>el video-acta:</w:t>
      </w:r>
    </w:p>
    <w:p w:rsidR="00061CF1" w:rsidRDefault="00061CF1">
      <w:pPr>
        <w:pStyle w:val="Standard"/>
        <w:jc w:val="both"/>
        <w:rPr>
          <w:rFonts w:ascii="Arial" w:hAnsi="Arial" w:cs="Arial"/>
          <w:b/>
          <w:bCs/>
          <w:kern w:val="0"/>
          <w:sz w:val="22"/>
          <w:szCs w:val="22"/>
        </w:rPr>
      </w:pPr>
    </w:p>
    <w:tbl>
      <w:tblPr>
        <w:tblW w:w="9564" w:type="dxa"/>
        <w:tblCellMar>
          <w:left w:w="10" w:type="dxa"/>
          <w:right w:w="10" w:type="dxa"/>
        </w:tblCellMar>
        <w:tblLook w:val="0000" w:firstRow="0" w:lastRow="0" w:firstColumn="0" w:lastColumn="0" w:noHBand="0" w:noVBand="0"/>
      </w:tblPr>
      <w:tblGrid>
        <w:gridCol w:w="9561"/>
        <w:gridCol w:w="3"/>
      </w:tblGrid>
      <w:tr w:rsidR="00061CF1">
        <w:tblPrEx>
          <w:tblCellMar>
            <w:top w:w="0" w:type="dxa"/>
            <w:bottom w:w="0" w:type="dxa"/>
          </w:tblCellMar>
        </w:tblPrEx>
        <w:tc>
          <w:tcPr>
            <w:tcW w:w="9561" w:type="dxa"/>
            <w:shd w:val="clear" w:color="auto" w:fill="auto"/>
            <w:tcMar>
              <w:top w:w="0" w:type="dxa"/>
              <w:left w:w="0" w:type="dxa"/>
              <w:bottom w:w="0" w:type="dxa"/>
              <w:right w:w="0" w:type="dxa"/>
            </w:tcMar>
            <w:vAlign w:val="center"/>
          </w:tcPr>
          <w:tbl>
            <w:tblPr>
              <w:tblW w:w="21540" w:type="dxa"/>
              <w:tblCellMar>
                <w:left w:w="10" w:type="dxa"/>
                <w:right w:w="10" w:type="dxa"/>
              </w:tblCellMar>
              <w:tblLook w:val="0000" w:firstRow="0" w:lastRow="0" w:firstColumn="0" w:lastColumn="0" w:noHBand="0" w:noVBand="0"/>
            </w:tblPr>
            <w:tblGrid>
              <w:gridCol w:w="21540"/>
            </w:tblGrid>
            <w:tr w:rsidR="00061CF1">
              <w:tblPrEx>
                <w:tblCellMar>
                  <w:top w:w="0" w:type="dxa"/>
                  <w:bottom w:w="0" w:type="dxa"/>
                </w:tblCellMar>
              </w:tblPrEx>
              <w:tc>
                <w:tcPr>
                  <w:tcW w:w="9561" w:type="dxa"/>
                  <w:shd w:val="clear" w:color="auto" w:fill="auto"/>
                  <w:noWrap/>
                  <w:tcMar>
                    <w:top w:w="0" w:type="dxa"/>
                    <w:left w:w="0" w:type="dxa"/>
                    <w:bottom w:w="0" w:type="dxa"/>
                    <w:right w:w="0" w:type="dxa"/>
                  </w:tcMar>
                  <w:vAlign w:val="center"/>
                </w:tcPr>
                <w:p w:rsidR="00061CF1" w:rsidRDefault="004E6D5A">
                  <w:pPr>
                    <w:widowControl/>
                    <w:suppressAutoHyphens w:val="0"/>
                    <w:spacing w:line="300" w:lineRule="atLeast"/>
                    <w:textAlignment w:val="auto"/>
                  </w:pPr>
                  <w:r>
                    <w:t xml:space="preserve">             </w:t>
                  </w:r>
                  <w:hyperlink r:id="rId11" w:history="1">
                    <w:r>
                      <w:rPr>
                        <w:rFonts w:ascii="Arial" w:hAnsi="Arial" w:cs="Arial"/>
                        <w:color w:val="1155CC"/>
                        <w:u w:val="single"/>
                        <w:shd w:val="clear" w:color="auto" w:fill="FFFFFF"/>
                      </w:rPr>
                      <w:t>https://www.youtube.com/watch?v=aKPRXt7aNqs</w:t>
                    </w:r>
                  </w:hyperlink>
                </w:p>
                <w:p w:rsidR="00061CF1" w:rsidRDefault="00061CF1">
                  <w:pPr>
                    <w:widowControl/>
                    <w:suppressAutoHyphens w:val="0"/>
                    <w:spacing w:line="300" w:lineRule="atLeast"/>
                    <w:textAlignment w:val="top"/>
                    <w:rPr>
                      <w:rFonts w:eastAsia="Times New Roman" w:cs="Times New Roman"/>
                      <w:kern w:val="0"/>
                      <w:lang w:eastAsia="es-ES" w:bidi="ar-SA"/>
                    </w:rPr>
                  </w:pPr>
                </w:p>
                <w:p w:rsidR="00061CF1" w:rsidRDefault="00061CF1">
                  <w:pPr>
                    <w:widowControl/>
                    <w:suppressAutoHyphens w:val="0"/>
                    <w:spacing w:line="300" w:lineRule="atLeast"/>
                    <w:textAlignment w:val="top"/>
                    <w:rPr>
                      <w:rFonts w:eastAsia="Times New Roman" w:cs="Times New Roman"/>
                      <w:kern w:val="0"/>
                      <w:lang w:eastAsia="es-ES" w:bidi="ar-SA"/>
                    </w:rPr>
                  </w:pPr>
                </w:p>
              </w:tc>
            </w:tr>
          </w:tbl>
          <w:p w:rsidR="00061CF1" w:rsidRDefault="00061CF1">
            <w:pPr>
              <w:widowControl/>
              <w:suppressAutoHyphens w:val="0"/>
              <w:textAlignment w:val="auto"/>
              <w:rPr>
                <w:rFonts w:ascii="Helvetica" w:eastAsia="Times New Roman" w:hAnsi="Helvetica" w:cs="Times New Roman"/>
                <w:kern w:val="0"/>
                <w:lang w:eastAsia="es-ES" w:bidi="ar-SA"/>
              </w:rPr>
            </w:pPr>
          </w:p>
        </w:tc>
        <w:tc>
          <w:tcPr>
            <w:tcW w:w="3" w:type="dxa"/>
            <w:shd w:val="clear" w:color="auto" w:fill="auto"/>
            <w:tcMar>
              <w:top w:w="0" w:type="dxa"/>
              <w:left w:w="0" w:type="dxa"/>
              <w:bottom w:w="0" w:type="dxa"/>
              <w:right w:w="0" w:type="dxa"/>
            </w:tcMar>
            <w:vAlign w:val="center"/>
          </w:tcPr>
          <w:p w:rsidR="00061CF1" w:rsidRDefault="00061CF1">
            <w:pPr>
              <w:widowControl/>
              <w:suppressAutoHyphens w:val="0"/>
              <w:textAlignment w:val="auto"/>
              <w:rPr>
                <w:rFonts w:eastAsia="Times New Roman" w:cs="Times New Roman"/>
                <w:kern w:val="0"/>
                <w:sz w:val="20"/>
                <w:szCs w:val="20"/>
                <w:lang w:eastAsia="es-ES" w:bidi="ar-SA"/>
              </w:rPr>
            </w:pPr>
          </w:p>
        </w:tc>
      </w:tr>
    </w:tbl>
    <w:p w:rsidR="00061CF1" w:rsidRDefault="004E6D5A">
      <w:pPr>
        <w:pStyle w:val="Standard"/>
        <w:numPr>
          <w:ilvl w:val="0"/>
          <w:numId w:val="3"/>
        </w:numPr>
        <w:jc w:val="both"/>
        <w:rPr>
          <w:rFonts w:ascii="Arial" w:hAnsi="Arial" w:cs="Arial"/>
          <w:b/>
          <w:sz w:val="22"/>
          <w:szCs w:val="22"/>
          <w:u w:val="single"/>
        </w:rPr>
      </w:pPr>
      <w:r>
        <w:rPr>
          <w:rFonts w:ascii="Arial" w:hAnsi="Arial" w:cs="Arial"/>
          <w:b/>
          <w:sz w:val="22"/>
          <w:szCs w:val="22"/>
          <w:u w:val="single"/>
        </w:rPr>
        <w:t>Parte Resolutiva de la Sesión.</w:t>
      </w:r>
    </w:p>
    <w:p w:rsidR="00061CF1" w:rsidRDefault="00061CF1">
      <w:pPr>
        <w:pStyle w:val="Standard"/>
        <w:jc w:val="both"/>
        <w:rPr>
          <w:rFonts w:ascii="Arial" w:hAnsi="Arial" w:cs="Arial"/>
          <w:b/>
          <w:sz w:val="22"/>
          <w:szCs w:val="22"/>
          <w:u w:val="single"/>
        </w:rPr>
      </w:pPr>
    </w:p>
    <w:p w:rsidR="00061CF1" w:rsidRDefault="004E6D5A">
      <w:pPr>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 xml:space="preserve">1.- Aprobación de las actas de las </w:t>
      </w:r>
      <w:r>
        <w:rPr>
          <w:rFonts w:ascii="Arial" w:eastAsia="Lucida Sans Unicode" w:hAnsi="Arial" w:cs="Arial"/>
          <w:b/>
          <w:color w:val="000000"/>
          <w:sz w:val="22"/>
          <w:szCs w:val="22"/>
          <w:lang w:bidi="ar-SA"/>
        </w:rPr>
        <w:t>sesiones ordinarias del pleno de 4 de agosto de 2025 y de 25 de septiembre de 2025.</w:t>
      </w:r>
    </w:p>
    <w:p w:rsidR="00061CF1" w:rsidRDefault="00061CF1">
      <w:pPr>
        <w:jc w:val="both"/>
        <w:textAlignment w:val="auto"/>
        <w:rPr>
          <w:rFonts w:ascii="Arial" w:eastAsia="Lucida Sans Unicode" w:hAnsi="Arial" w:cs="Arial"/>
          <w:b/>
          <w:color w:val="000000"/>
          <w:sz w:val="22"/>
          <w:szCs w:val="22"/>
          <w:lang w:bidi="ar-SA"/>
        </w:rPr>
      </w:pPr>
    </w:p>
    <w:p w:rsidR="00061CF1" w:rsidRDefault="004E6D5A">
      <w:pPr>
        <w:jc w:val="both"/>
        <w:textAlignment w:val="auto"/>
      </w:pPr>
      <w:r>
        <w:rPr>
          <w:rFonts w:ascii="Arial" w:eastAsia="Lucida Sans Unicode" w:hAnsi="Arial" w:cs="Arial"/>
          <w:b/>
          <w:color w:val="000000"/>
          <w:sz w:val="22"/>
          <w:szCs w:val="22"/>
          <w:lang w:bidi="ar-SA"/>
        </w:rPr>
        <w:t xml:space="preserve">2.- </w:t>
      </w:r>
      <w:r>
        <w:rPr>
          <w:rFonts w:ascii="Arial" w:eastAsia="Lucida Sans Unicode" w:hAnsi="Arial" w:cs="Arial"/>
          <w:b/>
          <w:color w:val="000000"/>
          <w:sz w:val="22"/>
          <w:szCs w:val="22"/>
          <w:shd w:val="clear" w:color="auto" w:fill="FFFFFF"/>
          <w:lang w:bidi="ar-SA"/>
        </w:rPr>
        <w:t>Expediente 10198/2025. Propuesta del Concejal delegado de Hacienda al Pleno de toma en consideración de la auditoría de gestión correspondiente a este Ayuntamiento, re</w:t>
      </w:r>
      <w:r>
        <w:rPr>
          <w:rFonts w:ascii="Arial" w:eastAsia="Lucida Sans Unicode" w:hAnsi="Arial" w:cs="Arial"/>
          <w:b/>
          <w:color w:val="000000"/>
          <w:sz w:val="22"/>
          <w:szCs w:val="22"/>
          <w:shd w:val="clear" w:color="auto" w:fill="FFFFFF"/>
          <w:lang w:bidi="ar-SA"/>
        </w:rPr>
        <w:t>alizada en base a la liquidación del Presupuesto municipal correspondiente al año 2024, prevista en la Ley 3/1999, de 4 de febrero, del Fondo Canario de Financiación Municipal.</w:t>
      </w:r>
    </w:p>
    <w:p w:rsidR="00061CF1" w:rsidRDefault="00061CF1">
      <w:pPr>
        <w:jc w:val="both"/>
        <w:rPr>
          <w:rFonts w:ascii="Arial" w:hAnsi="Arial" w:cs="Arial"/>
          <w:b/>
          <w:sz w:val="22"/>
          <w:szCs w:val="22"/>
        </w:rPr>
      </w:pPr>
    </w:p>
    <w:p w:rsidR="00061CF1" w:rsidRDefault="004E6D5A">
      <w:pPr>
        <w:jc w:val="both"/>
      </w:pPr>
      <w:r>
        <w:rPr>
          <w:rFonts w:ascii="Arial" w:hAnsi="Arial" w:cs="Arial"/>
          <w:b/>
          <w:color w:val="000000"/>
          <w:sz w:val="22"/>
          <w:szCs w:val="22"/>
        </w:rPr>
        <w:t xml:space="preserve">3.- </w:t>
      </w:r>
      <w:r>
        <w:rPr>
          <w:rFonts w:ascii="Arial" w:hAnsi="Arial" w:cs="Arial"/>
          <w:b/>
          <w:color w:val="000000"/>
          <w:sz w:val="22"/>
          <w:szCs w:val="22"/>
          <w:shd w:val="clear" w:color="auto" w:fill="F5F7F9"/>
        </w:rPr>
        <w:t>Expediente 9895/2025. Propuesta del Concejal delegado de Hacienda al Pleno</w:t>
      </w:r>
      <w:r>
        <w:rPr>
          <w:rFonts w:ascii="Arial" w:hAnsi="Arial" w:cs="Arial"/>
          <w:b/>
          <w:color w:val="000000"/>
          <w:sz w:val="22"/>
          <w:szCs w:val="22"/>
          <w:shd w:val="clear" w:color="auto" w:fill="F5F7F9"/>
        </w:rPr>
        <w:t xml:space="preserve"> del Informe de Morosidad, regulado en la Ley 15/2010, de 5 de julio, de modificación de la Ley 3/2004, de 29 de diciembre, por la que se establecen medidas de lucha contra la morosidad en las operaciones comerciales, correspondiente al tercer trimestre de</w:t>
      </w:r>
      <w:r>
        <w:rPr>
          <w:rFonts w:ascii="Arial" w:hAnsi="Arial" w:cs="Arial"/>
          <w:b/>
          <w:color w:val="000000"/>
          <w:sz w:val="22"/>
          <w:szCs w:val="22"/>
          <w:shd w:val="clear" w:color="auto" w:fill="F5F7F9"/>
        </w:rPr>
        <w:t>l año 2025.</w:t>
      </w:r>
    </w:p>
    <w:p w:rsidR="00061CF1" w:rsidRDefault="00061CF1">
      <w:pPr>
        <w:jc w:val="both"/>
        <w:rPr>
          <w:rFonts w:cs="Arial"/>
          <w:b/>
          <w:color w:val="000000"/>
          <w:shd w:val="clear" w:color="auto" w:fill="F5F7F9"/>
        </w:rPr>
      </w:pPr>
    </w:p>
    <w:p w:rsidR="00061CF1" w:rsidRDefault="004E6D5A">
      <w:pPr>
        <w:jc w:val="both"/>
        <w:textAlignment w:val="auto"/>
      </w:pPr>
      <w:r>
        <w:rPr>
          <w:rFonts w:ascii="Arial" w:eastAsia="Lucida Sans Unicode" w:hAnsi="Arial" w:cs="Arial"/>
          <w:b/>
          <w:color w:val="000000"/>
          <w:sz w:val="22"/>
          <w:szCs w:val="22"/>
          <w:lang w:bidi="ar-SA"/>
        </w:rPr>
        <w:t xml:space="preserve">4.- </w:t>
      </w:r>
      <w:r>
        <w:rPr>
          <w:rFonts w:ascii="Arial" w:eastAsia="Lucida Sans Unicode" w:hAnsi="Arial" w:cs="Arial"/>
          <w:b/>
          <w:color w:val="000000"/>
          <w:sz w:val="22"/>
          <w:szCs w:val="22"/>
          <w:shd w:val="clear" w:color="auto" w:fill="F5F7F9"/>
          <w:lang w:bidi="ar-SA"/>
        </w:rPr>
        <w:t xml:space="preserve">Expediente 9894/2025. Propuesta del Concejal delegado de Hacienda al Pleno del periodo medio de pago previsto en el Real Decreto 1040/2017, de 22 de diciembre, por el que se desarrolla la Metodología de cálculo del Periodo Medio de Pago a </w:t>
      </w:r>
      <w:r>
        <w:rPr>
          <w:rFonts w:ascii="Arial" w:eastAsia="Lucida Sans Unicode" w:hAnsi="Arial" w:cs="Arial"/>
          <w:b/>
          <w:color w:val="000000"/>
          <w:sz w:val="22"/>
          <w:szCs w:val="22"/>
          <w:shd w:val="clear" w:color="auto" w:fill="F5F7F9"/>
          <w:lang w:bidi="ar-SA"/>
        </w:rPr>
        <w:t>proveedores de las Administraciones Públicas correspondiente al tercer trimestre del año 2025.</w:t>
      </w:r>
    </w:p>
    <w:p w:rsidR="00061CF1" w:rsidRDefault="00061CF1">
      <w:pPr>
        <w:jc w:val="both"/>
        <w:textAlignment w:val="auto"/>
        <w:rPr>
          <w:rFonts w:ascii="Arial" w:eastAsia="Lucida Sans Unicode" w:hAnsi="Arial" w:cs="Arial"/>
          <w:b/>
          <w:color w:val="000000"/>
          <w:sz w:val="22"/>
          <w:szCs w:val="22"/>
          <w:shd w:val="clear" w:color="auto" w:fill="F5F7F9"/>
          <w:lang w:bidi="ar-SA"/>
        </w:rPr>
      </w:pPr>
    </w:p>
    <w:p w:rsidR="00061CF1" w:rsidRDefault="004E6D5A">
      <w:pPr>
        <w:jc w:val="both"/>
        <w:textAlignment w:val="auto"/>
        <w:rPr>
          <w:rFonts w:ascii="Arial" w:eastAsia="Lucida Sans Unicode" w:hAnsi="Arial" w:cs="Arial"/>
          <w:b/>
          <w:color w:val="000000"/>
          <w:sz w:val="22"/>
          <w:szCs w:val="22"/>
          <w:shd w:val="clear" w:color="auto" w:fill="F5F7F9"/>
          <w:lang w:bidi="ar-SA"/>
        </w:rPr>
      </w:pPr>
      <w:r>
        <w:rPr>
          <w:rFonts w:ascii="Arial" w:eastAsia="Lucida Sans Unicode" w:hAnsi="Arial" w:cs="Arial"/>
          <w:b/>
          <w:color w:val="000000"/>
          <w:sz w:val="22"/>
          <w:szCs w:val="22"/>
          <w:shd w:val="clear" w:color="auto" w:fill="F5F7F9"/>
          <w:lang w:bidi="ar-SA"/>
        </w:rPr>
        <w:t xml:space="preserve">5.- Expediente 9619/2025. Propuesta del Concejal delegado de Hacienda al Pleno de aprobación inicial del expediente de modificación presupuestaria por créditos </w:t>
      </w:r>
      <w:r>
        <w:rPr>
          <w:rFonts w:ascii="Arial" w:eastAsia="Lucida Sans Unicode" w:hAnsi="Arial" w:cs="Arial"/>
          <w:b/>
          <w:color w:val="000000"/>
          <w:sz w:val="22"/>
          <w:szCs w:val="22"/>
          <w:shd w:val="clear" w:color="auto" w:fill="F5F7F9"/>
          <w:lang w:bidi="ar-SA"/>
        </w:rPr>
        <w:t>extraordinarios financiado con Remanente de Tesorería para gastos generales, por una cantidad total de 5.862.162,68 euros.</w:t>
      </w:r>
    </w:p>
    <w:p w:rsidR="00061CF1" w:rsidRDefault="00061CF1">
      <w:pPr>
        <w:jc w:val="both"/>
        <w:textAlignment w:val="auto"/>
        <w:rPr>
          <w:rFonts w:ascii="Arial" w:eastAsia="Lucida Sans Unicode" w:hAnsi="Arial" w:cs="Arial"/>
          <w:b/>
          <w:color w:val="000000"/>
          <w:sz w:val="22"/>
          <w:szCs w:val="22"/>
          <w:shd w:val="clear" w:color="auto" w:fill="F5F7F9"/>
          <w:lang w:bidi="ar-SA"/>
        </w:rPr>
      </w:pPr>
    </w:p>
    <w:p w:rsidR="00061CF1" w:rsidRDefault="004E6D5A">
      <w:pPr>
        <w:jc w:val="both"/>
        <w:textAlignment w:val="auto"/>
      </w:pPr>
      <w:r>
        <w:rPr>
          <w:rFonts w:ascii="Arial" w:eastAsia="Lucida Sans Unicode" w:hAnsi="Arial" w:cs="Arial"/>
          <w:b/>
          <w:color w:val="000000"/>
          <w:sz w:val="22"/>
          <w:szCs w:val="22"/>
          <w:shd w:val="clear" w:color="auto" w:fill="F5F7F9"/>
          <w:lang w:bidi="ar-SA"/>
        </w:rPr>
        <w:t>6.-</w:t>
      </w:r>
      <w:r>
        <w:rPr>
          <w:rFonts w:ascii="system-ui" w:hAnsi="system-ui"/>
          <w:color w:val="2F3E4D"/>
          <w:sz w:val="23"/>
          <w:szCs w:val="23"/>
          <w:shd w:val="clear" w:color="auto" w:fill="F5F7F9"/>
        </w:rPr>
        <w:t xml:space="preserve"> </w:t>
      </w:r>
      <w:r>
        <w:rPr>
          <w:rFonts w:ascii="Arial" w:hAnsi="Arial" w:cs="Arial"/>
          <w:b/>
          <w:sz w:val="22"/>
          <w:szCs w:val="22"/>
          <w:shd w:val="clear" w:color="auto" w:fill="F5F7F9"/>
        </w:rPr>
        <w:t>Expediente 10000/2025. Propuesta del Concejal delegado de Hacienda al Pleno de aprobación inicial del expediente de modificación</w:t>
      </w:r>
      <w:r>
        <w:rPr>
          <w:rFonts w:ascii="Arial" w:hAnsi="Arial" w:cs="Arial"/>
          <w:b/>
          <w:sz w:val="22"/>
          <w:szCs w:val="22"/>
          <w:shd w:val="clear" w:color="auto" w:fill="F5F7F9"/>
        </w:rPr>
        <w:t xml:space="preserve"> presupuestaria por suplementos de créditos financiado con Remanente de Tesorería para gastos generales, por una cantidad total de 522.523,17 euros.</w:t>
      </w:r>
    </w:p>
    <w:p w:rsidR="00061CF1" w:rsidRDefault="00061CF1">
      <w:pPr>
        <w:jc w:val="both"/>
        <w:rPr>
          <w:rFonts w:ascii="Arial" w:hAnsi="Arial" w:cs="Arial"/>
          <w:b/>
          <w:sz w:val="22"/>
          <w:szCs w:val="22"/>
        </w:rPr>
      </w:pPr>
    </w:p>
    <w:p w:rsidR="00061CF1" w:rsidRDefault="004E6D5A">
      <w:pPr>
        <w:jc w:val="both"/>
      </w:pPr>
      <w:r>
        <w:rPr>
          <w:rFonts w:ascii="Arial" w:hAnsi="Arial" w:cs="Arial"/>
          <w:b/>
          <w:sz w:val="22"/>
          <w:szCs w:val="22"/>
        </w:rPr>
        <w:t>7.-</w:t>
      </w:r>
      <w:r>
        <w:rPr>
          <w:rFonts w:ascii="Arial" w:hAnsi="Arial" w:cs="Arial"/>
          <w:b/>
          <w:sz w:val="22"/>
          <w:szCs w:val="22"/>
          <w:shd w:val="clear" w:color="auto" w:fill="F5F7F9"/>
        </w:rPr>
        <w:t xml:space="preserve"> Expediente 6370/2025. Propuesta de la Alcaldesa-Presidenta al Pleno de aprobación inicial de los </w:t>
      </w:r>
      <w:r>
        <w:rPr>
          <w:rFonts w:ascii="Arial" w:hAnsi="Arial" w:cs="Arial"/>
          <w:b/>
          <w:sz w:val="22"/>
          <w:szCs w:val="22"/>
          <w:shd w:val="clear" w:color="auto" w:fill="F5F7F9"/>
        </w:rPr>
        <w:t>estatutos para la constitución de la entidad urbanística de conservación (EUC) del Polígono Industrial del Valle de Güimar.</w:t>
      </w:r>
    </w:p>
    <w:p w:rsidR="00061CF1" w:rsidRDefault="00061CF1">
      <w:pPr>
        <w:jc w:val="both"/>
        <w:rPr>
          <w:rFonts w:ascii="Arial" w:hAnsi="Arial" w:cs="Arial"/>
          <w:b/>
          <w:sz w:val="22"/>
          <w:szCs w:val="22"/>
          <w:shd w:val="clear" w:color="auto" w:fill="F5F7F9"/>
        </w:rPr>
      </w:pPr>
    </w:p>
    <w:p w:rsidR="00061CF1" w:rsidRDefault="004E6D5A">
      <w:pPr>
        <w:jc w:val="both"/>
        <w:rPr>
          <w:rFonts w:ascii="Arial" w:hAnsi="Arial" w:cs="Arial"/>
          <w:b/>
          <w:sz w:val="22"/>
          <w:szCs w:val="22"/>
          <w:shd w:val="clear" w:color="auto" w:fill="F5F7F9"/>
        </w:rPr>
      </w:pPr>
      <w:r>
        <w:rPr>
          <w:rFonts w:ascii="Arial" w:hAnsi="Arial" w:cs="Arial"/>
          <w:b/>
          <w:sz w:val="22"/>
          <w:szCs w:val="22"/>
          <w:shd w:val="clear" w:color="auto" w:fill="F5F7F9"/>
        </w:rPr>
        <w:t>8.- Expediente 10288/2025. Moción del Grupo Popular para impulsar medidas de apoyo efectivo al comercio local de Candelaria.</w:t>
      </w:r>
    </w:p>
    <w:p w:rsidR="00061CF1" w:rsidRDefault="00061CF1">
      <w:pPr>
        <w:jc w:val="both"/>
        <w:rPr>
          <w:rFonts w:ascii="Arial" w:hAnsi="Arial" w:cs="Arial"/>
          <w:b/>
          <w:sz w:val="22"/>
          <w:szCs w:val="22"/>
          <w:shd w:val="clear" w:color="auto" w:fill="F5F7F9"/>
        </w:rPr>
      </w:pPr>
    </w:p>
    <w:p w:rsidR="00061CF1" w:rsidRDefault="004E6D5A">
      <w:pPr>
        <w:jc w:val="both"/>
        <w:rPr>
          <w:rFonts w:ascii="Arial" w:hAnsi="Arial" w:cs="Arial"/>
          <w:b/>
          <w:sz w:val="22"/>
          <w:szCs w:val="22"/>
          <w:shd w:val="clear" w:color="auto" w:fill="F5F7F9"/>
        </w:rPr>
      </w:pPr>
      <w:r>
        <w:rPr>
          <w:rFonts w:ascii="Arial" w:hAnsi="Arial" w:cs="Arial"/>
          <w:b/>
          <w:sz w:val="22"/>
          <w:szCs w:val="22"/>
          <w:shd w:val="clear" w:color="auto" w:fill="F5F7F9"/>
        </w:rPr>
        <w:t>9.-Ex</w:t>
      </w:r>
      <w:r>
        <w:rPr>
          <w:rFonts w:ascii="Arial" w:hAnsi="Arial" w:cs="Arial"/>
          <w:b/>
          <w:sz w:val="22"/>
          <w:szCs w:val="22"/>
          <w:shd w:val="clear" w:color="auto" w:fill="F5F7F9"/>
        </w:rPr>
        <w:t>pediente 10212/2025. Moción del Grupo Mixto (CC) para la mejora de las infraestructuras del servicio de abastecimiento de agua potable en el municipio.</w:t>
      </w:r>
    </w:p>
    <w:p w:rsidR="00061CF1" w:rsidRDefault="00061CF1">
      <w:pPr>
        <w:jc w:val="both"/>
        <w:rPr>
          <w:rFonts w:ascii="Arial" w:hAnsi="Arial" w:cs="Arial"/>
          <w:b/>
          <w:sz w:val="22"/>
          <w:szCs w:val="22"/>
          <w:shd w:val="clear" w:color="auto" w:fill="F5F7F9"/>
        </w:rPr>
      </w:pPr>
    </w:p>
    <w:p w:rsidR="00061CF1" w:rsidRDefault="004E6D5A">
      <w:pPr>
        <w:jc w:val="both"/>
        <w:rPr>
          <w:rFonts w:ascii="Arial" w:hAnsi="Arial" w:cs="Arial"/>
          <w:b/>
          <w:sz w:val="22"/>
          <w:szCs w:val="22"/>
          <w:shd w:val="clear" w:color="auto" w:fill="F5F7F9"/>
        </w:rPr>
      </w:pPr>
      <w:r>
        <w:rPr>
          <w:rFonts w:ascii="Arial" w:hAnsi="Arial" w:cs="Arial"/>
          <w:b/>
          <w:sz w:val="22"/>
          <w:szCs w:val="22"/>
          <w:shd w:val="clear" w:color="auto" w:fill="F5F7F9"/>
        </w:rPr>
        <w:t>10.- Expediente 10068/2025. Moción del Grupo Mixto (USP) para aprobar el inicio de los trámites para la</w:t>
      </w:r>
      <w:r>
        <w:rPr>
          <w:rFonts w:ascii="Arial" w:hAnsi="Arial" w:cs="Arial"/>
          <w:b/>
          <w:sz w:val="22"/>
          <w:szCs w:val="22"/>
          <w:shd w:val="clear" w:color="auto" w:fill="F5F7F9"/>
        </w:rPr>
        <w:t xml:space="preserve"> elaboración de un Plan Estratégico Municipal de Arbolado Urbano y declarar </w:t>
      </w:r>
    </w:p>
    <w:p w:rsidR="00061CF1" w:rsidRDefault="00061CF1">
      <w:pPr>
        <w:jc w:val="both"/>
        <w:rPr>
          <w:rFonts w:ascii="Arial" w:hAnsi="Arial" w:cs="Arial"/>
          <w:b/>
          <w:sz w:val="22"/>
          <w:szCs w:val="22"/>
          <w:shd w:val="clear" w:color="auto" w:fill="F5F7F9"/>
        </w:rPr>
      </w:pPr>
    </w:p>
    <w:p w:rsidR="00061CF1" w:rsidRDefault="004E6D5A">
      <w:pPr>
        <w:jc w:val="both"/>
      </w:pPr>
      <w:r>
        <w:rPr>
          <w:rFonts w:ascii="Arial" w:hAnsi="Arial" w:cs="Arial"/>
          <w:b/>
          <w:sz w:val="22"/>
          <w:szCs w:val="22"/>
          <w:shd w:val="clear" w:color="auto" w:fill="F5F7F9"/>
        </w:rPr>
        <w:t>el proyecto del Gran Parque Urbano de Punta Larga como una actuación de interés público prioritario</w:t>
      </w:r>
    </w:p>
    <w:p w:rsidR="00061CF1" w:rsidRDefault="00061CF1">
      <w:pPr>
        <w:jc w:val="both"/>
        <w:rPr>
          <w:rFonts w:ascii="Arial" w:hAnsi="Arial" w:cs="Arial"/>
          <w:b/>
          <w:sz w:val="22"/>
          <w:szCs w:val="22"/>
        </w:rPr>
      </w:pPr>
    </w:p>
    <w:p w:rsidR="00061CF1" w:rsidRDefault="00061CF1">
      <w:pPr>
        <w:jc w:val="both"/>
        <w:rPr>
          <w:rFonts w:ascii="Arial" w:hAnsi="Arial" w:cs="Arial"/>
          <w:b/>
          <w:sz w:val="22"/>
          <w:szCs w:val="22"/>
        </w:rPr>
      </w:pPr>
    </w:p>
    <w:p w:rsidR="00061CF1" w:rsidRDefault="00061CF1">
      <w:pPr>
        <w:pStyle w:val="Standard"/>
        <w:jc w:val="both"/>
        <w:rPr>
          <w:rFonts w:ascii="Arial" w:hAnsi="Arial" w:cs="Arial"/>
          <w:b/>
          <w:color w:val="000000"/>
          <w:sz w:val="22"/>
          <w:szCs w:val="22"/>
          <w:shd w:val="clear" w:color="auto" w:fill="FFFFFF"/>
        </w:rPr>
      </w:pPr>
    </w:p>
    <w:p w:rsidR="00061CF1" w:rsidRDefault="004E6D5A">
      <w:pPr>
        <w:pStyle w:val="Standard"/>
        <w:jc w:val="both"/>
        <w:rPr>
          <w:rFonts w:ascii="Arial" w:hAnsi="Arial" w:cs="Arial"/>
          <w:b/>
          <w:color w:val="000000"/>
          <w:sz w:val="22"/>
          <w:szCs w:val="22"/>
          <w:shd w:val="clear" w:color="auto" w:fill="FFFFFF"/>
        </w:rPr>
      </w:pPr>
      <w:r>
        <w:rPr>
          <w:rFonts w:ascii="Arial" w:hAnsi="Arial" w:cs="Arial"/>
          <w:b/>
          <w:color w:val="000000"/>
          <w:sz w:val="22"/>
          <w:szCs w:val="22"/>
          <w:shd w:val="clear" w:color="auto" w:fill="FFFFFF"/>
        </w:rPr>
        <w:t>11.- Urgencias.</w:t>
      </w:r>
    </w:p>
    <w:p w:rsidR="00061CF1" w:rsidRDefault="00061CF1">
      <w:pPr>
        <w:pStyle w:val="Standard"/>
        <w:jc w:val="both"/>
        <w:rPr>
          <w:rFonts w:ascii="Arial" w:hAnsi="Arial" w:cs="Arial"/>
          <w:b/>
          <w:color w:val="000000"/>
          <w:sz w:val="22"/>
          <w:szCs w:val="22"/>
          <w:shd w:val="clear" w:color="auto" w:fill="FFFFFF"/>
        </w:rPr>
      </w:pPr>
    </w:p>
    <w:p w:rsidR="00061CF1" w:rsidRDefault="004E6D5A">
      <w:pPr>
        <w:pStyle w:val="Standard"/>
        <w:jc w:val="both"/>
      </w:pPr>
      <w:r>
        <w:rPr>
          <w:rFonts w:ascii="Arial" w:hAnsi="Arial" w:cs="Arial"/>
          <w:b/>
          <w:color w:val="000000"/>
          <w:sz w:val="22"/>
          <w:szCs w:val="22"/>
          <w:shd w:val="clear" w:color="auto" w:fill="FFFFFF"/>
        </w:rPr>
        <w:t>No Hubo.</w:t>
      </w:r>
    </w:p>
    <w:p w:rsidR="00061CF1" w:rsidRDefault="00061CF1">
      <w:pPr>
        <w:pStyle w:val="Standard"/>
        <w:jc w:val="both"/>
        <w:rPr>
          <w:rFonts w:ascii="Arial" w:hAnsi="Arial" w:cs="Arial"/>
          <w:b/>
          <w:sz w:val="22"/>
          <w:szCs w:val="22"/>
        </w:rPr>
      </w:pPr>
    </w:p>
    <w:p w:rsidR="00061CF1" w:rsidRDefault="00061CF1">
      <w:pPr>
        <w:pStyle w:val="Standard"/>
        <w:jc w:val="both"/>
        <w:rPr>
          <w:rFonts w:ascii="Arial" w:hAnsi="Arial" w:cs="Arial"/>
          <w:b/>
          <w:sz w:val="22"/>
          <w:szCs w:val="22"/>
        </w:rPr>
      </w:pPr>
    </w:p>
    <w:p w:rsidR="00061CF1" w:rsidRDefault="00061CF1">
      <w:pPr>
        <w:pStyle w:val="Standard"/>
        <w:jc w:val="both"/>
        <w:rPr>
          <w:rFonts w:ascii="Arial" w:hAnsi="Arial" w:cs="Arial"/>
          <w:b/>
          <w:sz w:val="22"/>
          <w:szCs w:val="22"/>
        </w:rPr>
      </w:pPr>
    </w:p>
    <w:p w:rsidR="00061CF1" w:rsidRDefault="00061CF1">
      <w:pPr>
        <w:pStyle w:val="Standard"/>
        <w:jc w:val="both"/>
        <w:rPr>
          <w:rFonts w:ascii="Arial" w:hAnsi="Arial" w:cs="Arial"/>
          <w:sz w:val="22"/>
          <w:szCs w:val="22"/>
        </w:rPr>
      </w:pPr>
    </w:p>
    <w:p w:rsidR="00061CF1" w:rsidRDefault="004E6D5A">
      <w:pPr>
        <w:pStyle w:val="Prrafodelista"/>
        <w:numPr>
          <w:ilvl w:val="0"/>
          <w:numId w:val="3"/>
        </w:numPr>
        <w:ind w:right="67"/>
        <w:jc w:val="both"/>
      </w:pPr>
      <w:r>
        <w:rPr>
          <w:rFonts w:ascii="Arial" w:hAnsi="Arial" w:cs="Arial"/>
          <w:b/>
          <w:bCs/>
          <w:iCs/>
          <w:sz w:val="22"/>
          <w:szCs w:val="22"/>
          <w:u w:val="single"/>
        </w:rPr>
        <w:t>Control y Fiscalización de los Órganos de Gob</w:t>
      </w:r>
      <w:r>
        <w:rPr>
          <w:rFonts w:ascii="Arial" w:hAnsi="Arial" w:cs="Arial"/>
          <w:b/>
          <w:bCs/>
          <w:iCs/>
          <w:sz w:val="22"/>
          <w:szCs w:val="22"/>
          <w:u w:val="single"/>
        </w:rPr>
        <w:t>ierno</w:t>
      </w:r>
      <w:r>
        <w:rPr>
          <w:rFonts w:ascii="Arial" w:hAnsi="Arial" w:cs="Arial"/>
          <w:bCs/>
          <w:iCs/>
          <w:sz w:val="22"/>
          <w:szCs w:val="22"/>
        </w:rPr>
        <w:t>.</w:t>
      </w:r>
    </w:p>
    <w:p w:rsidR="00061CF1" w:rsidRDefault="00061CF1">
      <w:pPr>
        <w:ind w:right="67"/>
        <w:jc w:val="both"/>
        <w:rPr>
          <w:rFonts w:ascii="Arial" w:hAnsi="Arial" w:cs="Arial"/>
          <w:bCs/>
          <w:iCs/>
          <w:sz w:val="22"/>
          <w:szCs w:val="22"/>
        </w:rPr>
      </w:pPr>
    </w:p>
    <w:p w:rsidR="00061CF1" w:rsidRDefault="00061CF1">
      <w:pPr>
        <w:ind w:right="67"/>
        <w:jc w:val="both"/>
        <w:rPr>
          <w:rFonts w:ascii="Arial" w:hAnsi="Arial" w:cs="Arial"/>
          <w:bCs/>
          <w:iCs/>
          <w:sz w:val="22"/>
          <w:szCs w:val="22"/>
        </w:rPr>
      </w:pPr>
    </w:p>
    <w:p w:rsidR="00061CF1" w:rsidRDefault="004E6D5A">
      <w:pPr>
        <w:ind w:right="67"/>
        <w:jc w:val="both"/>
        <w:rPr>
          <w:rFonts w:ascii="Arial" w:hAnsi="Arial" w:cs="Arial"/>
          <w:b/>
          <w:bCs/>
          <w:iCs/>
          <w:sz w:val="22"/>
          <w:szCs w:val="22"/>
        </w:rPr>
      </w:pPr>
      <w:r>
        <w:rPr>
          <w:rFonts w:ascii="Arial" w:hAnsi="Arial" w:cs="Arial"/>
          <w:b/>
          <w:bCs/>
          <w:iCs/>
          <w:sz w:val="22"/>
          <w:szCs w:val="22"/>
        </w:rPr>
        <w:t>12.- Dación de Cuenta de los Decretos de la Alcaldía-Presidencia y de los Concejales delegados.</w:t>
      </w:r>
    </w:p>
    <w:p w:rsidR="00061CF1" w:rsidRDefault="00061CF1">
      <w:pPr>
        <w:ind w:right="67"/>
        <w:jc w:val="both"/>
        <w:rPr>
          <w:rFonts w:ascii="Arial" w:hAnsi="Arial" w:cs="Arial"/>
          <w:b/>
          <w:bCs/>
          <w:iCs/>
          <w:sz w:val="22"/>
          <w:szCs w:val="22"/>
        </w:rPr>
      </w:pPr>
    </w:p>
    <w:p w:rsidR="00061CF1" w:rsidRDefault="004E6D5A">
      <w:pPr>
        <w:ind w:right="67"/>
        <w:jc w:val="both"/>
      </w:pPr>
      <w:r>
        <w:rPr>
          <w:rFonts w:ascii="Arial" w:hAnsi="Arial" w:cs="Arial"/>
          <w:b/>
          <w:sz w:val="22"/>
          <w:szCs w:val="22"/>
        </w:rPr>
        <w:t xml:space="preserve">El Secretario da traslado del CD con los Decretos desde la última sesión ordinaria a cada uno de los portavoces de los Grupos Municipales y a la </w:t>
      </w:r>
      <w:r>
        <w:rPr>
          <w:rFonts w:ascii="Arial" w:hAnsi="Arial" w:cs="Arial"/>
          <w:b/>
          <w:sz w:val="22"/>
          <w:szCs w:val="22"/>
        </w:rPr>
        <w:t>Alcaldía-Presidencia durante el transcurso de la sesión plenaria.</w:t>
      </w:r>
    </w:p>
    <w:p w:rsidR="00061CF1" w:rsidRDefault="00061CF1">
      <w:pPr>
        <w:ind w:right="67"/>
        <w:jc w:val="both"/>
        <w:rPr>
          <w:rFonts w:ascii="Arial" w:hAnsi="Arial" w:cs="Arial"/>
          <w:b/>
          <w:bCs/>
          <w:iCs/>
          <w:sz w:val="22"/>
          <w:szCs w:val="22"/>
        </w:rPr>
      </w:pPr>
    </w:p>
    <w:p w:rsidR="00061CF1" w:rsidRDefault="00061CF1">
      <w:pPr>
        <w:ind w:right="67"/>
        <w:jc w:val="both"/>
        <w:rPr>
          <w:rFonts w:ascii="Arial" w:hAnsi="Arial" w:cs="Arial"/>
          <w:b/>
          <w:bCs/>
          <w:iCs/>
          <w:sz w:val="22"/>
          <w:szCs w:val="22"/>
        </w:rPr>
      </w:pPr>
    </w:p>
    <w:p w:rsidR="00061CF1" w:rsidRDefault="004E6D5A">
      <w:pPr>
        <w:ind w:right="67"/>
        <w:jc w:val="both"/>
      </w:pPr>
      <w:r>
        <w:rPr>
          <w:rFonts w:ascii="Arial" w:hAnsi="Arial" w:cs="Arial"/>
          <w:b/>
          <w:bCs/>
          <w:iCs/>
          <w:sz w:val="22"/>
          <w:szCs w:val="22"/>
        </w:rPr>
        <w:t xml:space="preserve">13.- </w:t>
      </w:r>
      <w:r>
        <w:rPr>
          <w:rFonts w:ascii="Arial" w:hAnsi="Arial" w:cs="Arial"/>
          <w:b/>
          <w:color w:val="000000"/>
          <w:sz w:val="22"/>
          <w:szCs w:val="22"/>
          <w:shd w:val="clear" w:color="auto" w:fill="FFFFFF"/>
        </w:rPr>
        <w:t xml:space="preserve">Informe del Interventor en su caso de las </w:t>
      </w:r>
      <w:r>
        <w:rPr>
          <w:rFonts w:ascii="Arial" w:hAnsi="Arial" w:cs="Arial"/>
          <w:b/>
          <w:sz w:val="22"/>
          <w:szCs w:val="22"/>
          <w:shd w:val="clear" w:color="auto" w:fill="FFFFFF"/>
        </w:rPr>
        <w:t xml:space="preserve">resoluciones </w:t>
      </w:r>
      <w:r>
        <w:rPr>
          <w:rFonts w:ascii="Arial" w:hAnsi="Arial" w:cs="Arial"/>
          <w:b/>
          <w:sz w:val="22"/>
          <w:szCs w:val="22"/>
          <w:shd w:val="clear" w:color="auto" w:fill="F5F7F9"/>
        </w:rPr>
        <w:t xml:space="preserve">contrarias a los reparos efectuados conforme lo dispuesto en la Ley 27/2013 de racionalización y sostenibilidad de la </w:t>
      </w:r>
      <w:r>
        <w:rPr>
          <w:rFonts w:ascii="Arial" w:hAnsi="Arial" w:cs="Arial"/>
          <w:b/>
          <w:sz w:val="22"/>
          <w:szCs w:val="22"/>
          <w:shd w:val="clear" w:color="auto" w:fill="F5F7F9"/>
        </w:rPr>
        <w:t>Administración local.</w:t>
      </w:r>
    </w:p>
    <w:p w:rsidR="00061CF1" w:rsidRDefault="00061CF1">
      <w:pPr>
        <w:ind w:right="67"/>
        <w:jc w:val="both"/>
        <w:rPr>
          <w:rFonts w:ascii="Arial" w:hAnsi="Arial" w:cs="Arial"/>
          <w:b/>
          <w:color w:val="2F3E4D"/>
          <w:sz w:val="22"/>
          <w:szCs w:val="22"/>
          <w:shd w:val="clear" w:color="auto" w:fill="F5F7F9"/>
        </w:rPr>
      </w:pPr>
    </w:p>
    <w:p w:rsidR="00061CF1" w:rsidRDefault="00061CF1">
      <w:pPr>
        <w:ind w:right="67"/>
        <w:jc w:val="both"/>
        <w:rPr>
          <w:rFonts w:ascii="Arial" w:hAnsi="Arial" w:cs="Arial"/>
          <w:b/>
          <w:color w:val="2F3E4D"/>
          <w:sz w:val="22"/>
          <w:szCs w:val="22"/>
          <w:shd w:val="clear" w:color="auto" w:fill="F5F7F9"/>
        </w:rPr>
      </w:pPr>
    </w:p>
    <w:p w:rsidR="00061CF1" w:rsidRDefault="00061CF1">
      <w:pPr>
        <w:ind w:right="67"/>
        <w:jc w:val="both"/>
        <w:rPr>
          <w:rFonts w:ascii="Arial" w:hAnsi="Arial" w:cs="Arial"/>
          <w:b/>
          <w:color w:val="2F3E4D"/>
          <w:sz w:val="22"/>
          <w:szCs w:val="22"/>
          <w:shd w:val="clear" w:color="auto" w:fill="F5F7F9"/>
        </w:rPr>
      </w:pPr>
    </w:p>
    <w:p w:rsidR="00061CF1" w:rsidRDefault="00061CF1">
      <w:pPr>
        <w:ind w:right="67"/>
        <w:jc w:val="both"/>
        <w:rPr>
          <w:rFonts w:ascii="Arial" w:hAnsi="Arial" w:cs="Arial"/>
          <w:b/>
          <w:color w:val="2F3E4D"/>
          <w:sz w:val="22"/>
          <w:szCs w:val="22"/>
          <w:shd w:val="clear" w:color="auto" w:fill="F5F7F9"/>
        </w:rPr>
      </w:pPr>
    </w:p>
    <w:p w:rsidR="00061CF1" w:rsidRDefault="004E6D5A">
      <w:pPr>
        <w:pStyle w:val="Prrafodelista"/>
        <w:numPr>
          <w:ilvl w:val="0"/>
          <w:numId w:val="3"/>
        </w:numPr>
        <w:ind w:right="67"/>
        <w:jc w:val="both"/>
      </w:pPr>
      <w:r>
        <w:rPr>
          <w:rFonts w:ascii="Arial" w:hAnsi="Arial" w:cs="Arial"/>
          <w:b/>
          <w:bCs/>
          <w:iCs/>
          <w:sz w:val="22"/>
          <w:szCs w:val="22"/>
          <w:u w:val="single"/>
        </w:rPr>
        <w:t>Ruegos y preguntas</w:t>
      </w:r>
      <w:r>
        <w:rPr>
          <w:rFonts w:ascii="Arial" w:hAnsi="Arial" w:cs="Arial"/>
          <w:b/>
          <w:bCs/>
          <w:iCs/>
          <w:sz w:val="22"/>
          <w:szCs w:val="22"/>
        </w:rPr>
        <w:t>.</w:t>
      </w:r>
    </w:p>
    <w:p w:rsidR="00061CF1" w:rsidRDefault="00061CF1">
      <w:pPr>
        <w:ind w:right="67"/>
        <w:jc w:val="both"/>
        <w:rPr>
          <w:rFonts w:ascii="Arial" w:hAnsi="Arial" w:cs="Arial"/>
          <w:bCs/>
          <w:iCs/>
          <w:sz w:val="22"/>
          <w:szCs w:val="22"/>
        </w:rPr>
      </w:pPr>
    </w:p>
    <w:p w:rsidR="00061CF1" w:rsidRDefault="00061CF1">
      <w:pPr>
        <w:ind w:right="67"/>
        <w:jc w:val="both"/>
        <w:rPr>
          <w:rFonts w:ascii="Arial" w:hAnsi="Arial" w:cs="Arial"/>
          <w:bCs/>
          <w:iCs/>
          <w:sz w:val="22"/>
          <w:szCs w:val="22"/>
        </w:rPr>
      </w:pPr>
    </w:p>
    <w:p w:rsidR="00061CF1" w:rsidRDefault="004E6D5A">
      <w:pPr>
        <w:pStyle w:val="Standard"/>
        <w:jc w:val="both"/>
      </w:pPr>
      <w:r>
        <w:rPr>
          <w:rFonts w:ascii="Arial" w:hAnsi="Arial" w:cs="Arial"/>
          <w:b/>
          <w:bCs/>
          <w:iCs/>
          <w:sz w:val="22"/>
          <w:szCs w:val="22"/>
        </w:rPr>
        <w:t xml:space="preserve">14.- </w:t>
      </w:r>
      <w:r>
        <w:rPr>
          <w:rFonts w:ascii="Arial" w:hAnsi="Arial" w:cs="Arial"/>
          <w:b/>
          <w:sz w:val="22"/>
          <w:szCs w:val="22"/>
        </w:rPr>
        <w:t xml:space="preserve">Están en el video-acta    </w:t>
      </w:r>
    </w:p>
    <w:p w:rsidR="00061CF1" w:rsidRDefault="00061CF1">
      <w:pPr>
        <w:pStyle w:val="Standard"/>
        <w:jc w:val="both"/>
        <w:rPr>
          <w:rFonts w:ascii="Arial" w:hAnsi="Arial" w:cs="Arial"/>
          <w:b/>
          <w:sz w:val="22"/>
          <w:szCs w:val="22"/>
        </w:rPr>
      </w:pPr>
    </w:p>
    <w:p w:rsidR="00061CF1" w:rsidRDefault="004E6D5A">
      <w:pPr>
        <w:pStyle w:val="Standard"/>
        <w:jc w:val="both"/>
      </w:pPr>
      <w:hyperlink r:id="rId12" w:history="1">
        <w:r>
          <w:rPr>
            <w:rFonts w:ascii="Arial" w:eastAsia="SimSun" w:hAnsi="Arial" w:cs="Arial"/>
            <w:color w:val="1155CC"/>
            <w:u w:val="single"/>
            <w:shd w:val="clear" w:color="auto" w:fill="FFFFFF"/>
            <w:lang w:bidi="hi-IN"/>
          </w:rPr>
          <w:t>https://www.youtube.com/watch?v=aKPRXt7aNqs</w:t>
        </w:r>
      </w:hyperlink>
    </w:p>
    <w:p w:rsidR="00061CF1" w:rsidRDefault="00061CF1">
      <w:pPr>
        <w:pStyle w:val="Standard"/>
        <w:jc w:val="both"/>
        <w:rPr>
          <w:rFonts w:ascii="Arial" w:hAnsi="Arial" w:cs="Arial"/>
          <w:b/>
          <w:sz w:val="22"/>
          <w:szCs w:val="22"/>
        </w:rPr>
      </w:pPr>
    </w:p>
    <w:p w:rsidR="00061CF1" w:rsidRDefault="00061CF1">
      <w:pPr>
        <w:pStyle w:val="Standard"/>
        <w:jc w:val="both"/>
        <w:rPr>
          <w:rFonts w:ascii="Arial" w:hAnsi="Arial" w:cs="Arial"/>
          <w:sz w:val="22"/>
          <w:szCs w:val="22"/>
        </w:rPr>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ind w:right="67"/>
        <w:jc w:val="both"/>
      </w:pPr>
    </w:p>
    <w:p w:rsidR="00061CF1" w:rsidRDefault="00061CF1">
      <w:pPr>
        <w:pStyle w:val="Standard"/>
        <w:ind w:left="360"/>
        <w:jc w:val="both"/>
        <w:rPr>
          <w:rFonts w:ascii="Arial" w:hAnsi="Arial" w:cs="Arial"/>
          <w:b/>
          <w:sz w:val="22"/>
          <w:szCs w:val="22"/>
          <w:u w:val="single"/>
        </w:rPr>
      </w:pPr>
    </w:p>
    <w:p w:rsidR="00061CF1" w:rsidRDefault="004E6D5A">
      <w:pPr>
        <w:pStyle w:val="Standard"/>
        <w:numPr>
          <w:ilvl w:val="0"/>
          <w:numId w:val="4"/>
        </w:numPr>
        <w:jc w:val="both"/>
        <w:rPr>
          <w:rFonts w:ascii="Arial" w:hAnsi="Arial" w:cs="Arial"/>
          <w:b/>
          <w:sz w:val="22"/>
          <w:szCs w:val="22"/>
          <w:u w:val="single"/>
        </w:rPr>
      </w:pPr>
      <w:r>
        <w:rPr>
          <w:rFonts w:ascii="Arial" w:hAnsi="Arial" w:cs="Arial"/>
          <w:b/>
          <w:sz w:val="22"/>
          <w:szCs w:val="22"/>
          <w:u w:val="single"/>
        </w:rPr>
        <w:t>PARTE RESOLUTIVA DE LA SESIÓN.</w:t>
      </w: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4E6D5A">
      <w:pPr>
        <w:spacing w:after="120"/>
        <w:jc w:val="both"/>
        <w:textAlignment w:val="auto"/>
        <w:rPr>
          <w:rFonts w:ascii="Arial" w:eastAsia="Lucida Sans Unicode" w:hAnsi="Arial" w:cs="Arial"/>
          <w:b/>
          <w:color w:val="000000"/>
          <w:lang w:bidi="ar-SA"/>
        </w:rPr>
      </w:pPr>
      <w:r>
        <w:rPr>
          <w:rFonts w:ascii="Arial" w:eastAsia="Lucida Sans Unicode" w:hAnsi="Arial" w:cs="Arial"/>
          <w:b/>
          <w:color w:val="000000"/>
          <w:lang w:bidi="ar-SA"/>
        </w:rPr>
        <w:t xml:space="preserve">1.- Aprobación de las </w:t>
      </w:r>
      <w:r>
        <w:rPr>
          <w:rFonts w:ascii="Arial" w:eastAsia="Lucida Sans Unicode" w:hAnsi="Arial" w:cs="Arial"/>
          <w:b/>
          <w:color w:val="000000"/>
          <w:lang w:bidi="ar-SA"/>
        </w:rPr>
        <w:t>actas de las sesiones ordinarias del pleno de 4 de agosto de 2025 y de 25 de septiembre de 2025.</w:t>
      </w:r>
    </w:p>
    <w:p w:rsidR="00061CF1" w:rsidRDefault="00061CF1">
      <w:pPr>
        <w:spacing w:after="120"/>
        <w:jc w:val="both"/>
        <w:textAlignment w:val="auto"/>
        <w:rPr>
          <w:rFonts w:ascii="Arial" w:eastAsia="Lucida Sans Unicode" w:hAnsi="Arial" w:cs="Arial"/>
          <w:b/>
          <w:color w:val="000000"/>
          <w:sz w:val="22"/>
          <w:szCs w:val="22"/>
          <w:lang w:bidi="ar-SA"/>
        </w:rPr>
      </w:pPr>
    </w:p>
    <w:p w:rsidR="00061CF1" w:rsidRDefault="004E6D5A">
      <w:pPr>
        <w:spacing w:after="120"/>
        <w:jc w:val="both"/>
        <w:textAlignment w:val="auto"/>
      </w:pPr>
      <w:r>
        <w:rPr>
          <w:rFonts w:ascii="Arial" w:eastAsia="Lucida Sans Unicode" w:hAnsi="Arial" w:cs="Arial"/>
          <w:b/>
          <w:color w:val="000000"/>
          <w:sz w:val="22"/>
          <w:szCs w:val="22"/>
          <w:lang w:bidi="ar-SA"/>
        </w:rPr>
        <w:t>Las actas han sido debidamente transcritas y firmadas por el Secretario General con el visto bueno de la Alcaldesa-Presidenta y en las que se recoge el conten</w:t>
      </w:r>
      <w:r>
        <w:rPr>
          <w:rFonts w:ascii="Arial" w:eastAsia="Lucida Sans Unicode" w:hAnsi="Arial" w:cs="Arial"/>
          <w:b/>
          <w:color w:val="000000"/>
          <w:sz w:val="22"/>
          <w:szCs w:val="22"/>
          <w:lang w:bidi="ar-SA"/>
        </w:rPr>
        <w:t xml:space="preserve">ido íntegro del debate en formato de </w:t>
      </w:r>
      <w:r>
        <w:rPr>
          <w:rFonts w:ascii="Arial" w:eastAsia="Lucida Sans Unicode" w:hAnsi="Arial" w:cs="Arial"/>
          <w:b/>
          <w:i/>
          <w:color w:val="000000"/>
          <w:sz w:val="22"/>
          <w:szCs w:val="22"/>
          <w:lang w:bidi="ar-SA"/>
        </w:rPr>
        <w:t>videoacta</w:t>
      </w:r>
      <w:r>
        <w:rPr>
          <w:rFonts w:ascii="Arial" w:eastAsia="Lucida Sans Unicode" w:hAnsi="Arial" w:cs="Arial"/>
          <w:b/>
          <w:color w:val="000000"/>
          <w:sz w:val="22"/>
          <w:szCs w:val="22"/>
          <w:lang w:bidi="ar-SA"/>
        </w:rPr>
        <w:t xml:space="preserve"> en el youtube oficial del Ayuntamiento de Candelaria según el enlace en el que está incorporado a las mismas.</w:t>
      </w: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La unanimidad de los 18 concejales p</w:t>
      </w:r>
      <w:r>
        <w:rPr>
          <w:rFonts w:ascii="Arial" w:eastAsia="Lucida Sans Unicode" w:hAnsi="Arial" w:cs="Arial"/>
          <w:sz w:val="22"/>
          <w:szCs w:val="22"/>
          <w:lang w:bidi="ar-SA"/>
        </w:rPr>
        <w:t>resentes:</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 concejales del Grupo Socialista: Doña María Concepción Brito Núñez, Don Jorge Baute Delgado, Don José Francisco Pinto Ramos, Doña Olivia Concepción Pérez Díaz, Don Reinaldo José Triviño Blanco, Don Manuel Alberto González Pestano, Doña Margar</w:t>
      </w:r>
      <w:r>
        <w:rPr>
          <w:rFonts w:ascii="Arial" w:eastAsia="Lucida Sans Unicode" w:hAnsi="Arial" w:cs="Arial"/>
          <w:sz w:val="22"/>
          <w:szCs w:val="22"/>
          <w:lang w:bidi="ar-SA"/>
        </w:rPr>
        <w:t xml:space="preserve">ita Eva Tendero Barroso, Don Airam Pérez Chinea, Doña María del Carmen Clemente Díaz, Don Olegario Francisco Alonso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5 concejales del Grupo Popular: Don Jacobo López Fariña, Doña Raquel Martín Castro, Don Miguel</w:t>
      </w:r>
      <w:r>
        <w:rPr>
          <w:rFonts w:ascii="Arial" w:eastAsia="Lucida Sans Unicode" w:hAnsi="Arial" w:cs="Arial"/>
          <w:sz w:val="22"/>
          <w:szCs w:val="22"/>
          <w:lang w:bidi="ar-SA"/>
        </w:rPr>
        <w:t xml:space="preserve">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2 concejales del Grupo Mixto: Don José 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0.</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                        </w:t>
      </w:r>
    </w:p>
    <w:p w:rsidR="00061CF1" w:rsidRDefault="004E6D5A">
      <w:pPr>
        <w:spacing w:after="120"/>
        <w:jc w:val="cente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ACUERDO DEL PLENO DE 31 DE OCTUBRE DE 2025.</w:t>
      </w:r>
    </w:p>
    <w:p w:rsidR="00061CF1" w:rsidRDefault="004E6D5A">
      <w:pPr>
        <w:spacing w:after="120"/>
        <w:jc w:val="both"/>
        <w:textAlignment w:val="auto"/>
        <w:rPr>
          <w:rFonts w:ascii="Arial" w:eastAsia="Lucida Sans Unicode" w:hAnsi="Arial" w:cs="Arial"/>
          <w:b/>
          <w:color w:val="000000"/>
          <w:lang w:bidi="ar-SA"/>
        </w:rPr>
      </w:pPr>
      <w:r>
        <w:rPr>
          <w:rFonts w:ascii="Arial" w:eastAsia="Lucida Sans Unicode" w:hAnsi="Arial" w:cs="Arial"/>
          <w:b/>
          <w:color w:val="000000"/>
          <w:lang w:bidi="ar-SA"/>
        </w:rPr>
        <w:t>Aprobación de las actas de las sesiones ordinarias del pleno de 4 de agosto de 2025 y de 25 de septiembre de 2025.</w:t>
      </w: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061CF1">
      <w:pPr>
        <w:pStyle w:val="Standard"/>
        <w:jc w:val="both"/>
        <w:rPr>
          <w:rFonts w:ascii="Arial" w:hAnsi="Arial" w:cs="Arial"/>
          <w:b/>
          <w:sz w:val="22"/>
          <w:szCs w:val="22"/>
          <w:u w:val="single"/>
        </w:rPr>
      </w:pPr>
    </w:p>
    <w:p w:rsidR="00061CF1" w:rsidRDefault="004E6D5A">
      <w:pPr>
        <w:ind w:firstLine="709"/>
        <w:jc w:val="both"/>
        <w:textAlignment w:val="auto"/>
      </w:pPr>
      <w:r>
        <w:rPr>
          <w:rFonts w:ascii="Arial" w:eastAsia="Lucida Sans Unicode" w:hAnsi="Arial" w:cs="Arial"/>
          <w:b/>
          <w:color w:val="000000"/>
          <w:lang w:bidi="ar-SA"/>
        </w:rPr>
        <w:t xml:space="preserve">2.- </w:t>
      </w:r>
      <w:r>
        <w:rPr>
          <w:rFonts w:ascii="Arial" w:eastAsia="Lucida Sans Unicode" w:hAnsi="Arial" w:cs="Arial"/>
          <w:b/>
          <w:color w:val="000000"/>
          <w:u w:val="single"/>
          <w:shd w:val="clear" w:color="auto" w:fill="FFFFFF"/>
          <w:lang w:bidi="ar-SA"/>
        </w:rPr>
        <w:t>Expediente 10198/2025</w:t>
      </w:r>
      <w:r>
        <w:rPr>
          <w:rFonts w:ascii="Arial" w:eastAsia="Lucida Sans Unicode" w:hAnsi="Arial" w:cs="Arial"/>
          <w:b/>
          <w:color w:val="000000"/>
          <w:shd w:val="clear" w:color="auto" w:fill="FFFFFF"/>
          <w:lang w:bidi="ar-SA"/>
        </w:rPr>
        <w:t xml:space="preserve">. Propuesta del Concejal delegado de Hacienda al Pleno de toma </w:t>
      </w:r>
      <w:r>
        <w:rPr>
          <w:rFonts w:ascii="Arial" w:eastAsia="Lucida Sans Unicode" w:hAnsi="Arial" w:cs="Arial"/>
          <w:b/>
          <w:color w:val="000000"/>
          <w:shd w:val="clear" w:color="auto" w:fill="FFFFFF"/>
          <w:lang w:bidi="ar-SA"/>
        </w:rPr>
        <w:t>en consideración de la auditoría de gestión correspondiente a este Ayuntamiento, realizada en base a la liquidación del Presupuesto municipal correspondiente al año 2024, prevista en la Ley 3/1999, de 4 de febrero, del Fondo Canario de Financiación Municip</w:t>
      </w:r>
      <w:r>
        <w:rPr>
          <w:rFonts w:ascii="Arial" w:eastAsia="Lucida Sans Unicode" w:hAnsi="Arial" w:cs="Arial"/>
          <w:b/>
          <w:color w:val="000000"/>
          <w:shd w:val="clear" w:color="auto" w:fill="FFFFFF"/>
          <w:lang w:bidi="ar-SA"/>
        </w:rPr>
        <w:t>al.</w:t>
      </w:r>
    </w:p>
    <w:p w:rsidR="00061CF1" w:rsidRDefault="00061CF1">
      <w:pPr>
        <w:ind w:firstLine="709"/>
        <w:jc w:val="both"/>
        <w:textAlignment w:val="auto"/>
        <w:rPr>
          <w:rFonts w:ascii="Arial" w:eastAsia="Lucida Sans Unicode" w:hAnsi="Arial" w:cs="Arial"/>
          <w:b/>
          <w:color w:val="000000"/>
          <w:shd w:val="clear" w:color="auto" w:fill="FFFFFF"/>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Consta en el expediente el informe de la Intervención de 21 de octubre de 2025 que transcrito literalmente dice:</w:t>
      </w:r>
    </w:p>
    <w:p w:rsidR="00061CF1" w:rsidRDefault="00061CF1">
      <w:pPr>
        <w:jc w:val="both"/>
        <w:textAlignment w:val="auto"/>
        <w:rPr>
          <w:rFonts w:ascii="Arial" w:eastAsia="Lucida Sans Unicode" w:hAnsi="Arial" w:cs="Arial"/>
          <w:b/>
          <w:sz w:val="22"/>
          <w:szCs w:val="22"/>
          <w:lang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Visto el informe de la intervención municipal relativa a la Auditoria de Gestión, de fecha 21 de octubre de 2025.</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Visto el examen de lo</w:t>
      </w:r>
      <w:r>
        <w:rPr>
          <w:rFonts w:ascii="Arial" w:eastAsia="Times New Roman" w:hAnsi="Arial" w:cs="Arial"/>
          <w:i/>
          <w:sz w:val="22"/>
          <w:szCs w:val="22"/>
          <w:lang w:eastAsia="ar-SA" w:bidi="ar-SA"/>
        </w:rPr>
        <w:t>s ratios de Salud financiera, que se detallan a continuación:</w:t>
      </w:r>
    </w:p>
    <w:p w:rsidR="00061CF1" w:rsidRDefault="00061CF1">
      <w:pPr>
        <w:widowControl/>
        <w:jc w:val="both"/>
        <w:textAlignment w:val="auto"/>
        <w:rPr>
          <w:rFonts w:ascii="Arial" w:eastAsia="Times New Roman" w:hAnsi="Arial" w:cs="Arial"/>
          <w:i/>
          <w:sz w:val="22"/>
          <w:szCs w:val="22"/>
          <w:lang w:eastAsia="ar-SA" w:bidi="ar-SA"/>
        </w:rPr>
      </w:pP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numPr>
          <w:ilvl w:val="0"/>
          <w:numId w:val="5"/>
        </w:numPr>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Ahorro Neto, que mide la capacidad de generar autofinanciación, se sitúa en el 16,2 %, inferior al obtenido en el 2023, que fue del 16,9 %, esto es, cae en 0,7 puntos porcentuales, y por en</w:t>
      </w:r>
      <w:r>
        <w:rPr>
          <w:rFonts w:ascii="Arial" w:eastAsia="Times New Roman" w:hAnsi="Arial" w:cs="Arial"/>
          <w:i/>
          <w:sz w:val="22"/>
          <w:szCs w:val="22"/>
          <w:lang w:eastAsia="ar-SA" w:bidi="ar-SA"/>
        </w:rPr>
        <w:t>cima del nivel exigido, que está establecido en el 6 %, en virtud de la Ley 4/2012 de 25 de junio de Medidas Administrativas y Fiscales.</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numPr>
          <w:ilvl w:val="0"/>
          <w:numId w:val="5"/>
        </w:numPr>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Endeudamiento a largo plazo (que no tiene en cuenta los avales concedidos ni el endeudamiento de los entes instrume</w:t>
      </w:r>
      <w:r>
        <w:rPr>
          <w:rFonts w:ascii="Arial" w:eastAsia="Times New Roman" w:hAnsi="Arial" w:cs="Arial"/>
          <w:i/>
          <w:sz w:val="22"/>
          <w:szCs w:val="22"/>
          <w:lang w:eastAsia="ar-SA" w:bidi="ar-SA"/>
        </w:rPr>
        <w:t>ntales), se mantuvo igual, situándose en un 0,00 % sobre los ingresos corrientes y por debajo del límite establecido en la Ley 3/1999, que es de un 70 %.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numPr>
          <w:ilvl w:val="0"/>
          <w:numId w:val="5"/>
        </w:numPr>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Remanente de Tesorería para Gastos Generales, que es el indicador de salud financiera que más clar</w:t>
      </w:r>
      <w:r>
        <w:rPr>
          <w:rFonts w:ascii="Arial" w:eastAsia="Times New Roman" w:hAnsi="Arial" w:cs="Arial"/>
          <w:i/>
          <w:sz w:val="22"/>
          <w:szCs w:val="22"/>
          <w:lang w:eastAsia="ar-SA" w:bidi="ar-SA"/>
        </w:rPr>
        <w:t>amente señala la fortaleza o debilidad de la estructura económica de la Corporación y la capacidad real para hacer frente a la estructura financiera, se encuentra en el 90,3 %, mejorando en 22,8 puntos porcentuales, respecto el 2023 y por encima del límite</w:t>
      </w:r>
      <w:r>
        <w:rPr>
          <w:rFonts w:ascii="Arial" w:eastAsia="Times New Roman" w:hAnsi="Arial" w:cs="Arial"/>
          <w:i/>
          <w:sz w:val="22"/>
          <w:szCs w:val="22"/>
          <w:lang w:eastAsia="ar-SA" w:bidi="ar-SA"/>
        </w:rPr>
        <w:t xml:space="preserve"> legal establecido del 1 %.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pPr>
      <w:r>
        <w:rPr>
          <w:rFonts w:ascii="Arial" w:eastAsia="Times New Roman" w:hAnsi="Arial" w:cs="Arial"/>
          <w:i/>
          <w:sz w:val="22"/>
          <w:szCs w:val="22"/>
          <w:lang w:eastAsia="ar-SA" w:bidi="ar-SA"/>
        </w:rPr>
        <w:tab/>
        <w:t xml:space="preserve">En el examen de los </w:t>
      </w:r>
      <w:r>
        <w:rPr>
          <w:rFonts w:ascii="Arial" w:eastAsia="Times New Roman" w:hAnsi="Arial" w:cs="Arial"/>
          <w:b/>
          <w:i/>
          <w:sz w:val="22"/>
          <w:szCs w:val="22"/>
          <w:lang w:eastAsia="ar-SA" w:bidi="ar-SA"/>
        </w:rPr>
        <w:t>Condicionantes de Libre Disposición</w:t>
      </w:r>
      <w:r>
        <w:rPr>
          <w:rFonts w:ascii="Arial" w:eastAsia="Times New Roman" w:hAnsi="Arial" w:cs="Arial"/>
          <w:i/>
          <w:sz w:val="22"/>
          <w:szCs w:val="22"/>
          <w:lang w:eastAsia="ar-SA" w:bidi="ar-SA"/>
        </w:rPr>
        <w:t xml:space="preserve">, que son los que determinan la percepción total del Fondo Canario de Financiación Municipal, ya que el incumplimiento de cada ratio determina una reducción del 5 % por </w:t>
      </w:r>
      <w:r>
        <w:rPr>
          <w:rFonts w:ascii="Arial" w:eastAsia="Times New Roman" w:hAnsi="Arial" w:cs="Arial"/>
          <w:i/>
          <w:sz w:val="22"/>
          <w:szCs w:val="22"/>
          <w:lang w:eastAsia="ar-SA" w:bidi="ar-SA"/>
        </w:rPr>
        <w:t>cada uno de ellos, del total del Fondo (ó del 10 % respecto al 50 %), tenemos:</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La Gestión Recaudatoria, se sitúa en el 98,8 %, superior en 0,3 puntos porcentuales respecto el 2023 y muy por encima del límite legal del 75 %, porcentaje establecido en la Le</w:t>
      </w:r>
      <w:r>
        <w:rPr>
          <w:rFonts w:ascii="Arial" w:eastAsia="Times New Roman" w:hAnsi="Arial" w:cs="Arial"/>
          <w:i/>
          <w:sz w:val="22"/>
          <w:szCs w:val="22"/>
          <w:lang w:eastAsia="ar-SA" w:bidi="ar-SA"/>
        </w:rPr>
        <w:t>y 4/2012 de 25 de junio de 2012.</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Esfuerzo Fiscal alcanzó el 94,7 %, superando el índice legalmente establecido de 73,25 %. Este indicador resulta de la comparativa de los derechos liquidados por el Ayuntamiento por los cinco impuestos municipales y los</w:t>
      </w:r>
      <w:r>
        <w:rPr>
          <w:rFonts w:ascii="Arial" w:eastAsia="Times New Roman" w:hAnsi="Arial" w:cs="Arial"/>
          <w:i/>
          <w:sz w:val="22"/>
          <w:szCs w:val="22"/>
          <w:lang w:eastAsia="ar-SA" w:bidi="ar-SA"/>
        </w:rPr>
        <w:t xml:space="preserve"> derechos potencialmente liquidados, de esos impuestos, aplicando los tipos máximos establecidos por Ley, con los obtenidos por el 78 % la media de los municipios canarios. Mejora este indicador en 0,1 puntos porcentuales el obtenido en el año 2023.</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Visto</w:t>
      </w:r>
      <w:r>
        <w:rPr>
          <w:rFonts w:ascii="Arial" w:eastAsia="Times New Roman" w:hAnsi="Arial" w:cs="Arial"/>
          <w:i/>
          <w:sz w:val="22"/>
          <w:szCs w:val="22"/>
          <w:lang w:eastAsia="ar-SA" w:bidi="ar-SA"/>
        </w:rPr>
        <w:t>s los aspectos más destacables de la Auditoría de Gestión elaborado desde la Comunidad Autónoma, que se detallan a continuación:</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Ha aumentado la capacidad de autofinanciación, respecto del 2023, ya que se obtuvo un superávit por operaciones corrientes, de</w:t>
      </w:r>
      <w:r>
        <w:rPr>
          <w:rFonts w:ascii="Arial" w:eastAsia="Times New Roman" w:hAnsi="Arial" w:cs="Arial"/>
          <w:i/>
          <w:sz w:val="22"/>
          <w:szCs w:val="22"/>
          <w:lang w:eastAsia="ar-SA" w:bidi="ar-SA"/>
        </w:rPr>
        <w:t xml:space="preserve"> 8.640 miles de euros, frente al superávit de 7.159 miles de euros, motivado porque los ingresos corrientes liquidados han tenido una subida del 3,4 % y los gastos corrientes liquidados, disminuyeron en el 1 %.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ab/>
        <w:t xml:space="preserve">A través del Resultado Presupuestario, que </w:t>
      </w:r>
      <w:r>
        <w:rPr>
          <w:rFonts w:ascii="Arial" w:eastAsia="Times New Roman" w:hAnsi="Arial" w:cs="Arial"/>
          <w:i/>
          <w:sz w:val="22"/>
          <w:szCs w:val="22"/>
          <w:lang w:eastAsia="ar-SA" w:bidi="ar-SA"/>
        </w:rPr>
        <w:t xml:space="preserve">nos determina en qué medida los ingresos presupuestarios han sido suficientes para financiar los gastos presupuestarios, se ha obtenido un superávit de 13.910 miles Euros, que mejora el obtenido en el 2023, con un superávit de 5.178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 xml:space="preserve">miles Euros. Con los </w:t>
      </w:r>
      <w:r>
        <w:rPr>
          <w:rFonts w:ascii="Arial" w:eastAsia="Times New Roman" w:hAnsi="Arial" w:cs="Arial"/>
          <w:i/>
          <w:sz w:val="22"/>
          <w:szCs w:val="22"/>
          <w:lang w:eastAsia="ar-SA" w:bidi="ar-SA"/>
        </w:rPr>
        <w:t>ajustes en este Resultado Presupuestario del ejercicio, a través de los gastos de financiación afectada, se generó un superávit de 12.175 miles de euros, frente al dato de 2023, con un déficit de 1.156 miles de euros.</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En la evolución de la ejecución del P</w:t>
      </w:r>
      <w:r>
        <w:rPr>
          <w:rFonts w:ascii="Arial" w:eastAsia="Times New Roman" w:hAnsi="Arial" w:cs="Arial"/>
          <w:i/>
          <w:sz w:val="22"/>
          <w:szCs w:val="22"/>
          <w:lang w:eastAsia="ar-SA" w:bidi="ar-SA"/>
        </w:rPr>
        <w:t xml:space="preserve">resupuesto del ejercicio corriente, en la doble vertiente del gasto e ingreso, se han situado en el 57,4 % en los capítulos de ingreso (en 2023 fue del 56,5 %) y 39,8 % en los capítulos de gasto (49 % en 2023). </w:t>
      </w:r>
    </w:p>
    <w:p w:rsidR="00061CF1" w:rsidRDefault="00061CF1">
      <w:pPr>
        <w:widowControl/>
        <w:ind w:firstLine="708"/>
        <w:jc w:val="both"/>
        <w:textAlignment w:val="auto"/>
        <w:rPr>
          <w:rFonts w:ascii="Arial" w:eastAsia="Times New Roman" w:hAnsi="Arial" w:cs="Arial"/>
          <w:b/>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Dentro de los ingresos destacan los de cará</w:t>
      </w:r>
      <w:r>
        <w:rPr>
          <w:rFonts w:ascii="Arial" w:eastAsia="Times New Roman" w:hAnsi="Arial" w:cs="Arial"/>
          <w:bCs/>
          <w:i/>
          <w:sz w:val="22"/>
          <w:szCs w:val="22"/>
          <w:lang w:eastAsia="ar-SA" w:bidi="ar-SA"/>
        </w:rPr>
        <w:t xml:space="preserve">cter tributario, que han supuesto el 42,7 % del total, seguidos de las transferencias corrientes, que representa el 35 % del total. </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Los ingresos corrientes totales por habitante fueron en 2024 de 1.284 euros, superiores a los 1.247 euros del año 2023 y e</w:t>
      </w:r>
      <w:r>
        <w:rPr>
          <w:rFonts w:ascii="Arial" w:eastAsia="Times New Roman" w:hAnsi="Arial" w:cs="Arial"/>
          <w:bCs/>
          <w:i/>
          <w:sz w:val="22"/>
          <w:szCs w:val="22"/>
          <w:lang w:eastAsia="ar-SA" w:bidi="ar-SA"/>
        </w:rPr>
        <w:t>ncima de la media de los municipios canarios de similares características (1.188 euros en 2024).</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 xml:space="preserve">La recaudación tributaria por habitante se situó por encima de la media de los municipios canarios de similares características, que ascendieron en dicho año </w:t>
      </w:r>
      <w:r>
        <w:rPr>
          <w:rFonts w:ascii="Arial" w:eastAsia="Times New Roman" w:hAnsi="Arial" w:cs="Arial"/>
          <w:bCs/>
          <w:i/>
          <w:sz w:val="22"/>
          <w:szCs w:val="22"/>
          <w:lang w:eastAsia="ar-SA" w:bidi="ar-SA"/>
        </w:rPr>
        <w:t>a 664 euros, superior a los 605 euros del año anterior y a los 526 euros de la media de los municipios canarios en 2023.</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La dependencia de subvenciones ascendió al 54,2 %, igual que la del ejercicio anterior y por debajo de la media de los municipios cana</w:t>
      </w:r>
      <w:r>
        <w:rPr>
          <w:rFonts w:ascii="Arial" w:eastAsia="Times New Roman" w:hAnsi="Arial" w:cs="Arial"/>
          <w:bCs/>
          <w:i/>
          <w:sz w:val="22"/>
          <w:szCs w:val="22"/>
          <w:lang w:eastAsia="ar-SA" w:bidi="ar-SA"/>
        </w:rPr>
        <w:t>rios de similares características en el ejercicio 2022, que se situó en el 59,9 %.</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 xml:space="preserve">En los Gastos corrientes, se situó en 984 euros por habitante, por encima de los 998 euros por habitante, obtenidos en el 2023 y </w:t>
      </w:r>
      <w:r>
        <w:rPr>
          <w:rFonts w:ascii="Arial" w:eastAsia="Times New Roman" w:hAnsi="Arial" w:cs="Arial"/>
          <w:bCs/>
          <w:i/>
          <w:sz w:val="22"/>
          <w:szCs w:val="22"/>
          <w:lang w:eastAsia="ar-SA" w:bidi="ar-SA"/>
        </w:rPr>
        <w:t>por debajo de la media de los municipios ca</w:t>
      </w:r>
      <w:r>
        <w:rPr>
          <w:rFonts w:ascii="Arial" w:eastAsia="Times New Roman" w:hAnsi="Arial" w:cs="Arial"/>
          <w:bCs/>
          <w:i/>
          <w:sz w:val="22"/>
          <w:szCs w:val="22"/>
          <w:lang w:eastAsia="ar-SA" w:bidi="ar-SA"/>
        </w:rPr>
        <w:t>narios de similares características, que para el ejercicio 2023, se situó en 1.002 euros por habitante.</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 xml:space="preserve">Las Remuneraciones de Personal tienen el mayor peso en la estructura de gastos, cayendo hasta un 7,5 %, representando el 38,2 % del gasto total, casi </w:t>
      </w:r>
      <w:r>
        <w:rPr>
          <w:rFonts w:ascii="Arial" w:eastAsia="Times New Roman" w:hAnsi="Arial" w:cs="Arial"/>
          <w:i/>
          <w:sz w:val="22"/>
          <w:szCs w:val="22"/>
          <w:lang w:eastAsia="ar-SA" w:bidi="ar-SA"/>
        </w:rPr>
        <w:t>cuatro puntos menos que en el 2023, lo que representa un gasto por habitante de 461 Euros, frente a los 500 Euros del año anterior y los 451 Euros por habitante de media de los municipios canarios.</w:t>
      </w:r>
    </w:p>
    <w:p w:rsidR="00061CF1" w:rsidRDefault="00061CF1">
      <w:pPr>
        <w:widowControl/>
        <w:ind w:firstLine="708"/>
        <w:jc w:val="both"/>
        <w:textAlignment w:val="auto"/>
        <w:rPr>
          <w:rFonts w:ascii="Arial" w:eastAsia="Times New Roman" w:hAnsi="Arial" w:cs="Arial"/>
          <w:b/>
          <w:bCs/>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 xml:space="preserve">En cuanto a los gastos por operaciones corrientes en </w:t>
      </w:r>
      <w:r>
        <w:rPr>
          <w:rFonts w:ascii="Arial" w:eastAsia="Times New Roman" w:hAnsi="Arial" w:cs="Arial"/>
          <w:i/>
          <w:sz w:val="22"/>
          <w:szCs w:val="22"/>
          <w:lang w:eastAsia="ar-SA" w:bidi="ar-SA"/>
        </w:rPr>
        <w:t>bienes y servicios, crecieron un 7,2 % y en transferencias corrientes, la caída fue un 1,7 %.</w:t>
      </w:r>
      <w:r>
        <w:rPr>
          <w:rFonts w:ascii="Arial" w:eastAsia="Times New Roman" w:hAnsi="Arial" w:cs="Arial"/>
          <w:i/>
          <w:sz w:val="22"/>
          <w:szCs w:val="22"/>
          <w:lang w:eastAsia="ar-SA" w:bidi="ar-SA"/>
        </w:rPr>
        <w:tab/>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En cuanto a los gastos de inversión, con unos gastos que importaron un total de 3.078 miles de euros, frente a los 5.289 miles de Euros del ejercicio 2023, el í</w:t>
      </w:r>
      <w:r>
        <w:rPr>
          <w:rFonts w:ascii="Arial" w:eastAsia="Times New Roman" w:hAnsi="Arial" w:cs="Arial"/>
          <w:i/>
          <w:sz w:val="22"/>
          <w:szCs w:val="22"/>
          <w:lang w:eastAsia="ar-SA" w:bidi="ar-SA"/>
        </w:rPr>
        <w:t xml:space="preserve">ndice de inversión del municipio (porcentaje del gasto de inversión respecto del gasto total), ascendió al 9,8 %, por debajo del obtenido en el año anterior, del 15,6 %, y también por debajo del obtenido en año anterior, de la media de municipios canarios </w:t>
      </w:r>
      <w:r>
        <w:rPr>
          <w:rFonts w:ascii="Arial" w:eastAsia="Times New Roman" w:hAnsi="Arial" w:cs="Arial"/>
          <w:i/>
          <w:sz w:val="22"/>
          <w:szCs w:val="22"/>
          <w:lang w:eastAsia="ar-SA" w:bidi="ar-SA"/>
        </w:rPr>
        <w:t xml:space="preserve">de similares características, que fue del 16,8 %. </w:t>
      </w:r>
    </w:p>
    <w:p w:rsidR="00061CF1" w:rsidRDefault="00061CF1">
      <w:pPr>
        <w:widowControl/>
        <w:jc w:val="both"/>
        <w:textAlignment w:val="auto"/>
        <w:rPr>
          <w:rFonts w:ascii="Arial" w:eastAsia="Times New Roman" w:hAnsi="Arial" w:cs="Arial"/>
          <w:b/>
          <w:bCs/>
          <w:i/>
          <w:sz w:val="22"/>
          <w:szCs w:val="22"/>
          <w:lang w:eastAsia="ar-SA" w:bidi="ar-SA"/>
        </w:rPr>
      </w:pPr>
    </w:p>
    <w:p w:rsidR="00061CF1" w:rsidRDefault="004E6D5A">
      <w:pPr>
        <w:widowControl/>
        <w:jc w:val="both"/>
        <w:textAlignment w:val="auto"/>
      </w:pPr>
      <w:r>
        <w:rPr>
          <w:rFonts w:ascii="Arial" w:eastAsia="Times New Roman" w:hAnsi="Arial" w:cs="Arial"/>
          <w:b/>
          <w:bCs/>
          <w:i/>
          <w:sz w:val="22"/>
          <w:szCs w:val="22"/>
          <w:lang w:eastAsia="ar-SA" w:bidi="ar-SA"/>
        </w:rPr>
        <w:tab/>
      </w:r>
      <w:r>
        <w:rPr>
          <w:rFonts w:ascii="Arial" w:eastAsia="Times New Roman" w:hAnsi="Arial" w:cs="Arial"/>
          <w:i/>
          <w:sz w:val="22"/>
          <w:szCs w:val="22"/>
          <w:lang w:eastAsia="ar-SA" w:bidi="ar-SA"/>
        </w:rPr>
        <w:t xml:space="preserve">El nivel de carga financiera, se sitúa en el 2024, en el 0,2 %, frente al 0,1 % del ejercicio 2023, mientras que la media de canarias de los municipios de población superior a 10.000 habitantes, fue del </w:t>
      </w:r>
      <w:r>
        <w:rPr>
          <w:rFonts w:ascii="Arial" w:eastAsia="Times New Roman" w:hAnsi="Arial" w:cs="Arial"/>
          <w:i/>
          <w:sz w:val="22"/>
          <w:szCs w:val="22"/>
          <w:lang w:eastAsia="ar-SA" w:bidi="ar-SA"/>
        </w:rPr>
        <w:t xml:space="preserve">1,1 %. El saldo vivo de las operaciones financieras a largo plazo pendientes de rembolsar, ascendía al finalizar el ejercicio 2024 a 0 miles de euros, igual que a fin del ejercicio 2023.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ab/>
        <w:t>El Remanente de Tesorería para Gastos Generales fue positivo y as</w:t>
      </w:r>
      <w:r>
        <w:rPr>
          <w:rFonts w:ascii="Arial" w:eastAsia="Times New Roman" w:hAnsi="Arial" w:cs="Arial"/>
          <w:i/>
          <w:sz w:val="22"/>
          <w:szCs w:val="22"/>
          <w:lang w:eastAsia="ar-SA" w:bidi="ar-SA"/>
        </w:rPr>
        <w:t xml:space="preserve">cendió a 30.666 miles de Euros, frente a los 19.503 miles de Euros del año 2023, motivado por el mayor importe de los fondos líquidos.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suppressAutoHyphens w:val="0"/>
        <w:autoSpaceDE w:val="0"/>
        <w:jc w:val="both"/>
        <w:textAlignment w:val="auto"/>
      </w:pPr>
      <w:r>
        <w:rPr>
          <w:rFonts w:ascii="Arial" w:eastAsia="Lucida Sans Unicode" w:hAnsi="Arial" w:cs="Arial"/>
          <w:i/>
          <w:sz w:val="22"/>
          <w:szCs w:val="22"/>
          <w:lang w:bidi="ar-SA"/>
        </w:rPr>
        <w:tab/>
        <w:t xml:space="preserve">La valoración general, </w:t>
      </w:r>
      <w:r>
        <w:rPr>
          <w:rFonts w:ascii="Arial" w:eastAsia="CIDFont+F5" w:hAnsi="Arial" w:cs="Arial"/>
          <w:i/>
          <w:kern w:val="0"/>
          <w:sz w:val="22"/>
          <w:szCs w:val="22"/>
          <w:lang w:eastAsia="es-ES" w:bidi="ar-SA"/>
        </w:rPr>
        <w:t>concluye que el Ayuntamiento de Candelaria superó las previsiones realizadas en el marco de eq</w:t>
      </w:r>
      <w:r>
        <w:rPr>
          <w:rFonts w:ascii="Arial" w:eastAsia="CIDFont+F5" w:hAnsi="Arial" w:cs="Arial"/>
          <w:i/>
          <w:kern w:val="0"/>
          <w:sz w:val="22"/>
          <w:szCs w:val="22"/>
          <w:lang w:eastAsia="es-ES" w:bidi="ar-SA"/>
        </w:rPr>
        <w:t>uilibrio definido el pasado ejercicio, pero ha tenido una evolución negativa en lo relativo a su gestión económica financiera y presupuestaria en relación al ejercicio 2023, situándose los indicadores de salud financiera que establece la Ley del Fondo Cana</w:t>
      </w:r>
      <w:r>
        <w:rPr>
          <w:rFonts w:ascii="Arial" w:eastAsia="CIDFont+F5" w:hAnsi="Arial" w:cs="Arial"/>
          <w:i/>
          <w:kern w:val="0"/>
          <w:sz w:val="22"/>
          <w:szCs w:val="22"/>
          <w:lang w:eastAsia="es-ES" w:bidi="ar-SA"/>
        </w:rPr>
        <w:t>rio de Financiación Municipal, por encima de los niveles exigidos. Entre los indicadores de salud financiera que más claramente nos señala la fortaleza o debilidad de la estructura económica de la Corporación, es el ratio del Remanente de Tesorería, el cua</w:t>
      </w:r>
      <w:r>
        <w:rPr>
          <w:rFonts w:ascii="Arial" w:eastAsia="CIDFont+F5" w:hAnsi="Arial" w:cs="Arial"/>
          <w:i/>
          <w:kern w:val="0"/>
          <w:sz w:val="22"/>
          <w:szCs w:val="22"/>
          <w:lang w:eastAsia="es-ES" w:bidi="ar-SA"/>
        </w:rPr>
        <w:t>l acumula todos los saldos pendientes tanto a cobrar como a pagar, así como el efectivo resultante de la actividad económica, que se viene dando en éste y en todos los ejercicios anteriores, pudiéndose comprobar un aumento importante respecto al año anteri</w:t>
      </w:r>
      <w:r>
        <w:rPr>
          <w:rFonts w:ascii="Arial" w:eastAsia="CIDFont+F5" w:hAnsi="Arial" w:cs="Arial"/>
          <w:i/>
          <w:kern w:val="0"/>
          <w:sz w:val="22"/>
          <w:szCs w:val="22"/>
          <w:lang w:eastAsia="es-ES" w:bidi="ar-SA"/>
        </w:rPr>
        <w:t xml:space="preserve">or lo que se traduce en un incremento de la capacidad real de la Corporación para hacer frente a su estructura financiera. </w:t>
      </w:r>
    </w:p>
    <w:p w:rsidR="00061CF1" w:rsidRDefault="00061CF1">
      <w:pPr>
        <w:widowControl/>
        <w:suppressAutoHyphens w:val="0"/>
        <w:autoSpaceDE w:val="0"/>
        <w:jc w:val="both"/>
        <w:textAlignment w:val="auto"/>
        <w:rPr>
          <w:rFonts w:ascii="Arial" w:eastAsia="Lucida Sans Unicode" w:hAnsi="Arial" w:cs="Arial"/>
          <w:i/>
          <w:sz w:val="22"/>
          <w:szCs w:val="22"/>
          <w:lang w:bidi="ar-SA"/>
        </w:rPr>
      </w:pPr>
    </w:p>
    <w:p w:rsidR="00061CF1" w:rsidRDefault="00061CF1">
      <w:pPr>
        <w:widowControl/>
        <w:suppressAutoHyphens w:val="0"/>
        <w:autoSpaceDE w:val="0"/>
        <w:ind w:firstLine="709"/>
        <w:jc w:val="both"/>
        <w:textAlignment w:val="auto"/>
        <w:rPr>
          <w:rFonts w:ascii="Arial" w:eastAsia="Lucida Sans Unicode" w:hAnsi="Arial" w:cs="Arial"/>
          <w:i/>
          <w:sz w:val="22"/>
          <w:szCs w:val="22"/>
          <w:lang w:bidi="ar-SA"/>
        </w:rPr>
      </w:pPr>
    </w:p>
    <w:p w:rsidR="00061CF1" w:rsidRDefault="00061CF1">
      <w:pPr>
        <w:widowControl/>
        <w:suppressAutoHyphens w:val="0"/>
        <w:autoSpaceDE w:val="0"/>
        <w:ind w:firstLine="709"/>
        <w:jc w:val="both"/>
        <w:textAlignment w:val="auto"/>
        <w:rPr>
          <w:rFonts w:ascii="Arial" w:eastAsia="Lucida Sans Unicode" w:hAnsi="Arial" w:cs="Arial"/>
          <w:i/>
          <w:sz w:val="22"/>
          <w:szCs w:val="22"/>
          <w:lang w:bidi="ar-SA"/>
        </w:rPr>
      </w:pPr>
    </w:p>
    <w:p w:rsidR="00061CF1" w:rsidRDefault="004E6D5A">
      <w:pPr>
        <w:widowControl/>
        <w:suppressAutoHyphens w:val="0"/>
        <w:autoSpaceDE w:val="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Por tanto, el Ayuntamiento de Candelaria, percibirá el 100 % del Fondo Canario, debiendo destinar el 50 % a inversión, y el otro </w:t>
      </w:r>
      <w:r>
        <w:rPr>
          <w:rFonts w:ascii="Arial" w:eastAsia="Lucida Sans Unicode" w:hAnsi="Arial" w:cs="Arial"/>
          <w:i/>
          <w:sz w:val="22"/>
          <w:szCs w:val="22"/>
          <w:lang w:bidi="ar-SA"/>
        </w:rPr>
        <w:t>50 %, de libre disposición (inversión o saneamiento), sin perjuicio de destinarlo ayudas de emergencia social, según el artículo 1.1.a) de la Ley 3/1999, de 4 de febrero.</w:t>
      </w:r>
    </w:p>
    <w:p w:rsidR="00061CF1" w:rsidRDefault="00061CF1">
      <w:pPr>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Con respecto a la Sociedad Municipal, obtiene un resultado del ejercicio de 63 miles</w:t>
      </w:r>
      <w:r>
        <w:rPr>
          <w:rFonts w:ascii="Arial" w:eastAsia="Lucida Sans Unicode" w:hAnsi="Arial" w:cs="Arial"/>
          <w:i/>
          <w:sz w:val="22"/>
          <w:szCs w:val="22"/>
          <w:lang w:bidi="ar-SA"/>
        </w:rPr>
        <w:t xml:space="preserve"> de euros, empeorando lo previsto en el 2023, que ascendió a 127 miles de euros. Así, en el análisis de la estructura financiera, mejora de los ratios de autonomía, disminuye el de dependencia y Calidad de la Deuda.</w:t>
      </w: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En los ratios de Solvencia, aumenta todo</w:t>
      </w:r>
      <w:r>
        <w:rPr>
          <w:rFonts w:ascii="Arial" w:eastAsia="Lucida Sans Unicode" w:hAnsi="Arial" w:cs="Arial"/>
          <w:i/>
          <w:sz w:val="22"/>
          <w:szCs w:val="22"/>
          <w:lang w:bidi="ar-SA"/>
        </w:rPr>
        <w:t>s ellos: ratio de Tesorería, de Liquidez o solvencia a corto plazo y de Garantía o solvencia a largo plazo, excepto el ratio de Disponibilidad Inmediata.</w:t>
      </w: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 Por último, el fondo de maniobra, que se sitúa en 408 miles de Euros frente a los 360,33 miles de eur</w:t>
      </w:r>
      <w:r>
        <w:rPr>
          <w:rFonts w:ascii="Arial" w:eastAsia="Lucida Sans Unicode" w:hAnsi="Arial" w:cs="Arial"/>
          <w:i/>
          <w:sz w:val="22"/>
          <w:szCs w:val="22"/>
          <w:lang w:bidi="ar-SA"/>
        </w:rPr>
        <w:t xml:space="preserve">os obtenido en el año 2023. </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pPr>
      <w:r>
        <w:rPr>
          <w:rFonts w:ascii="Arial" w:eastAsia="Lucida Sans Unicode" w:hAnsi="Arial" w:cs="Arial"/>
          <w:bCs/>
          <w:i/>
          <w:sz w:val="22"/>
          <w:szCs w:val="22"/>
          <w:lang w:bidi="ar-SA"/>
        </w:rPr>
        <w:t>R</w:t>
      </w:r>
      <w:r>
        <w:rPr>
          <w:rFonts w:ascii="Arial" w:eastAsia="Lucida Sans Unicode" w:hAnsi="Arial" w:cs="Arial"/>
          <w:i/>
          <w:sz w:val="22"/>
          <w:szCs w:val="22"/>
          <w:lang w:bidi="ar-SA"/>
        </w:rPr>
        <w:t>especto a la Entidad Pública Empresarial, obtiene un resultado del ejercicio positivo de 64 miles de euros frente al resultado positivo también de 30 miles de euros del año 2023. Así, en el análisis de la estructura financier</w:t>
      </w:r>
      <w:r>
        <w:rPr>
          <w:rFonts w:ascii="Arial" w:eastAsia="Lucida Sans Unicode" w:hAnsi="Arial" w:cs="Arial"/>
          <w:i/>
          <w:sz w:val="22"/>
          <w:szCs w:val="22"/>
          <w:lang w:bidi="ar-SA"/>
        </w:rPr>
        <w:t>a, aumenta el ratio de autonomía, pero empeora el de dependencia y la Calidad de la Deuda.</w:t>
      </w:r>
    </w:p>
    <w:p w:rsidR="00061CF1" w:rsidRDefault="004E6D5A">
      <w:pPr>
        <w:spacing w:after="120"/>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En los ratios de Solvencia, mejoran todos: los ratios de Tesorería y de Liquidez o solvencia a corto plazo, los ratios de Disponibilidad Inmediata y garantía o </w:t>
      </w:r>
      <w:r>
        <w:rPr>
          <w:rFonts w:ascii="Arial" w:eastAsia="Lucida Sans Unicode" w:hAnsi="Arial" w:cs="Arial"/>
          <w:i/>
          <w:sz w:val="22"/>
          <w:szCs w:val="22"/>
          <w:lang w:bidi="ar-SA"/>
        </w:rPr>
        <w:t>solvencia a largo plazo.</w:t>
      </w:r>
    </w:p>
    <w:p w:rsidR="00061CF1" w:rsidRDefault="004E6D5A">
      <w:pPr>
        <w:spacing w:after="120"/>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 </w:t>
      </w:r>
      <w:r>
        <w:rPr>
          <w:rFonts w:ascii="Arial" w:eastAsia="Lucida Sans Unicode" w:hAnsi="Arial" w:cs="Arial"/>
          <w:i/>
          <w:sz w:val="22"/>
          <w:szCs w:val="22"/>
          <w:lang w:bidi="ar-SA"/>
        </w:rPr>
        <w:tab/>
        <w:t xml:space="preserve">Por último, el fondo de maniobra, que se sitúa en 763 miles de Euros frente a los 879 miles de euros obtenido en el año 2024. </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Esta Concejalía, PROPONE al Ayuntamiento Pleno la adopción del siguiente ACUERDO:</w:t>
      </w:r>
    </w:p>
    <w:p w:rsidR="00061CF1" w:rsidRDefault="00061CF1">
      <w:pPr>
        <w:spacing w:after="120"/>
        <w:textAlignment w:val="auto"/>
        <w:rPr>
          <w:rFonts w:ascii="Arial" w:eastAsia="Lucida Sans Unicode" w:hAnsi="Arial" w:cs="Arial"/>
          <w:i/>
          <w:sz w:val="22"/>
          <w:szCs w:val="22"/>
          <w:lang w:bidi="ar-SA"/>
        </w:rPr>
      </w:pPr>
    </w:p>
    <w:p w:rsidR="00061CF1" w:rsidRDefault="004E6D5A">
      <w:pPr>
        <w:numPr>
          <w:ilvl w:val="0"/>
          <w:numId w:val="6"/>
        </w:numPr>
        <w:spacing w:after="120"/>
        <w:jc w:val="both"/>
        <w:textAlignment w:val="auto"/>
      </w:pPr>
      <w:r>
        <w:rPr>
          <w:rFonts w:ascii="Arial" w:eastAsia="Lucida Sans Unicode" w:hAnsi="Arial" w:cs="Arial"/>
          <w:b/>
          <w:i/>
          <w:sz w:val="22"/>
          <w:szCs w:val="22"/>
          <w:lang w:bidi="ar-SA"/>
        </w:rPr>
        <w:t>Primero:</w:t>
      </w:r>
      <w:r>
        <w:rPr>
          <w:rFonts w:ascii="Arial" w:eastAsia="Lucida Sans Unicode" w:hAnsi="Arial" w:cs="Arial"/>
          <w:i/>
          <w:sz w:val="22"/>
          <w:szCs w:val="22"/>
          <w:lang w:bidi="ar-SA"/>
        </w:rPr>
        <w:t xml:space="preserve"> Tomar en </w:t>
      </w:r>
      <w:r>
        <w:rPr>
          <w:rFonts w:ascii="Arial" w:eastAsia="Lucida Sans Unicode" w:hAnsi="Arial" w:cs="Arial"/>
          <w:i/>
          <w:sz w:val="22"/>
          <w:szCs w:val="22"/>
          <w:lang w:bidi="ar-SA"/>
        </w:rPr>
        <w:t xml:space="preserve">consideración la Auditoría de Gestión correspondiente a este Ayuntamiento, </w:t>
      </w:r>
    </w:p>
    <w:p w:rsidR="00061CF1" w:rsidRDefault="00061CF1">
      <w:pPr>
        <w:numPr>
          <w:ilvl w:val="0"/>
          <w:numId w:val="6"/>
        </w:numPr>
        <w:spacing w:after="120"/>
        <w:jc w:val="both"/>
        <w:textAlignment w:val="auto"/>
      </w:pPr>
    </w:p>
    <w:p w:rsidR="00061CF1" w:rsidRDefault="004E6D5A">
      <w:pPr>
        <w:numPr>
          <w:ilvl w:val="0"/>
          <w:numId w:val="6"/>
        </w:numPr>
        <w:spacing w:after="120"/>
        <w:jc w:val="both"/>
        <w:textAlignment w:val="auto"/>
      </w:pPr>
      <w:r>
        <w:rPr>
          <w:rFonts w:ascii="Arial" w:eastAsia="Lucida Sans Unicode" w:hAnsi="Arial" w:cs="Arial"/>
          <w:i/>
          <w:sz w:val="22"/>
          <w:szCs w:val="22"/>
          <w:lang w:bidi="ar-SA"/>
        </w:rPr>
        <w:t>realizada en base a la liquidación del Presupuesto municipal correspondiente al año 2024, prevista en la Ley 3/1999, de 4 de febrero, del Fondo Canario de Financiación Municipal.</w:t>
      </w:r>
    </w:p>
    <w:p w:rsidR="00061CF1" w:rsidRDefault="00061CF1">
      <w:pPr>
        <w:spacing w:after="120"/>
        <w:textAlignment w:val="auto"/>
        <w:rPr>
          <w:rFonts w:ascii="Arial" w:eastAsia="Lucida Sans Unicode" w:hAnsi="Arial" w:cs="Arial"/>
          <w:i/>
          <w:sz w:val="22"/>
          <w:szCs w:val="22"/>
          <w:lang w:bidi="ar-SA"/>
        </w:rPr>
      </w:pPr>
    </w:p>
    <w:p w:rsidR="00061CF1" w:rsidRDefault="004E6D5A">
      <w:pPr>
        <w:numPr>
          <w:ilvl w:val="0"/>
          <w:numId w:val="6"/>
        </w:numPr>
        <w:spacing w:after="120"/>
        <w:jc w:val="both"/>
        <w:textAlignment w:val="auto"/>
      </w:pPr>
      <w:r>
        <w:rPr>
          <w:rFonts w:ascii="Arial" w:eastAsia="Lucida Sans Unicode" w:hAnsi="Arial" w:cs="Arial"/>
          <w:b/>
          <w:i/>
          <w:sz w:val="22"/>
          <w:szCs w:val="22"/>
          <w:lang w:bidi="ar-SA"/>
        </w:rPr>
        <w:t>Segundo:</w:t>
      </w:r>
      <w:r>
        <w:rPr>
          <w:rFonts w:ascii="Arial" w:eastAsia="Lucida Sans Unicode" w:hAnsi="Arial" w:cs="Arial"/>
          <w:i/>
          <w:sz w:val="22"/>
          <w:szCs w:val="22"/>
          <w:lang w:bidi="ar-SA"/>
        </w:rPr>
        <w:t xml:space="preserve"> Remitir a la Dirección General de Administración Territorial y Gobernación certificación del acuerdo plenario de toma de consideración de la Auditoría de Gestión para su aprobación.</w:t>
      </w:r>
    </w:p>
    <w:p w:rsidR="00061CF1" w:rsidRDefault="00061CF1">
      <w:pPr>
        <w:widowControl/>
        <w:jc w:val="both"/>
        <w:textAlignment w:val="auto"/>
        <w:rPr>
          <w:rFonts w:ascii="Arial" w:eastAsia="Times New Roman" w:hAnsi="Arial" w:cs="Arial"/>
          <w:lang w:eastAsia="ar-SA"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Consta en el expediente propuesta del Concejal delegado de Haci</w:t>
      </w:r>
      <w:r>
        <w:rPr>
          <w:rFonts w:ascii="Arial" w:eastAsia="Lucida Sans Unicode" w:hAnsi="Arial" w:cs="Arial"/>
          <w:b/>
          <w:sz w:val="22"/>
          <w:szCs w:val="22"/>
          <w:lang w:bidi="ar-SA"/>
        </w:rPr>
        <w:t>enda de fecha 22 de octubre de 2025 que transcrita literalmente dice:</w:t>
      </w:r>
    </w:p>
    <w:p w:rsidR="00061CF1" w:rsidRDefault="00061CF1">
      <w:pPr>
        <w:widowControl/>
        <w:jc w:val="both"/>
        <w:textAlignment w:val="auto"/>
        <w:rPr>
          <w:rFonts w:ascii="Arial" w:eastAsia="Times New Roman" w:hAnsi="Arial" w:cs="Arial"/>
          <w:lang w:eastAsia="ar-SA" w:bidi="ar-SA"/>
        </w:rPr>
      </w:pPr>
    </w:p>
    <w:p w:rsidR="00061CF1" w:rsidRDefault="004E6D5A">
      <w:pPr>
        <w:widowControl/>
        <w:ind w:firstLine="709"/>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Visto el informe de la intervención municipal relativa a la Auditoria de Gestión, de fecha 21 de octubre de 2025.</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ind w:firstLine="709"/>
        <w:jc w:val="both"/>
        <w:textAlignment w:val="auto"/>
      </w:pPr>
      <w:r>
        <w:rPr>
          <w:rFonts w:ascii="Arial" w:eastAsia="Times New Roman" w:hAnsi="Arial" w:cs="Arial"/>
          <w:i/>
          <w:sz w:val="22"/>
          <w:szCs w:val="22"/>
          <w:lang w:eastAsia="ar-SA" w:bidi="ar-SA"/>
        </w:rPr>
        <w:t xml:space="preserve">Visto el examen de los </w:t>
      </w:r>
      <w:r>
        <w:rPr>
          <w:rFonts w:ascii="Arial" w:eastAsia="Times New Roman" w:hAnsi="Arial" w:cs="Arial"/>
          <w:b/>
          <w:i/>
          <w:sz w:val="22"/>
          <w:szCs w:val="22"/>
          <w:lang w:eastAsia="ar-SA" w:bidi="ar-SA"/>
        </w:rPr>
        <w:t>ratios de Salud financiera</w:t>
      </w:r>
      <w:r>
        <w:rPr>
          <w:rFonts w:ascii="Arial" w:eastAsia="Times New Roman" w:hAnsi="Arial" w:cs="Arial"/>
          <w:i/>
          <w:sz w:val="22"/>
          <w:szCs w:val="22"/>
          <w:lang w:eastAsia="ar-SA" w:bidi="ar-SA"/>
        </w:rPr>
        <w:t xml:space="preserve">, que se detallan a </w:t>
      </w:r>
      <w:r>
        <w:rPr>
          <w:rFonts w:ascii="Arial" w:eastAsia="Times New Roman" w:hAnsi="Arial" w:cs="Arial"/>
          <w:i/>
          <w:sz w:val="22"/>
          <w:szCs w:val="22"/>
          <w:lang w:eastAsia="ar-SA" w:bidi="ar-SA"/>
        </w:rPr>
        <w:t>continuación:</w:t>
      </w:r>
    </w:p>
    <w:p w:rsidR="00061CF1" w:rsidRDefault="00061CF1">
      <w:pPr>
        <w:widowControl/>
        <w:jc w:val="both"/>
        <w:textAlignment w:val="auto"/>
        <w:rPr>
          <w:rFonts w:ascii="Arial" w:eastAsia="Times New Roman" w:hAnsi="Arial" w:cs="Arial"/>
          <w:i/>
          <w:sz w:val="22"/>
          <w:szCs w:val="22"/>
          <w:lang w:eastAsia="ar-SA" w:bidi="ar-SA"/>
        </w:rPr>
      </w:pP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numPr>
          <w:ilvl w:val="0"/>
          <w:numId w:val="5"/>
        </w:numPr>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 xml:space="preserve">El Ahorro Neto, que mide la capacidad de generar autofinanciación, se sitúa en el 16,2 %, inferior al obtenido en el 2023, que fue del 16,9 %, esto es, cae en 0,7 puntos porcentuales, y por encima del nivel exigido, que está establecido en </w:t>
      </w:r>
      <w:r>
        <w:rPr>
          <w:rFonts w:ascii="Arial" w:eastAsia="Times New Roman" w:hAnsi="Arial" w:cs="Arial"/>
          <w:i/>
          <w:sz w:val="22"/>
          <w:szCs w:val="22"/>
          <w:lang w:eastAsia="ar-SA" w:bidi="ar-SA"/>
        </w:rPr>
        <w:t>el 6 %, en virtud de la Ley 4/2012 de 25 de junio de Medidas Administrativas y Fiscales.</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numPr>
          <w:ilvl w:val="0"/>
          <w:numId w:val="5"/>
        </w:numPr>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Endeudamiento a largo plazo (que no tiene en cuenta los avales concedidos ni el endeudamiento de los entes instrumentales), se mantuvo igual, situándose en un 0,00</w:t>
      </w:r>
      <w:r>
        <w:rPr>
          <w:rFonts w:ascii="Arial" w:eastAsia="Times New Roman" w:hAnsi="Arial" w:cs="Arial"/>
          <w:i/>
          <w:sz w:val="22"/>
          <w:szCs w:val="22"/>
          <w:lang w:eastAsia="ar-SA" w:bidi="ar-SA"/>
        </w:rPr>
        <w:t xml:space="preserve"> % sobre los ingresos corrientes y por debajo del límite establecido en la Ley 3/1999, que es de un 70 %.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numPr>
          <w:ilvl w:val="0"/>
          <w:numId w:val="5"/>
        </w:numPr>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Remanente de Tesorería para Gastos Generales, que es el indicador de salud financiera que más claramente señala la fortaleza o debilidad de la est</w:t>
      </w:r>
      <w:r>
        <w:rPr>
          <w:rFonts w:ascii="Arial" w:eastAsia="Times New Roman" w:hAnsi="Arial" w:cs="Arial"/>
          <w:i/>
          <w:sz w:val="22"/>
          <w:szCs w:val="22"/>
          <w:lang w:eastAsia="ar-SA" w:bidi="ar-SA"/>
        </w:rPr>
        <w:t>ructura económica de la Corporación y la capacidad real para hacer frente a la estructura financiera, se encuentra en el 90,3 %, mejorando en 22,8 puntos porcentuales, respecto el 2023 y por encima del límite legal establecido del 1 %.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pPr>
      <w:r>
        <w:rPr>
          <w:rFonts w:ascii="Arial" w:eastAsia="Times New Roman" w:hAnsi="Arial" w:cs="Arial"/>
          <w:i/>
          <w:sz w:val="22"/>
          <w:szCs w:val="22"/>
          <w:lang w:eastAsia="ar-SA" w:bidi="ar-SA"/>
        </w:rPr>
        <w:tab/>
        <w:t>En el examen de lo</w:t>
      </w:r>
      <w:r>
        <w:rPr>
          <w:rFonts w:ascii="Arial" w:eastAsia="Times New Roman" w:hAnsi="Arial" w:cs="Arial"/>
          <w:i/>
          <w:sz w:val="22"/>
          <w:szCs w:val="22"/>
          <w:lang w:eastAsia="ar-SA" w:bidi="ar-SA"/>
        </w:rPr>
        <w:t xml:space="preserve">s </w:t>
      </w:r>
      <w:r>
        <w:rPr>
          <w:rFonts w:ascii="Arial" w:eastAsia="Times New Roman" w:hAnsi="Arial" w:cs="Arial"/>
          <w:b/>
          <w:i/>
          <w:sz w:val="22"/>
          <w:szCs w:val="22"/>
          <w:lang w:eastAsia="ar-SA" w:bidi="ar-SA"/>
        </w:rPr>
        <w:t>Condicionantes de Libre Disposición</w:t>
      </w:r>
      <w:r>
        <w:rPr>
          <w:rFonts w:ascii="Arial" w:eastAsia="Times New Roman" w:hAnsi="Arial" w:cs="Arial"/>
          <w:i/>
          <w:sz w:val="22"/>
          <w:szCs w:val="22"/>
          <w:lang w:eastAsia="ar-SA" w:bidi="ar-SA"/>
        </w:rPr>
        <w:t>, que son los que determinan la percepción total del Fondo Canario de Financiación Municipal, ya que el incumplimiento de cada ratio determina una reducción del 5 % por cada uno de ellos, del total del Fondo (ó del 10 %</w:t>
      </w:r>
      <w:r>
        <w:rPr>
          <w:rFonts w:ascii="Arial" w:eastAsia="Times New Roman" w:hAnsi="Arial" w:cs="Arial"/>
          <w:i/>
          <w:sz w:val="22"/>
          <w:szCs w:val="22"/>
          <w:lang w:eastAsia="ar-SA" w:bidi="ar-SA"/>
        </w:rPr>
        <w:t xml:space="preserve"> respecto al 50 %), tenemos:</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La Gestión Recaudatoria, se sitúa en el 98,8 %, superior en 0,3 puntos porcentuales respecto el 2023 y muy por encima del límite legal del 75 %, porcentaje establecido en la Ley 4/2012 de 25 de junio de 2012.</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El Esfuerzo Fisc</w:t>
      </w:r>
      <w:r>
        <w:rPr>
          <w:rFonts w:ascii="Arial" w:eastAsia="Times New Roman" w:hAnsi="Arial" w:cs="Arial"/>
          <w:i/>
          <w:sz w:val="22"/>
          <w:szCs w:val="22"/>
          <w:lang w:eastAsia="ar-SA" w:bidi="ar-SA"/>
        </w:rPr>
        <w:t>al alcanzó el 94,7 %, superando el índice legalmente establecido de 73,25 %. Este indicador resulta de la comparativa de los derechos liquidados por el Ayuntamiento por los cinco impuestos municipales y los derechos potencialmente liquidados, de esos impue</w:t>
      </w:r>
      <w:r>
        <w:rPr>
          <w:rFonts w:ascii="Arial" w:eastAsia="Times New Roman" w:hAnsi="Arial" w:cs="Arial"/>
          <w:i/>
          <w:sz w:val="22"/>
          <w:szCs w:val="22"/>
          <w:lang w:eastAsia="ar-SA" w:bidi="ar-SA"/>
        </w:rPr>
        <w:t>stos, aplicando los tipos máximos establecidos por Ley, con los obtenidos por el 78 % la media de los municipios canarios. Mejora este indicador en 0,1 puntos porcentuales el obtenido en el año 2023.</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 xml:space="preserve">Vistos los aspectos más destacables de la Auditoría de </w:t>
      </w:r>
      <w:r>
        <w:rPr>
          <w:rFonts w:ascii="Arial" w:eastAsia="Times New Roman" w:hAnsi="Arial" w:cs="Arial"/>
          <w:i/>
          <w:sz w:val="22"/>
          <w:szCs w:val="22"/>
          <w:lang w:eastAsia="ar-SA" w:bidi="ar-SA"/>
        </w:rPr>
        <w:t>Gestión elaborado desde la Comunidad Autónoma, que se detallan a continuación:</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Ha aumentado la capacidad de autofinanciación, respecto del 2023, ya que se obtuvo un superávit por operaciones corrientes, de 8.640 miles de euros, frente al superávit de 7.1</w:t>
      </w:r>
      <w:r>
        <w:rPr>
          <w:rFonts w:ascii="Arial" w:eastAsia="Times New Roman" w:hAnsi="Arial" w:cs="Arial"/>
          <w:i/>
          <w:sz w:val="22"/>
          <w:szCs w:val="22"/>
          <w:lang w:eastAsia="ar-SA" w:bidi="ar-SA"/>
        </w:rPr>
        <w:t>59 miles de euros, motivado porque los ingresos corrientes liquidados han tenido una subida del 3,4 % y los gastos corrientes liquidados, disminuyeron en el 1 %.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ab/>
        <w:t>A través del Resultado Presupuestario, que nos determina en qué medida los ingresos presupue</w:t>
      </w:r>
      <w:r>
        <w:rPr>
          <w:rFonts w:ascii="Arial" w:eastAsia="Times New Roman" w:hAnsi="Arial" w:cs="Arial"/>
          <w:i/>
          <w:sz w:val="22"/>
          <w:szCs w:val="22"/>
          <w:lang w:eastAsia="ar-SA" w:bidi="ar-SA"/>
        </w:rPr>
        <w:t>starios han sido suficientes para financiar los gastos presupuestarios, se ha obtenido un superávit de 13.910 miles Euros, que mejora el obtenido en el 2023, con un superávit de 5.178 miles Euros. Con los ajustes en este Resultado Presupuestario del ejerci</w:t>
      </w:r>
      <w:r>
        <w:rPr>
          <w:rFonts w:ascii="Arial" w:eastAsia="Times New Roman" w:hAnsi="Arial" w:cs="Arial"/>
          <w:i/>
          <w:sz w:val="22"/>
          <w:szCs w:val="22"/>
          <w:lang w:eastAsia="ar-SA" w:bidi="ar-SA"/>
        </w:rPr>
        <w:t>cio, a través de los gastos de financiación afectada, se generó un superávit de 12.175 miles de euros, frente al dato de 2023, con un déficit de 1.156 miles de euros.</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En la evolución de la ejecución del Presupuesto del ejercicio corriente, en la doble ver</w:t>
      </w:r>
      <w:r>
        <w:rPr>
          <w:rFonts w:ascii="Arial" w:eastAsia="Times New Roman" w:hAnsi="Arial" w:cs="Arial"/>
          <w:i/>
          <w:sz w:val="22"/>
          <w:szCs w:val="22"/>
          <w:lang w:eastAsia="ar-SA" w:bidi="ar-SA"/>
        </w:rPr>
        <w:t xml:space="preserve">tiente del gasto e ingreso, se han situado en el 57,4 % en los capítulos de ingreso (en 2023 fue del 56,5 %) y 39,8 % en los capítulos de gasto (49 % en 2023). </w:t>
      </w:r>
    </w:p>
    <w:p w:rsidR="00061CF1" w:rsidRDefault="00061CF1">
      <w:pPr>
        <w:widowControl/>
        <w:ind w:firstLine="708"/>
        <w:jc w:val="both"/>
        <w:textAlignment w:val="auto"/>
        <w:rPr>
          <w:rFonts w:ascii="Arial" w:eastAsia="Times New Roman" w:hAnsi="Arial" w:cs="Arial"/>
          <w:b/>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Dentro de los ingresos destacan los de carácter tributario, que han supuesto el 42,7 % del tot</w:t>
      </w:r>
      <w:r>
        <w:rPr>
          <w:rFonts w:ascii="Arial" w:eastAsia="Times New Roman" w:hAnsi="Arial" w:cs="Arial"/>
          <w:bCs/>
          <w:i/>
          <w:sz w:val="22"/>
          <w:szCs w:val="22"/>
          <w:lang w:eastAsia="ar-SA" w:bidi="ar-SA"/>
        </w:rPr>
        <w:t xml:space="preserve">al, seguidos de las transferencias corrientes, que representa el 35 % del total. </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Los ingresos corrientes totales por habitante fueron en 2024 de 1.284 euros, superiores a los 1.247 euros del año 2023 y encima de la media de los municipios canarios de sim</w:t>
      </w:r>
      <w:r>
        <w:rPr>
          <w:rFonts w:ascii="Arial" w:eastAsia="Times New Roman" w:hAnsi="Arial" w:cs="Arial"/>
          <w:bCs/>
          <w:i/>
          <w:sz w:val="22"/>
          <w:szCs w:val="22"/>
          <w:lang w:eastAsia="ar-SA" w:bidi="ar-SA"/>
        </w:rPr>
        <w:t>ilares características (1.188 euros en 2024).</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La recaudación tributaria por habitante se situó por encima de la media de los municipios canarios de similares características, que ascendieron en dicho año a 664 euros, superior a los 605 euros del año anter</w:t>
      </w:r>
      <w:r>
        <w:rPr>
          <w:rFonts w:ascii="Arial" w:eastAsia="Times New Roman" w:hAnsi="Arial" w:cs="Arial"/>
          <w:bCs/>
          <w:i/>
          <w:sz w:val="22"/>
          <w:szCs w:val="22"/>
          <w:lang w:eastAsia="ar-SA" w:bidi="ar-SA"/>
        </w:rPr>
        <w:t>ior y a los 526 euros de la media de los municipios canarios en 2023.</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rPr>
          <w:rFonts w:ascii="Arial" w:eastAsia="Times New Roman" w:hAnsi="Arial" w:cs="Arial"/>
          <w:bCs/>
          <w:i/>
          <w:sz w:val="22"/>
          <w:szCs w:val="22"/>
          <w:lang w:eastAsia="ar-SA" w:bidi="ar-SA"/>
        </w:rPr>
      </w:pPr>
      <w:r>
        <w:rPr>
          <w:rFonts w:ascii="Arial" w:eastAsia="Times New Roman" w:hAnsi="Arial" w:cs="Arial"/>
          <w:bCs/>
          <w:i/>
          <w:sz w:val="22"/>
          <w:szCs w:val="22"/>
          <w:lang w:eastAsia="ar-SA" w:bidi="ar-SA"/>
        </w:rPr>
        <w:t xml:space="preserve">La dependencia de subvenciones ascendió al 54,2 %, igual que la del ejercicio anterior y por debajo de la media de los municipios canarios de similares características en el ejercicio </w:t>
      </w:r>
      <w:r>
        <w:rPr>
          <w:rFonts w:ascii="Arial" w:eastAsia="Times New Roman" w:hAnsi="Arial" w:cs="Arial"/>
          <w:bCs/>
          <w:i/>
          <w:sz w:val="22"/>
          <w:szCs w:val="22"/>
          <w:lang w:eastAsia="ar-SA" w:bidi="ar-SA"/>
        </w:rPr>
        <w:t>2022, que se situó en el 59,9 %.</w:t>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 xml:space="preserve">En los Gastos corrientes, se situó en 984 euros por habitante, por encima de los 998 euros por habitante, obtenidos en el 2023 y </w:t>
      </w:r>
      <w:r>
        <w:rPr>
          <w:rFonts w:ascii="Arial" w:eastAsia="Times New Roman" w:hAnsi="Arial" w:cs="Arial"/>
          <w:bCs/>
          <w:i/>
          <w:sz w:val="22"/>
          <w:szCs w:val="22"/>
          <w:lang w:eastAsia="ar-SA" w:bidi="ar-SA"/>
        </w:rPr>
        <w:t xml:space="preserve">por debajo de la media de los municipios canarios de similares características, que para el </w:t>
      </w:r>
      <w:r>
        <w:rPr>
          <w:rFonts w:ascii="Arial" w:eastAsia="Times New Roman" w:hAnsi="Arial" w:cs="Arial"/>
          <w:bCs/>
          <w:i/>
          <w:sz w:val="22"/>
          <w:szCs w:val="22"/>
          <w:lang w:eastAsia="ar-SA" w:bidi="ar-SA"/>
        </w:rPr>
        <w:t>ejercicio 2023, se situó en 1.002 euros por habitante.</w:t>
      </w:r>
    </w:p>
    <w:p w:rsidR="00061CF1" w:rsidRDefault="00061CF1">
      <w:pPr>
        <w:widowControl/>
        <w:ind w:firstLine="708"/>
        <w:jc w:val="both"/>
        <w:textAlignment w:val="auto"/>
        <w:rPr>
          <w:rFonts w:ascii="Arial" w:eastAsia="Times New Roman" w:hAnsi="Arial" w:cs="Arial"/>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Las Remuneraciones de Personal tienen el mayor peso en la estructura de gastos, cayendo hasta un 7,5 %, representando el 38,2 % del gasto total, casi cuatro puntos menos que en el 2023, lo que represe</w:t>
      </w:r>
      <w:r>
        <w:rPr>
          <w:rFonts w:ascii="Arial" w:eastAsia="Times New Roman" w:hAnsi="Arial" w:cs="Arial"/>
          <w:i/>
          <w:sz w:val="22"/>
          <w:szCs w:val="22"/>
          <w:lang w:eastAsia="ar-SA" w:bidi="ar-SA"/>
        </w:rPr>
        <w:t>nta un gasto por habitante de 461 Euros, frente a los 500 Euros del año anterior y los 451 Euros por habitante de media de los municipios canarios.</w:t>
      </w:r>
    </w:p>
    <w:p w:rsidR="00061CF1" w:rsidRDefault="00061CF1">
      <w:pPr>
        <w:widowControl/>
        <w:ind w:firstLine="708"/>
        <w:jc w:val="both"/>
        <w:textAlignment w:val="auto"/>
        <w:rPr>
          <w:rFonts w:ascii="Arial" w:eastAsia="Times New Roman" w:hAnsi="Arial" w:cs="Arial"/>
          <w:b/>
          <w:bCs/>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En cuanto a los gastos por operaciones corrientes en bienes y servicios, crecieron un 7,2 % y en transferen</w:t>
      </w:r>
      <w:r>
        <w:rPr>
          <w:rFonts w:ascii="Arial" w:eastAsia="Times New Roman" w:hAnsi="Arial" w:cs="Arial"/>
          <w:i/>
          <w:sz w:val="22"/>
          <w:szCs w:val="22"/>
          <w:lang w:eastAsia="ar-SA" w:bidi="ar-SA"/>
        </w:rPr>
        <w:t>cias corrientes, la caída fue un 1,7 %.</w:t>
      </w:r>
      <w:r>
        <w:rPr>
          <w:rFonts w:ascii="Arial" w:eastAsia="Times New Roman" w:hAnsi="Arial" w:cs="Arial"/>
          <w:i/>
          <w:sz w:val="22"/>
          <w:szCs w:val="22"/>
          <w:lang w:eastAsia="ar-SA" w:bidi="ar-SA"/>
        </w:rPr>
        <w:tab/>
      </w:r>
    </w:p>
    <w:p w:rsidR="00061CF1" w:rsidRDefault="00061CF1">
      <w:pPr>
        <w:widowControl/>
        <w:ind w:firstLine="708"/>
        <w:jc w:val="both"/>
        <w:textAlignment w:val="auto"/>
        <w:rPr>
          <w:rFonts w:ascii="Arial" w:eastAsia="Times New Roman" w:hAnsi="Arial" w:cs="Arial"/>
          <w:bCs/>
          <w:i/>
          <w:sz w:val="22"/>
          <w:szCs w:val="22"/>
          <w:lang w:eastAsia="ar-SA" w:bidi="ar-SA"/>
        </w:rPr>
      </w:pPr>
    </w:p>
    <w:p w:rsidR="00061CF1" w:rsidRDefault="004E6D5A">
      <w:pPr>
        <w:widowControl/>
        <w:ind w:firstLine="708"/>
        <w:jc w:val="both"/>
        <w:textAlignment w:val="auto"/>
      </w:pPr>
      <w:r>
        <w:rPr>
          <w:rFonts w:ascii="Arial" w:eastAsia="Times New Roman" w:hAnsi="Arial" w:cs="Arial"/>
          <w:i/>
          <w:sz w:val="22"/>
          <w:szCs w:val="22"/>
          <w:lang w:eastAsia="ar-SA" w:bidi="ar-SA"/>
        </w:rPr>
        <w:t>En cuanto a los gastos de inversión, con unos gastos que importaron un total de 3.078 miles de euros, frente a los 5.289 miles de Euros del ejercicio 2023, el índice de inversión del municipio (porcentaje del gasto</w:t>
      </w:r>
      <w:r>
        <w:rPr>
          <w:rFonts w:ascii="Arial" w:eastAsia="Times New Roman" w:hAnsi="Arial" w:cs="Arial"/>
          <w:i/>
          <w:sz w:val="22"/>
          <w:szCs w:val="22"/>
          <w:lang w:eastAsia="ar-SA" w:bidi="ar-SA"/>
        </w:rPr>
        <w:t xml:space="preserve"> de inversión respecto del gasto total), ascendió al 9,8 %, por debajo del obtenido en el año anterior, del 15,6 %, y también por debajo del obtenido en año anterior, de la media de municipios canarios de similares características, que fue del 16,8 %. </w:t>
      </w:r>
    </w:p>
    <w:p w:rsidR="00061CF1" w:rsidRDefault="00061CF1">
      <w:pPr>
        <w:widowControl/>
        <w:jc w:val="both"/>
        <w:textAlignment w:val="auto"/>
        <w:rPr>
          <w:rFonts w:ascii="Arial" w:eastAsia="Times New Roman" w:hAnsi="Arial" w:cs="Arial"/>
          <w:b/>
          <w:bCs/>
          <w:i/>
          <w:sz w:val="22"/>
          <w:szCs w:val="22"/>
          <w:lang w:eastAsia="ar-SA" w:bidi="ar-SA"/>
        </w:rPr>
      </w:pPr>
    </w:p>
    <w:p w:rsidR="00061CF1" w:rsidRDefault="00061CF1">
      <w:pPr>
        <w:widowControl/>
        <w:jc w:val="both"/>
        <w:textAlignment w:val="auto"/>
        <w:rPr>
          <w:rFonts w:ascii="Arial" w:eastAsia="Times New Roman" w:hAnsi="Arial" w:cs="Arial"/>
          <w:b/>
          <w:bCs/>
          <w:i/>
          <w:sz w:val="22"/>
          <w:szCs w:val="22"/>
          <w:lang w:eastAsia="ar-SA" w:bidi="ar-SA"/>
        </w:rPr>
      </w:pPr>
    </w:p>
    <w:p w:rsidR="00061CF1" w:rsidRDefault="00061CF1">
      <w:pPr>
        <w:widowControl/>
        <w:jc w:val="both"/>
        <w:textAlignment w:val="auto"/>
        <w:rPr>
          <w:rFonts w:ascii="Arial" w:eastAsia="Times New Roman" w:hAnsi="Arial" w:cs="Arial"/>
          <w:b/>
          <w:bCs/>
          <w:i/>
          <w:sz w:val="22"/>
          <w:szCs w:val="22"/>
          <w:lang w:eastAsia="ar-SA" w:bidi="ar-SA"/>
        </w:rPr>
      </w:pPr>
    </w:p>
    <w:p w:rsidR="00061CF1" w:rsidRDefault="004E6D5A">
      <w:pPr>
        <w:widowControl/>
        <w:jc w:val="both"/>
        <w:textAlignment w:val="auto"/>
      </w:pPr>
      <w:r>
        <w:rPr>
          <w:rFonts w:ascii="Arial" w:eastAsia="Times New Roman" w:hAnsi="Arial" w:cs="Arial"/>
          <w:b/>
          <w:bCs/>
          <w:i/>
          <w:sz w:val="22"/>
          <w:szCs w:val="22"/>
          <w:lang w:eastAsia="ar-SA" w:bidi="ar-SA"/>
        </w:rPr>
        <w:tab/>
      </w:r>
      <w:r>
        <w:rPr>
          <w:rFonts w:ascii="Arial" w:eastAsia="Times New Roman" w:hAnsi="Arial" w:cs="Arial"/>
          <w:i/>
          <w:sz w:val="22"/>
          <w:szCs w:val="22"/>
          <w:lang w:eastAsia="ar-SA" w:bidi="ar-SA"/>
        </w:rPr>
        <w:t xml:space="preserve">El nivel de carga financiera, se sitúa en el 2024, en el 0,2 %, frente al 0,1 % del ejercicio 2023, mientras que la media de canarias de los municipios de población superior a 10.000 habitantes, fue del 1,1 %. El saldo vivo de las operaciones financieras </w:t>
      </w:r>
      <w:r>
        <w:rPr>
          <w:rFonts w:ascii="Arial" w:eastAsia="Times New Roman" w:hAnsi="Arial" w:cs="Arial"/>
          <w:i/>
          <w:sz w:val="22"/>
          <w:szCs w:val="22"/>
          <w:lang w:eastAsia="ar-SA" w:bidi="ar-SA"/>
        </w:rPr>
        <w:t xml:space="preserve">a largo plazo pendientes de rembolsar, ascendía al finalizar el ejercicio 2024 a 0 miles de euros, igual que a fin del ejercicio 2023.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jc w:val="both"/>
        <w:textAlignment w:val="auto"/>
        <w:rPr>
          <w:rFonts w:ascii="Arial" w:eastAsia="Times New Roman" w:hAnsi="Arial" w:cs="Arial"/>
          <w:i/>
          <w:sz w:val="22"/>
          <w:szCs w:val="22"/>
          <w:lang w:eastAsia="ar-SA" w:bidi="ar-SA"/>
        </w:rPr>
      </w:pPr>
      <w:r>
        <w:rPr>
          <w:rFonts w:ascii="Arial" w:eastAsia="Times New Roman" w:hAnsi="Arial" w:cs="Arial"/>
          <w:i/>
          <w:sz w:val="22"/>
          <w:szCs w:val="22"/>
          <w:lang w:eastAsia="ar-SA" w:bidi="ar-SA"/>
        </w:rPr>
        <w:tab/>
        <w:t>El Remanente de Tesorería para Gastos Generales fue positivo y ascendió a 30.666 miles de Euros, frente a los 19.503 m</w:t>
      </w:r>
      <w:r>
        <w:rPr>
          <w:rFonts w:ascii="Arial" w:eastAsia="Times New Roman" w:hAnsi="Arial" w:cs="Arial"/>
          <w:i/>
          <w:sz w:val="22"/>
          <w:szCs w:val="22"/>
          <w:lang w:eastAsia="ar-SA" w:bidi="ar-SA"/>
        </w:rPr>
        <w:t xml:space="preserve">iles de Euros del año 2023, motivado por el mayor importe de los fondos líquidos. </w:t>
      </w:r>
    </w:p>
    <w:p w:rsidR="00061CF1" w:rsidRDefault="00061CF1">
      <w:pPr>
        <w:widowControl/>
        <w:jc w:val="both"/>
        <w:textAlignment w:val="auto"/>
        <w:rPr>
          <w:rFonts w:ascii="Arial" w:eastAsia="Times New Roman" w:hAnsi="Arial" w:cs="Arial"/>
          <w:i/>
          <w:sz w:val="22"/>
          <w:szCs w:val="22"/>
          <w:lang w:eastAsia="ar-SA" w:bidi="ar-SA"/>
        </w:rPr>
      </w:pPr>
    </w:p>
    <w:p w:rsidR="00061CF1" w:rsidRDefault="00061CF1">
      <w:pPr>
        <w:widowControl/>
        <w:jc w:val="both"/>
        <w:textAlignment w:val="auto"/>
        <w:rPr>
          <w:rFonts w:ascii="Arial" w:eastAsia="Times New Roman" w:hAnsi="Arial" w:cs="Arial"/>
          <w:i/>
          <w:sz w:val="22"/>
          <w:szCs w:val="22"/>
          <w:lang w:eastAsia="ar-SA" w:bidi="ar-SA"/>
        </w:rPr>
      </w:pPr>
    </w:p>
    <w:p w:rsidR="00061CF1" w:rsidRDefault="004E6D5A">
      <w:pPr>
        <w:widowControl/>
        <w:suppressAutoHyphens w:val="0"/>
        <w:autoSpaceDE w:val="0"/>
        <w:jc w:val="both"/>
        <w:textAlignment w:val="auto"/>
      </w:pPr>
      <w:r>
        <w:rPr>
          <w:rFonts w:ascii="Arial" w:eastAsia="Lucida Sans Unicode" w:hAnsi="Arial" w:cs="Arial"/>
          <w:i/>
          <w:sz w:val="22"/>
          <w:szCs w:val="22"/>
          <w:lang w:bidi="ar-SA"/>
        </w:rPr>
        <w:tab/>
        <w:t xml:space="preserve">La valoración general, </w:t>
      </w:r>
      <w:r>
        <w:rPr>
          <w:rFonts w:ascii="Arial" w:eastAsia="CIDFont+F5" w:hAnsi="Arial" w:cs="Arial"/>
          <w:i/>
          <w:kern w:val="0"/>
          <w:sz w:val="22"/>
          <w:szCs w:val="22"/>
          <w:lang w:eastAsia="es-ES" w:bidi="ar-SA"/>
        </w:rPr>
        <w:t>concluye que el Ayuntamiento de Candelaria superó las previsiones realizadas en el marco de equilibrio definido el pasado ejercicio, pero ha tenido</w:t>
      </w:r>
      <w:r>
        <w:rPr>
          <w:rFonts w:ascii="Arial" w:eastAsia="CIDFont+F5" w:hAnsi="Arial" w:cs="Arial"/>
          <w:i/>
          <w:kern w:val="0"/>
          <w:sz w:val="22"/>
          <w:szCs w:val="22"/>
          <w:lang w:eastAsia="es-ES" w:bidi="ar-SA"/>
        </w:rPr>
        <w:t xml:space="preserve"> una evolución negativa en lo relativo a su gestión económica financiera y presupuestaria en relación al ejercicio 2023, situándose los indicadores de salud financiera que establece la Ley del Fondo Canario de Financiación Municipal, por encima de los nive</w:t>
      </w:r>
      <w:r>
        <w:rPr>
          <w:rFonts w:ascii="Arial" w:eastAsia="CIDFont+F5" w:hAnsi="Arial" w:cs="Arial"/>
          <w:i/>
          <w:kern w:val="0"/>
          <w:sz w:val="22"/>
          <w:szCs w:val="22"/>
          <w:lang w:eastAsia="es-ES" w:bidi="ar-SA"/>
        </w:rPr>
        <w:t xml:space="preserve">les exigidos. Entre los indicadores de salud financiera que más claramente nos señala la fortaleza o debilidad de la estructura económica de la Corporación, es el ratio del Remanente de Tesorería, el cual acumula todos los saldos pendientes tanto a cobrar </w:t>
      </w:r>
      <w:r>
        <w:rPr>
          <w:rFonts w:ascii="Arial" w:eastAsia="CIDFont+F5" w:hAnsi="Arial" w:cs="Arial"/>
          <w:i/>
          <w:kern w:val="0"/>
          <w:sz w:val="22"/>
          <w:szCs w:val="22"/>
          <w:lang w:eastAsia="es-ES" w:bidi="ar-SA"/>
        </w:rPr>
        <w:t>como a pagar, así como el efectivo resultante de la actividad económica, que se viene dando en éste y en todos los ejercicios anteriores, pudiéndose comprobar un aumento importante respecto al año anterior lo que se traduce en un incremento de la capacidad</w:t>
      </w:r>
      <w:r>
        <w:rPr>
          <w:rFonts w:ascii="Arial" w:eastAsia="CIDFont+F5" w:hAnsi="Arial" w:cs="Arial"/>
          <w:i/>
          <w:kern w:val="0"/>
          <w:sz w:val="22"/>
          <w:szCs w:val="22"/>
          <w:lang w:eastAsia="es-ES" w:bidi="ar-SA"/>
        </w:rPr>
        <w:t xml:space="preserve"> real de la Corporación para hacer frente a su estructura financiera. </w:t>
      </w:r>
    </w:p>
    <w:p w:rsidR="00061CF1" w:rsidRDefault="00061CF1">
      <w:pPr>
        <w:widowControl/>
        <w:suppressAutoHyphens w:val="0"/>
        <w:autoSpaceDE w:val="0"/>
        <w:jc w:val="both"/>
        <w:textAlignment w:val="auto"/>
        <w:rPr>
          <w:rFonts w:ascii="Arial" w:eastAsia="Lucida Sans Unicode" w:hAnsi="Arial" w:cs="Arial"/>
          <w:i/>
          <w:sz w:val="22"/>
          <w:szCs w:val="22"/>
          <w:lang w:bidi="ar-SA"/>
        </w:rPr>
      </w:pPr>
    </w:p>
    <w:p w:rsidR="00061CF1" w:rsidRDefault="004E6D5A">
      <w:pPr>
        <w:widowControl/>
        <w:suppressAutoHyphens w:val="0"/>
        <w:autoSpaceDE w:val="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Por tanto, el Ayuntamiento de Candelaria, percibirá el 100 % del Fondo Canario, debiendo destinar el 50 % a inversión, y el otro 50 %, de libre disposición (inversión o saneamiento), s</w:t>
      </w:r>
      <w:r>
        <w:rPr>
          <w:rFonts w:ascii="Arial" w:eastAsia="Lucida Sans Unicode" w:hAnsi="Arial" w:cs="Arial"/>
          <w:i/>
          <w:sz w:val="22"/>
          <w:szCs w:val="22"/>
          <w:lang w:bidi="ar-SA"/>
        </w:rPr>
        <w:t>in perjuicio de destinarlo ayudas de emergencia social, según el artículo 1.1.a) de la Ley 3/1999, de 4 de febrero.</w:t>
      </w:r>
    </w:p>
    <w:p w:rsidR="00061CF1" w:rsidRDefault="00061CF1">
      <w:pPr>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Con respecto a la Sociedad Municipal, obtiene un resultado del ejercicio de 63 miles de euros, empeorando lo previsto en el 2023, que ascen</w:t>
      </w:r>
      <w:r>
        <w:rPr>
          <w:rFonts w:ascii="Arial" w:eastAsia="Lucida Sans Unicode" w:hAnsi="Arial" w:cs="Arial"/>
          <w:i/>
          <w:sz w:val="22"/>
          <w:szCs w:val="22"/>
          <w:lang w:bidi="ar-SA"/>
        </w:rPr>
        <w:t>dió a 127 miles de euros. Así, en el análisis de la estructura financiera, mejora de los ratios de autonomía, disminuye el de dependencia y Calidad de la Deuda.</w:t>
      </w: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En los ratios de Solvencia, aumenta todos ellos: ratio de Tesorería, de Liquidez o solvencia a </w:t>
      </w:r>
      <w:r>
        <w:rPr>
          <w:rFonts w:ascii="Arial" w:eastAsia="Lucida Sans Unicode" w:hAnsi="Arial" w:cs="Arial"/>
          <w:i/>
          <w:sz w:val="22"/>
          <w:szCs w:val="22"/>
          <w:lang w:bidi="ar-SA"/>
        </w:rPr>
        <w:t>corto plazo y de Garantía o solvencia a largo plazo, excepto el ratio de Disponibilidad Inmediata.</w:t>
      </w: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 Por último, el fondo de maniobra, que se sitúa en 408 miles de Euros frente a los 360,33 miles de euros obtenido en el año 2023. </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pPr>
      <w:r>
        <w:rPr>
          <w:rFonts w:ascii="Arial" w:eastAsia="Lucida Sans Unicode" w:hAnsi="Arial" w:cs="Arial"/>
          <w:bCs/>
          <w:i/>
          <w:sz w:val="22"/>
          <w:szCs w:val="22"/>
          <w:lang w:bidi="ar-SA"/>
        </w:rPr>
        <w:t>R</w:t>
      </w:r>
      <w:r>
        <w:rPr>
          <w:rFonts w:ascii="Arial" w:eastAsia="Lucida Sans Unicode" w:hAnsi="Arial" w:cs="Arial"/>
          <w:i/>
          <w:sz w:val="22"/>
          <w:szCs w:val="22"/>
          <w:lang w:bidi="ar-SA"/>
        </w:rPr>
        <w:t xml:space="preserve">especto a la Entidad </w:t>
      </w:r>
      <w:r>
        <w:rPr>
          <w:rFonts w:ascii="Arial" w:eastAsia="Lucida Sans Unicode" w:hAnsi="Arial" w:cs="Arial"/>
          <w:i/>
          <w:sz w:val="22"/>
          <w:szCs w:val="22"/>
          <w:lang w:bidi="ar-SA"/>
        </w:rPr>
        <w:t>Pública Empresarial, obtiene un resultado del ejercicio positivo de 64 miles de euros frente al resultado positivo también de 30 miles de euros del año 2023. Así, en el análisis de la estructura financiera, aumenta el ratio de autonomía, pero empeora el de</w:t>
      </w:r>
      <w:r>
        <w:rPr>
          <w:rFonts w:ascii="Arial" w:eastAsia="Lucida Sans Unicode" w:hAnsi="Arial" w:cs="Arial"/>
          <w:i/>
          <w:sz w:val="22"/>
          <w:szCs w:val="22"/>
          <w:lang w:bidi="ar-SA"/>
        </w:rPr>
        <w:t xml:space="preserve"> dependencia y la Calidad de la Deuda.</w:t>
      </w:r>
    </w:p>
    <w:p w:rsidR="00061CF1" w:rsidRDefault="004E6D5A">
      <w:pPr>
        <w:spacing w:after="120"/>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En los ratios de Solvencia, mejoran todos: los ratios de Tesorería y de Liquidez o solvencia a corto plazo, los ratios de Disponibilidad Inmediata y garantía o solvencia a largo plazo.</w:t>
      </w:r>
    </w:p>
    <w:p w:rsidR="00061CF1" w:rsidRDefault="004E6D5A">
      <w:pPr>
        <w:spacing w:after="120"/>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 </w:t>
      </w:r>
      <w:r>
        <w:rPr>
          <w:rFonts w:ascii="Arial" w:eastAsia="Lucida Sans Unicode" w:hAnsi="Arial" w:cs="Arial"/>
          <w:i/>
          <w:sz w:val="22"/>
          <w:szCs w:val="22"/>
          <w:lang w:bidi="ar-SA"/>
        </w:rPr>
        <w:tab/>
        <w:t>Por último, el fondo de maniob</w:t>
      </w:r>
      <w:r>
        <w:rPr>
          <w:rFonts w:ascii="Arial" w:eastAsia="Lucida Sans Unicode" w:hAnsi="Arial" w:cs="Arial"/>
          <w:i/>
          <w:sz w:val="22"/>
          <w:szCs w:val="22"/>
          <w:lang w:bidi="ar-SA"/>
        </w:rPr>
        <w:t xml:space="preserve">ra, que se sitúa en 763 miles de Euros frente a los 879 miles de euros obtenido en el año 2024. </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Esta Concejalía, PROPONE al Ayuntamiento Pleno la adopción del siguiente ACUERDO:</w:t>
      </w:r>
    </w:p>
    <w:p w:rsidR="00061CF1" w:rsidRDefault="00061CF1">
      <w:pPr>
        <w:spacing w:after="120"/>
        <w:textAlignment w:val="auto"/>
        <w:rPr>
          <w:rFonts w:ascii="Arial" w:eastAsia="Lucida Sans Unicode" w:hAnsi="Arial" w:cs="Arial"/>
          <w:i/>
          <w:sz w:val="22"/>
          <w:szCs w:val="22"/>
          <w:lang w:bidi="ar-SA"/>
        </w:rPr>
      </w:pPr>
    </w:p>
    <w:p w:rsidR="00061CF1" w:rsidRDefault="004E6D5A">
      <w:pPr>
        <w:numPr>
          <w:ilvl w:val="0"/>
          <w:numId w:val="6"/>
        </w:numPr>
        <w:spacing w:after="120"/>
        <w:jc w:val="both"/>
        <w:textAlignment w:val="auto"/>
      </w:pPr>
      <w:r>
        <w:rPr>
          <w:rFonts w:ascii="Arial" w:eastAsia="Lucida Sans Unicode" w:hAnsi="Arial" w:cs="Arial"/>
          <w:b/>
          <w:i/>
          <w:sz w:val="22"/>
          <w:szCs w:val="22"/>
          <w:lang w:bidi="ar-SA"/>
        </w:rPr>
        <w:t>Primero:</w:t>
      </w:r>
      <w:r>
        <w:rPr>
          <w:rFonts w:ascii="Arial" w:eastAsia="Lucida Sans Unicode" w:hAnsi="Arial" w:cs="Arial"/>
          <w:i/>
          <w:sz w:val="22"/>
          <w:szCs w:val="22"/>
          <w:lang w:bidi="ar-SA"/>
        </w:rPr>
        <w:t xml:space="preserve"> Tomar en consideración la Auditoría de Gestión correspondiente a e</w:t>
      </w:r>
      <w:r>
        <w:rPr>
          <w:rFonts w:ascii="Arial" w:eastAsia="Lucida Sans Unicode" w:hAnsi="Arial" w:cs="Arial"/>
          <w:i/>
          <w:sz w:val="22"/>
          <w:szCs w:val="22"/>
          <w:lang w:bidi="ar-SA"/>
        </w:rPr>
        <w:t>ste Ayuntamiento, realizada en base a la liquidación del Presupuesto municipal correspondiente al año 2024, prevista en la Ley 3/1999, de 4 de febrero, del Fondo Canario de Financiación Municipal.</w:t>
      </w:r>
    </w:p>
    <w:p w:rsidR="00061CF1" w:rsidRDefault="00061CF1">
      <w:pPr>
        <w:spacing w:after="120"/>
        <w:textAlignment w:val="auto"/>
        <w:rPr>
          <w:rFonts w:ascii="Arial" w:eastAsia="Lucida Sans Unicode" w:hAnsi="Arial" w:cs="Arial"/>
          <w:i/>
          <w:sz w:val="22"/>
          <w:szCs w:val="22"/>
          <w:lang w:bidi="ar-SA"/>
        </w:rPr>
      </w:pPr>
    </w:p>
    <w:p w:rsidR="00061CF1" w:rsidRDefault="004E6D5A">
      <w:pPr>
        <w:numPr>
          <w:ilvl w:val="0"/>
          <w:numId w:val="6"/>
        </w:numPr>
        <w:spacing w:after="120"/>
        <w:jc w:val="both"/>
        <w:textAlignment w:val="auto"/>
      </w:pPr>
      <w:r>
        <w:rPr>
          <w:rFonts w:ascii="Arial" w:eastAsia="Lucida Sans Unicode" w:hAnsi="Arial" w:cs="Arial"/>
          <w:b/>
          <w:i/>
          <w:sz w:val="22"/>
          <w:szCs w:val="22"/>
          <w:lang w:bidi="ar-SA"/>
        </w:rPr>
        <w:t>Segundo:</w:t>
      </w:r>
      <w:r>
        <w:rPr>
          <w:rFonts w:ascii="Arial" w:eastAsia="Lucida Sans Unicode" w:hAnsi="Arial" w:cs="Arial"/>
          <w:i/>
          <w:sz w:val="22"/>
          <w:szCs w:val="22"/>
          <w:lang w:bidi="ar-SA"/>
        </w:rPr>
        <w:t xml:space="preserve"> Remitir a la Dirección General de Administración </w:t>
      </w:r>
      <w:r>
        <w:rPr>
          <w:rFonts w:ascii="Arial" w:eastAsia="Lucida Sans Unicode" w:hAnsi="Arial" w:cs="Arial"/>
          <w:i/>
          <w:sz w:val="22"/>
          <w:szCs w:val="22"/>
          <w:lang w:bidi="ar-SA"/>
        </w:rPr>
        <w:t>Territorial y Gobernación certificación del acuerdo plenario de toma de consideración de la Auditoría de Gestión para su aprobación.</w:t>
      </w:r>
    </w:p>
    <w:p w:rsidR="00061CF1" w:rsidRDefault="00061CF1">
      <w:pPr>
        <w:jc w:val="both"/>
        <w:textAlignment w:val="auto"/>
        <w:rPr>
          <w:rFonts w:ascii="Arial" w:eastAsia="Lucida Sans Unicode" w:hAnsi="Arial" w:cs="Arial"/>
          <w:b/>
          <w:i/>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DICTAMEN FAVORABLE DE LA COMISIÓN INFORMATIVA DE HACIENDA, RECURSOS HUMANOS Y SERVICIOS GENERALES DE 28 DE OCTUBRE DE 2025</w:t>
      </w:r>
      <w:r>
        <w:rPr>
          <w:rFonts w:ascii="Arial" w:eastAsia="Lucida Sans Unicode" w:hAnsi="Arial" w:cs="Arial"/>
          <w:b/>
          <w:sz w:val="22"/>
          <w:szCs w:val="22"/>
          <w:lang w:bidi="ar-SA"/>
        </w:rPr>
        <w:t xml:space="preserve"> QUE SE TUVO QUE REPETIR POR EL FALLO INFORMÁTICO EL LUNES 27 DE OCTUBRE, DEL SISTEMA “CLAVE” DE ACCESO A LA SEDE ELECTRÓNICA Y DE ESTA FORMA QUEDÓ SUBSANADA LA COMISIÓN CON SU CELEBRACIÓN EL 28 DE OCTUBRE.</w:t>
      </w: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presentes tomaron conocimiento: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 Don José 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JUNTA DE PORTAVOCES PREVISTA PARA EL DÍA 27 DE OCTUBRE Y QUE FUE APLAZADA AL 28 DE OCTUBRE DE 2025 </w:t>
      </w:r>
      <w:r>
        <w:rPr>
          <w:rFonts w:ascii="Arial" w:eastAsia="Lucida Sans Unicode" w:hAnsi="Arial" w:cs="Arial"/>
          <w:b/>
          <w:sz w:val="22"/>
          <w:szCs w:val="22"/>
          <w:lang w:bidi="ar-SA"/>
        </w:rPr>
        <w:t>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18 concejales presentes tomaron conocimiento: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 concejales del Grupo Socialista: Doña María Concepción Brito Núñez, Don Jorge Baute Delgado, Don José</w:t>
      </w:r>
      <w:r>
        <w:rPr>
          <w:rFonts w:ascii="Arial" w:eastAsia="Lucida Sans Unicode" w:hAnsi="Arial" w:cs="Arial"/>
          <w:sz w:val="22"/>
          <w:szCs w:val="22"/>
          <w:lang w:bidi="ar-SA"/>
        </w:rPr>
        <w:t xml:space="preserve"> Francisco Pinto Ramos, Doña Olivia Concepción Pérez Díaz, Don Reinaldo José Triviño Blanco, Don Manuel Alberto González Pestano, Doña Margarita Eva Tendero Barroso, Don Airam Pérez Chinea, Doña María del Carmen Clemente Díaz, Don Olegario Francisco Alonso</w:t>
      </w:r>
      <w:r>
        <w:rPr>
          <w:rFonts w:ascii="Arial" w:eastAsia="Lucida Sans Unicode" w:hAnsi="Arial" w:cs="Arial"/>
          <w:sz w:val="22"/>
          <w:szCs w:val="22"/>
          <w:lang w:bidi="ar-SA"/>
        </w:rPr>
        <w:t xml:space="preserve">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5 concejales del Grupo Popular: Don Jacobo López Fariña,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2 concejales del Grup</w:t>
      </w:r>
      <w:r>
        <w:rPr>
          <w:rFonts w:ascii="Arial" w:eastAsia="Lucida Sans Unicode" w:hAnsi="Arial" w:cs="Arial"/>
          <w:sz w:val="22"/>
          <w:szCs w:val="22"/>
          <w:lang w:bidi="ar-SA"/>
        </w:rPr>
        <w:t>o Mixto: Don José 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                        </w:t>
      </w:r>
    </w:p>
    <w:p w:rsidR="00061CF1" w:rsidRDefault="004E6D5A">
      <w:pPr>
        <w:spacing w:after="120"/>
        <w:ind w:left="1418" w:firstLine="709"/>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ACUERDO DEL PLENO DE 31 DE OCTUBRE DE 2025.</w:t>
      </w:r>
    </w:p>
    <w:p w:rsidR="00061CF1" w:rsidRDefault="004E6D5A">
      <w:pPr>
        <w:spacing w:after="120"/>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Primero: Tomar en consideración la Auditoría de Gestión correspondiente a este Ayuntamiento, realizada en ba</w:t>
      </w:r>
      <w:r>
        <w:rPr>
          <w:rFonts w:ascii="Arial" w:eastAsia="Lucida Sans Unicode" w:hAnsi="Arial" w:cs="Arial"/>
          <w:b/>
          <w:sz w:val="22"/>
          <w:szCs w:val="22"/>
          <w:lang w:bidi="ar-SA"/>
        </w:rPr>
        <w:t>se a la liquidación del Presupuesto municipal correspondiente al año 2024, prevista en la Ley 3/1999, de 4 de febrero, del Fondo Canario de Financiación Municipal.</w:t>
      </w:r>
    </w:p>
    <w:p w:rsidR="00061CF1" w:rsidRDefault="00061CF1">
      <w:pPr>
        <w:spacing w:after="120"/>
        <w:textAlignment w:val="auto"/>
        <w:rPr>
          <w:rFonts w:ascii="Arial" w:eastAsia="Lucida Sans Unicode" w:hAnsi="Arial" w:cs="Arial"/>
          <w:b/>
          <w:sz w:val="22"/>
          <w:szCs w:val="22"/>
          <w:lang w:bidi="ar-SA"/>
        </w:rPr>
      </w:pPr>
    </w:p>
    <w:p w:rsidR="00061CF1" w:rsidRDefault="004E6D5A">
      <w:pPr>
        <w:numPr>
          <w:ilvl w:val="8"/>
          <w:numId w:val="6"/>
        </w:numPr>
        <w:spacing w:after="120"/>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Segundo: Remitir a la Dirección General de Administración Territorial y Gobernación certifi</w:t>
      </w:r>
      <w:r>
        <w:rPr>
          <w:rFonts w:ascii="Arial" w:eastAsia="Lucida Sans Unicode" w:hAnsi="Arial" w:cs="Arial"/>
          <w:b/>
          <w:sz w:val="22"/>
          <w:szCs w:val="22"/>
          <w:lang w:bidi="ar-SA"/>
        </w:rPr>
        <w:t>cación del acuerdo plenario de toma de consideración de la Auditoría de Gestión para su aprobación.</w:t>
      </w:r>
    </w:p>
    <w:p w:rsidR="00061CF1" w:rsidRDefault="00061CF1">
      <w:pPr>
        <w:spacing w:after="120"/>
        <w:jc w:val="center"/>
        <w:textAlignment w:val="auto"/>
        <w:rPr>
          <w:rFonts w:ascii="Arial" w:eastAsia="Lucida Sans Unicode" w:hAnsi="Arial" w:cs="Arial"/>
          <w:sz w:val="22"/>
          <w:szCs w:val="22"/>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4E6D5A">
      <w:pPr>
        <w:spacing w:after="120"/>
        <w:jc w:val="both"/>
        <w:textAlignment w:val="auto"/>
      </w:pPr>
      <w:r>
        <w:rPr>
          <w:rFonts w:ascii="Arial" w:eastAsia="Lucida Sans Unicode" w:hAnsi="Arial" w:cs="Arial"/>
          <w:b/>
          <w:color w:val="000000"/>
          <w:sz w:val="28"/>
          <w:szCs w:val="28"/>
          <w:lang w:bidi="ar-SA"/>
        </w:rPr>
        <w:t xml:space="preserve">3.- </w:t>
      </w:r>
      <w:r>
        <w:rPr>
          <w:rFonts w:ascii="Arial" w:eastAsia="Lucida Sans Unicode" w:hAnsi="Arial" w:cs="Arial"/>
          <w:b/>
          <w:color w:val="000000"/>
          <w:sz w:val="28"/>
          <w:szCs w:val="28"/>
          <w:u w:val="single"/>
          <w:shd w:val="clear" w:color="auto" w:fill="F5F7F9"/>
          <w:lang w:bidi="ar-SA"/>
        </w:rPr>
        <w:t>Expediente 9895/2025</w:t>
      </w:r>
      <w:r>
        <w:rPr>
          <w:rFonts w:ascii="Arial" w:eastAsia="Lucida Sans Unicode" w:hAnsi="Arial" w:cs="Arial"/>
          <w:b/>
          <w:color w:val="000000"/>
          <w:sz w:val="28"/>
          <w:szCs w:val="28"/>
          <w:shd w:val="clear" w:color="auto" w:fill="F5F7F9"/>
          <w:lang w:bidi="ar-SA"/>
        </w:rPr>
        <w:t xml:space="preserve">. Propuesta del Concejal delegado de Hacienda al Pleno del Informe de Morosidad, regulado en la Ley 15/2010, de 5 de </w:t>
      </w:r>
      <w:r>
        <w:rPr>
          <w:rFonts w:ascii="Arial" w:eastAsia="Lucida Sans Unicode" w:hAnsi="Arial" w:cs="Arial"/>
          <w:b/>
          <w:color w:val="000000"/>
          <w:sz w:val="28"/>
          <w:szCs w:val="28"/>
          <w:shd w:val="clear" w:color="auto" w:fill="F5F7F9"/>
          <w:lang w:bidi="ar-SA"/>
        </w:rPr>
        <w:t>julio, de modificación de la Ley 3/2004, de 29 de diciembre, por la que se establecen medidas de lucha contra la morosidad en las operaciones comerciales, correspondiente al tercer trimestre del año 2025.</w:t>
      </w:r>
    </w:p>
    <w:p w:rsidR="00061CF1" w:rsidRDefault="004E6D5A">
      <w:pPr>
        <w:spacing w:after="120"/>
        <w:jc w:val="both"/>
        <w:textAlignment w:val="auto"/>
        <w:rPr>
          <w:rFonts w:ascii="Arial" w:eastAsia="Lucida Sans Unicode" w:hAnsi="Arial" w:cs="Arial"/>
          <w:b/>
          <w:color w:val="000000"/>
          <w:lang w:bidi="ar-SA"/>
        </w:rPr>
      </w:pPr>
      <w:r>
        <w:rPr>
          <w:rFonts w:ascii="Arial" w:eastAsia="Lucida Sans Unicode" w:hAnsi="Arial" w:cs="Arial"/>
          <w:b/>
          <w:color w:val="000000"/>
          <w:lang w:bidi="ar-SA"/>
        </w:rPr>
        <w:t xml:space="preserve">Consta en el expediente informe de la Intervención </w:t>
      </w:r>
      <w:r>
        <w:rPr>
          <w:rFonts w:ascii="Arial" w:eastAsia="Lucida Sans Unicode" w:hAnsi="Arial" w:cs="Arial"/>
          <w:b/>
          <w:color w:val="000000"/>
          <w:lang w:bidi="ar-SA"/>
        </w:rPr>
        <w:t>de fecha 28 de octubre de 2025 que transcrito literalmente dice:</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Visto el expediente antedicho, el funcionario D. Nicolás Rojo Garnica, que desempeña el puesto de trabajo de Interventor, emite el siguiente informe:</w:t>
      </w:r>
    </w:p>
    <w:p w:rsidR="00061CF1" w:rsidRDefault="004E6D5A">
      <w:pPr>
        <w:spacing w:after="120"/>
        <w:jc w:val="center"/>
        <w:textAlignment w:val="auto"/>
        <w:rPr>
          <w:rFonts w:ascii="Arial" w:eastAsia="Lucida Sans Unicode" w:hAnsi="Arial" w:cs="Times New Roman"/>
          <w:i/>
          <w:sz w:val="22"/>
          <w:lang w:bidi="ar-SA"/>
        </w:rPr>
      </w:pPr>
      <w:r>
        <w:rPr>
          <w:rFonts w:ascii="Arial" w:eastAsia="Lucida Sans Unicode" w:hAnsi="Arial" w:cs="Times New Roman"/>
          <w:i/>
          <w:sz w:val="22"/>
          <w:lang w:bidi="ar-SA"/>
        </w:rPr>
        <w:t> Antecedentes de hecho</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I.- Ha sido remiti</w:t>
      </w:r>
      <w:r>
        <w:rPr>
          <w:rFonts w:ascii="Arial" w:eastAsia="Lucida Sans Unicode" w:hAnsi="Arial" w:cs="Times New Roman"/>
          <w:i/>
          <w:sz w:val="22"/>
          <w:lang w:bidi="ar-SA"/>
        </w:rPr>
        <w:t>da a esta intervención, información de los entes dependientes para el cálculo del informe de morosidad del Tercer trimestre del ejercicio 2025. </w:t>
      </w:r>
    </w:p>
    <w:p w:rsidR="00061CF1" w:rsidRDefault="004E6D5A">
      <w:pPr>
        <w:spacing w:after="120"/>
        <w:jc w:val="center"/>
        <w:textAlignment w:val="auto"/>
        <w:rPr>
          <w:rFonts w:ascii="Arial" w:eastAsia="Lucida Sans Unicode" w:hAnsi="Arial" w:cs="Times New Roman"/>
          <w:i/>
          <w:sz w:val="22"/>
          <w:lang w:bidi="ar-SA"/>
        </w:rPr>
      </w:pPr>
      <w:r>
        <w:rPr>
          <w:rFonts w:ascii="Arial" w:eastAsia="Lucida Sans Unicode" w:hAnsi="Arial" w:cs="Times New Roman"/>
          <w:i/>
          <w:sz w:val="22"/>
          <w:lang w:bidi="ar-SA"/>
        </w:rPr>
        <w:t>CONCLUSIONES</w:t>
      </w:r>
    </w:p>
    <w:p w:rsidR="00061CF1" w:rsidRDefault="004E6D5A">
      <w:pPr>
        <w:widowControl/>
        <w:spacing w:before="120"/>
        <w:jc w:val="both"/>
        <w:textAlignment w:val="auto"/>
      </w:pPr>
      <w:r>
        <w:rPr>
          <w:rFonts w:ascii="Arial" w:eastAsia="Arial Unicode MS" w:hAnsi="Arial" w:cs="Arial"/>
          <w:i/>
          <w:sz w:val="22"/>
          <w:szCs w:val="22"/>
          <w:lang w:eastAsia="ar-SA" w:bidi="ar-SA"/>
        </w:rPr>
        <w:t>Primera.- El funcionario que suscribe, Interventor del Ayuntamiento de Candelaria, dando cumplimie</w:t>
      </w:r>
      <w:r>
        <w:rPr>
          <w:rFonts w:ascii="Arial" w:eastAsia="Arial Unicode MS" w:hAnsi="Arial" w:cs="Arial"/>
          <w:i/>
          <w:sz w:val="22"/>
          <w:szCs w:val="22"/>
          <w:lang w:eastAsia="ar-SA" w:bidi="ar-SA"/>
        </w:rPr>
        <w:t xml:space="preserve">nto a lo dispuesto en el artículo 4 de la Ley 15/2010, de 5 de julio, de modificación de la Ley 3/2004, de 29 de diciembre, que establece que: </w:t>
      </w:r>
      <w:r>
        <w:rPr>
          <w:rFonts w:ascii="Arial" w:eastAsia="Arial Unicode MS" w:hAnsi="Arial" w:cs="Arial"/>
          <w:i/>
          <w:iCs/>
          <w:sz w:val="22"/>
          <w:szCs w:val="22"/>
          <w:lang w:eastAsia="ar-SA" w:bidi="ar-SA"/>
        </w:rPr>
        <w:t>“. Los Tesoreros o, en su defecto, Interventores de las Corporaciones locales elaborarán trimestralmente un infor</w:t>
      </w:r>
      <w:r>
        <w:rPr>
          <w:rFonts w:ascii="Arial" w:eastAsia="Arial Unicode MS" w:hAnsi="Arial" w:cs="Arial"/>
          <w:i/>
          <w:iCs/>
          <w:sz w:val="22"/>
          <w:szCs w:val="22"/>
          <w:lang w:eastAsia="ar-SA" w:bidi="ar-SA"/>
        </w:rPr>
        <w:t>me sobre el cumplimiento de los plazos previstos en esta Ley para el pago de las obligaciones de cada Entidad local, que incluirá necesariamente el número y cuantía global de las obligaciones pendientes en las que se esté incumpliendo el plazo.</w:t>
      </w:r>
    </w:p>
    <w:p w:rsidR="00061CF1" w:rsidRDefault="004E6D5A">
      <w:pPr>
        <w:widowControl/>
        <w:spacing w:before="120"/>
        <w:jc w:val="both"/>
        <w:textAlignment w:val="auto"/>
      </w:pPr>
      <w:r>
        <w:rPr>
          <w:rFonts w:ascii="Arial" w:eastAsia="Arial Unicode MS" w:hAnsi="Arial" w:cs="Arial"/>
          <w:i/>
          <w:iCs/>
          <w:sz w:val="22"/>
          <w:szCs w:val="22"/>
          <w:lang w:eastAsia="ar-SA" w:bidi="ar-SA"/>
        </w:rPr>
        <w:t>4. Sin perj</w:t>
      </w:r>
      <w:r>
        <w:rPr>
          <w:rFonts w:ascii="Arial" w:eastAsia="Arial Unicode MS" w:hAnsi="Arial" w:cs="Arial"/>
          <w:i/>
          <w:iCs/>
          <w:sz w:val="22"/>
          <w:szCs w:val="22"/>
          <w:lang w:eastAsia="ar-SA" w:bidi="ar-SA"/>
        </w:rPr>
        <w:t>uicio de su posible presentación y debate en el Pleno de la Corporación local, dicho informe deberá remitirse, en todo caso, a los órganos competentes del Ministerio de Economía y Hacienda y, en su respectivo ámbito territorial, a los de las Comunidades Au</w:t>
      </w:r>
      <w:r>
        <w:rPr>
          <w:rFonts w:ascii="Arial" w:eastAsia="Arial Unicode MS" w:hAnsi="Arial" w:cs="Arial"/>
          <w:i/>
          <w:iCs/>
          <w:sz w:val="22"/>
          <w:szCs w:val="22"/>
          <w:lang w:eastAsia="ar-SA" w:bidi="ar-SA"/>
        </w:rPr>
        <w:t>tónomas que, con arreglo a sus respectivos Estatutos de Autonomía, tengan atribuida la tutela financiera de las Entidades locales. Tales órganos podrán igualmente requerir la remisión de los citados informes.(...)”</w:t>
      </w:r>
      <w:r>
        <w:rPr>
          <w:rFonts w:ascii="Arial" w:eastAsia="Arial Unicode MS" w:hAnsi="Arial" w:cs="Arial"/>
          <w:i/>
          <w:sz w:val="22"/>
          <w:szCs w:val="22"/>
          <w:lang w:eastAsia="ar-SA" w:bidi="ar-SA"/>
        </w:rPr>
        <w:t xml:space="preserve"> tiene a bien informar que, según los dato</w:t>
      </w:r>
      <w:r>
        <w:rPr>
          <w:rFonts w:ascii="Arial" w:eastAsia="Arial Unicode MS" w:hAnsi="Arial" w:cs="Arial"/>
          <w:i/>
          <w:sz w:val="22"/>
          <w:szCs w:val="22"/>
          <w:lang w:eastAsia="ar-SA" w:bidi="ar-SA"/>
        </w:rPr>
        <w:t>s obrantes en la contabilidad a fecha 8 de octubre de 2025, el resumen de los plazos de pago en esta corporación ha sido el siguiente:</w:t>
      </w: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4E6D5A">
      <w:pPr>
        <w:widowControl/>
        <w:spacing w:before="120"/>
        <w:jc w:val="both"/>
        <w:textAlignment w:val="auto"/>
      </w:pPr>
      <w:r>
        <w:rPr>
          <w:rFonts w:ascii="Verdana" w:eastAsia="Arial Unicode MS" w:hAnsi="Verdana" w:cs="Arial Unicode MS"/>
          <w:i/>
          <w:noProof/>
          <w:sz w:val="17"/>
          <w:szCs w:val="17"/>
          <w:lang w:eastAsia="es-ES" w:bidi="ar-SA"/>
        </w:rPr>
        <w:drawing>
          <wp:inline distT="0" distB="0" distL="0" distR="0">
            <wp:extent cx="5400675" cy="1762121"/>
            <wp:effectExtent l="0" t="0" r="9525" b="0"/>
            <wp:docPr id="11" name="Imagen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400675" cy="1762121"/>
                    </a:xfrm>
                    <a:prstGeom prst="rect">
                      <a:avLst/>
                    </a:prstGeom>
                    <a:noFill/>
                    <a:ln>
                      <a:noFill/>
                      <a:prstDash/>
                    </a:ln>
                  </pic:spPr>
                </pic:pic>
              </a:graphicData>
            </a:graphic>
          </wp:inline>
        </w:drawing>
      </w: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4E6D5A">
      <w:pPr>
        <w:widowControl/>
        <w:spacing w:before="120"/>
        <w:jc w:val="both"/>
        <w:textAlignment w:val="auto"/>
      </w:pPr>
      <w:r>
        <w:rPr>
          <w:rFonts w:ascii="Verdana" w:eastAsia="Arial Unicode MS" w:hAnsi="Verdana" w:cs="Arial Unicode MS"/>
          <w:i/>
          <w:noProof/>
          <w:sz w:val="17"/>
          <w:szCs w:val="17"/>
          <w:lang w:eastAsia="es-ES" w:bidi="ar-SA"/>
        </w:rPr>
        <w:drawing>
          <wp:inline distT="0" distB="0" distL="0" distR="0">
            <wp:extent cx="5400675" cy="3047996"/>
            <wp:effectExtent l="0" t="0" r="9525" b="4"/>
            <wp:docPr id="12" name="Imagen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400675" cy="3047996"/>
                    </a:xfrm>
                    <a:prstGeom prst="rect">
                      <a:avLst/>
                    </a:prstGeom>
                    <a:noFill/>
                    <a:ln>
                      <a:noFill/>
                      <a:prstDash/>
                    </a:ln>
                  </pic:spPr>
                </pic:pic>
              </a:graphicData>
            </a:graphic>
          </wp:inline>
        </w:drawing>
      </w:r>
    </w:p>
    <w:p w:rsidR="00061CF1" w:rsidRDefault="00061CF1">
      <w:pPr>
        <w:widowControl/>
        <w:spacing w:before="120"/>
        <w:jc w:val="both"/>
        <w:textAlignment w:val="auto"/>
        <w:rPr>
          <w:rFonts w:ascii="Arial" w:eastAsia="Arial Unicode MS" w:hAnsi="Arial" w:cs="Arial"/>
          <w:i/>
          <w:sz w:val="22"/>
          <w:szCs w:val="22"/>
          <w:lang w:eastAsia="ar-SA" w:bidi="ar-SA"/>
        </w:rPr>
      </w:pPr>
    </w:p>
    <w:tbl>
      <w:tblPr>
        <w:tblW w:w="8505" w:type="dxa"/>
        <w:tblInd w:w="70" w:type="dxa"/>
        <w:tblCellMar>
          <w:left w:w="10" w:type="dxa"/>
          <w:right w:w="10" w:type="dxa"/>
        </w:tblCellMar>
        <w:tblLook w:val="0000" w:firstRow="0" w:lastRow="0" w:firstColumn="0" w:lastColumn="0" w:noHBand="0" w:noVBand="0"/>
      </w:tblPr>
      <w:tblGrid>
        <w:gridCol w:w="2327"/>
        <w:gridCol w:w="1359"/>
        <w:gridCol w:w="1796"/>
        <w:gridCol w:w="6"/>
        <w:gridCol w:w="1264"/>
        <w:gridCol w:w="1753"/>
      </w:tblGrid>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bCs/>
                <w:i/>
                <w:color w:val="000000"/>
                <w:kern w:val="0"/>
                <w:sz w:val="22"/>
                <w:szCs w:val="22"/>
                <w:lang w:bidi="ar-SA"/>
              </w:rPr>
            </w:pPr>
            <w:r>
              <w:rPr>
                <w:rFonts w:ascii="Calibri" w:eastAsia="Lucida Sans Unicode" w:hAnsi="Calibri" w:cs="Calibri"/>
                <w:bCs/>
                <w:i/>
                <w:color w:val="000000"/>
                <w:kern w:val="0"/>
                <w:sz w:val="22"/>
                <w:szCs w:val="22"/>
                <w:lang w:bidi="ar-SA"/>
              </w:rPr>
              <w:t>EPELCAN</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bCs/>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PAGOS REALIZADOS EN EL PERIODO</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22,94</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33</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18.901,23</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2</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8.064,63</w:t>
            </w:r>
          </w:p>
        </w:tc>
      </w:tr>
      <w:tr w:rsidR="00061CF1">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i/>
                <w:color w:val="000000"/>
                <w:kern w:val="0"/>
                <w:sz w:val="22"/>
                <w:szCs w:val="22"/>
                <w:lang w:bidi="ar-SA"/>
              </w:rPr>
            </w:pPr>
          </w:p>
          <w:p w:rsidR="00061CF1" w:rsidRDefault="004E6D5A">
            <w:pPr>
              <w:suppressAutoHyphens w:val="0"/>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FACTURAS O DOCUMENTOS PENDIENTES DE PAGO AL FINAL DEL PERIODO</w:t>
            </w:r>
          </w:p>
        </w:tc>
        <w:tc>
          <w:tcPr>
            <w:tcW w:w="1264"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xml:space="preserve">Periodo </w:t>
            </w:r>
            <w:r>
              <w:rPr>
                <w:rFonts w:ascii="Calibri" w:eastAsia="Lucida Sans Unicode" w:hAnsi="Calibri" w:cs="Calibri"/>
                <w:i/>
                <w:color w:val="000000"/>
                <w:kern w:val="0"/>
                <w:sz w:val="22"/>
                <w:szCs w:val="22"/>
                <w:lang w:bidi="ar-SA"/>
              </w:rPr>
              <w:t>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11,08</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Calibri" w:eastAsia="Lucida Sans Unicode" w:hAnsi="Calibri" w:cs="Calibri"/>
                <w:i/>
                <w:color w:val="000000"/>
                <w:kern w:val="0"/>
                <w:sz w:val="22"/>
                <w:szCs w:val="22"/>
                <w:lang w:bidi="ar-SA"/>
              </w:rPr>
            </w:pPr>
            <w:bookmarkStart w:id="1" w:name="Bookmark3"/>
            <w:bookmarkEnd w:id="1"/>
            <w:r>
              <w:rPr>
                <w:rFonts w:ascii="Calibri" w:eastAsia="Lucida Sans Unicode" w:hAnsi="Calibri" w:cs="Calibri"/>
                <w:i/>
                <w:color w:val="000000"/>
                <w:kern w:val="0"/>
                <w:sz w:val="22"/>
                <w:szCs w:val="22"/>
                <w:lang w:bidi="ar-SA"/>
              </w:rPr>
              <w:t>17</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12.102,98</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0,00</w:t>
            </w:r>
          </w:p>
        </w:tc>
      </w:tr>
      <w:tr w:rsidR="00061CF1">
        <w:tblPrEx>
          <w:tblCellMar>
            <w:top w:w="0" w:type="dxa"/>
            <w:bottom w:w="0" w:type="dxa"/>
          </w:tblCellMar>
        </w:tblPrEx>
        <w:trPr>
          <w:trHeight w:val="298"/>
        </w:trPr>
        <w:tc>
          <w:tcPr>
            <w:tcW w:w="3686" w:type="dxa"/>
            <w:gridSpan w:val="2"/>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Cs/>
                <w:i/>
                <w:color w:val="000000"/>
                <w:kern w:val="0"/>
                <w:sz w:val="22"/>
                <w:szCs w:val="22"/>
                <w:lang w:bidi="ar-SA"/>
              </w:rPr>
            </w:pPr>
          </w:p>
          <w:p w:rsidR="00061CF1" w:rsidRDefault="004E6D5A">
            <w:pPr>
              <w:suppressAutoHyphens w:val="0"/>
              <w:textAlignment w:val="auto"/>
              <w:rPr>
                <w:rFonts w:ascii="Calibri" w:eastAsia="Lucida Sans Unicode" w:hAnsi="Calibri" w:cs="Calibri"/>
                <w:bCs/>
                <w:i/>
                <w:color w:val="000000"/>
                <w:kern w:val="0"/>
                <w:sz w:val="22"/>
                <w:szCs w:val="22"/>
                <w:lang w:bidi="ar-SA"/>
              </w:rPr>
            </w:pPr>
            <w:r>
              <w:rPr>
                <w:rFonts w:ascii="Calibri" w:eastAsia="Lucida Sans Unicode" w:hAnsi="Calibri" w:cs="Calibri"/>
                <w:bCs/>
                <w:i/>
                <w:color w:val="000000"/>
                <w:kern w:val="0"/>
                <w:sz w:val="22"/>
                <w:szCs w:val="22"/>
                <w:lang w:bidi="ar-SA"/>
              </w:rPr>
              <w:t>VIVIENDAS Y SERVICIOS MUNICIPALES DE CANDELARIA</w:t>
            </w:r>
          </w:p>
        </w:tc>
        <w:tc>
          <w:tcPr>
            <w:tcW w:w="1796"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bCs/>
                <w:i/>
                <w:color w:val="000000"/>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PAGOS REALIZADOS EN EL PERIODO</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xml:space="preserve">Fuera del </w:t>
            </w:r>
            <w:r>
              <w:rPr>
                <w:rFonts w:ascii="Calibri" w:eastAsia="Lucida Sans Unicode" w:hAnsi="Calibri" w:cs="Calibri"/>
                <w:i/>
                <w:color w:val="000000"/>
                <w:kern w:val="0"/>
                <w:sz w:val="22"/>
                <w:szCs w:val="22"/>
                <w:lang w:bidi="ar-SA"/>
              </w:rPr>
              <w:t>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19,41</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40</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20.639,52</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21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11.883,84</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Cs/>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bCs/>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FACTURAS O DOCUMENTOS PENDIENTES DE PAGO AL FINAL DEL PERIODO</w:t>
            </w:r>
          </w:p>
          <w:p w:rsidR="00061CF1" w:rsidRDefault="00061CF1">
            <w:pPr>
              <w:suppressAutoHyphens w:val="0"/>
              <w:textAlignment w:val="auto"/>
              <w:rPr>
                <w:rFonts w:ascii="Calibri" w:eastAsia="Lucida Sans Unicode" w:hAnsi="Calibri" w:cs="Calibri"/>
                <w:i/>
                <w:color w:val="000000"/>
                <w:kern w:val="0"/>
                <w:sz w:val="22"/>
                <w:szCs w:val="22"/>
                <w:lang w:bidi="ar-SA"/>
              </w:rPr>
            </w:pPr>
          </w:p>
        </w:tc>
        <w:tc>
          <w:tcPr>
            <w:tcW w:w="1264"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i/>
                <w:color w:val="000000"/>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xml:space="preserve">Dentro del Periodo Legal </w:t>
            </w:r>
            <w:r>
              <w:rPr>
                <w:rFonts w:ascii="Calibri" w:eastAsia="Lucida Sans Unicode" w:hAnsi="Calibri" w:cs="Calibri"/>
                <w:i/>
                <w:color w:val="000000"/>
                <w:kern w:val="0"/>
                <w:sz w:val="22"/>
                <w:szCs w:val="22"/>
                <w:lang w:bidi="ar-SA"/>
              </w:rPr>
              <w:t>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Periodo 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12,18</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5</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4.091,55</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0,00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0,00</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Cs/>
                <w:i/>
                <w:color w:val="000000"/>
                <w:kern w:val="0"/>
                <w:sz w:val="22"/>
                <w:szCs w:val="22"/>
                <w:lang w:bidi="ar-SA"/>
              </w:rPr>
            </w:pPr>
          </w:p>
          <w:p w:rsidR="00061CF1" w:rsidRDefault="00061CF1">
            <w:pPr>
              <w:suppressAutoHyphens w:val="0"/>
              <w:textAlignment w:val="auto"/>
              <w:rPr>
                <w:rFonts w:ascii="Calibri" w:eastAsia="Lucida Sans Unicode" w:hAnsi="Calibri" w:cs="Calibri"/>
                <w:bCs/>
                <w:i/>
                <w:color w:val="000000"/>
                <w:kern w:val="0"/>
                <w:sz w:val="22"/>
                <w:szCs w:val="22"/>
                <w:lang w:bidi="ar-SA"/>
              </w:rPr>
            </w:pPr>
          </w:p>
          <w:p w:rsidR="00061CF1" w:rsidRDefault="004E6D5A">
            <w:pPr>
              <w:suppressAutoHyphens w:val="0"/>
              <w:textAlignment w:val="auto"/>
              <w:rPr>
                <w:rFonts w:ascii="Calibri" w:eastAsia="Lucida Sans Unicode" w:hAnsi="Calibri" w:cs="Calibri"/>
                <w:bCs/>
                <w:i/>
                <w:color w:val="000000"/>
                <w:kern w:val="0"/>
                <w:sz w:val="22"/>
                <w:szCs w:val="22"/>
                <w:lang w:bidi="ar-SA"/>
              </w:rPr>
            </w:pPr>
            <w:r>
              <w:rPr>
                <w:rFonts w:ascii="Calibri" w:eastAsia="Lucida Sans Unicode" w:hAnsi="Calibri" w:cs="Calibri"/>
                <w:bCs/>
                <w:i/>
                <w:color w:val="000000"/>
                <w:kern w:val="0"/>
                <w:sz w:val="22"/>
                <w:szCs w:val="22"/>
                <w:lang w:bidi="ar-SA"/>
              </w:rPr>
              <w:t>CANDESOL</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bCs/>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PAGOS REALIZADOS EN EL PERIODO</w:t>
            </w:r>
          </w:p>
          <w:p w:rsidR="00061CF1" w:rsidRDefault="00061CF1">
            <w:pPr>
              <w:suppressAutoHyphens w:val="0"/>
              <w:textAlignment w:val="auto"/>
              <w:rPr>
                <w:rFonts w:ascii="Calibri" w:eastAsia="Lucida Sans Unicode" w:hAnsi="Calibri" w:cs="Calibri"/>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5,63</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center"/>
              <w:textAlignment w:val="auto"/>
            </w:pPr>
            <w:r>
              <w:rPr>
                <w:rFonts w:ascii="Calibri" w:eastAsia="Lucida Sans Unicode" w:hAnsi="Calibri" w:cs="Calibri"/>
                <w:i/>
                <w:color w:val="000000"/>
                <w:sz w:val="22"/>
                <w:szCs w:val="22"/>
                <w:lang w:bidi="ar-SA"/>
              </w:rPr>
              <w:t>39</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Calibri" w:eastAsia="Lucida Sans Unicode" w:hAnsi="Calibri" w:cs="Calibri"/>
                <w:i/>
                <w:color w:val="000000"/>
                <w:sz w:val="22"/>
                <w:szCs w:val="22"/>
                <w:lang w:bidi="ar-SA"/>
              </w:rPr>
            </w:pPr>
            <w:r>
              <w:rPr>
                <w:rFonts w:ascii="Calibri" w:eastAsia="Lucida Sans Unicode" w:hAnsi="Calibri" w:cs="Calibri"/>
                <w:i/>
                <w:color w:val="000000"/>
                <w:sz w:val="22"/>
                <w:szCs w:val="22"/>
                <w:lang w:bidi="ar-SA"/>
              </w:rPr>
              <w:t xml:space="preserve">12.794,35 </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382,63</w:t>
            </w:r>
          </w:p>
        </w:tc>
      </w:tr>
    </w:tbl>
    <w:p w:rsidR="00061CF1" w:rsidRDefault="00061CF1">
      <w:pPr>
        <w:spacing w:before="120"/>
        <w:ind w:firstLine="709"/>
        <w:jc w:val="both"/>
        <w:textAlignment w:val="auto"/>
        <w:rPr>
          <w:rFonts w:ascii="Arial" w:eastAsia="Lucida Sans Unicode" w:hAnsi="Arial" w:cs="Arial"/>
          <w:i/>
          <w:sz w:val="22"/>
          <w:szCs w:val="22"/>
          <w:lang w:bidi="ar-SA"/>
        </w:rPr>
      </w:pPr>
    </w:p>
    <w:p w:rsidR="00061CF1" w:rsidRDefault="00061CF1">
      <w:pPr>
        <w:spacing w:before="120"/>
        <w:ind w:firstLine="709"/>
        <w:jc w:val="both"/>
        <w:textAlignment w:val="auto"/>
        <w:rPr>
          <w:rFonts w:ascii="Arial" w:eastAsia="Lucida Sans Unicode" w:hAnsi="Arial" w:cs="Arial"/>
          <w:i/>
          <w:sz w:val="22"/>
          <w:szCs w:val="22"/>
          <w:lang w:bidi="ar-SA"/>
        </w:rPr>
      </w:pPr>
    </w:p>
    <w:p w:rsidR="00061CF1" w:rsidRDefault="00061CF1">
      <w:pPr>
        <w:spacing w:before="120"/>
        <w:ind w:firstLine="709"/>
        <w:jc w:val="both"/>
        <w:textAlignment w:val="auto"/>
        <w:rPr>
          <w:rFonts w:ascii="Arial" w:eastAsia="Lucida Sans Unicode" w:hAnsi="Arial" w:cs="Arial"/>
          <w:i/>
          <w:sz w:val="22"/>
          <w:szCs w:val="22"/>
          <w:lang w:bidi="ar-SA"/>
        </w:rPr>
      </w:pPr>
    </w:p>
    <w:tbl>
      <w:tblPr>
        <w:tblW w:w="8505" w:type="dxa"/>
        <w:tblInd w:w="70" w:type="dxa"/>
        <w:tblCellMar>
          <w:left w:w="10" w:type="dxa"/>
          <w:right w:w="10" w:type="dxa"/>
        </w:tblCellMar>
        <w:tblLook w:val="0000" w:firstRow="0" w:lastRow="0" w:firstColumn="0" w:lastColumn="0" w:noHBand="0" w:noVBand="0"/>
      </w:tblPr>
      <w:tblGrid>
        <w:gridCol w:w="2327"/>
        <w:gridCol w:w="1359"/>
        <w:gridCol w:w="1796"/>
        <w:gridCol w:w="6"/>
        <w:gridCol w:w="1264"/>
        <w:gridCol w:w="1753"/>
      </w:tblGrid>
      <w:tr w:rsidR="00061CF1">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FACTURAS O DOCUMENTOS PENDIENTES DE PAGO AL FINAL DEL PERIODO</w:t>
            </w:r>
          </w:p>
        </w:tc>
        <w:tc>
          <w:tcPr>
            <w:tcW w:w="1264" w:type="dxa"/>
            <w:shd w:val="clear" w:color="auto" w:fill="auto"/>
            <w:noWrap/>
            <w:tcMar>
              <w:top w:w="0" w:type="dxa"/>
              <w:left w:w="70" w:type="dxa"/>
              <w:bottom w:w="0" w:type="dxa"/>
              <w:right w:w="70" w:type="dxa"/>
            </w:tcMar>
            <w:vAlign w:val="bottom"/>
          </w:tcPr>
          <w:p w:rsidR="00061CF1" w:rsidRDefault="00061CF1">
            <w:pPr>
              <w:textAlignment w:val="auto"/>
              <w:rPr>
                <w:rFonts w:ascii="Calibri" w:eastAsia="Lucida Sans Unicode" w:hAnsi="Calibri" w:cs="Calibri"/>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 xml:space="preserve">Fuera del </w:t>
            </w:r>
            <w:r>
              <w:rPr>
                <w:rFonts w:ascii="Calibri" w:eastAsia="Lucida Sans Unicode" w:hAnsi="Calibri" w:cs="Calibri"/>
                <w:i/>
                <w:color w:val="000000"/>
                <w:kern w:val="0"/>
                <w:sz w:val="22"/>
                <w:szCs w:val="22"/>
                <w:lang w:bidi="ar-SA"/>
              </w:rPr>
              <w:t>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Periodo 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24,5</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3</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856,61</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i/>
                <w:color w:val="000000"/>
                <w:kern w:val="0"/>
                <w:sz w:val="22"/>
                <w:szCs w:val="22"/>
                <w:lang w:bidi="ar-SA"/>
              </w:rPr>
            </w:pPr>
            <w:r>
              <w:rPr>
                <w:rFonts w:ascii="Calibri" w:eastAsia="Lucida Sans Unicode" w:hAnsi="Calibri" w:cs="Calibri"/>
                <w:i/>
                <w:color w:val="000000"/>
                <w:kern w:val="0"/>
                <w:sz w:val="22"/>
                <w:szCs w:val="22"/>
                <w:lang w:bidi="ar-SA"/>
              </w:rPr>
              <w:t>2.675,00</w:t>
            </w:r>
          </w:p>
        </w:tc>
      </w:tr>
    </w:tbl>
    <w:p w:rsidR="00061CF1" w:rsidRDefault="00061CF1">
      <w:pPr>
        <w:spacing w:before="120"/>
        <w:jc w:val="both"/>
        <w:textAlignment w:val="auto"/>
        <w:rPr>
          <w:rFonts w:ascii="Arial" w:eastAsia="Lucida Sans Unicode" w:hAnsi="Arial" w:cs="Arial"/>
          <w:i/>
          <w:sz w:val="22"/>
          <w:szCs w:val="22"/>
          <w:lang w:bidi="ar-SA"/>
        </w:rPr>
      </w:pPr>
    </w:p>
    <w:p w:rsidR="00061CF1" w:rsidRDefault="004E6D5A">
      <w:pPr>
        <w:spacing w:before="120"/>
        <w:ind w:firstLine="709"/>
        <w:jc w:val="both"/>
        <w:textAlignment w:val="auto"/>
      </w:pPr>
      <w:r>
        <w:rPr>
          <w:rFonts w:ascii="Arial" w:eastAsia="Lucida Sans Unicode" w:hAnsi="Arial" w:cs="Arial"/>
          <w:i/>
          <w:sz w:val="22"/>
          <w:szCs w:val="22"/>
          <w:lang w:bidi="ar-SA"/>
        </w:rPr>
        <w:t xml:space="preserve">Esto es cuanto se tiene a bien informar en cumplimiento del artículo 4 de la </w:t>
      </w:r>
      <w:r>
        <w:rPr>
          <w:rFonts w:ascii="Arial" w:eastAsia="Arial Unicode MS" w:hAnsi="Arial" w:cs="Arial"/>
          <w:i/>
          <w:sz w:val="22"/>
          <w:szCs w:val="22"/>
          <w:lang w:bidi="ar-SA"/>
        </w:rPr>
        <w:t xml:space="preserve">Ley 15/2010, de 5 de </w:t>
      </w:r>
      <w:r>
        <w:rPr>
          <w:rFonts w:ascii="Arial" w:eastAsia="Arial Unicode MS" w:hAnsi="Arial" w:cs="Arial"/>
          <w:i/>
          <w:sz w:val="22"/>
          <w:szCs w:val="22"/>
          <w:lang w:bidi="ar-SA"/>
        </w:rPr>
        <w:t>julio, de modificación de la Ley 3/2004, de 29 de diciembre, por la que se establecen medidas de lucha contra la morosidad en las operaciones comerciales, dándose traslado del presente informe a la Alcaldía, para su remisión al Pleno”.</w:t>
      </w:r>
    </w:p>
    <w:p w:rsidR="00061CF1" w:rsidRDefault="00061CF1">
      <w:pPr>
        <w:spacing w:after="120"/>
        <w:jc w:val="both"/>
        <w:textAlignment w:val="auto"/>
        <w:rPr>
          <w:rFonts w:ascii="Arial" w:eastAsia="Lucida Sans Unicode" w:hAnsi="Arial" w:cs="Arial"/>
          <w:b/>
          <w:i/>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4E6D5A">
      <w:pPr>
        <w:spacing w:after="120"/>
        <w:jc w:val="both"/>
        <w:textAlignment w:val="auto"/>
        <w:rPr>
          <w:rFonts w:ascii="Arial" w:eastAsia="Lucida Sans Unicode" w:hAnsi="Arial" w:cs="Arial"/>
          <w:b/>
          <w:color w:val="000000"/>
          <w:lang w:bidi="ar-SA"/>
        </w:rPr>
      </w:pPr>
      <w:r>
        <w:rPr>
          <w:rFonts w:ascii="Arial" w:eastAsia="Lucida Sans Unicode" w:hAnsi="Arial" w:cs="Arial"/>
          <w:b/>
          <w:color w:val="000000"/>
          <w:lang w:bidi="ar-SA"/>
        </w:rPr>
        <w:t xml:space="preserve">Consta en el </w:t>
      </w:r>
      <w:r>
        <w:rPr>
          <w:rFonts w:ascii="Arial" w:eastAsia="Lucida Sans Unicode" w:hAnsi="Arial" w:cs="Arial"/>
          <w:b/>
          <w:color w:val="000000"/>
          <w:lang w:bidi="ar-SA"/>
        </w:rPr>
        <w:t>expediente propuesta del Concejal delegado de Hacienda de fecha 28 de octubre de 2025 que transcrita literalmente dice:</w:t>
      </w:r>
    </w:p>
    <w:p w:rsidR="00061CF1" w:rsidRDefault="004E6D5A">
      <w:pPr>
        <w:keepNext/>
        <w:widowControl/>
        <w:spacing w:before="120"/>
        <w:jc w:val="both"/>
        <w:textAlignment w:val="auto"/>
      </w:pPr>
      <w:r>
        <w:rPr>
          <w:rFonts w:ascii="Arial" w:eastAsia="Microsoft YaHei" w:hAnsi="Arial" w:cs="Arial"/>
          <w:b/>
          <w:bCs/>
          <w:i/>
          <w:sz w:val="22"/>
          <w:szCs w:val="22"/>
          <w:lang w:eastAsia="ar-SA" w:bidi="ar-SA"/>
        </w:rPr>
        <w:t>ASUNTO: Informe del Interventor municipal</w:t>
      </w:r>
      <w:r>
        <w:rPr>
          <w:rFonts w:ascii="Arial" w:eastAsia="Microsoft YaHei" w:hAnsi="Arial" w:cs="Arial"/>
          <w:b/>
          <w:i/>
          <w:iCs/>
          <w:sz w:val="22"/>
          <w:szCs w:val="22"/>
          <w:lang w:eastAsia="ar-SA" w:bidi="ar-SA"/>
        </w:rPr>
        <w:t xml:space="preserve">, </w:t>
      </w:r>
      <w:r>
        <w:rPr>
          <w:rFonts w:ascii="Arial" w:eastAsia="Microsoft YaHei" w:hAnsi="Arial" w:cs="Arial"/>
          <w:b/>
          <w:bCs/>
          <w:i/>
          <w:sz w:val="22"/>
          <w:szCs w:val="22"/>
          <w:lang w:eastAsia="ar-SA" w:bidi="ar-SA"/>
        </w:rPr>
        <w:t xml:space="preserve">de Cumplimiento de Plazos de la Ley 15/2010 correspondiente al Tercer Trimestre de 2025 del </w:t>
      </w:r>
      <w:r>
        <w:rPr>
          <w:rFonts w:ascii="Arial" w:eastAsia="Microsoft YaHei" w:hAnsi="Arial" w:cs="Arial"/>
          <w:b/>
          <w:bCs/>
          <w:i/>
          <w:sz w:val="22"/>
          <w:szCs w:val="22"/>
          <w:lang w:eastAsia="ar-SA" w:bidi="ar-SA"/>
        </w:rPr>
        <w:t>Ayuntamiento de Candelaria. Toma de Conocimiento</w:t>
      </w:r>
    </w:p>
    <w:p w:rsidR="00061CF1" w:rsidRDefault="00061CF1">
      <w:pPr>
        <w:spacing w:after="120"/>
        <w:textAlignment w:val="auto"/>
        <w:rPr>
          <w:rFonts w:ascii="Arial" w:eastAsia="Lucida Sans Unicode" w:hAnsi="Arial" w:cs="Arial"/>
          <w:i/>
          <w:sz w:val="22"/>
          <w:szCs w:val="22"/>
          <w:lang w:eastAsia="ar-SA" w:bidi="ar-SA"/>
        </w:rPr>
      </w:pPr>
    </w:p>
    <w:p w:rsidR="00061CF1" w:rsidRDefault="004E6D5A">
      <w:pPr>
        <w:spacing w:before="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Visto el Informe de la intervención, relativo al estudio del Cumplimiento de los Plazos de la Ley 15/2010 correspondiente al Tercer trimestre de 2025 del Ayuntamiento de Candelaria y demás entes instrumenta</w:t>
      </w:r>
      <w:r>
        <w:rPr>
          <w:rFonts w:ascii="Arial" w:eastAsia="Lucida Sans Unicode" w:hAnsi="Arial" w:cs="Arial"/>
          <w:i/>
          <w:sz w:val="22"/>
          <w:szCs w:val="22"/>
          <w:lang w:bidi="ar-SA"/>
        </w:rPr>
        <w:t>les, cuyos datos se detallan a continuación:</w:t>
      </w:r>
    </w:p>
    <w:p w:rsidR="00061CF1" w:rsidRDefault="00061CF1">
      <w:pPr>
        <w:spacing w:before="120"/>
        <w:jc w:val="both"/>
        <w:textAlignment w:val="auto"/>
        <w:rPr>
          <w:rFonts w:ascii="Arial" w:eastAsia="Lucida Sans Unicode" w:hAnsi="Arial" w:cs="Arial"/>
          <w:i/>
          <w:sz w:val="22"/>
          <w:szCs w:val="22"/>
          <w:lang w:bidi="ar-SA"/>
        </w:rPr>
      </w:pPr>
    </w:p>
    <w:p w:rsidR="00061CF1" w:rsidRDefault="004E6D5A">
      <w:pPr>
        <w:spacing w:after="120"/>
        <w:ind w:left="2124" w:firstLine="708"/>
        <w:textAlignment w:val="auto"/>
      </w:pPr>
      <w:r>
        <w:rPr>
          <w:rFonts w:ascii="Arial" w:eastAsia="Lucida Sans Unicode" w:hAnsi="Arial" w:cs="Arial"/>
          <w:i/>
          <w:sz w:val="22"/>
          <w:szCs w:val="22"/>
          <w:lang w:bidi="ar-SA"/>
        </w:rPr>
        <w:t> “ </w:t>
      </w:r>
      <w:r>
        <w:rPr>
          <w:rFonts w:ascii="Arial" w:eastAsia="Lucida Sans Unicode" w:hAnsi="Arial" w:cs="Arial"/>
          <w:b/>
          <w:i/>
          <w:sz w:val="22"/>
          <w:szCs w:val="22"/>
          <w:lang w:bidi="ar-SA"/>
        </w:rPr>
        <w:t>Antecedentes de hecho</w:t>
      </w:r>
    </w:p>
    <w:p w:rsidR="00061CF1" w:rsidRDefault="004E6D5A">
      <w:pPr>
        <w:spacing w:after="120"/>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I.- Ha sido remitida a esta intervención, información de los entes dependientes para el cálculo del informe de morosidad del Tercer trimestre del ejercicio 2025. </w:t>
      </w:r>
    </w:p>
    <w:p w:rsidR="00061CF1" w:rsidRDefault="004E6D5A">
      <w:pPr>
        <w:spacing w:after="120"/>
        <w:jc w:val="center"/>
        <w:textAlignment w:val="auto"/>
      </w:pPr>
      <w:r>
        <w:rPr>
          <w:rFonts w:ascii="Arial" w:eastAsia="Lucida Sans Unicode" w:hAnsi="Arial" w:cs="Arial"/>
          <w:b/>
          <w:i/>
          <w:sz w:val="22"/>
          <w:szCs w:val="22"/>
          <w:lang w:bidi="ar-SA"/>
        </w:rPr>
        <w:t>CONCLUSIONES</w:t>
      </w:r>
    </w:p>
    <w:p w:rsidR="00061CF1" w:rsidRDefault="004E6D5A">
      <w:pPr>
        <w:widowControl/>
        <w:spacing w:before="120"/>
        <w:jc w:val="both"/>
        <w:textAlignment w:val="auto"/>
      </w:pPr>
      <w:r>
        <w:rPr>
          <w:rFonts w:ascii="Arial" w:eastAsia="Arial Unicode MS" w:hAnsi="Arial" w:cs="Arial"/>
          <w:b/>
          <w:i/>
          <w:sz w:val="22"/>
          <w:szCs w:val="22"/>
          <w:lang w:eastAsia="ar-SA" w:bidi="ar-SA"/>
        </w:rPr>
        <w:t>Primera.-</w:t>
      </w:r>
      <w:r>
        <w:rPr>
          <w:rFonts w:ascii="Arial" w:eastAsia="Arial Unicode MS" w:hAnsi="Arial" w:cs="Arial"/>
          <w:i/>
          <w:sz w:val="22"/>
          <w:szCs w:val="22"/>
          <w:lang w:eastAsia="ar-SA" w:bidi="ar-SA"/>
        </w:rPr>
        <w:t xml:space="preserve"> El funcionario que suscribe, Interventor del Ayuntamiento de Candelaria, dando cumplimiento a lo dispuesto en el artículo 4 de la Ley 15/2010, de 5 de julio, de modificación de la Ley 3/2004, de 29 de diciembre, que establece que: </w:t>
      </w:r>
      <w:r>
        <w:rPr>
          <w:rFonts w:ascii="Arial" w:eastAsia="Arial Unicode MS" w:hAnsi="Arial" w:cs="Arial"/>
          <w:i/>
          <w:iCs/>
          <w:sz w:val="22"/>
          <w:szCs w:val="22"/>
          <w:lang w:eastAsia="ar-SA" w:bidi="ar-SA"/>
        </w:rPr>
        <w:t>“. Los Tesoreros o, en s</w:t>
      </w:r>
      <w:r>
        <w:rPr>
          <w:rFonts w:ascii="Arial" w:eastAsia="Arial Unicode MS" w:hAnsi="Arial" w:cs="Arial"/>
          <w:i/>
          <w:iCs/>
          <w:sz w:val="22"/>
          <w:szCs w:val="22"/>
          <w:lang w:eastAsia="ar-SA" w:bidi="ar-SA"/>
        </w:rPr>
        <w:t>u defecto, Interventores de las Corporaciones locales elaborarán trimestralmente un informe sobre el cumplimiento de los plazos previstos en esta Ley para el pago de las obligaciones de cada Entidad local, que incluirá necesariamente el número y cuantía gl</w:t>
      </w:r>
      <w:r>
        <w:rPr>
          <w:rFonts w:ascii="Arial" w:eastAsia="Arial Unicode MS" w:hAnsi="Arial" w:cs="Arial"/>
          <w:i/>
          <w:iCs/>
          <w:sz w:val="22"/>
          <w:szCs w:val="22"/>
          <w:lang w:eastAsia="ar-SA" w:bidi="ar-SA"/>
        </w:rPr>
        <w:t>obal de las obligaciones pendientes en las que se esté incumpliendo el plazo.</w:t>
      </w:r>
    </w:p>
    <w:p w:rsidR="00061CF1" w:rsidRDefault="004E6D5A">
      <w:pPr>
        <w:widowControl/>
        <w:spacing w:before="120"/>
        <w:jc w:val="both"/>
        <w:textAlignment w:val="auto"/>
      </w:pPr>
      <w:r>
        <w:rPr>
          <w:rFonts w:ascii="Arial" w:eastAsia="Arial Unicode MS" w:hAnsi="Arial" w:cs="Arial"/>
          <w:i/>
          <w:iCs/>
          <w:sz w:val="22"/>
          <w:szCs w:val="22"/>
          <w:lang w:eastAsia="ar-SA" w:bidi="ar-SA"/>
        </w:rPr>
        <w:t xml:space="preserve">4. Sin perjuicio de su posible presentación y debate en el Pleno de la Corporación local, dicho informe deberá remitirse, en todo caso, a los órganos competentes del Ministerio </w:t>
      </w:r>
      <w:r>
        <w:rPr>
          <w:rFonts w:ascii="Arial" w:eastAsia="Arial Unicode MS" w:hAnsi="Arial" w:cs="Arial"/>
          <w:i/>
          <w:iCs/>
          <w:sz w:val="22"/>
          <w:szCs w:val="22"/>
          <w:lang w:eastAsia="ar-SA" w:bidi="ar-SA"/>
        </w:rPr>
        <w:t>de Economía y Hacienda y, en su respectivo ámbito territorial, a los de las Comunidades Autónomas que, con arreglo a sus respectivos Estatutos de Autonomía, tengan atribuida la tutela financiera de las Entidades locales. Tales órganos podrán igualmente req</w:t>
      </w:r>
      <w:r>
        <w:rPr>
          <w:rFonts w:ascii="Arial" w:eastAsia="Arial Unicode MS" w:hAnsi="Arial" w:cs="Arial"/>
          <w:i/>
          <w:iCs/>
          <w:sz w:val="22"/>
          <w:szCs w:val="22"/>
          <w:lang w:eastAsia="ar-SA" w:bidi="ar-SA"/>
        </w:rPr>
        <w:t>uerir la remisión de los citados informes.(...)”</w:t>
      </w:r>
      <w:r>
        <w:rPr>
          <w:rFonts w:ascii="Arial" w:eastAsia="Arial Unicode MS" w:hAnsi="Arial" w:cs="Arial"/>
          <w:i/>
          <w:sz w:val="22"/>
          <w:szCs w:val="22"/>
          <w:lang w:eastAsia="ar-SA" w:bidi="ar-SA"/>
        </w:rPr>
        <w:t xml:space="preserve"> tiene a bien informar que, según los datos obrantes en la contabilidad a fecha 7 de julio de 2025, el resumen de los plazos de pago en esta corporación ha sido el siguiente:</w:t>
      </w: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4E6D5A">
      <w:pPr>
        <w:widowControl/>
        <w:spacing w:before="120"/>
        <w:jc w:val="both"/>
        <w:textAlignment w:val="auto"/>
      </w:pPr>
      <w:r>
        <w:rPr>
          <w:rFonts w:ascii="Arial" w:eastAsia="Arial Unicode MS" w:hAnsi="Arial" w:cs="Arial"/>
          <w:i/>
          <w:noProof/>
          <w:sz w:val="22"/>
          <w:szCs w:val="22"/>
          <w:lang w:eastAsia="es-ES" w:bidi="ar-SA"/>
        </w:rPr>
        <w:drawing>
          <wp:inline distT="0" distB="0" distL="0" distR="0">
            <wp:extent cx="5400675" cy="5038728"/>
            <wp:effectExtent l="0" t="0" r="9525" b="9522"/>
            <wp:docPr id="13" name="Imagen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400675" cy="5038728"/>
                    </a:xfrm>
                    <a:prstGeom prst="rect">
                      <a:avLst/>
                    </a:prstGeom>
                    <a:noFill/>
                    <a:ln>
                      <a:noFill/>
                      <a:prstDash/>
                    </a:ln>
                  </pic:spPr>
                </pic:pic>
              </a:graphicData>
            </a:graphic>
          </wp:inline>
        </w:drawing>
      </w:r>
    </w:p>
    <w:p w:rsidR="00061CF1" w:rsidRDefault="00061CF1">
      <w:pPr>
        <w:widowControl/>
        <w:spacing w:before="120"/>
        <w:jc w:val="both"/>
        <w:textAlignment w:val="auto"/>
        <w:rPr>
          <w:rFonts w:ascii="Arial" w:eastAsia="Arial Unicode MS" w:hAnsi="Arial" w:cs="Arial"/>
          <w:i/>
          <w:sz w:val="22"/>
          <w:szCs w:val="22"/>
          <w:lang w:eastAsia="ar-SA" w:bidi="ar-SA"/>
        </w:rPr>
      </w:pPr>
    </w:p>
    <w:p w:rsidR="00061CF1" w:rsidRDefault="00061CF1">
      <w:pPr>
        <w:widowControl/>
        <w:spacing w:before="120"/>
        <w:jc w:val="both"/>
        <w:textAlignment w:val="auto"/>
        <w:rPr>
          <w:rFonts w:ascii="Arial" w:eastAsia="Arial Unicode MS" w:hAnsi="Arial" w:cs="Arial"/>
          <w:i/>
          <w:sz w:val="22"/>
          <w:szCs w:val="22"/>
          <w:lang w:eastAsia="ar-SA" w:bidi="ar-SA"/>
        </w:rPr>
      </w:pPr>
    </w:p>
    <w:tbl>
      <w:tblPr>
        <w:tblW w:w="8505" w:type="dxa"/>
        <w:tblInd w:w="70" w:type="dxa"/>
        <w:tblCellMar>
          <w:left w:w="10" w:type="dxa"/>
          <w:right w:w="10" w:type="dxa"/>
        </w:tblCellMar>
        <w:tblLook w:val="0000" w:firstRow="0" w:lastRow="0" w:firstColumn="0" w:lastColumn="0" w:noHBand="0" w:noVBand="0"/>
      </w:tblPr>
      <w:tblGrid>
        <w:gridCol w:w="2327"/>
        <w:gridCol w:w="1359"/>
        <w:gridCol w:w="1796"/>
        <w:gridCol w:w="6"/>
        <w:gridCol w:w="1264"/>
        <w:gridCol w:w="1753"/>
      </w:tblGrid>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b/>
                <w:bCs/>
                <w:i/>
                <w:color w:val="000000"/>
                <w:kern w:val="0"/>
                <w:sz w:val="22"/>
                <w:szCs w:val="22"/>
                <w:lang w:bidi="ar-SA"/>
              </w:rPr>
            </w:pPr>
            <w:r>
              <w:rPr>
                <w:rFonts w:ascii="Arial" w:eastAsia="Lucida Sans Unicode" w:hAnsi="Arial" w:cs="Arial"/>
                <w:b/>
                <w:bCs/>
                <w:i/>
                <w:color w:val="000000"/>
                <w:kern w:val="0"/>
                <w:sz w:val="22"/>
                <w:szCs w:val="22"/>
                <w:lang w:bidi="ar-SA"/>
              </w:rPr>
              <w:t>EPELCAN</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b/>
                <w:bCs/>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PAGOS REALIZADOS EN EL PERIODO</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22,94</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33</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18.901,23</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2</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8.064,63</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xml:space="preserve">FACTURAS O DOCUMENTOS </w:t>
            </w:r>
            <w:r>
              <w:rPr>
                <w:rFonts w:ascii="Arial" w:eastAsia="Lucida Sans Unicode" w:hAnsi="Arial" w:cs="Arial"/>
                <w:i/>
                <w:color w:val="000000"/>
                <w:kern w:val="0"/>
                <w:sz w:val="22"/>
                <w:szCs w:val="22"/>
                <w:lang w:bidi="ar-SA"/>
              </w:rPr>
              <w:t>PENDIENTES DE PAGO AL FINAL DEL PERIODO</w:t>
            </w:r>
          </w:p>
        </w:tc>
        <w:tc>
          <w:tcPr>
            <w:tcW w:w="1264"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Periodo 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11,08</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17</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12.102,98</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C0C0C0"/>
                <w:left w:val="single" w:sz="2" w:space="1" w:color="C0C0C0"/>
                <w:bottom w:val="single" w:sz="2" w:space="1" w:color="C0C0C0"/>
                <w:right w:val="single" w:sz="2" w:space="1" w:color="C0C0C0"/>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0,00</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3686" w:type="dxa"/>
            <w:gridSpan w:val="2"/>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b/>
                <w:bCs/>
                <w:i/>
                <w:color w:val="000000"/>
                <w:kern w:val="0"/>
                <w:sz w:val="22"/>
                <w:szCs w:val="22"/>
                <w:lang w:bidi="ar-SA"/>
              </w:rPr>
            </w:pPr>
          </w:p>
          <w:p w:rsidR="00061CF1" w:rsidRDefault="004E6D5A">
            <w:pPr>
              <w:suppressAutoHyphens w:val="0"/>
              <w:textAlignment w:val="auto"/>
              <w:rPr>
                <w:rFonts w:ascii="Arial" w:eastAsia="Lucida Sans Unicode" w:hAnsi="Arial" w:cs="Arial"/>
                <w:b/>
                <w:bCs/>
                <w:i/>
                <w:color w:val="000000"/>
                <w:kern w:val="0"/>
                <w:sz w:val="22"/>
                <w:szCs w:val="22"/>
                <w:lang w:bidi="ar-SA"/>
              </w:rPr>
            </w:pPr>
            <w:r>
              <w:rPr>
                <w:rFonts w:ascii="Arial" w:eastAsia="Lucida Sans Unicode" w:hAnsi="Arial" w:cs="Arial"/>
                <w:b/>
                <w:bCs/>
                <w:i/>
                <w:color w:val="000000"/>
                <w:kern w:val="0"/>
                <w:sz w:val="22"/>
                <w:szCs w:val="22"/>
                <w:lang w:bidi="ar-SA"/>
              </w:rPr>
              <w:t>VIVIENDAS Y</w:t>
            </w:r>
            <w:r>
              <w:rPr>
                <w:rFonts w:ascii="Arial" w:eastAsia="Lucida Sans Unicode" w:hAnsi="Arial" w:cs="Arial"/>
                <w:b/>
                <w:bCs/>
                <w:i/>
                <w:color w:val="000000"/>
                <w:kern w:val="0"/>
                <w:sz w:val="22"/>
                <w:szCs w:val="22"/>
                <w:lang w:bidi="ar-SA"/>
              </w:rPr>
              <w:t xml:space="preserve"> SERVICIOS MUNICIPALES DE CANDELARIA</w:t>
            </w:r>
          </w:p>
        </w:tc>
        <w:tc>
          <w:tcPr>
            <w:tcW w:w="1796"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b/>
                <w:bCs/>
                <w:i/>
                <w:color w:val="000000"/>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PAGOS REALIZADOS EN EL PERIODO</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19,41</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40</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20.639,52</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21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11.883,84</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FACTURAS O DOCUMENTOS PENDIENTES DE PAGO AL FINAL DEL PERIODO</w:t>
            </w:r>
          </w:p>
          <w:p w:rsidR="00061CF1" w:rsidRDefault="00061CF1">
            <w:pPr>
              <w:suppressAutoHyphens w:val="0"/>
              <w:textAlignment w:val="auto"/>
              <w:rPr>
                <w:rFonts w:ascii="Arial" w:eastAsia="Lucida Sans Unicode" w:hAnsi="Arial" w:cs="Arial"/>
                <w:i/>
                <w:color w:val="000000"/>
                <w:kern w:val="0"/>
                <w:sz w:val="22"/>
                <w:szCs w:val="22"/>
                <w:lang w:bidi="ar-SA"/>
              </w:rPr>
            </w:pPr>
          </w:p>
        </w:tc>
        <w:tc>
          <w:tcPr>
            <w:tcW w:w="1264"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Periodo 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12,18</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5</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4.091,55</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0,00</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pBdr>
                <w:top w:val="single" w:sz="2" w:space="1" w:color="D2DADA"/>
                <w:left w:val="single" w:sz="2" w:space="1" w:color="D2DADA"/>
                <w:bottom w:val="single" w:sz="2" w:space="1" w:color="D2DADA"/>
                <w:right w:val="single" w:sz="2" w:space="1" w:color="D2DADA"/>
              </w:pBd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0,00</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b/>
                <w:bCs/>
                <w:i/>
                <w:color w:val="000000"/>
                <w:kern w:val="0"/>
                <w:sz w:val="22"/>
                <w:szCs w:val="22"/>
                <w:lang w:bidi="ar-SA"/>
              </w:rPr>
            </w:pPr>
          </w:p>
          <w:p w:rsidR="00061CF1" w:rsidRDefault="00061CF1">
            <w:pPr>
              <w:suppressAutoHyphens w:val="0"/>
              <w:textAlignment w:val="auto"/>
              <w:rPr>
                <w:rFonts w:ascii="Arial" w:eastAsia="Lucida Sans Unicode" w:hAnsi="Arial" w:cs="Arial"/>
                <w:b/>
                <w:bCs/>
                <w:i/>
                <w:color w:val="000000"/>
                <w:kern w:val="0"/>
                <w:sz w:val="22"/>
                <w:szCs w:val="22"/>
                <w:lang w:bidi="ar-SA"/>
              </w:rPr>
            </w:pPr>
          </w:p>
          <w:p w:rsidR="00061CF1" w:rsidRDefault="004E6D5A">
            <w:pPr>
              <w:suppressAutoHyphens w:val="0"/>
              <w:textAlignment w:val="auto"/>
              <w:rPr>
                <w:rFonts w:ascii="Arial" w:eastAsia="Lucida Sans Unicode" w:hAnsi="Arial" w:cs="Arial"/>
                <w:b/>
                <w:bCs/>
                <w:i/>
                <w:color w:val="000000"/>
                <w:kern w:val="0"/>
                <w:sz w:val="22"/>
                <w:szCs w:val="22"/>
                <w:lang w:bidi="ar-SA"/>
              </w:rPr>
            </w:pPr>
            <w:r>
              <w:rPr>
                <w:rFonts w:ascii="Arial" w:eastAsia="Lucida Sans Unicode" w:hAnsi="Arial" w:cs="Arial"/>
                <w:b/>
                <w:bCs/>
                <w:i/>
                <w:color w:val="000000"/>
                <w:kern w:val="0"/>
                <w:sz w:val="22"/>
                <w:szCs w:val="22"/>
                <w:lang w:bidi="ar-SA"/>
              </w:rPr>
              <w:t>CANDESOL</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b/>
                <w:bCs/>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PAGOS REALIZADOS EN EL PERIODO</w:t>
            </w: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Periodo Medio de Pagos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Pagos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Pagos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5,63</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center"/>
              <w:textAlignment w:val="auto"/>
            </w:pPr>
            <w:r>
              <w:rPr>
                <w:rFonts w:ascii="Arial" w:eastAsia="Lucida Sans Unicode" w:hAnsi="Arial" w:cs="Arial"/>
                <w:i/>
                <w:color w:val="000000"/>
                <w:sz w:val="22"/>
                <w:szCs w:val="22"/>
                <w:lang w:bidi="ar-SA"/>
              </w:rPr>
              <w:t>39</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Arial" w:eastAsia="Lucida Sans Unicode" w:hAnsi="Arial" w:cs="Arial"/>
                <w:i/>
                <w:color w:val="000000"/>
                <w:sz w:val="22"/>
                <w:szCs w:val="22"/>
                <w:lang w:bidi="ar-SA"/>
              </w:rPr>
            </w:pPr>
            <w:r>
              <w:rPr>
                <w:rFonts w:ascii="Arial" w:eastAsia="Lucida Sans Unicode" w:hAnsi="Arial" w:cs="Arial"/>
                <w:i/>
                <w:color w:val="000000"/>
                <w:sz w:val="22"/>
                <w:szCs w:val="22"/>
                <w:lang w:bidi="ar-SA"/>
              </w:rPr>
              <w:t xml:space="preserve">12.794,35 </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382,63</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p w:rsidR="00061CF1" w:rsidRDefault="00061CF1">
            <w:pPr>
              <w:textAlignment w:val="auto"/>
              <w:rPr>
                <w:rFonts w:ascii="Arial" w:eastAsia="Lucida Sans Unicode" w:hAnsi="Arial" w:cs="Arial"/>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p w:rsidR="00061CF1" w:rsidRDefault="00061CF1">
            <w:pPr>
              <w:widowControl/>
              <w:suppressAutoHyphens w:val="0"/>
              <w:textAlignment w:val="auto"/>
              <w:rPr>
                <w:rFonts w:ascii="Arial" w:eastAsia="Times New Roman" w:hAnsi="Arial" w:cs="Arial"/>
                <w:i/>
                <w:kern w:val="0"/>
                <w:sz w:val="22"/>
                <w:szCs w:val="22"/>
                <w:lang w:bidi="ar-SA"/>
              </w:rPr>
            </w:pPr>
          </w:p>
          <w:p w:rsidR="00061CF1" w:rsidRDefault="00061CF1">
            <w:pPr>
              <w:widowControl/>
              <w:suppressAutoHyphens w:val="0"/>
              <w:textAlignment w:val="auto"/>
              <w:rPr>
                <w:rFonts w:ascii="Arial" w:eastAsia="Times New Roman" w:hAnsi="Arial" w:cs="Arial"/>
                <w:i/>
                <w:kern w:val="0"/>
                <w:sz w:val="22"/>
                <w:szCs w:val="22"/>
                <w:lang w:bidi="ar-SA"/>
              </w:rPr>
            </w:pPr>
          </w:p>
          <w:p w:rsidR="00061CF1" w:rsidRDefault="00061CF1">
            <w:pPr>
              <w:widowControl/>
              <w:suppressAutoHyphens w:val="0"/>
              <w:textAlignment w:val="auto"/>
              <w:rPr>
                <w:rFonts w:ascii="Arial" w:eastAsia="Times New Roman" w:hAnsi="Arial" w:cs="Arial"/>
                <w:i/>
                <w:kern w:val="0"/>
                <w:sz w:val="22"/>
                <w:szCs w:val="22"/>
                <w:lang w:bidi="ar-SA"/>
              </w:rPr>
            </w:pPr>
          </w:p>
          <w:p w:rsidR="00061CF1" w:rsidRDefault="00061CF1">
            <w:pPr>
              <w:widowControl/>
              <w:suppressAutoHyphens w:val="0"/>
              <w:textAlignment w:val="auto"/>
              <w:rPr>
                <w:rFonts w:ascii="Arial" w:eastAsia="Times New Roman" w:hAnsi="Arial" w:cs="Arial"/>
                <w:i/>
                <w:kern w:val="0"/>
                <w:sz w:val="22"/>
                <w:szCs w:val="22"/>
                <w:lang w:bidi="ar-SA"/>
              </w:rPr>
            </w:pPr>
          </w:p>
          <w:p w:rsidR="00061CF1" w:rsidRDefault="00061CF1">
            <w:pPr>
              <w:widowControl/>
              <w:suppressAutoHyphens w:val="0"/>
              <w:textAlignment w:val="auto"/>
              <w:rPr>
                <w:rFonts w:ascii="Arial" w:eastAsia="Times New Roman" w:hAnsi="Arial" w:cs="Arial"/>
                <w:i/>
                <w:kern w:val="0"/>
                <w:sz w:val="22"/>
                <w:szCs w:val="22"/>
                <w:lang w:bidi="ar-SA"/>
              </w:rPr>
            </w:pPr>
          </w:p>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5488" w:type="dxa"/>
            <w:gridSpan w:val="4"/>
            <w:shd w:val="clear" w:color="auto" w:fill="auto"/>
            <w:noWrap/>
            <w:tcMar>
              <w:top w:w="0" w:type="dxa"/>
              <w:left w:w="70" w:type="dxa"/>
              <w:bottom w:w="0" w:type="dxa"/>
              <w:right w:w="70" w:type="dxa"/>
            </w:tcMar>
            <w:vAlign w:val="bottom"/>
          </w:tcPr>
          <w:p w:rsidR="00061CF1" w:rsidRDefault="004E6D5A">
            <w:pPr>
              <w:suppressAutoHyphens w:val="0"/>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FACTURAS O DOCUMENTOS PENDIENTES DE PAGO AL FINAL DEL PERIODO</w:t>
            </w:r>
          </w:p>
        </w:tc>
        <w:tc>
          <w:tcPr>
            <w:tcW w:w="1264"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 </w:t>
            </w:r>
          </w:p>
        </w:tc>
        <w:tc>
          <w:tcPr>
            <w:tcW w:w="3161"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Dentro del Periodo Legal Pago</w:t>
            </w:r>
          </w:p>
        </w:tc>
        <w:tc>
          <w:tcPr>
            <w:tcW w:w="3017"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Fuera del Periodo Legal Pago</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Periodo Medio de Pago Pendiente (días)</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Operaciones</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Número Operaciones</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Importe Total</w:t>
            </w:r>
          </w:p>
        </w:tc>
      </w:tr>
      <w:tr w:rsidR="00061CF1">
        <w:tblPrEx>
          <w:tblCellMar>
            <w:top w:w="0" w:type="dxa"/>
            <w:bottom w:w="0" w:type="dxa"/>
          </w:tblCellMar>
        </w:tblPrEx>
        <w:trPr>
          <w:trHeight w:val="298"/>
        </w:trPr>
        <w:tc>
          <w:tcPr>
            <w:tcW w:w="2327"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24,5</w:t>
            </w:r>
          </w:p>
        </w:tc>
        <w:tc>
          <w:tcPr>
            <w:tcW w:w="135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3</w:t>
            </w:r>
          </w:p>
        </w:tc>
        <w:tc>
          <w:tcPr>
            <w:tcW w:w="17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856,61</w:t>
            </w:r>
          </w:p>
        </w:tc>
        <w:tc>
          <w:tcPr>
            <w:tcW w:w="1270"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1</w:t>
            </w:r>
          </w:p>
        </w:tc>
        <w:tc>
          <w:tcPr>
            <w:tcW w:w="17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Arial" w:eastAsia="Lucida Sans Unicode" w:hAnsi="Arial" w:cs="Arial"/>
                <w:i/>
                <w:color w:val="000000"/>
                <w:kern w:val="0"/>
                <w:sz w:val="22"/>
                <w:szCs w:val="22"/>
                <w:lang w:bidi="ar-SA"/>
              </w:rPr>
            </w:pPr>
            <w:r>
              <w:rPr>
                <w:rFonts w:ascii="Arial" w:eastAsia="Lucida Sans Unicode" w:hAnsi="Arial" w:cs="Arial"/>
                <w:i/>
                <w:color w:val="000000"/>
                <w:kern w:val="0"/>
                <w:sz w:val="22"/>
                <w:szCs w:val="22"/>
                <w:lang w:bidi="ar-SA"/>
              </w:rPr>
              <w:t>2.675,00</w:t>
            </w: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b/>
                <w:bCs/>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b/>
                <w:bCs/>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r w:rsidR="00061CF1">
        <w:tblPrEx>
          <w:tblCellMar>
            <w:top w:w="0" w:type="dxa"/>
            <w:bottom w:w="0" w:type="dxa"/>
          </w:tblCellMar>
        </w:tblPrEx>
        <w:trPr>
          <w:trHeight w:val="298"/>
        </w:trPr>
        <w:tc>
          <w:tcPr>
            <w:tcW w:w="232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i/>
                <w:color w:val="000000"/>
                <w:kern w:val="0"/>
                <w:sz w:val="22"/>
                <w:szCs w:val="22"/>
                <w:lang w:bidi="ar-SA"/>
              </w:rPr>
            </w:pPr>
          </w:p>
        </w:tc>
        <w:tc>
          <w:tcPr>
            <w:tcW w:w="1359" w:type="dxa"/>
            <w:shd w:val="clear" w:color="auto" w:fill="auto"/>
            <w:noWrap/>
            <w:tcMar>
              <w:top w:w="0" w:type="dxa"/>
              <w:left w:w="70" w:type="dxa"/>
              <w:bottom w:w="0" w:type="dxa"/>
              <w:right w:w="70" w:type="dxa"/>
            </w:tcMar>
            <w:vAlign w:val="bottom"/>
          </w:tcPr>
          <w:p w:rsidR="00061CF1" w:rsidRDefault="00061CF1">
            <w:pPr>
              <w:textAlignment w:val="auto"/>
              <w:rPr>
                <w:rFonts w:ascii="Arial" w:eastAsia="Lucida Sans Unicode" w:hAnsi="Arial" w:cs="Arial"/>
                <w:i/>
                <w:color w:val="000000"/>
                <w:kern w:val="0"/>
                <w:sz w:val="22"/>
                <w:szCs w:val="22"/>
                <w:lang w:bidi="ar-SA"/>
              </w:rPr>
            </w:pPr>
          </w:p>
        </w:tc>
        <w:tc>
          <w:tcPr>
            <w:tcW w:w="1796"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270"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c>
          <w:tcPr>
            <w:tcW w:w="1753"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i/>
                <w:kern w:val="0"/>
                <w:sz w:val="22"/>
                <w:szCs w:val="22"/>
                <w:lang w:bidi="ar-SA"/>
              </w:rPr>
            </w:pPr>
          </w:p>
        </w:tc>
      </w:tr>
    </w:tbl>
    <w:p w:rsidR="00061CF1" w:rsidRDefault="004E6D5A">
      <w:pPr>
        <w:spacing w:before="120"/>
        <w:ind w:firstLine="709"/>
        <w:jc w:val="both"/>
        <w:textAlignment w:val="auto"/>
      </w:pPr>
      <w:r>
        <w:rPr>
          <w:rFonts w:ascii="Arial" w:eastAsia="Lucida Sans Unicode" w:hAnsi="Arial" w:cs="Arial"/>
          <w:i/>
          <w:sz w:val="22"/>
          <w:szCs w:val="22"/>
          <w:lang w:bidi="ar-SA"/>
        </w:rPr>
        <w:t xml:space="preserve">Esto es cuanto se tiene a bien informar en cumplimiento del artículo 4 de la </w:t>
      </w:r>
      <w:r>
        <w:rPr>
          <w:rFonts w:ascii="Arial" w:eastAsia="Arial Unicode MS" w:hAnsi="Arial" w:cs="Arial"/>
          <w:i/>
          <w:sz w:val="22"/>
          <w:szCs w:val="22"/>
          <w:lang w:bidi="ar-SA"/>
        </w:rPr>
        <w:t xml:space="preserve">Ley 15/2010, de 5 de julio, de modificación de la Ley 3/2004, de 29 de diciembre, por la que se establecen medidas de lucha contra la morosidad en las </w:t>
      </w:r>
      <w:r>
        <w:rPr>
          <w:rFonts w:ascii="Arial" w:eastAsia="Arial Unicode MS" w:hAnsi="Arial" w:cs="Arial"/>
          <w:i/>
          <w:sz w:val="22"/>
          <w:szCs w:val="22"/>
          <w:lang w:bidi="ar-SA"/>
        </w:rPr>
        <w:t>operaciones comerciales, dándose traslado del presente informe a la Alcaldía, para su remisión al Pleno”.</w:t>
      </w:r>
    </w:p>
    <w:p w:rsidR="00061CF1" w:rsidRDefault="00061CF1">
      <w:pPr>
        <w:spacing w:after="120"/>
        <w:textAlignment w:val="auto"/>
        <w:rPr>
          <w:rFonts w:ascii="Arial" w:eastAsia="Lucida Sans Unicode" w:hAnsi="Arial" w:cs="Arial"/>
          <w:i/>
          <w:sz w:val="22"/>
          <w:szCs w:val="22"/>
          <w:lang w:bidi="ar-SA"/>
        </w:rPr>
      </w:pPr>
    </w:p>
    <w:p w:rsidR="00061CF1" w:rsidRDefault="004E6D5A">
      <w:pPr>
        <w:spacing w:after="120"/>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Por ello, este Concejal delegado de Hacienda, PROPONE:</w:t>
      </w:r>
    </w:p>
    <w:p w:rsidR="00061CF1" w:rsidRDefault="00061CF1">
      <w:pPr>
        <w:widowControl/>
        <w:tabs>
          <w:tab w:val="left" w:pos="1716"/>
        </w:tabs>
        <w:spacing w:after="120"/>
        <w:ind w:left="440"/>
        <w:jc w:val="both"/>
        <w:textAlignment w:val="auto"/>
        <w:rPr>
          <w:rFonts w:ascii="Arial" w:eastAsia="Times New Roman" w:hAnsi="Arial" w:cs="Arial"/>
          <w:i/>
          <w:sz w:val="22"/>
          <w:szCs w:val="22"/>
          <w:lang w:eastAsia="ar-SA" w:bidi="ar-SA"/>
        </w:rPr>
      </w:pPr>
    </w:p>
    <w:p w:rsidR="00061CF1" w:rsidRDefault="004E6D5A">
      <w:pPr>
        <w:widowControl/>
        <w:tabs>
          <w:tab w:val="left" w:pos="1716"/>
        </w:tabs>
        <w:spacing w:after="120"/>
        <w:jc w:val="both"/>
        <w:textAlignment w:val="auto"/>
      </w:pPr>
      <w:r>
        <w:rPr>
          <w:rFonts w:ascii="Arial" w:eastAsia="Times New Roman" w:hAnsi="Arial" w:cs="Arial"/>
          <w:b/>
          <w:bCs/>
          <w:i/>
          <w:sz w:val="22"/>
          <w:szCs w:val="22"/>
          <w:lang w:eastAsia="ar-SA" w:bidi="ar-SA"/>
        </w:rPr>
        <w:t>Primero</w:t>
      </w:r>
      <w:r>
        <w:rPr>
          <w:rFonts w:ascii="Arial" w:eastAsia="Times New Roman" w:hAnsi="Arial" w:cs="Arial"/>
          <w:i/>
          <w:sz w:val="22"/>
          <w:szCs w:val="22"/>
          <w:lang w:eastAsia="ar-SA" w:bidi="ar-SA"/>
        </w:rPr>
        <w:t>: Dar cuenta al Pleno</w:t>
      </w:r>
      <w:r>
        <w:rPr>
          <w:rFonts w:ascii="Arial" w:eastAsia="Times New Roman" w:hAnsi="Arial" w:cs="Arial"/>
          <w:i/>
          <w:sz w:val="22"/>
          <w:szCs w:val="22"/>
          <w:lang w:val="es-ES_tradnl" w:eastAsia="ar-SA" w:bidi="ar-SA"/>
        </w:rPr>
        <w:t xml:space="preserve"> del </w:t>
      </w:r>
      <w:r>
        <w:rPr>
          <w:rFonts w:ascii="Arial" w:eastAsia="Times New Roman" w:hAnsi="Arial" w:cs="Arial"/>
          <w:i/>
          <w:sz w:val="22"/>
          <w:szCs w:val="22"/>
          <w:lang w:eastAsia="ar-SA" w:bidi="ar-SA"/>
        </w:rPr>
        <w:t xml:space="preserve">Informe de Morosidad, regulado en la </w:t>
      </w:r>
      <w:r>
        <w:rPr>
          <w:rFonts w:ascii="Arial" w:eastAsia="Times New Roman" w:hAnsi="Arial" w:cs="Arial"/>
          <w:i/>
          <w:color w:val="000000"/>
          <w:sz w:val="22"/>
          <w:szCs w:val="22"/>
          <w:lang w:eastAsia="ar-SA" w:bidi="ar-SA"/>
        </w:rPr>
        <w:t xml:space="preserve">Ley 15/2010, de 5 de </w:t>
      </w:r>
      <w:r>
        <w:rPr>
          <w:rFonts w:ascii="Arial" w:eastAsia="Times New Roman" w:hAnsi="Arial" w:cs="Arial"/>
          <w:i/>
          <w:color w:val="000000"/>
          <w:sz w:val="22"/>
          <w:szCs w:val="22"/>
          <w:lang w:eastAsia="ar-SA" w:bidi="ar-SA"/>
        </w:rPr>
        <w:t>julio, de modificación de la Ley 3/2004, de 29 de diciembre, por la que se establecen medidas de lucha contra la morosidad en las operaciones comerciales</w:t>
      </w:r>
      <w:r>
        <w:rPr>
          <w:rFonts w:ascii="Arial" w:eastAsia="Times New Roman" w:hAnsi="Arial" w:cs="Arial"/>
          <w:i/>
          <w:sz w:val="22"/>
          <w:szCs w:val="22"/>
          <w:lang w:eastAsia="ar-SA" w:bidi="ar-SA"/>
        </w:rPr>
        <w:t>, correspondiente al Tercer trimestre año 2025.</w:t>
      </w:r>
    </w:p>
    <w:p w:rsidR="00061CF1" w:rsidRDefault="004E6D5A">
      <w:pPr>
        <w:widowControl/>
        <w:tabs>
          <w:tab w:val="left" w:pos="1716"/>
        </w:tabs>
        <w:spacing w:after="120"/>
        <w:jc w:val="both"/>
        <w:textAlignment w:val="auto"/>
      </w:pPr>
      <w:r>
        <w:rPr>
          <w:rFonts w:ascii="Arial" w:eastAsia="Times New Roman" w:hAnsi="Arial" w:cs="Arial"/>
          <w:b/>
          <w:bCs/>
          <w:i/>
          <w:sz w:val="22"/>
          <w:szCs w:val="22"/>
          <w:lang w:eastAsia="ar-SA" w:bidi="ar-SA"/>
        </w:rPr>
        <w:t>Segundo</w:t>
      </w:r>
      <w:r>
        <w:rPr>
          <w:rFonts w:ascii="Arial" w:eastAsia="Times New Roman" w:hAnsi="Arial" w:cs="Arial"/>
          <w:i/>
          <w:sz w:val="22"/>
          <w:szCs w:val="22"/>
          <w:lang w:eastAsia="ar-SA" w:bidi="ar-SA"/>
        </w:rPr>
        <w:t>: Dar traslado de dicho acuerdo al Ministerio de</w:t>
      </w:r>
      <w:r>
        <w:rPr>
          <w:rFonts w:ascii="Arial" w:eastAsia="Times New Roman" w:hAnsi="Arial" w:cs="Arial"/>
          <w:i/>
          <w:sz w:val="22"/>
          <w:szCs w:val="22"/>
          <w:lang w:eastAsia="ar-SA" w:bidi="ar-SA"/>
        </w:rPr>
        <w:t xml:space="preserve"> Hacienda y Función Pública, a través de la plataforma telemática que habilita el propio Ministerio.</w:t>
      </w:r>
    </w:p>
    <w:p w:rsidR="00061CF1" w:rsidRDefault="00061CF1">
      <w:pPr>
        <w:spacing w:after="120"/>
        <w:jc w:val="both"/>
        <w:textAlignment w:val="auto"/>
        <w:rPr>
          <w:rFonts w:ascii="Arial" w:eastAsia="Lucida Sans Unicode" w:hAnsi="Arial" w:cs="Arial"/>
          <w:b/>
          <w:color w:val="000000"/>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FAVORABLE DE LA COMISIÓN INFORMATIVA DE HACIENDA, RECURSOS HUMANOS Y SERVICIOS GENERALES DE 28 DE OCTUBRE DE 2025 QUE SE TUVO QUE </w:t>
      </w:r>
      <w:r>
        <w:rPr>
          <w:rFonts w:ascii="Arial" w:eastAsia="Lucida Sans Unicode" w:hAnsi="Arial" w:cs="Arial"/>
          <w:b/>
          <w:sz w:val="22"/>
          <w:szCs w:val="22"/>
          <w:lang w:bidi="ar-SA"/>
        </w:rPr>
        <w:t>REPETIR POR EL FALLO INFORMÁTICO EL LUNES 27 DE OCTUBRE, DEL SISTEMA “CLAVE” DE ACCESO A LA SEDE ELECTRÓNICA Y DE ESTA FORMA QUEDÓ SUBSANADA LA COMISIÓN CON SU CELEBRACIÓN EL 28 DE OCTUBRE.</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presentes tomaron conocimiento: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Los 4 concejales </w:t>
      </w:r>
      <w:r>
        <w:rPr>
          <w:rFonts w:ascii="Arial" w:eastAsia="Lucida Sans Unicode" w:hAnsi="Arial" w:cs="Arial"/>
          <w:sz w:val="22"/>
          <w:szCs w:val="22"/>
          <w:lang w:bidi="ar-SA"/>
        </w:rPr>
        <w:t>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 Don José 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JUNTA DE PORTAVOCES PREVISTA PARA EL DÍA 27 DE OCTUBRE Y QUE FUE APLAZADA AL 28 DE OCTUBRE DE 2025 POR LAS RAZONES E</w:t>
      </w:r>
      <w:r>
        <w:rPr>
          <w:rFonts w:ascii="Arial" w:eastAsia="Lucida Sans Unicode" w:hAnsi="Arial" w:cs="Arial"/>
          <w:b/>
          <w:sz w:val="22"/>
          <w:szCs w:val="22"/>
          <w:lang w:bidi="ar-SA"/>
        </w:rPr>
        <w:t>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sz w:val="22"/>
          <w:szCs w:val="22"/>
          <w:lang w:bidi="ar-SA"/>
        </w:rPr>
      </w:pPr>
    </w:p>
    <w:p w:rsidR="00061CF1" w:rsidRDefault="00061CF1">
      <w:pPr>
        <w:textAlignment w:val="auto"/>
        <w:rPr>
          <w:rFonts w:ascii="Arial" w:eastAsia="Lucida Sans Unicode" w:hAnsi="Arial" w:cs="Arial"/>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18 concejales presentes tomaron conocimiento.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 concejales del Grupo Socialista: Doña María Concepción Brito Núñez, Don Jorge Baute Delgado, Don José Francisco Pint</w:t>
      </w:r>
      <w:r>
        <w:rPr>
          <w:rFonts w:ascii="Arial" w:eastAsia="Lucida Sans Unicode" w:hAnsi="Arial" w:cs="Arial"/>
          <w:sz w:val="22"/>
          <w:szCs w:val="22"/>
          <w:lang w:bidi="ar-SA"/>
        </w:rPr>
        <w:t>o Ramos, Doña Olivia Concepción Pérez Díaz, Don Reinaldo José Triviño Blanco, Don Manuel Alberto González Pestano, Doña Margarita Eva Tendero Barroso, Don Airam Pérez Chinea, Doña María del Carmen Clemente Díaz, Don Olegario Francisco Alonso Bello, Doña Mó</w:t>
      </w:r>
      <w:r>
        <w:rPr>
          <w:rFonts w:ascii="Arial" w:eastAsia="Lucida Sans Unicode" w:hAnsi="Arial" w:cs="Arial"/>
          <w:sz w:val="22"/>
          <w:szCs w:val="22"/>
          <w:lang w:bidi="ar-SA"/>
        </w:rPr>
        <w:t xml:space="preserve">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5 concejales del Grupo Popular: Don Jacobo López Fariña,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2 concejales del Grupo Mixto: Don </w:t>
      </w:r>
      <w:r>
        <w:rPr>
          <w:rFonts w:ascii="Arial" w:eastAsia="Lucida Sans Unicode" w:hAnsi="Arial" w:cs="Arial"/>
          <w:sz w:val="22"/>
          <w:szCs w:val="22"/>
          <w:lang w:bidi="ar-SA"/>
        </w:rPr>
        <w:t>José 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0.</w:t>
      </w:r>
    </w:p>
    <w:p w:rsidR="00061CF1" w:rsidRDefault="00061CF1">
      <w:pPr>
        <w:jc w:val="both"/>
        <w:textAlignment w:val="auto"/>
        <w:rPr>
          <w:rFonts w:ascii="Arial" w:eastAsia="Lucida Sans Unicode" w:hAnsi="Arial" w:cs="Arial"/>
          <w:sz w:val="22"/>
          <w:szCs w:val="22"/>
          <w:lang w:bidi="ar-SA"/>
        </w:rPr>
      </w:pPr>
    </w:p>
    <w:p w:rsidR="00061CF1" w:rsidRDefault="004E6D5A">
      <w:pPr>
        <w:ind w:left="2124" w:firstLine="708"/>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ACUERDO DEL PLENO DE 31 DE OCTUBRE DE 2025.</w:t>
      </w:r>
    </w:p>
    <w:p w:rsidR="00061CF1" w:rsidRDefault="004E6D5A">
      <w:pPr>
        <w:widowControl/>
        <w:tabs>
          <w:tab w:val="left" w:pos="1716"/>
        </w:tabs>
        <w:spacing w:after="120"/>
        <w:jc w:val="both"/>
        <w:textAlignment w:val="auto"/>
      </w:pPr>
      <w:r>
        <w:rPr>
          <w:rFonts w:ascii="Arial" w:eastAsia="Times New Roman" w:hAnsi="Arial" w:cs="Arial"/>
          <w:b/>
          <w:bCs/>
          <w:sz w:val="22"/>
          <w:szCs w:val="22"/>
          <w:lang w:eastAsia="ar-SA" w:bidi="ar-SA"/>
        </w:rPr>
        <w:t>Primero</w:t>
      </w:r>
      <w:r>
        <w:rPr>
          <w:rFonts w:ascii="Arial" w:eastAsia="Times New Roman" w:hAnsi="Arial" w:cs="Arial"/>
          <w:b/>
          <w:sz w:val="22"/>
          <w:szCs w:val="22"/>
          <w:lang w:eastAsia="ar-SA" w:bidi="ar-SA"/>
        </w:rPr>
        <w:t>: Dar cuenta al Pleno</w:t>
      </w:r>
      <w:r>
        <w:rPr>
          <w:rFonts w:ascii="Arial" w:eastAsia="Times New Roman" w:hAnsi="Arial" w:cs="Arial"/>
          <w:b/>
          <w:sz w:val="22"/>
          <w:szCs w:val="22"/>
          <w:lang w:val="es-ES_tradnl" w:eastAsia="ar-SA" w:bidi="ar-SA"/>
        </w:rPr>
        <w:t xml:space="preserve"> del </w:t>
      </w:r>
      <w:r>
        <w:rPr>
          <w:rFonts w:ascii="Arial" w:eastAsia="Times New Roman" w:hAnsi="Arial" w:cs="Arial"/>
          <w:b/>
          <w:sz w:val="22"/>
          <w:szCs w:val="22"/>
          <w:lang w:eastAsia="ar-SA" w:bidi="ar-SA"/>
        </w:rPr>
        <w:t xml:space="preserve">Informe de Morosidad, regulado en la </w:t>
      </w:r>
      <w:r>
        <w:rPr>
          <w:rFonts w:ascii="Arial" w:eastAsia="Times New Roman" w:hAnsi="Arial" w:cs="Arial"/>
          <w:b/>
          <w:color w:val="000000"/>
          <w:sz w:val="22"/>
          <w:szCs w:val="22"/>
          <w:lang w:eastAsia="ar-SA" w:bidi="ar-SA"/>
        </w:rPr>
        <w:t>Ley 15/2010, de 5 de julio, de modifica</w:t>
      </w:r>
      <w:r>
        <w:rPr>
          <w:rFonts w:ascii="Arial" w:eastAsia="Times New Roman" w:hAnsi="Arial" w:cs="Arial"/>
          <w:b/>
          <w:color w:val="000000"/>
          <w:sz w:val="22"/>
          <w:szCs w:val="22"/>
          <w:lang w:eastAsia="ar-SA" w:bidi="ar-SA"/>
        </w:rPr>
        <w:t>ción de la Ley 3/2004, de 29 de diciembre, por la que se establecen medidas de lucha contra la morosidad en las operaciones comerciales</w:t>
      </w:r>
      <w:r>
        <w:rPr>
          <w:rFonts w:ascii="Arial" w:eastAsia="Times New Roman" w:hAnsi="Arial" w:cs="Arial"/>
          <w:b/>
          <w:sz w:val="22"/>
          <w:szCs w:val="22"/>
          <w:lang w:eastAsia="ar-SA" w:bidi="ar-SA"/>
        </w:rPr>
        <w:t>, correspondiente al Tercer trimestre año 2025.</w:t>
      </w:r>
    </w:p>
    <w:p w:rsidR="00061CF1" w:rsidRDefault="004E6D5A">
      <w:pPr>
        <w:widowControl/>
        <w:tabs>
          <w:tab w:val="left" w:pos="1716"/>
        </w:tabs>
        <w:spacing w:after="120"/>
        <w:jc w:val="both"/>
        <w:textAlignment w:val="auto"/>
      </w:pPr>
      <w:r>
        <w:rPr>
          <w:rFonts w:ascii="Arial" w:eastAsia="Times New Roman" w:hAnsi="Arial" w:cs="Arial"/>
          <w:b/>
          <w:bCs/>
          <w:sz w:val="22"/>
          <w:szCs w:val="22"/>
          <w:lang w:eastAsia="ar-SA" w:bidi="ar-SA"/>
        </w:rPr>
        <w:t>Segundo</w:t>
      </w:r>
      <w:r>
        <w:rPr>
          <w:rFonts w:ascii="Arial" w:eastAsia="Times New Roman" w:hAnsi="Arial" w:cs="Arial"/>
          <w:b/>
          <w:sz w:val="22"/>
          <w:szCs w:val="22"/>
          <w:lang w:eastAsia="ar-SA" w:bidi="ar-SA"/>
        </w:rPr>
        <w:t>: Dar traslado de dicho acuerdo al Ministerio de Hacienda y Funció</w:t>
      </w:r>
      <w:r>
        <w:rPr>
          <w:rFonts w:ascii="Arial" w:eastAsia="Times New Roman" w:hAnsi="Arial" w:cs="Arial"/>
          <w:b/>
          <w:sz w:val="22"/>
          <w:szCs w:val="22"/>
          <w:lang w:eastAsia="ar-SA" w:bidi="ar-SA"/>
        </w:rPr>
        <w:t>n Pública, a través de la plataforma telemática que habilita el propio Ministerio.</w:t>
      </w:r>
    </w:p>
    <w:p w:rsidR="00061CF1" w:rsidRDefault="00061CF1">
      <w:pPr>
        <w:pStyle w:val="Standard"/>
        <w:jc w:val="both"/>
        <w:rPr>
          <w:rFonts w:ascii="Arial" w:hAnsi="Arial" w:cs="Arial"/>
          <w:sz w:val="22"/>
          <w:szCs w:val="22"/>
        </w:rPr>
      </w:pPr>
    </w:p>
    <w:p w:rsidR="00061CF1" w:rsidRDefault="00061CF1">
      <w:pPr>
        <w:pStyle w:val="Standard"/>
        <w:jc w:val="both"/>
        <w:rPr>
          <w:rFonts w:ascii="Arial" w:hAnsi="Arial" w:cs="Arial"/>
          <w:sz w:val="22"/>
          <w:szCs w:val="22"/>
        </w:rPr>
      </w:pPr>
    </w:p>
    <w:p w:rsidR="00061CF1" w:rsidRDefault="00061CF1">
      <w:pPr>
        <w:pStyle w:val="Standard"/>
        <w:jc w:val="both"/>
        <w:rPr>
          <w:rFonts w:ascii="Arial" w:hAnsi="Arial" w:cs="Arial"/>
          <w:sz w:val="22"/>
          <w:szCs w:val="22"/>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4E6D5A">
      <w:pPr>
        <w:spacing w:after="120"/>
        <w:jc w:val="both"/>
        <w:textAlignment w:val="auto"/>
      </w:pPr>
      <w:r>
        <w:rPr>
          <w:rFonts w:ascii="Arial" w:eastAsia="Lucida Sans Unicode" w:hAnsi="Arial" w:cs="Arial"/>
          <w:b/>
          <w:color w:val="000000"/>
          <w:lang w:bidi="ar-SA"/>
        </w:rPr>
        <w:t xml:space="preserve">4.- </w:t>
      </w:r>
      <w:r>
        <w:rPr>
          <w:rFonts w:ascii="Arial" w:eastAsia="Lucida Sans Unicode" w:hAnsi="Arial" w:cs="Arial"/>
          <w:b/>
          <w:color w:val="000000"/>
          <w:u w:val="single"/>
          <w:shd w:val="clear" w:color="auto" w:fill="F5F7F9"/>
          <w:lang w:bidi="ar-SA"/>
        </w:rPr>
        <w:t>Expediente 9894/2025</w:t>
      </w:r>
      <w:r>
        <w:rPr>
          <w:rFonts w:ascii="Arial" w:eastAsia="Lucida Sans Unicode" w:hAnsi="Arial" w:cs="Arial"/>
          <w:b/>
          <w:color w:val="000000"/>
          <w:shd w:val="clear" w:color="auto" w:fill="F5F7F9"/>
          <w:lang w:bidi="ar-SA"/>
        </w:rPr>
        <w:t xml:space="preserve">. Propuesta del Concejal delegado de Hacienda al Pleno del periodo medio de pago previsto en el Real Decreto 1040/2017, de 22 de diciembre, </w:t>
      </w:r>
      <w:r>
        <w:rPr>
          <w:rFonts w:ascii="Arial" w:eastAsia="Lucida Sans Unicode" w:hAnsi="Arial" w:cs="Arial"/>
          <w:b/>
          <w:color w:val="000000"/>
          <w:shd w:val="clear" w:color="auto" w:fill="F5F7F9"/>
          <w:lang w:bidi="ar-SA"/>
        </w:rPr>
        <w:t>por el que se desarrolla la Metodología de cálculo del Periodo Medio de Pago a proveedores de las Administraciones Públicas correspondiente al tercer trimestre del año 2025.</w:t>
      </w: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4E6D5A">
      <w:pPr>
        <w:spacing w:after="120"/>
        <w:jc w:val="both"/>
        <w:textAlignment w:val="auto"/>
        <w:rPr>
          <w:rFonts w:ascii="Arial" w:eastAsia="Lucida Sans Unicode" w:hAnsi="Arial" w:cs="Arial"/>
          <w:b/>
          <w:color w:val="000000"/>
          <w:shd w:val="clear" w:color="auto" w:fill="F5F7F9"/>
          <w:lang w:bidi="ar-SA"/>
        </w:rPr>
      </w:pPr>
      <w:r>
        <w:rPr>
          <w:rFonts w:ascii="Arial" w:eastAsia="Lucida Sans Unicode" w:hAnsi="Arial" w:cs="Arial"/>
          <w:b/>
          <w:color w:val="000000"/>
          <w:shd w:val="clear" w:color="auto" w:fill="F5F7F9"/>
          <w:lang w:bidi="ar-SA"/>
        </w:rPr>
        <w:t>Consta en el expediente informe de la Intervención de fecha 22 de octubre de 2025</w:t>
      </w:r>
      <w:r>
        <w:rPr>
          <w:rFonts w:ascii="Arial" w:eastAsia="Lucida Sans Unicode" w:hAnsi="Arial" w:cs="Arial"/>
          <w:b/>
          <w:color w:val="000000"/>
          <w:shd w:val="clear" w:color="auto" w:fill="F5F7F9"/>
          <w:lang w:bidi="ar-SA"/>
        </w:rPr>
        <w:t xml:space="preserve"> que transcrito literalmente dice:</w:t>
      </w:r>
    </w:p>
    <w:p w:rsidR="00061CF1" w:rsidRDefault="00061CF1">
      <w:pPr>
        <w:spacing w:after="120"/>
        <w:jc w:val="both"/>
        <w:textAlignment w:val="auto"/>
        <w:rPr>
          <w:rFonts w:ascii="Arial" w:eastAsia="Lucida Sans Unicode" w:hAnsi="Arial" w:cs="Arial"/>
          <w:i/>
          <w:color w:val="000000"/>
          <w:shd w:val="clear" w:color="auto" w:fill="F5F7F9"/>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Visto el expediente antedicho, el funcionario D. Nicolás Rojo Garnica, que desempeña el puesto de trabajo de Interventor, emite el siguiente informe:</w:t>
      </w:r>
    </w:p>
    <w:p w:rsidR="00061CF1" w:rsidRDefault="004E6D5A">
      <w:pPr>
        <w:spacing w:after="120"/>
        <w:jc w:val="center"/>
        <w:textAlignment w:val="auto"/>
        <w:rPr>
          <w:rFonts w:ascii="Arial" w:eastAsia="Lucida Sans Unicode" w:hAnsi="Arial" w:cs="Times New Roman"/>
          <w:i/>
          <w:sz w:val="22"/>
          <w:lang w:bidi="ar-SA"/>
        </w:rPr>
      </w:pPr>
      <w:r>
        <w:rPr>
          <w:rFonts w:ascii="Arial" w:eastAsia="Lucida Sans Unicode" w:hAnsi="Arial" w:cs="Times New Roman"/>
          <w:i/>
          <w:sz w:val="22"/>
          <w:lang w:bidi="ar-SA"/>
        </w:rPr>
        <w:t>Antecedentes de hecho</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I.- Ha sido remitida a esta intervención, </w:t>
      </w:r>
      <w:r>
        <w:rPr>
          <w:rFonts w:ascii="Arial" w:eastAsia="Lucida Sans Unicode" w:hAnsi="Arial" w:cs="Times New Roman"/>
          <w:i/>
          <w:sz w:val="22"/>
          <w:lang w:bidi="ar-SA"/>
        </w:rPr>
        <w:t>información de los entes dependientes para el cálculo del periodo medio de pago del Tercer trimestre del ejercicio 2025.</w:t>
      </w:r>
    </w:p>
    <w:p w:rsidR="00061CF1" w:rsidRDefault="004E6D5A">
      <w:pPr>
        <w:spacing w:after="120"/>
        <w:jc w:val="center"/>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Fundamentos de derecho </w:t>
      </w:r>
    </w:p>
    <w:p w:rsidR="00061CF1" w:rsidRDefault="004E6D5A">
      <w:pPr>
        <w:spacing w:before="120"/>
        <w:jc w:val="both"/>
        <w:textAlignment w:val="auto"/>
      </w:pPr>
      <w:r>
        <w:rPr>
          <w:rFonts w:ascii="Arial" w:eastAsia="Lucida Sans Unicode" w:hAnsi="Arial" w:cs="Times New Roman"/>
          <w:i/>
          <w:sz w:val="22"/>
          <w:lang w:bidi="ar-SA"/>
        </w:rPr>
        <w:t xml:space="preserve">Primero.- </w:t>
      </w:r>
      <w:r>
        <w:rPr>
          <w:rFonts w:ascii="Verdana" w:eastAsia="Lucida Sans Unicode" w:hAnsi="Verdana" w:cs="Arimo"/>
          <w:i/>
          <w:sz w:val="21"/>
          <w:szCs w:val="21"/>
          <w:lang w:bidi="ar-SA"/>
        </w:rPr>
        <w:t>En cumplimiento de la Disposición Final 2ª, apartado 3º de la Ley Orgánica 2/2012, de 27 de abril, de</w:t>
      </w:r>
      <w:r>
        <w:rPr>
          <w:rFonts w:ascii="Verdana" w:eastAsia="Lucida Sans Unicode" w:hAnsi="Verdana" w:cs="Arimo"/>
          <w:i/>
          <w:sz w:val="21"/>
          <w:szCs w:val="21"/>
          <w:lang w:bidi="ar-SA"/>
        </w:rPr>
        <w:t xml:space="preserve"> Estabilidad Presupuestaria y Sostenibilidad Financiera (</w:t>
      </w:r>
      <w:r>
        <w:rPr>
          <w:rFonts w:ascii="Verdana" w:eastAsia="Lucida Sans Unicode" w:hAnsi="Verdana" w:cs="Arimo"/>
          <w:i/>
          <w:iCs/>
          <w:sz w:val="21"/>
          <w:szCs w:val="21"/>
          <w:lang w:bidi="ar-SA"/>
        </w:rPr>
        <w:t xml:space="preserve">que señala que por Orden del Ministro de Hacienda y Administraciones Públicas, se desarrollará la metodología de cálculo del Periodo Medio de Pago a proveedores de las Administraciones </w:t>
      </w:r>
    </w:p>
    <w:p w:rsidR="00061CF1" w:rsidRDefault="00061CF1">
      <w:pPr>
        <w:spacing w:before="120"/>
        <w:jc w:val="both"/>
        <w:textAlignment w:val="auto"/>
        <w:rPr>
          <w:rFonts w:ascii="Verdana" w:eastAsia="Lucida Sans Unicode" w:hAnsi="Verdana" w:cs="Arimo"/>
          <w:i/>
          <w:iCs/>
          <w:sz w:val="21"/>
          <w:szCs w:val="21"/>
          <w:lang w:bidi="ar-SA"/>
        </w:rPr>
      </w:pPr>
    </w:p>
    <w:p w:rsidR="00061CF1" w:rsidRDefault="004E6D5A">
      <w:pPr>
        <w:spacing w:before="120"/>
        <w:jc w:val="both"/>
        <w:textAlignment w:val="auto"/>
      </w:pPr>
      <w:r>
        <w:rPr>
          <w:rFonts w:ascii="Verdana" w:eastAsia="Lucida Sans Unicode" w:hAnsi="Verdana" w:cs="Arimo"/>
          <w:i/>
          <w:iCs/>
          <w:sz w:val="21"/>
          <w:szCs w:val="21"/>
          <w:lang w:bidi="ar-SA"/>
        </w:rPr>
        <w:t xml:space="preserve">Públicas </w:t>
      </w:r>
      <w:r>
        <w:rPr>
          <w:rFonts w:ascii="Verdana" w:eastAsia="Lucida Sans Unicode" w:hAnsi="Verdana" w:cs="Arimo"/>
          <w:i/>
          <w:iCs/>
          <w:sz w:val="21"/>
          <w:szCs w:val="21"/>
          <w:lang w:bidi="ar-SA"/>
        </w:rPr>
        <w:t>conforme a criterios homogéneos y que tendrá en cuenta los pagos efectuados y las operaciones pendientes de pago</w:t>
      </w:r>
      <w:r>
        <w:rPr>
          <w:rFonts w:ascii="Verdana" w:eastAsia="Lucida Sans Unicode" w:hAnsi="Verdana" w:cs="Arimo"/>
          <w:i/>
          <w:sz w:val="21"/>
          <w:szCs w:val="21"/>
          <w:lang w:bidi="ar-SA"/>
        </w:rPr>
        <w:t xml:space="preserve">), se ha publicado, con fecha 30 de julio de 2014, el Real Decreto 635/2014, de 25 de julio, por el que se desarrolla la Metodología de cálculo </w:t>
      </w:r>
      <w:r>
        <w:rPr>
          <w:rFonts w:ascii="Verdana" w:eastAsia="Lucida Sans Unicode" w:hAnsi="Verdana" w:cs="Arimo"/>
          <w:i/>
          <w:sz w:val="21"/>
          <w:szCs w:val="21"/>
          <w:lang w:bidi="ar-SA"/>
        </w:rPr>
        <w:t>del Periodo Medio de Pago a proveedores de las Administraciones Públicas y las condiciones y el procedimiento de retención de recursos de los regímenes de financiación previstos en la Ley Orgánica 2/2012 de 27 de abril, de Estabilidad Presupuestaria y Sost</w:t>
      </w:r>
      <w:r>
        <w:rPr>
          <w:rFonts w:ascii="Verdana" w:eastAsia="Lucida Sans Unicode" w:hAnsi="Verdana" w:cs="Arimo"/>
          <w:i/>
          <w:sz w:val="21"/>
          <w:szCs w:val="21"/>
          <w:lang w:bidi="ar-SA"/>
        </w:rPr>
        <w:t>enibilidad Financiera, posteriormente modificado por el Real Decreto 1040/2017 de 22 de diciembre.</w:t>
      </w:r>
    </w:p>
    <w:p w:rsidR="00061CF1" w:rsidRDefault="004E6D5A">
      <w:pPr>
        <w:spacing w:before="120"/>
        <w:jc w:val="both"/>
        <w:textAlignment w:val="auto"/>
        <w:rPr>
          <w:rFonts w:ascii="Verdana" w:eastAsia="Lucida Sans Unicode" w:hAnsi="Verdana" w:cs="Arimo"/>
          <w:i/>
          <w:sz w:val="21"/>
          <w:szCs w:val="21"/>
          <w:lang w:bidi="ar-SA"/>
        </w:rPr>
      </w:pPr>
      <w:r>
        <w:rPr>
          <w:rFonts w:ascii="Verdana" w:eastAsia="Lucida Sans Unicode" w:hAnsi="Verdana" w:cs="Arimo"/>
          <w:i/>
          <w:sz w:val="21"/>
          <w:szCs w:val="21"/>
          <w:lang w:bidi="ar-SA"/>
        </w:rPr>
        <w:tab/>
        <w:t>La última reforma de la Ley Orgánica 2/2012, de 27 de abril, redefinió el principio de sostenibilidad financiera incluyendo no sólo el control de deuda públ</w:t>
      </w:r>
      <w:r>
        <w:rPr>
          <w:rFonts w:ascii="Verdana" w:eastAsia="Lucida Sans Unicode" w:hAnsi="Verdana" w:cs="Arimo"/>
          <w:i/>
          <w:sz w:val="21"/>
          <w:szCs w:val="21"/>
          <w:lang w:bidi="ar-SA"/>
        </w:rPr>
        <w:t>ica, sino también el control de la deuda comercial.</w:t>
      </w:r>
    </w:p>
    <w:p w:rsidR="00061CF1" w:rsidRDefault="004E6D5A">
      <w:pPr>
        <w:spacing w:before="120"/>
        <w:jc w:val="both"/>
        <w:textAlignment w:val="auto"/>
        <w:rPr>
          <w:rFonts w:ascii="Verdana" w:eastAsia="Lucida Sans Unicode" w:hAnsi="Verdana" w:cs="Arimo"/>
          <w:i/>
          <w:sz w:val="21"/>
          <w:szCs w:val="21"/>
          <w:lang w:bidi="ar-SA"/>
        </w:rPr>
      </w:pPr>
      <w:r>
        <w:rPr>
          <w:rFonts w:ascii="Verdana" w:eastAsia="Lucida Sans Unicode" w:hAnsi="Verdana" w:cs="Arimo"/>
          <w:i/>
          <w:sz w:val="21"/>
          <w:szCs w:val="21"/>
          <w:lang w:bidi="ar-SA"/>
        </w:rPr>
        <w:tab/>
        <w:t>La Ley Orgánica de Control de la Deuda Comercial, modifica la Ley Orgánica 2/2012, de 27 de abril, introduciendo el concepto del Periodo Medio de Pago, como expresión del volumen de deuda comercial y est</w:t>
      </w:r>
      <w:r>
        <w:rPr>
          <w:rFonts w:ascii="Verdana" w:eastAsia="Lucida Sans Unicode" w:hAnsi="Verdana" w:cs="Arimo"/>
          <w:i/>
          <w:sz w:val="21"/>
          <w:szCs w:val="21"/>
          <w:lang w:bidi="ar-SA"/>
        </w:rPr>
        <w:t>ablece la obligación de que todas las Administraciones Públicas hagan público su periodo Medio de Pago.</w:t>
      </w:r>
    </w:p>
    <w:p w:rsidR="00061CF1" w:rsidRDefault="004E6D5A">
      <w:pPr>
        <w:spacing w:before="120"/>
        <w:jc w:val="both"/>
        <w:textAlignment w:val="auto"/>
      </w:pPr>
      <w:r>
        <w:rPr>
          <w:rFonts w:ascii="Verdana" w:eastAsia="Lucida Sans Unicode" w:hAnsi="Verdana" w:cs="Arimo"/>
          <w:i/>
          <w:sz w:val="21"/>
          <w:szCs w:val="21"/>
          <w:lang w:bidi="ar-SA"/>
        </w:rPr>
        <w:tab/>
        <w:t xml:space="preserve">El Real Decreto 1040/2017, de 22 de diciembre, de 25 de julio, mide el retraso en el pago de la deuda comercial en términos económicos, como indicador </w:t>
      </w:r>
      <w:r>
        <w:rPr>
          <w:rFonts w:ascii="Verdana" w:eastAsia="Lucida Sans Unicode" w:hAnsi="Verdana" w:cs="Arimo"/>
          <w:i/>
          <w:sz w:val="21"/>
          <w:szCs w:val="21"/>
          <w:lang w:bidi="ar-SA"/>
        </w:rPr>
        <w:t>distinto respecto del periodo legal de pago en la Ley 3/2004 de 29 de diciembre, por la que se establecen medidas de lucha contra la morosidad en las operaciones comerciales</w:t>
      </w:r>
      <w:r>
        <w:rPr>
          <w:rFonts w:ascii="Arial" w:eastAsia="Lucida Sans Unicode" w:hAnsi="Arial" w:cs="Times New Roman"/>
          <w:i/>
          <w:sz w:val="22"/>
          <w:lang w:bidi="ar-SA"/>
        </w:rPr>
        <w:t>.</w:t>
      </w:r>
    </w:p>
    <w:p w:rsidR="00061CF1" w:rsidRDefault="00061CF1">
      <w:pPr>
        <w:spacing w:before="120"/>
        <w:jc w:val="both"/>
        <w:textAlignment w:val="auto"/>
        <w:rPr>
          <w:rFonts w:ascii="Arial" w:eastAsia="Lucida Sans Unicode" w:hAnsi="Arial" w:cs="Times New Roman"/>
          <w:i/>
          <w:sz w:val="22"/>
          <w:lang w:bidi="ar-SA"/>
        </w:rPr>
      </w:pPr>
    </w:p>
    <w:p w:rsidR="00061CF1" w:rsidRDefault="00061CF1">
      <w:pPr>
        <w:spacing w:before="120"/>
        <w:jc w:val="both"/>
        <w:textAlignment w:val="auto"/>
        <w:rPr>
          <w:rFonts w:ascii="Arial" w:eastAsia="Lucida Sans Unicode" w:hAnsi="Arial" w:cs="Times New Roman"/>
          <w:i/>
          <w:sz w:val="22"/>
          <w:lang w:bidi="ar-SA"/>
        </w:rPr>
      </w:pPr>
    </w:p>
    <w:p w:rsidR="00061CF1" w:rsidRDefault="004E6D5A">
      <w:pPr>
        <w:spacing w:after="120"/>
        <w:jc w:val="center"/>
        <w:textAlignment w:val="auto"/>
        <w:rPr>
          <w:rFonts w:ascii="Arial" w:eastAsia="Lucida Sans Unicode" w:hAnsi="Arial" w:cs="Times New Roman"/>
          <w:i/>
          <w:sz w:val="22"/>
          <w:lang w:bidi="ar-SA"/>
        </w:rPr>
      </w:pPr>
      <w:r>
        <w:rPr>
          <w:rFonts w:ascii="Arial" w:eastAsia="Lucida Sans Unicode" w:hAnsi="Arial" w:cs="Times New Roman"/>
          <w:i/>
          <w:sz w:val="22"/>
          <w:lang w:bidi="ar-SA"/>
        </w:rPr>
        <w:t>CONCLUSIONES</w:t>
      </w:r>
    </w:p>
    <w:p w:rsidR="00061CF1" w:rsidRDefault="004E6D5A">
      <w:pPr>
        <w:shd w:val="clear" w:color="auto" w:fill="FFFFFF"/>
        <w:spacing w:before="120"/>
        <w:jc w:val="both"/>
        <w:textAlignment w:val="auto"/>
      </w:pPr>
      <w:r>
        <w:rPr>
          <w:rFonts w:ascii="Verdana" w:eastAsia="Lucida Sans Unicode" w:hAnsi="Verdana" w:cs="Arimo"/>
          <w:i/>
          <w:sz w:val="21"/>
          <w:szCs w:val="21"/>
          <w:lang w:bidi="ar-SA"/>
        </w:rPr>
        <w:t xml:space="preserve">I.- </w:t>
      </w:r>
      <w:r>
        <w:rPr>
          <w:rFonts w:ascii="Verdana" w:eastAsia="Arimo" w:hAnsi="Verdana" w:cs="Arimo"/>
          <w:i/>
          <w:sz w:val="21"/>
          <w:szCs w:val="21"/>
          <w:lang w:bidi="ar-SA"/>
        </w:rPr>
        <w:t>El procedimiento de cálculo del Periodo Medio de Pago se defin</w:t>
      </w:r>
      <w:r>
        <w:rPr>
          <w:rFonts w:ascii="Verdana" w:eastAsia="Arimo" w:hAnsi="Verdana" w:cs="Arimo"/>
          <w:i/>
          <w:sz w:val="21"/>
          <w:szCs w:val="21"/>
          <w:lang w:bidi="ar-SA"/>
        </w:rPr>
        <w:t xml:space="preserve">e en el </w:t>
      </w:r>
      <w:r>
        <w:rPr>
          <w:rFonts w:ascii="Verdana" w:eastAsia="Lucida Sans Unicode" w:hAnsi="Verdana" w:cs="Arimo"/>
          <w:i/>
          <w:sz w:val="21"/>
          <w:szCs w:val="21"/>
          <w:lang w:bidi="ar-SA"/>
        </w:rPr>
        <w:t>Real Decreto 1040/2017, de 22 de diciembre, por el que se modifica el Real Decreto 635/2014, de 25 de julio, por el que se desarrolla la metodología de cálculo del periodo medio de pago a proveedores de las Administraciones Públicas y las condicion</w:t>
      </w:r>
      <w:r>
        <w:rPr>
          <w:rFonts w:ascii="Verdana" w:eastAsia="Lucida Sans Unicode" w:hAnsi="Verdana" w:cs="Arimo"/>
          <w:i/>
          <w:sz w:val="21"/>
          <w:szCs w:val="21"/>
          <w:lang w:bidi="ar-SA"/>
        </w:rPr>
        <w:t>es y el procedimiento de retención de recursos de los regímenes de financiación, previstos en la Ley Orgánica 2/2012, de 27 de abril, de Estabilidad Presupuestaria y Sostenibilidad Financiera.</w:t>
      </w:r>
    </w:p>
    <w:p w:rsidR="00061CF1" w:rsidRDefault="004E6D5A">
      <w:pPr>
        <w:shd w:val="clear" w:color="auto" w:fill="FFFFFF"/>
        <w:spacing w:before="120"/>
        <w:jc w:val="both"/>
        <w:textAlignment w:val="auto"/>
        <w:rPr>
          <w:rFonts w:ascii="Verdana" w:eastAsia="Lucida Sans Unicode" w:hAnsi="Verdana" w:cs="Arimo"/>
          <w:i/>
          <w:sz w:val="21"/>
          <w:szCs w:val="21"/>
          <w:lang w:bidi="ar-SA"/>
        </w:rPr>
      </w:pPr>
      <w:r>
        <w:rPr>
          <w:rFonts w:ascii="Verdana" w:eastAsia="Lucida Sans Unicode" w:hAnsi="Verdana" w:cs="Arimo"/>
          <w:i/>
          <w:sz w:val="21"/>
          <w:szCs w:val="21"/>
          <w:lang w:bidi="ar-SA"/>
        </w:rPr>
        <w:t>En este sentido, el procedimiento de cálculo es el siguiente:</w:t>
      </w:r>
    </w:p>
    <w:p w:rsidR="00061CF1" w:rsidRDefault="004E6D5A">
      <w:pPr>
        <w:shd w:val="clear" w:color="auto" w:fill="FFFFFF"/>
        <w:spacing w:before="120"/>
        <w:jc w:val="both"/>
        <w:textAlignment w:val="auto"/>
        <w:rPr>
          <w:rFonts w:ascii="Verdana" w:eastAsia="Lucida Sans Unicode" w:hAnsi="Verdana" w:cs="Arimo"/>
          <w:i/>
          <w:sz w:val="21"/>
          <w:szCs w:val="21"/>
          <w:lang w:bidi="ar-SA"/>
        </w:rPr>
      </w:pPr>
      <w:r>
        <w:rPr>
          <w:rFonts w:ascii="Verdana" w:eastAsia="Lucida Sans Unicode" w:hAnsi="Verdana" w:cs="Arimo"/>
          <w:i/>
          <w:sz w:val="21"/>
          <w:szCs w:val="21"/>
          <w:lang w:bidi="ar-SA"/>
        </w:rPr>
        <w:t>“</w:t>
      </w:r>
      <w:r>
        <w:rPr>
          <w:rFonts w:ascii="Verdana" w:eastAsia="Lucida Sans Unicode" w:hAnsi="Verdana" w:cs="Arimo"/>
          <w:i/>
          <w:sz w:val="21"/>
          <w:szCs w:val="21"/>
          <w:lang w:bidi="ar-SA"/>
        </w:rPr>
        <w:t>1. A los efectos del cálculo del periodo medio de pago global al que se refiere el artículo anterior, el periodo medio de pago de cada entidad se calculará de acuerdo con la siguiente fórmula:</w:t>
      </w:r>
    </w:p>
    <w:p w:rsidR="00061CF1" w:rsidRDefault="004E6D5A">
      <w:pPr>
        <w:widowControl/>
        <w:shd w:val="clear" w:color="auto" w:fill="FFFFFF"/>
        <w:suppressAutoHyphens w:val="0"/>
        <w:spacing w:before="120"/>
        <w:jc w:val="center"/>
        <w:textAlignment w:val="auto"/>
      </w:pPr>
      <w:r>
        <w:rPr>
          <w:rFonts w:ascii="Verdana" w:eastAsia="Times New Roman" w:hAnsi="Verdana" w:cs="Arimo"/>
          <w:i/>
          <w:noProof/>
          <w:kern w:val="0"/>
          <w:sz w:val="21"/>
          <w:szCs w:val="21"/>
          <w:lang w:eastAsia="es-ES" w:bidi="ar-SA"/>
        </w:rPr>
        <w:drawing>
          <wp:inline distT="0" distB="0" distL="0" distR="0">
            <wp:extent cx="5153028" cy="876296"/>
            <wp:effectExtent l="0" t="0" r="9522" b="4"/>
            <wp:docPr id="14" name="Imagen 137"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153028" cy="876296"/>
                    </a:xfrm>
                    <a:prstGeom prst="rect">
                      <a:avLst/>
                    </a:prstGeom>
                    <a:noFill/>
                    <a:ln>
                      <a:noFill/>
                      <a:prstDash/>
                    </a:ln>
                  </pic:spPr>
                </pic:pic>
              </a:graphicData>
            </a:graphic>
          </wp:inline>
        </w:drawing>
      </w:r>
    </w:p>
    <w:p w:rsidR="00061CF1" w:rsidRDefault="004E6D5A">
      <w:pPr>
        <w:widowControl/>
        <w:shd w:val="clear" w:color="auto" w:fill="FFFFFF"/>
        <w:suppressAutoHyphens w:val="0"/>
        <w:spacing w:before="120"/>
        <w:ind w:firstLine="360"/>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2. Para los pagos realizados en el mes, se calculará el ratio</w:t>
      </w:r>
      <w:r>
        <w:rPr>
          <w:rFonts w:ascii="Verdana" w:eastAsia="Times New Roman" w:hAnsi="Verdana" w:cs="Arimo"/>
          <w:i/>
          <w:kern w:val="0"/>
          <w:sz w:val="21"/>
          <w:szCs w:val="21"/>
          <w:lang w:eastAsia="es-ES" w:bidi="ar-SA"/>
        </w:rPr>
        <w:t xml:space="preserve"> de las operaciones pagadas de acuerdo con la siguiente fórmula:</w:t>
      </w:r>
    </w:p>
    <w:p w:rsidR="00061CF1" w:rsidRDefault="004E6D5A">
      <w:pPr>
        <w:widowControl/>
        <w:shd w:val="clear" w:color="auto" w:fill="FFFFFF"/>
        <w:suppressAutoHyphens w:val="0"/>
        <w:spacing w:before="120"/>
        <w:jc w:val="center"/>
        <w:textAlignment w:val="auto"/>
      </w:pPr>
      <w:r>
        <w:rPr>
          <w:rFonts w:ascii="Verdana" w:eastAsia="Times New Roman" w:hAnsi="Verdana" w:cs="Arimo"/>
          <w:i/>
          <w:noProof/>
          <w:kern w:val="0"/>
          <w:sz w:val="21"/>
          <w:szCs w:val="21"/>
          <w:lang w:eastAsia="es-ES" w:bidi="ar-SA"/>
        </w:rPr>
        <w:drawing>
          <wp:inline distT="0" distB="0" distL="0" distR="0">
            <wp:extent cx="5143499" cy="657225"/>
            <wp:effectExtent l="0" t="0" r="1" b="9525"/>
            <wp:docPr id="15" name="Imagen 136"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143499" cy="657225"/>
                    </a:xfrm>
                    <a:prstGeom prst="rect">
                      <a:avLst/>
                    </a:prstGeom>
                    <a:noFill/>
                    <a:ln>
                      <a:noFill/>
                      <a:prstDash/>
                    </a:ln>
                  </pic:spPr>
                </pic:pic>
              </a:graphicData>
            </a:graphic>
          </wp:inline>
        </w:drawing>
      </w:r>
    </w:p>
    <w:p w:rsidR="00061CF1" w:rsidRDefault="004E6D5A">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Se entenderá por número de días de pago, los días naturales transcurridos desde:</w:t>
      </w:r>
    </w:p>
    <w:p w:rsidR="00061CF1" w:rsidRDefault="00061CF1">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p>
    <w:p w:rsidR="00061CF1" w:rsidRDefault="00061CF1">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p>
    <w:p w:rsidR="00061CF1" w:rsidRDefault="004E6D5A">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 xml:space="preserve">a) La fecha de aprobación de las certificaciones de obra hasta la fecha de pago material por parte de la </w:t>
      </w:r>
      <w:r>
        <w:rPr>
          <w:rFonts w:ascii="Verdana" w:eastAsia="Times New Roman" w:hAnsi="Verdana" w:cs="Arimo"/>
          <w:i/>
          <w:kern w:val="0"/>
          <w:sz w:val="21"/>
          <w:szCs w:val="21"/>
          <w:lang w:eastAsia="es-ES" w:bidi="ar-SA"/>
        </w:rPr>
        <w:t>Administración.</w:t>
      </w:r>
    </w:p>
    <w:p w:rsidR="00061CF1" w:rsidRDefault="004E6D5A">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b) La fecha de aprobación de los documentos que acrediten la conformidad con los bienes entregados o servicios prestados, hasta la fecha de pago material por parte de la Administración.</w:t>
      </w:r>
    </w:p>
    <w:p w:rsidR="00061CF1" w:rsidRDefault="004E6D5A">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c) La fecha de entrada de la factura en el registro ad</w:t>
      </w:r>
      <w:r>
        <w:rPr>
          <w:rFonts w:ascii="Verdana" w:eastAsia="Times New Roman" w:hAnsi="Verdana" w:cs="Arimo"/>
          <w:i/>
          <w:kern w:val="0"/>
          <w:sz w:val="21"/>
          <w:szCs w:val="21"/>
          <w:lang w:eastAsia="es-ES" w:bidi="ar-SA"/>
        </w:rPr>
        <w:t xml:space="preserve">ministrativo, según conste en el registro contable de facturas o sistema equivalente, hasta la fecha de pago material por parte de la Administración, en los supuestos en los que o bien no resulte de aplicación un procedimiento de aceptación o comprobación </w:t>
      </w:r>
      <w:r>
        <w:rPr>
          <w:rFonts w:ascii="Verdana" w:eastAsia="Times New Roman" w:hAnsi="Verdana" w:cs="Arimo"/>
          <w:i/>
          <w:kern w:val="0"/>
          <w:sz w:val="21"/>
          <w:szCs w:val="21"/>
          <w:lang w:eastAsia="es-ES" w:bidi="ar-SA"/>
        </w:rPr>
        <w:t>de los bienes o servicios prestados o bien la factura se reciba con posterioridad a la aprobación de la conformidad.</w:t>
      </w:r>
    </w:p>
    <w:p w:rsidR="00061CF1" w:rsidRDefault="004E6D5A">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En los supuestos en los que no haya obligación de disponer de registro contable, se tomará la fecha de recepción de la factura en el corres</w:t>
      </w:r>
      <w:r>
        <w:rPr>
          <w:rFonts w:ascii="Verdana" w:eastAsia="Times New Roman" w:hAnsi="Verdana" w:cs="Arimo"/>
          <w:i/>
          <w:kern w:val="0"/>
          <w:sz w:val="21"/>
          <w:szCs w:val="21"/>
          <w:lang w:eastAsia="es-ES" w:bidi="ar-SA"/>
        </w:rPr>
        <w:t>pondiente registro administrativo.</w:t>
      </w:r>
    </w:p>
    <w:p w:rsidR="00061CF1" w:rsidRDefault="004E6D5A">
      <w:pPr>
        <w:widowControl/>
        <w:shd w:val="clear" w:color="auto" w:fill="FFFFFF"/>
        <w:suppressAutoHyphens w:val="0"/>
        <w:spacing w:before="120"/>
        <w:ind w:firstLine="284"/>
        <w:jc w:val="both"/>
        <w:textAlignment w:val="auto"/>
        <w:rPr>
          <w:rFonts w:ascii="Verdana" w:eastAsia="Times New Roman" w:hAnsi="Verdana" w:cs="Arimo"/>
          <w:i/>
          <w:kern w:val="0"/>
          <w:sz w:val="21"/>
          <w:szCs w:val="21"/>
          <w:lang w:eastAsia="es-ES" w:bidi="ar-SA"/>
        </w:rPr>
      </w:pPr>
      <w:r>
        <w:rPr>
          <w:rFonts w:ascii="Verdana" w:eastAsia="Times New Roman" w:hAnsi="Verdana" w:cs="Arimo"/>
          <w:i/>
          <w:kern w:val="0"/>
          <w:sz w:val="21"/>
          <w:szCs w:val="21"/>
          <w:lang w:eastAsia="es-ES" w:bidi="ar-SA"/>
        </w:rPr>
        <w:t>En el caso de las facturas que se paguen con cargo al Fondo de Liquidez Autonómico o con cargo a la retención de importes a satisfacer por los recursos de los regímenes de financiación para pagar directamente a los provee</w:t>
      </w:r>
      <w:r>
        <w:rPr>
          <w:rFonts w:ascii="Verdana" w:eastAsia="Times New Roman" w:hAnsi="Verdana" w:cs="Arimo"/>
          <w:i/>
          <w:kern w:val="0"/>
          <w:sz w:val="21"/>
          <w:szCs w:val="21"/>
          <w:lang w:eastAsia="es-ES" w:bidi="ar-SA"/>
        </w:rPr>
        <w:t>dores, se considerará como fecha de pago material la fecha de la propuesta de pago definitiva formulada por la Comunidad Autónoma o la Corporación Local, según corresponda.</w:t>
      </w:r>
    </w:p>
    <w:p w:rsidR="00061CF1" w:rsidRDefault="004E6D5A">
      <w:pPr>
        <w:widowControl/>
        <w:shd w:val="clear" w:color="auto" w:fill="FFFFFF"/>
        <w:suppressAutoHyphens w:val="0"/>
        <w:spacing w:before="120"/>
        <w:ind w:firstLine="284"/>
        <w:jc w:val="both"/>
        <w:textAlignment w:val="auto"/>
      </w:pPr>
      <w:r>
        <w:rPr>
          <w:rFonts w:ascii="Verdana" w:eastAsia="Arimo" w:hAnsi="Verdana" w:cs="Arimo"/>
          <w:i/>
          <w:kern w:val="0"/>
          <w:sz w:val="21"/>
          <w:szCs w:val="21"/>
          <w:lang w:eastAsia="es-ES" w:bidi="ar-SA"/>
        </w:rPr>
        <w:t>De conformidad con lo expuesto en el punto anterior, el cómputo del plazo se debe r</w:t>
      </w:r>
      <w:r>
        <w:rPr>
          <w:rFonts w:ascii="Verdana" w:eastAsia="Arimo" w:hAnsi="Verdana" w:cs="Arimo"/>
          <w:i/>
          <w:kern w:val="0"/>
          <w:sz w:val="21"/>
          <w:szCs w:val="21"/>
          <w:lang w:eastAsia="es-ES" w:bidi="ar-SA"/>
        </w:rPr>
        <w:t xml:space="preserve">ealizar de forma ordinaria para las contrataciones, exceptuando las obras, desde </w:t>
      </w:r>
      <w:r>
        <w:rPr>
          <w:rFonts w:ascii="Verdana" w:eastAsia="Times New Roman" w:hAnsi="Verdana" w:cs="Arimo"/>
          <w:i/>
          <w:kern w:val="0"/>
          <w:sz w:val="21"/>
          <w:szCs w:val="21"/>
          <w:lang w:eastAsia="es-ES" w:bidi="ar-SA"/>
        </w:rPr>
        <w:t>la fecha de aprobación de los documentos que acrediten la conformidad con los bienes entregados o servicios prestados, hasta la fecha de pago material por parte de la Administ</w:t>
      </w:r>
      <w:r>
        <w:rPr>
          <w:rFonts w:ascii="Verdana" w:eastAsia="Times New Roman" w:hAnsi="Verdana" w:cs="Arimo"/>
          <w:i/>
          <w:kern w:val="0"/>
          <w:sz w:val="21"/>
          <w:szCs w:val="21"/>
          <w:lang w:eastAsia="es-ES" w:bidi="ar-SA"/>
        </w:rPr>
        <w:t xml:space="preserve">ración. Para el caso de las obras, desde la fecha de aprobación de las certificaciones de obra hasta la fecha de pago material por parte de la Administración. </w:t>
      </w:r>
    </w:p>
    <w:p w:rsidR="00061CF1" w:rsidRDefault="00061CF1">
      <w:pPr>
        <w:textAlignment w:val="auto"/>
        <w:rPr>
          <w:rFonts w:ascii="Verdana" w:eastAsia="Lucida Sans Unicode" w:hAnsi="Verdana" w:cs="Arimo"/>
          <w:i/>
          <w:sz w:val="21"/>
          <w:szCs w:val="21"/>
          <w:lang w:bidi="ar-SA"/>
        </w:rPr>
      </w:pPr>
    </w:p>
    <w:p w:rsidR="00061CF1" w:rsidRDefault="004E6D5A">
      <w:pPr>
        <w:widowControl/>
        <w:numPr>
          <w:ilvl w:val="1"/>
          <w:numId w:val="7"/>
        </w:numPr>
        <w:tabs>
          <w:tab w:val="left" w:pos="0"/>
          <w:tab w:val="left" w:pos="1440"/>
        </w:tabs>
        <w:jc w:val="both"/>
        <w:textAlignment w:val="auto"/>
      </w:pPr>
      <w:r>
        <w:rPr>
          <w:rFonts w:ascii="Verdana" w:eastAsia="Lucida Sans Unicode" w:hAnsi="Verdana" w:cs="Arimo"/>
          <w:i/>
          <w:sz w:val="21"/>
          <w:szCs w:val="21"/>
          <w:lang w:bidi="ar-SA"/>
        </w:rPr>
        <w:t xml:space="preserve">II.- </w:t>
      </w:r>
      <w:r>
        <w:rPr>
          <w:rFonts w:ascii="Verdana" w:eastAsia="Lucida Sans Unicode" w:hAnsi="Verdana" w:cs="Arimo"/>
          <w:bCs/>
          <w:i/>
          <w:sz w:val="21"/>
          <w:szCs w:val="21"/>
          <w:lang w:bidi="ar-SA"/>
        </w:rPr>
        <w:t>Periodo Medio de Pago del Ayuntamiento de Candelaria. Tercer trimestre 2025: De conformida</w:t>
      </w:r>
      <w:r>
        <w:rPr>
          <w:rFonts w:ascii="Verdana" w:eastAsia="Lucida Sans Unicode" w:hAnsi="Verdana" w:cs="Arimo"/>
          <w:bCs/>
          <w:i/>
          <w:sz w:val="21"/>
          <w:szCs w:val="21"/>
          <w:lang w:bidi="ar-SA"/>
        </w:rPr>
        <w:t>d con la información extraída del aplicativo contable el 8 de octubre de 2025, el PMP del Ayuntamiento es el siguiente:</w:t>
      </w:r>
    </w:p>
    <w:p w:rsidR="00061CF1" w:rsidRDefault="00061CF1">
      <w:pPr>
        <w:widowControl/>
        <w:tabs>
          <w:tab w:val="left" w:pos="1440"/>
        </w:tabs>
        <w:jc w:val="both"/>
        <w:textAlignment w:val="auto"/>
        <w:rPr>
          <w:rFonts w:ascii="Verdana" w:eastAsia="Lucida Sans Unicode" w:hAnsi="Verdana" w:cs="Arimo"/>
          <w:i/>
          <w:sz w:val="21"/>
          <w:szCs w:val="21"/>
          <w:lang w:bidi="ar-SA"/>
        </w:rPr>
      </w:pPr>
    </w:p>
    <w:tbl>
      <w:tblPr>
        <w:tblW w:w="5020" w:type="dxa"/>
        <w:tblCellMar>
          <w:left w:w="10" w:type="dxa"/>
          <w:right w:w="10" w:type="dxa"/>
        </w:tblCellMar>
        <w:tblLook w:val="0000" w:firstRow="0" w:lastRow="0" w:firstColumn="0" w:lastColumn="0" w:noHBand="0" w:noVBand="0"/>
      </w:tblPr>
      <w:tblGrid>
        <w:gridCol w:w="3160"/>
        <w:gridCol w:w="1860"/>
      </w:tblGrid>
      <w:tr w:rsidR="00061CF1">
        <w:tblPrEx>
          <w:tblCellMar>
            <w:top w:w="0" w:type="dxa"/>
            <w:bottom w:w="0" w:type="dxa"/>
          </w:tblCellMar>
        </w:tblPrEx>
        <w:trPr>
          <w:trHeight w:val="25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center"/>
              <w:textAlignment w:val="auto"/>
            </w:pPr>
            <w:r>
              <w:rPr>
                <w:rFonts w:ascii="Verdana" w:eastAsia="Lucida Sans Unicode" w:hAnsi="Verdana" w:cs="Arial"/>
                <w:i/>
                <w:sz w:val="18"/>
                <w:szCs w:val="18"/>
                <w:lang w:bidi="ar-SA"/>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12,07</w:t>
            </w:r>
          </w:p>
        </w:tc>
      </w:tr>
      <w:tr w:rsidR="00061CF1">
        <w:tblPrEx>
          <w:tblCellMar>
            <w:top w:w="0" w:type="dxa"/>
            <w:bottom w:w="0" w:type="dxa"/>
          </w:tblCellMar>
        </w:tblPrEx>
        <w:trPr>
          <w:trHeight w:val="25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6.006.006,18</w:t>
            </w:r>
          </w:p>
        </w:tc>
      </w:tr>
      <w:tr w:rsidR="00061CF1">
        <w:tblPrEx>
          <w:tblCellMar>
            <w:top w:w="0" w:type="dxa"/>
            <w:bottom w:w="0" w:type="dxa"/>
          </w:tblCellMar>
        </w:tblPrEx>
        <w:trPr>
          <w:trHeight w:val="378"/>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33,19</w:t>
            </w:r>
          </w:p>
        </w:tc>
      </w:tr>
      <w:tr w:rsidR="00061CF1">
        <w:tblPrEx>
          <w:tblCellMar>
            <w:top w:w="0" w:type="dxa"/>
            <w:bottom w:w="0" w:type="dxa"/>
          </w:tblCellMar>
        </w:tblPrEx>
        <w:trPr>
          <w:trHeight w:val="54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1.164.464,83</w:t>
            </w:r>
          </w:p>
        </w:tc>
      </w:tr>
      <w:tr w:rsidR="00061CF1">
        <w:tblPrEx>
          <w:tblCellMar>
            <w:top w:w="0" w:type="dxa"/>
            <w:bottom w:w="0" w:type="dxa"/>
          </w:tblCellMar>
        </w:tblPrEx>
        <w:trPr>
          <w:trHeight w:val="28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pPr>
            <w:r>
              <w:rPr>
                <w:rFonts w:ascii="Verdana" w:eastAsia="Lucida Sans Unicode" w:hAnsi="Verdana" w:cs="Arial"/>
                <w:bCs/>
                <w:i/>
                <w:sz w:val="18"/>
                <w:szCs w:val="18"/>
                <w:lang w:bidi="ar-SA"/>
              </w:rPr>
              <w:t xml:space="preserve">Resultado PMP </w:t>
            </w:r>
            <w:r>
              <w:rPr>
                <w:rFonts w:ascii="Verdana" w:eastAsia="Lucida Sans Unicode" w:hAnsi="Verdana" w:cs="Arial"/>
                <w:bCs/>
                <w:i/>
                <w:sz w:val="18"/>
                <w:szCs w:val="18"/>
                <w:vertAlign w:val="subscript"/>
                <w:lang w:bidi="ar-SA"/>
              </w:rPr>
              <w:t>AYTO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15,50</w:t>
            </w:r>
          </w:p>
        </w:tc>
      </w:tr>
    </w:tbl>
    <w:p w:rsidR="00061CF1" w:rsidRDefault="00061CF1">
      <w:pPr>
        <w:widowControl/>
        <w:tabs>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1440"/>
        </w:tabs>
        <w:jc w:val="both"/>
        <w:textAlignment w:val="auto"/>
        <w:rPr>
          <w:rFonts w:ascii="Verdana" w:eastAsia="Lucida Sans Unicode" w:hAnsi="Verdana" w:cs="Arimo"/>
          <w:bCs/>
          <w:i/>
          <w:sz w:val="21"/>
          <w:szCs w:val="21"/>
          <w:lang w:bidi="ar-SA"/>
        </w:rPr>
      </w:pPr>
    </w:p>
    <w:p w:rsidR="00061CF1" w:rsidRDefault="00061CF1">
      <w:pPr>
        <w:widowControl/>
        <w:tabs>
          <w:tab w:val="left" w:pos="1440"/>
        </w:tabs>
        <w:jc w:val="both"/>
        <w:textAlignment w:val="auto"/>
        <w:rPr>
          <w:rFonts w:ascii="Verdana" w:eastAsia="Lucida Sans Unicode" w:hAnsi="Verdana" w:cs="Arimo"/>
          <w:bCs/>
          <w:i/>
          <w:sz w:val="21"/>
          <w:szCs w:val="21"/>
          <w:lang w:bidi="ar-SA"/>
        </w:rPr>
      </w:pPr>
    </w:p>
    <w:p w:rsidR="00061CF1" w:rsidRDefault="00061CF1">
      <w:pPr>
        <w:widowControl/>
        <w:tabs>
          <w:tab w:val="left" w:pos="1440"/>
        </w:tabs>
        <w:jc w:val="both"/>
        <w:textAlignment w:val="auto"/>
        <w:rPr>
          <w:rFonts w:ascii="Verdana" w:eastAsia="Lucida Sans Unicode" w:hAnsi="Verdana" w:cs="Arimo"/>
          <w:bCs/>
          <w:i/>
          <w:sz w:val="21"/>
          <w:szCs w:val="21"/>
          <w:lang w:bidi="ar-SA"/>
        </w:rPr>
      </w:pPr>
    </w:p>
    <w:p w:rsidR="00061CF1" w:rsidRDefault="00061CF1">
      <w:pPr>
        <w:tabs>
          <w:tab w:val="left" w:pos="1440"/>
        </w:tabs>
        <w:textAlignment w:val="auto"/>
        <w:rPr>
          <w:rFonts w:ascii="Verdana" w:eastAsia="Lucida Sans Unicode" w:hAnsi="Verdana" w:cs="Arimo"/>
          <w:i/>
          <w:sz w:val="21"/>
          <w:szCs w:val="21"/>
          <w:lang w:bidi="ar-SA"/>
        </w:rPr>
      </w:pPr>
    </w:p>
    <w:p w:rsidR="00061CF1" w:rsidRDefault="004E6D5A">
      <w:pPr>
        <w:widowControl/>
        <w:numPr>
          <w:ilvl w:val="1"/>
          <w:numId w:val="6"/>
        </w:numPr>
        <w:tabs>
          <w:tab w:val="left" w:pos="0"/>
          <w:tab w:val="left" w:pos="1440"/>
        </w:tabs>
        <w:jc w:val="both"/>
        <w:textAlignment w:val="auto"/>
      </w:pPr>
      <w:r>
        <w:rPr>
          <w:rFonts w:ascii="Verdana" w:eastAsia="Lucida Sans Unicode" w:hAnsi="Verdana" w:cs="Arimo"/>
          <w:i/>
          <w:sz w:val="21"/>
          <w:szCs w:val="21"/>
          <w:lang w:bidi="ar-SA"/>
        </w:rPr>
        <w:t xml:space="preserve">III.- </w:t>
      </w:r>
      <w:r>
        <w:rPr>
          <w:rFonts w:ascii="Verdana" w:eastAsia="Lucida Sans Unicode" w:hAnsi="Verdana" w:cs="Arimo"/>
          <w:bCs/>
          <w:i/>
          <w:sz w:val="21"/>
          <w:szCs w:val="21"/>
          <w:lang w:bidi="ar-SA"/>
        </w:rPr>
        <w:t>Periodo Medio de Pago EPELCAN. Tercer trimestre 2025: De conformidad con los cálculos remitidos por la entidad pública empresarial, el PMP de EPELCAN es el siguiente es el siguiente:</w:t>
      </w: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tbl>
      <w:tblPr>
        <w:tblW w:w="5020" w:type="dxa"/>
        <w:tblInd w:w="1739" w:type="dxa"/>
        <w:tblCellMar>
          <w:left w:w="10" w:type="dxa"/>
          <w:right w:w="10" w:type="dxa"/>
        </w:tblCellMar>
        <w:tblLook w:val="0000" w:firstRow="0" w:lastRow="0" w:firstColumn="0" w:lastColumn="0" w:noHBand="0" w:noVBand="0"/>
      </w:tblPr>
      <w:tblGrid>
        <w:gridCol w:w="3160"/>
        <w:gridCol w:w="1860"/>
      </w:tblGrid>
      <w:tr w:rsidR="00061CF1">
        <w:tblPrEx>
          <w:tblCellMar>
            <w:top w:w="0" w:type="dxa"/>
            <w:bottom w:w="0" w:type="dxa"/>
          </w:tblCellMar>
        </w:tblPrEx>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center"/>
              <w:textAlignment w:val="auto"/>
            </w:pPr>
            <w:r>
              <w:rPr>
                <w:rFonts w:ascii="Verdana" w:eastAsia="Lucida Sans Unicode" w:hAnsi="Verdana" w:cs="Arial"/>
                <w:i/>
                <w:sz w:val="18"/>
                <w:szCs w:val="18"/>
                <w:lang w:bidi="ar-SA"/>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28,25</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26.965,86</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11,08</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12.102,98</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pPr>
            <w:r>
              <w:rPr>
                <w:rFonts w:ascii="Verdana" w:eastAsia="Lucida Sans Unicode" w:hAnsi="Verdana" w:cs="Arial"/>
                <w:bCs/>
                <w:i/>
                <w:sz w:val="18"/>
                <w:szCs w:val="18"/>
                <w:lang w:bidi="ar-SA"/>
              </w:rPr>
              <w:t>Resultado PMP</w:t>
            </w:r>
            <w:r>
              <w:rPr>
                <w:rFonts w:ascii="Verdana" w:eastAsia="Lucida Sans Unicode" w:hAnsi="Verdana" w:cs="Arial"/>
                <w:bCs/>
                <w:i/>
                <w:sz w:val="18"/>
                <w:szCs w:val="18"/>
                <w:vertAlign w:val="subscript"/>
                <w:lang w:bidi="ar-SA"/>
              </w:rPr>
              <w:t xml:space="preserve"> </w:t>
            </w:r>
            <w:r>
              <w:rPr>
                <w:rFonts w:ascii="Verdana" w:eastAsia="Lucida Sans Unicode" w:hAnsi="Verdana" w:cs="Arial"/>
                <w:bCs/>
                <w:i/>
                <w:sz w:val="18"/>
                <w:szCs w:val="18"/>
                <w:lang w:bidi="ar-SA"/>
              </w:rPr>
              <w:t>Epelcan</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22,94</w:t>
            </w:r>
          </w:p>
        </w:tc>
      </w:tr>
    </w:tbl>
    <w:p w:rsidR="00061CF1" w:rsidRDefault="00061CF1">
      <w:pPr>
        <w:widowControl/>
        <w:numPr>
          <w:ilvl w:val="1"/>
          <w:numId w:val="6"/>
        </w:numPr>
        <w:tabs>
          <w:tab w:val="left" w:pos="0"/>
          <w:tab w:val="left" w:pos="1440"/>
        </w:tabs>
        <w:jc w:val="both"/>
        <w:textAlignment w:val="auto"/>
        <w:rPr>
          <w:rFonts w:ascii="Verdana" w:eastAsia="Lucida Sans Unicode" w:hAnsi="Verdana" w:cs="Arimo"/>
          <w:i/>
          <w:sz w:val="21"/>
          <w:szCs w:val="21"/>
          <w:lang w:bidi="ar-SA"/>
        </w:rPr>
      </w:pPr>
    </w:p>
    <w:p w:rsidR="00061CF1" w:rsidRDefault="004E6D5A">
      <w:pPr>
        <w:jc w:val="both"/>
        <w:textAlignment w:val="auto"/>
        <w:rPr>
          <w:rFonts w:ascii="Verdana" w:eastAsia="Lucida Sans Unicode" w:hAnsi="Verdana" w:cs="Arimo"/>
          <w:i/>
          <w:sz w:val="21"/>
          <w:szCs w:val="21"/>
          <w:lang w:bidi="ar-SA"/>
        </w:rPr>
      </w:pPr>
      <w:r>
        <w:rPr>
          <w:rFonts w:ascii="Verdana" w:eastAsia="Lucida Sans Unicode" w:hAnsi="Verdana" w:cs="Arimo"/>
          <w:i/>
          <w:sz w:val="21"/>
          <w:szCs w:val="21"/>
          <w:lang w:bidi="ar-SA"/>
        </w:rPr>
        <w:tab/>
      </w:r>
    </w:p>
    <w:p w:rsidR="00061CF1" w:rsidRDefault="004E6D5A">
      <w:pPr>
        <w:widowControl/>
        <w:numPr>
          <w:ilvl w:val="1"/>
          <w:numId w:val="6"/>
        </w:numPr>
        <w:tabs>
          <w:tab w:val="left" w:pos="0"/>
          <w:tab w:val="left" w:pos="1440"/>
        </w:tabs>
        <w:jc w:val="both"/>
        <w:textAlignment w:val="auto"/>
      </w:pPr>
      <w:r>
        <w:rPr>
          <w:rFonts w:ascii="Verdana" w:eastAsia="Lucida Sans Unicode" w:hAnsi="Verdana" w:cs="Arimo"/>
          <w:i/>
          <w:sz w:val="21"/>
          <w:szCs w:val="21"/>
          <w:lang w:bidi="ar-SA"/>
        </w:rPr>
        <w:t xml:space="preserve">III.- </w:t>
      </w:r>
      <w:r>
        <w:rPr>
          <w:rFonts w:ascii="Verdana" w:eastAsia="Lucida Sans Unicode" w:hAnsi="Verdana" w:cs="Arimo"/>
          <w:bCs/>
          <w:i/>
          <w:sz w:val="21"/>
          <w:szCs w:val="21"/>
          <w:lang w:bidi="ar-SA"/>
        </w:rPr>
        <w:t xml:space="preserve">Periodo Medio de Pago VIVIENDAS Y SERVICIOS MUNICIPALES DE CANDELARIA SL. Tercer trimestre 2025: De conformidad con los </w:t>
      </w:r>
      <w:r>
        <w:rPr>
          <w:rFonts w:ascii="Verdana" w:eastAsia="Lucida Sans Unicode" w:hAnsi="Verdana" w:cs="Arimo"/>
          <w:bCs/>
          <w:i/>
          <w:sz w:val="21"/>
          <w:szCs w:val="21"/>
          <w:lang w:bidi="ar-SA"/>
        </w:rPr>
        <w:t>cálculos remitidos por la entidad pública empresarial, el PMP de la entidad VIVIENDAS Y SERVICIOS MUNICIPALES DE CANDELARIA SL, es el siguiente:</w:t>
      </w:r>
    </w:p>
    <w:p w:rsidR="00061CF1" w:rsidRDefault="00061CF1">
      <w:pPr>
        <w:widowControl/>
        <w:numPr>
          <w:ilvl w:val="1"/>
          <w:numId w:val="6"/>
        </w:numPr>
        <w:tabs>
          <w:tab w:val="left" w:pos="0"/>
          <w:tab w:val="left" w:pos="1440"/>
        </w:tabs>
        <w:jc w:val="both"/>
        <w:textAlignment w:val="auto"/>
        <w:rPr>
          <w:rFonts w:ascii="Verdana" w:eastAsia="Lucida Sans Unicode" w:hAnsi="Verdana" w:cs="Arimo"/>
          <w:i/>
          <w:sz w:val="21"/>
          <w:szCs w:val="21"/>
          <w:lang w:bidi="ar-SA"/>
        </w:rPr>
      </w:pPr>
    </w:p>
    <w:tbl>
      <w:tblPr>
        <w:tblW w:w="5020" w:type="dxa"/>
        <w:tblInd w:w="1739" w:type="dxa"/>
        <w:tblCellMar>
          <w:left w:w="10" w:type="dxa"/>
          <w:right w:w="10" w:type="dxa"/>
        </w:tblCellMar>
        <w:tblLook w:val="0000" w:firstRow="0" w:lastRow="0" w:firstColumn="0" w:lastColumn="0" w:noHBand="0" w:noVBand="0"/>
      </w:tblPr>
      <w:tblGrid>
        <w:gridCol w:w="3160"/>
        <w:gridCol w:w="1860"/>
      </w:tblGrid>
      <w:tr w:rsidR="00061CF1">
        <w:tblPrEx>
          <w:tblCellMar>
            <w:top w:w="0" w:type="dxa"/>
            <w:bottom w:w="0" w:type="dxa"/>
          </w:tblCellMar>
        </w:tblPrEx>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center"/>
              <w:textAlignment w:val="auto"/>
            </w:pPr>
            <w:r>
              <w:rPr>
                <w:rFonts w:ascii="Verdana" w:eastAsia="Lucida Sans Unicode" w:hAnsi="Verdana" w:cs="Arial"/>
                <w:i/>
                <w:sz w:val="18"/>
                <w:szCs w:val="18"/>
                <w:lang w:bidi="ar-SA"/>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7,92</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32.523,36</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12,16</w:t>
            </w:r>
          </w:p>
        </w:tc>
      </w:tr>
      <w:tr w:rsidR="00061CF1">
        <w:tblPrEx>
          <w:tblCellMar>
            <w:top w:w="0" w:type="dxa"/>
            <w:bottom w:w="0" w:type="dxa"/>
          </w:tblCellMar>
        </w:tblPrEx>
        <w:trPr>
          <w:trHeight w:val="33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 xml:space="preserve">Pagos </w:t>
            </w:r>
            <w:r>
              <w:rPr>
                <w:rFonts w:ascii="Verdana" w:eastAsia="Lucida Sans Unicode" w:hAnsi="Verdana" w:cs="Arial"/>
                <w:i/>
                <w:sz w:val="18"/>
                <w:szCs w:val="18"/>
                <w:lang w:bidi="ar-SA"/>
              </w:rPr>
              <w:t>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4.091,55</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pPr>
            <w:r>
              <w:rPr>
                <w:rFonts w:ascii="Verdana" w:eastAsia="Lucida Sans Unicode" w:hAnsi="Verdana" w:cs="Arial"/>
                <w:bCs/>
                <w:i/>
                <w:sz w:val="18"/>
                <w:szCs w:val="18"/>
                <w:lang w:bidi="ar-SA"/>
              </w:rPr>
              <w:t>Resultado PMP</w:t>
            </w:r>
            <w:r>
              <w:rPr>
                <w:rFonts w:ascii="Verdana" w:eastAsia="Lucida Sans Unicode" w:hAnsi="Verdana" w:cs="Arial"/>
                <w:bCs/>
                <w:i/>
                <w:sz w:val="18"/>
                <w:szCs w:val="18"/>
                <w:vertAlign w:val="subscript"/>
                <w:lang w:bidi="ar-SA"/>
              </w:rPr>
              <w:t xml:space="preserve"> </w:t>
            </w:r>
            <w:r>
              <w:rPr>
                <w:rFonts w:ascii="Verdana" w:eastAsia="Lucida Sans Unicode" w:hAnsi="Verdana" w:cs="Arial"/>
                <w:bCs/>
                <w:i/>
                <w:sz w:val="18"/>
                <w:szCs w:val="18"/>
                <w:lang w:bidi="ar-SA"/>
              </w:rPr>
              <w:t>Empresa</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8,40</w:t>
            </w:r>
          </w:p>
        </w:tc>
      </w:tr>
    </w:tbl>
    <w:p w:rsidR="00061CF1" w:rsidRDefault="00061CF1">
      <w:pPr>
        <w:widowControl/>
        <w:numPr>
          <w:ilvl w:val="1"/>
          <w:numId w:val="6"/>
        </w:numPr>
        <w:tabs>
          <w:tab w:val="left" w:pos="0"/>
          <w:tab w:val="left" w:pos="1440"/>
        </w:tabs>
        <w:jc w:val="both"/>
        <w:textAlignment w:val="auto"/>
        <w:rPr>
          <w:rFonts w:ascii="Verdana" w:eastAsia="Lucida Sans Unicode" w:hAnsi="Verdana" w:cs="Arimo"/>
          <w:i/>
          <w:sz w:val="21"/>
          <w:szCs w:val="21"/>
          <w:lang w:bidi="ar-SA"/>
        </w:rPr>
      </w:pPr>
    </w:p>
    <w:p w:rsidR="00061CF1" w:rsidRDefault="00061CF1">
      <w:pPr>
        <w:jc w:val="both"/>
        <w:textAlignment w:val="auto"/>
        <w:rPr>
          <w:rFonts w:ascii="Verdana" w:eastAsia="Lucida Sans Unicode" w:hAnsi="Verdana" w:cs="Arimo"/>
          <w:i/>
          <w:color w:val="272923"/>
          <w:sz w:val="21"/>
          <w:szCs w:val="21"/>
          <w:lang w:bidi="ar-SA"/>
        </w:rPr>
      </w:pPr>
    </w:p>
    <w:p w:rsidR="00061CF1" w:rsidRDefault="004E6D5A">
      <w:pPr>
        <w:widowControl/>
        <w:numPr>
          <w:ilvl w:val="1"/>
          <w:numId w:val="6"/>
        </w:numPr>
        <w:tabs>
          <w:tab w:val="left" w:pos="0"/>
          <w:tab w:val="left" w:pos="1440"/>
        </w:tabs>
        <w:jc w:val="both"/>
        <w:textAlignment w:val="auto"/>
      </w:pPr>
      <w:r>
        <w:rPr>
          <w:rFonts w:ascii="Verdana" w:eastAsia="Lucida Sans Unicode" w:hAnsi="Verdana" w:cs="Arimo"/>
          <w:i/>
          <w:sz w:val="21"/>
          <w:szCs w:val="21"/>
          <w:lang w:bidi="ar-SA"/>
        </w:rPr>
        <w:t xml:space="preserve">IV.- </w:t>
      </w:r>
      <w:r>
        <w:rPr>
          <w:rFonts w:ascii="Verdana" w:eastAsia="Lucida Sans Unicode" w:hAnsi="Verdana" w:cs="Arimo"/>
          <w:bCs/>
          <w:i/>
          <w:sz w:val="21"/>
          <w:szCs w:val="21"/>
          <w:lang w:bidi="ar-SA"/>
        </w:rPr>
        <w:t xml:space="preserve">Periodo Medio de Pago FUNDACIÓN CANARIA CANDELARIA (CANDESOL). Tercer trimestre 2025: De conformidad con la información remitida por la entidad dependiente, el PMP de la entidad FUNDACIÓN CANARIA </w:t>
      </w:r>
      <w:r>
        <w:rPr>
          <w:rFonts w:ascii="Verdana" w:eastAsia="Lucida Sans Unicode" w:hAnsi="Verdana" w:cs="Arimo"/>
          <w:bCs/>
          <w:i/>
          <w:sz w:val="21"/>
          <w:szCs w:val="21"/>
          <w:lang w:bidi="ar-SA"/>
        </w:rPr>
        <w:t>CANDELARIA (CANDESOL), es el siguiente:</w:t>
      </w: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0"/>
          <w:tab w:val="left" w:pos="1440"/>
        </w:tabs>
        <w:jc w:val="both"/>
        <w:textAlignment w:val="auto"/>
        <w:rPr>
          <w:rFonts w:ascii="Verdana" w:eastAsia="Lucida Sans Unicode" w:hAnsi="Verdana" w:cs="Arimo"/>
          <w:i/>
          <w:sz w:val="21"/>
          <w:szCs w:val="21"/>
          <w:lang w:bidi="ar-SA"/>
        </w:rPr>
      </w:pPr>
    </w:p>
    <w:p w:rsidR="00061CF1" w:rsidRDefault="00061CF1">
      <w:pPr>
        <w:widowControl/>
        <w:tabs>
          <w:tab w:val="left" w:pos="1440"/>
        </w:tabs>
        <w:jc w:val="both"/>
        <w:textAlignment w:val="auto"/>
        <w:rPr>
          <w:rFonts w:ascii="Verdana" w:eastAsia="Lucida Sans Unicode" w:hAnsi="Verdana" w:cs="Arimo"/>
          <w:i/>
          <w:sz w:val="21"/>
          <w:szCs w:val="21"/>
          <w:lang w:bidi="ar-SA"/>
        </w:rPr>
      </w:pPr>
    </w:p>
    <w:tbl>
      <w:tblPr>
        <w:tblW w:w="5020" w:type="dxa"/>
        <w:tblInd w:w="1739" w:type="dxa"/>
        <w:tblCellMar>
          <w:left w:w="10" w:type="dxa"/>
          <w:right w:w="10" w:type="dxa"/>
        </w:tblCellMar>
        <w:tblLook w:val="0000" w:firstRow="0" w:lastRow="0" w:firstColumn="0" w:lastColumn="0" w:noHBand="0" w:noVBand="0"/>
      </w:tblPr>
      <w:tblGrid>
        <w:gridCol w:w="3160"/>
        <w:gridCol w:w="1860"/>
      </w:tblGrid>
      <w:tr w:rsidR="00061CF1">
        <w:tblPrEx>
          <w:tblCellMar>
            <w:top w:w="0" w:type="dxa"/>
            <w:bottom w:w="0" w:type="dxa"/>
          </w:tblCellMar>
        </w:tblPrEx>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center"/>
              <w:textAlignment w:val="auto"/>
            </w:pPr>
            <w:r>
              <w:rPr>
                <w:rFonts w:ascii="Verdana" w:eastAsia="Lucida Sans Unicode" w:hAnsi="Verdana" w:cs="Arial"/>
                <w:i/>
                <w:sz w:val="18"/>
                <w:szCs w:val="18"/>
                <w:lang w:bidi="ar-SA"/>
              </w:rPr>
              <w:t>Ratio medio de pago:</w:t>
            </w:r>
          </w:p>
        </w:tc>
        <w:tc>
          <w:tcPr>
            <w:tcW w:w="18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5,63</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realizados: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13.176,98</w:t>
            </w:r>
          </w:p>
        </w:tc>
      </w:tr>
      <w:tr w:rsidR="00061CF1">
        <w:tblPrEx>
          <w:tblCellMar>
            <w:top w:w="0" w:type="dxa"/>
            <w:bottom w:w="0" w:type="dxa"/>
          </w:tblCellMar>
        </w:tblPrEx>
        <w:trPr>
          <w:trHeight w:val="315"/>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Ratio medio pendiente de pago:</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24,5</w:t>
            </w:r>
          </w:p>
        </w:tc>
      </w:tr>
      <w:tr w:rsidR="00061CF1">
        <w:tblPrEx>
          <w:tblCellMar>
            <w:top w:w="0" w:type="dxa"/>
            <w:bottom w:w="0" w:type="dxa"/>
          </w:tblCellMar>
        </w:tblPrEx>
        <w:trPr>
          <w:trHeight w:val="33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Pagos pendientes:</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3.531,61</w:t>
            </w:r>
          </w:p>
        </w:tc>
      </w:tr>
      <w:tr w:rsidR="00061CF1">
        <w:tblPrEx>
          <w:tblCellMar>
            <w:top w:w="0" w:type="dxa"/>
            <w:bottom w:w="0" w:type="dxa"/>
          </w:tblCellMar>
        </w:tblPrEx>
        <w:trPr>
          <w:trHeight w:val="330"/>
        </w:trPr>
        <w:tc>
          <w:tcPr>
            <w:tcW w:w="31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Resultado PMP Fundación</w:t>
            </w:r>
          </w:p>
        </w:tc>
        <w:tc>
          <w:tcPr>
            <w:tcW w:w="18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9,62</w:t>
            </w:r>
          </w:p>
        </w:tc>
      </w:tr>
    </w:tbl>
    <w:p w:rsidR="00061CF1" w:rsidRDefault="00061CF1">
      <w:pPr>
        <w:widowControl/>
        <w:numPr>
          <w:ilvl w:val="0"/>
          <w:numId w:val="6"/>
        </w:numPr>
        <w:tabs>
          <w:tab w:val="left" w:pos="0"/>
          <w:tab w:val="left" w:pos="1440"/>
        </w:tabs>
        <w:ind w:left="432" w:hanging="432"/>
        <w:jc w:val="both"/>
        <w:textAlignment w:val="auto"/>
        <w:rPr>
          <w:rFonts w:ascii="Verdana" w:eastAsia="Lucida Sans Unicode" w:hAnsi="Verdana" w:cs="Arimo"/>
          <w:i/>
          <w:sz w:val="21"/>
          <w:szCs w:val="21"/>
          <w:lang w:bidi="ar-SA"/>
        </w:rPr>
      </w:pPr>
    </w:p>
    <w:p w:rsidR="00061CF1" w:rsidRDefault="00061CF1">
      <w:pPr>
        <w:widowControl/>
        <w:jc w:val="both"/>
        <w:textAlignment w:val="auto"/>
        <w:rPr>
          <w:rFonts w:ascii="Verdana" w:eastAsia="Lucida Sans Unicode" w:hAnsi="Verdana" w:cs="Arimo"/>
          <w:i/>
          <w:color w:val="272923"/>
          <w:sz w:val="21"/>
          <w:szCs w:val="21"/>
          <w:lang w:bidi="ar-SA"/>
        </w:rPr>
      </w:pPr>
    </w:p>
    <w:p w:rsidR="00061CF1" w:rsidRDefault="00061CF1">
      <w:pPr>
        <w:widowControl/>
        <w:jc w:val="both"/>
        <w:textAlignment w:val="auto"/>
        <w:rPr>
          <w:rFonts w:ascii="Verdana" w:eastAsia="Lucida Sans Unicode" w:hAnsi="Verdana" w:cs="Arimo"/>
          <w:i/>
          <w:color w:val="272923"/>
          <w:sz w:val="21"/>
          <w:szCs w:val="21"/>
          <w:lang w:bidi="ar-SA"/>
        </w:rPr>
      </w:pPr>
    </w:p>
    <w:p w:rsidR="00061CF1" w:rsidRDefault="004E6D5A">
      <w:pPr>
        <w:widowControl/>
        <w:jc w:val="both"/>
        <w:textAlignment w:val="auto"/>
        <w:rPr>
          <w:rFonts w:ascii="Verdana" w:eastAsia="Lucida Sans Unicode" w:hAnsi="Verdana" w:cs="Arimo"/>
          <w:i/>
          <w:color w:val="272923"/>
          <w:sz w:val="21"/>
          <w:szCs w:val="21"/>
          <w:lang w:bidi="ar-SA"/>
        </w:rPr>
      </w:pPr>
      <w:r>
        <w:rPr>
          <w:rFonts w:ascii="Verdana" w:eastAsia="Lucida Sans Unicode" w:hAnsi="Verdana" w:cs="Arimo"/>
          <w:i/>
          <w:color w:val="272923"/>
          <w:sz w:val="21"/>
          <w:szCs w:val="21"/>
          <w:lang w:bidi="ar-SA"/>
        </w:rPr>
        <w:t xml:space="preserve">De conformidad con los datos anteriores, se obtiene el </w:t>
      </w:r>
      <w:r>
        <w:rPr>
          <w:rFonts w:ascii="Verdana" w:eastAsia="Lucida Sans Unicode" w:hAnsi="Verdana" w:cs="Arimo"/>
          <w:i/>
          <w:color w:val="272923"/>
          <w:sz w:val="21"/>
          <w:szCs w:val="21"/>
          <w:lang w:bidi="ar-SA"/>
        </w:rPr>
        <w:t>siguiente resultado global:</w:t>
      </w:r>
    </w:p>
    <w:p w:rsidR="00061CF1" w:rsidRDefault="00061CF1">
      <w:pPr>
        <w:widowControl/>
        <w:jc w:val="both"/>
        <w:textAlignment w:val="auto"/>
        <w:rPr>
          <w:rFonts w:ascii="Verdana" w:eastAsia="Lucida Sans Unicode" w:hAnsi="Verdana" w:cs="Arimo"/>
          <w:i/>
          <w:color w:val="272923"/>
          <w:sz w:val="21"/>
          <w:szCs w:val="21"/>
          <w:lang w:bidi="ar-SA"/>
        </w:rPr>
      </w:pPr>
    </w:p>
    <w:p w:rsidR="00061CF1" w:rsidRDefault="00061CF1">
      <w:pPr>
        <w:widowControl/>
        <w:jc w:val="both"/>
        <w:textAlignment w:val="auto"/>
        <w:rPr>
          <w:rFonts w:ascii="Verdana" w:eastAsia="Lucida Sans Unicode" w:hAnsi="Verdana" w:cs="Arimo"/>
          <w:i/>
          <w:color w:val="272923"/>
          <w:sz w:val="21"/>
          <w:szCs w:val="21"/>
          <w:lang w:bidi="ar-SA"/>
        </w:rPr>
      </w:pPr>
    </w:p>
    <w:tbl>
      <w:tblPr>
        <w:tblW w:w="8500" w:type="dxa"/>
        <w:tblInd w:w="75" w:type="dxa"/>
        <w:tblLayout w:type="fixed"/>
        <w:tblCellMar>
          <w:left w:w="10" w:type="dxa"/>
          <w:right w:w="10" w:type="dxa"/>
        </w:tblCellMar>
        <w:tblLook w:val="0000" w:firstRow="0" w:lastRow="0" w:firstColumn="0" w:lastColumn="0" w:noHBand="0" w:noVBand="0"/>
      </w:tblPr>
      <w:tblGrid>
        <w:gridCol w:w="1608"/>
        <w:gridCol w:w="1251"/>
        <w:gridCol w:w="1571"/>
        <w:gridCol w:w="1377"/>
        <w:gridCol w:w="1701"/>
        <w:gridCol w:w="992"/>
      </w:tblGrid>
      <w:tr w:rsidR="00061CF1">
        <w:tblPrEx>
          <w:tblCellMar>
            <w:top w:w="0" w:type="dxa"/>
            <w:bottom w:w="0" w:type="dxa"/>
          </w:tblCellMar>
        </w:tblPrEx>
        <w:trPr>
          <w:trHeight w:val="702"/>
        </w:trPr>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center"/>
              <w:textAlignment w:val="auto"/>
            </w:pPr>
            <w:r>
              <w:rPr>
                <w:rFonts w:ascii="Verdana" w:eastAsia="Lucida Sans Unicode" w:hAnsi="Verdana" w:cs="Arial"/>
                <w:i/>
                <w:sz w:val="18"/>
                <w:szCs w:val="18"/>
                <w:lang w:bidi="ar-SA"/>
              </w:rPr>
              <w:t>Entidad</w:t>
            </w:r>
          </w:p>
        </w:tc>
        <w:tc>
          <w:tcPr>
            <w:tcW w:w="125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 xml:space="preserve">Ratio Operaciones </w:t>
            </w:r>
            <w:r>
              <w:rPr>
                <w:rFonts w:ascii="Verdana" w:eastAsia="Lucida Sans Unicode" w:hAnsi="Verdana" w:cs="Arial"/>
                <w:i/>
                <w:sz w:val="18"/>
                <w:szCs w:val="18"/>
                <w:lang w:bidi="ar-SA"/>
              </w:rPr>
              <w:br/>
            </w:r>
            <w:r>
              <w:rPr>
                <w:rFonts w:ascii="Verdana" w:eastAsia="Lucida Sans Unicode" w:hAnsi="Verdana" w:cs="Arial"/>
                <w:i/>
                <w:sz w:val="18"/>
                <w:szCs w:val="18"/>
                <w:lang w:bidi="ar-SA"/>
              </w:rPr>
              <w:t>Pagadas</w:t>
            </w:r>
          </w:p>
        </w:tc>
        <w:tc>
          <w:tcPr>
            <w:tcW w:w="157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Importe Pagos</w:t>
            </w:r>
            <w:r>
              <w:rPr>
                <w:rFonts w:ascii="Verdana" w:eastAsia="Lucida Sans Unicode" w:hAnsi="Verdana" w:cs="Arial"/>
                <w:i/>
                <w:sz w:val="18"/>
                <w:szCs w:val="18"/>
                <w:lang w:bidi="ar-SA"/>
              </w:rPr>
              <w:br/>
            </w:r>
            <w:r>
              <w:rPr>
                <w:rFonts w:ascii="Verdana" w:eastAsia="Lucida Sans Unicode" w:hAnsi="Verdana" w:cs="Arial"/>
                <w:i/>
                <w:sz w:val="18"/>
                <w:szCs w:val="18"/>
                <w:lang w:bidi="ar-SA"/>
              </w:rPr>
              <w:t>Realizados</w:t>
            </w:r>
          </w:p>
        </w:tc>
        <w:tc>
          <w:tcPr>
            <w:tcW w:w="137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 xml:space="preserve">Ratio Operaciones </w:t>
            </w:r>
            <w:r>
              <w:rPr>
                <w:rFonts w:ascii="Verdana" w:eastAsia="Lucida Sans Unicode" w:hAnsi="Verdana" w:cs="Arial"/>
                <w:i/>
                <w:sz w:val="18"/>
                <w:szCs w:val="18"/>
                <w:lang w:bidi="ar-SA"/>
              </w:rPr>
              <w:br/>
            </w:r>
            <w:r>
              <w:rPr>
                <w:rFonts w:ascii="Verdana" w:eastAsia="Lucida Sans Unicode" w:hAnsi="Verdana" w:cs="Arial"/>
                <w:i/>
                <w:sz w:val="18"/>
                <w:szCs w:val="18"/>
                <w:lang w:bidi="ar-SA"/>
              </w:rPr>
              <w:t>Pendientes de Pago</w:t>
            </w: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Importe Pagos</w:t>
            </w:r>
            <w:r>
              <w:rPr>
                <w:rFonts w:ascii="Verdana" w:eastAsia="Lucida Sans Unicode" w:hAnsi="Verdana" w:cs="Arial"/>
                <w:i/>
                <w:sz w:val="18"/>
                <w:szCs w:val="18"/>
                <w:lang w:bidi="ar-SA"/>
              </w:rPr>
              <w:br/>
            </w:r>
            <w:r>
              <w:rPr>
                <w:rFonts w:ascii="Verdana" w:eastAsia="Lucida Sans Unicode" w:hAnsi="Verdana" w:cs="Arial"/>
                <w:i/>
                <w:sz w:val="18"/>
                <w:szCs w:val="18"/>
                <w:lang w:bidi="ar-SA"/>
              </w:rPr>
              <w:t>Pendientes</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PMP</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Ayuntamiento de Candelaria</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12,07</w:t>
            </w:r>
          </w:p>
        </w:tc>
        <w:tc>
          <w:tcPr>
            <w:tcW w:w="157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6.006.006,18</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33,19</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1.164.464,83</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15,50</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EPELCAN</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28,25</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26.965,86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11,08</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12.102,98</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22,94</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VIVIENDAS Y SERVICIOS</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7,92</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32.523,36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12,16</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4.091,55</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8,40</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CANDESOL</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3,29</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pPr>
            <w:r>
              <w:rPr>
                <w:rFonts w:ascii="Verdana" w:eastAsia="Lucida Sans Unicode" w:hAnsi="Verdana" w:cs="Arial"/>
                <w:i/>
                <w:sz w:val="18"/>
                <w:szCs w:val="18"/>
                <w:lang w:bidi="ar-SA"/>
              </w:rPr>
              <w:t>12.111,77</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13,38</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6.004,99</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9,62</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PMP Global</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 </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6.078.672,38</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 </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1.184.190,97</w:t>
            </w:r>
          </w:p>
          <w:p w:rsidR="00061CF1" w:rsidRDefault="00061CF1">
            <w:pPr>
              <w:jc w:val="center"/>
              <w:textAlignment w:val="auto"/>
              <w:rPr>
                <w:rFonts w:ascii="Verdana" w:eastAsia="Lucida Sans Unicode" w:hAnsi="Verdana" w:cs="Arial"/>
                <w:bCs/>
                <w:i/>
                <w:sz w:val="18"/>
                <w:szCs w:val="18"/>
                <w:lang w:bidi="ar-SA"/>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15,49</w:t>
            </w:r>
          </w:p>
        </w:tc>
      </w:tr>
    </w:tbl>
    <w:p w:rsidR="00061CF1" w:rsidRDefault="00061CF1">
      <w:pPr>
        <w:widowControl/>
        <w:jc w:val="both"/>
        <w:textAlignment w:val="auto"/>
        <w:rPr>
          <w:rFonts w:ascii="Verdana" w:eastAsia="Lucida Sans Unicode" w:hAnsi="Verdana" w:cs="Arimo"/>
          <w:i/>
          <w:color w:val="272923"/>
          <w:sz w:val="21"/>
          <w:szCs w:val="21"/>
          <w:lang w:bidi="ar-SA"/>
        </w:rPr>
      </w:pPr>
    </w:p>
    <w:p w:rsidR="00061CF1" w:rsidRDefault="00061CF1">
      <w:pPr>
        <w:spacing w:after="120"/>
        <w:jc w:val="both"/>
        <w:textAlignment w:val="auto"/>
        <w:rPr>
          <w:rFonts w:ascii="Arial" w:eastAsia="Lucida Sans Unicode" w:hAnsi="Arial" w:cs="Arial"/>
          <w:i/>
          <w:color w:val="000000"/>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Consta en el expediente propuesta del Concejal delegado de Hacienda de </w:t>
      </w:r>
      <w:r>
        <w:rPr>
          <w:rFonts w:ascii="Arial" w:eastAsia="Lucida Sans Unicode" w:hAnsi="Arial" w:cs="Arial"/>
          <w:b/>
          <w:sz w:val="22"/>
          <w:szCs w:val="22"/>
          <w:lang w:bidi="ar-SA"/>
        </w:rPr>
        <w:t>fecha 22 de octubre de 2025 que transcrito literalmente dice:</w:t>
      </w:r>
    </w:p>
    <w:p w:rsidR="00061CF1" w:rsidRDefault="00061CF1">
      <w:pPr>
        <w:jc w:val="both"/>
        <w:textAlignment w:val="auto"/>
        <w:rPr>
          <w:rFonts w:ascii="Arial" w:eastAsia="Lucida Sans Unicode" w:hAnsi="Arial" w:cs="Arial"/>
          <w:b/>
          <w:sz w:val="22"/>
          <w:szCs w:val="22"/>
          <w:lang w:bidi="ar-SA"/>
        </w:rPr>
      </w:pPr>
    </w:p>
    <w:p w:rsidR="00061CF1" w:rsidRDefault="004E6D5A">
      <w:pPr>
        <w:keepNext/>
        <w:widowControl/>
        <w:spacing w:before="240" w:after="120"/>
        <w:jc w:val="both"/>
        <w:textAlignment w:val="auto"/>
      </w:pPr>
      <w:r>
        <w:rPr>
          <w:rFonts w:ascii="Arial" w:eastAsia="Microsoft YaHei" w:hAnsi="Arial" w:cs="Arial"/>
          <w:bCs/>
          <w:i/>
          <w:sz w:val="22"/>
          <w:szCs w:val="22"/>
          <w:lang w:eastAsia="ar-SA" w:bidi="ar-SA"/>
        </w:rPr>
        <w:t>ASUNTO: Informe del Interventor municipal</w:t>
      </w:r>
      <w:r>
        <w:rPr>
          <w:rFonts w:ascii="Arial" w:eastAsia="Microsoft YaHei" w:hAnsi="Arial"/>
          <w:i/>
          <w:iCs/>
          <w:sz w:val="22"/>
          <w:szCs w:val="22"/>
          <w:lang w:eastAsia="ar-SA" w:bidi="ar-SA"/>
        </w:rPr>
        <w:t>,</w:t>
      </w:r>
      <w:r>
        <w:rPr>
          <w:rFonts w:ascii="Arial" w:eastAsia="Microsoft YaHei" w:hAnsi="Arial" w:cs="Arial"/>
          <w:bCs/>
          <w:i/>
          <w:sz w:val="22"/>
          <w:szCs w:val="22"/>
          <w:lang w:eastAsia="ar-SA" w:bidi="ar-SA"/>
        </w:rPr>
        <w:t xml:space="preserve"> del Periodo Medio de Pago del Tercer Trimestre de 2025 conforme el Real Decreto 1040/2017, de 22 de diciembre del Ayuntamiento de Candelaria</w:t>
      </w:r>
    </w:p>
    <w:p w:rsidR="00061CF1" w:rsidRDefault="00061CF1">
      <w:pPr>
        <w:jc w:val="both"/>
        <w:textAlignment w:val="auto"/>
        <w:rPr>
          <w:rFonts w:ascii="Verdana" w:eastAsia="Lucida Sans Unicode" w:hAnsi="Verdana" w:cs="Times New Roman"/>
          <w:i/>
          <w:sz w:val="20"/>
          <w:szCs w:val="20"/>
          <w:lang w:bidi="ar-SA"/>
        </w:rPr>
      </w:pPr>
    </w:p>
    <w:p w:rsidR="00061CF1" w:rsidRDefault="004E6D5A">
      <w:pPr>
        <w:keepNext/>
        <w:widowControl/>
        <w:numPr>
          <w:ilvl w:val="0"/>
          <w:numId w:val="9"/>
        </w:numPr>
        <w:tabs>
          <w:tab w:val="left" w:pos="-3204"/>
          <w:tab w:val="left" w:pos="-3024"/>
        </w:tabs>
        <w:jc w:val="center"/>
        <w:textAlignment w:val="auto"/>
        <w:rPr>
          <w:rFonts w:ascii="Arial" w:eastAsia="Calibri" w:hAnsi="Arial" w:cs="Arial"/>
          <w:i/>
          <w:color w:val="000000"/>
          <w:kern w:val="0"/>
          <w:sz w:val="22"/>
          <w:szCs w:val="22"/>
          <w:lang w:eastAsia="es-ES" w:bidi="ar-SA"/>
        </w:rPr>
      </w:pPr>
      <w:r>
        <w:rPr>
          <w:rFonts w:ascii="Arial" w:eastAsia="Calibri" w:hAnsi="Arial" w:cs="Arial"/>
          <w:i/>
          <w:color w:val="000000"/>
          <w:kern w:val="0"/>
          <w:sz w:val="22"/>
          <w:szCs w:val="22"/>
          <w:lang w:eastAsia="es-ES" w:bidi="ar-SA"/>
        </w:rPr>
        <w:t>Consideraciones</w:t>
      </w:r>
    </w:p>
    <w:p w:rsidR="00061CF1" w:rsidRDefault="004E6D5A">
      <w:pPr>
        <w:spacing w:before="120"/>
        <w:jc w:val="both"/>
        <w:textAlignment w:val="auto"/>
      </w:pPr>
      <w:r>
        <w:rPr>
          <w:rFonts w:ascii="Arial" w:eastAsia="Lucida Sans Unicode" w:hAnsi="Arial" w:cs="Arial"/>
          <w:i/>
          <w:sz w:val="22"/>
          <w:szCs w:val="22"/>
          <w:lang w:bidi="ar-SA"/>
        </w:rPr>
        <w:t>Única.- En cumplimiento de la Disposición Final 2ª, apartado 3º de la Ley Orgánica 2/2012, de 27 de abril, de Estabilidad Presupuestaria y Sostenibilidad Financiera (</w:t>
      </w:r>
      <w:r>
        <w:rPr>
          <w:rFonts w:ascii="Arial" w:eastAsia="Lucida Sans Unicode" w:hAnsi="Arial" w:cs="Arial"/>
          <w:i/>
          <w:iCs/>
          <w:sz w:val="22"/>
          <w:szCs w:val="22"/>
          <w:lang w:bidi="ar-SA"/>
        </w:rPr>
        <w:t>que señala que por Orden del Ministro de Hacienda y Administraciones Públi</w:t>
      </w:r>
      <w:r>
        <w:rPr>
          <w:rFonts w:ascii="Arial" w:eastAsia="Lucida Sans Unicode" w:hAnsi="Arial" w:cs="Arial"/>
          <w:i/>
          <w:iCs/>
          <w:sz w:val="22"/>
          <w:szCs w:val="22"/>
          <w:lang w:bidi="ar-SA"/>
        </w:rPr>
        <w:t>cas, se desarrollará la metodología de cálculo del Periodo Medio de Pago a proveedores de las Administraciones Públicas conforme a criterios homogéneos y que tendrá en cuenta los pagos efectuados y las operaciones pendientes de pago</w:t>
      </w:r>
      <w:r>
        <w:rPr>
          <w:rFonts w:ascii="Arial" w:eastAsia="Lucida Sans Unicode" w:hAnsi="Arial" w:cs="Arial"/>
          <w:i/>
          <w:sz w:val="22"/>
          <w:szCs w:val="22"/>
          <w:lang w:bidi="ar-SA"/>
        </w:rPr>
        <w:t xml:space="preserve">), se ha publicado, con </w:t>
      </w:r>
      <w:r>
        <w:rPr>
          <w:rFonts w:ascii="Arial" w:eastAsia="Lucida Sans Unicode" w:hAnsi="Arial" w:cs="Arial"/>
          <w:i/>
          <w:sz w:val="22"/>
          <w:szCs w:val="22"/>
          <w:lang w:bidi="ar-SA"/>
        </w:rPr>
        <w:t>fecha 30 de julio de 2014, el Real Decreto 635/2014, de 25 de julio, por el que se desarrolla la Metodología de cálculo del Periodo Medio de Pago a proveedores de las Administraciones Públicas y las condiciones y el procedimiento de retención de recursos d</w:t>
      </w:r>
      <w:r>
        <w:rPr>
          <w:rFonts w:ascii="Arial" w:eastAsia="Lucida Sans Unicode" w:hAnsi="Arial" w:cs="Arial"/>
          <w:i/>
          <w:sz w:val="22"/>
          <w:szCs w:val="22"/>
          <w:lang w:bidi="ar-SA"/>
        </w:rPr>
        <w:t>e los regímenes de financiación previstos en la Ley Orgánica 2/2012 de 27 de abril, de Estabilidad Presupuestaria y Sostenibilidad Financiera, posteriormente modificado por el Real Decreto 1040/2017 de 22 de diciembre.</w:t>
      </w:r>
    </w:p>
    <w:p w:rsidR="00061CF1" w:rsidRDefault="004E6D5A">
      <w:pPr>
        <w:spacing w:before="120"/>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ab/>
        <w:t>La última reforma de la Ley Orgánica</w:t>
      </w:r>
      <w:r>
        <w:rPr>
          <w:rFonts w:ascii="Arial" w:eastAsia="Lucida Sans Unicode" w:hAnsi="Arial" w:cs="Arial"/>
          <w:i/>
          <w:sz w:val="22"/>
          <w:szCs w:val="22"/>
          <w:lang w:bidi="ar-SA"/>
        </w:rPr>
        <w:t xml:space="preserve"> 2/2012, de 27 de abril, redefinió el principio de sostenibilidad financiera incluyendo no sólo el control de deuda pública, sino también el control de la deuda comercial.</w:t>
      </w:r>
    </w:p>
    <w:p w:rsidR="00061CF1" w:rsidRDefault="004E6D5A">
      <w:pPr>
        <w:spacing w:before="120"/>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ab/>
        <w:t xml:space="preserve">La Ley Orgánica de Control de la Deuda Comercial, modifica la Ley Orgánica 2/2012, </w:t>
      </w:r>
      <w:r>
        <w:rPr>
          <w:rFonts w:ascii="Arial" w:eastAsia="Lucida Sans Unicode" w:hAnsi="Arial" w:cs="Arial"/>
          <w:i/>
          <w:sz w:val="22"/>
          <w:szCs w:val="22"/>
          <w:lang w:bidi="ar-SA"/>
        </w:rPr>
        <w:t>de 27 de abril, introduciendo el concepto del Periodo Medio de Pago, como expresión del volumen de deuda comercial y establece la obligación de que todas las Administraciones Públicas hagan público su periodo Medio de Pago.</w:t>
      </w:r>
    </w:p>
    <w:p w:rsidR="00061CF1" w:rsidRDefault="004E6D5A">
      <w:pPr>
        <w:spacing w:before="120"/>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ab/>
        <w:t>El Real Decreto 1040/2017, de 2</w:t>
      </w:r>
      <w:r>
        <w:rPr>
          <w:rFonts w:ascii="Arial" w:eastAsia="Lucida Sans Unicode" w:hAnsi="Arial" w:cs="Arial"/>
          <w:i/>
          <w:sz w:val="22"/>
          <w:szCs w:val="22"/>
          <w:lang w:bidi="ar-SA"/>
        </w:rPr>
        <w:t>2 de diciembre, de 25 de julio, mide el retraso en el pago de la deuda comercial en términos económicos, como indicador distinto respecto del periodo legal de pago en la Ley 3/2004 de 29 de diciembre, por la que se establecen medidas de lucha contra la mor</w:t>
      </w:r>
      <w:r>
        <w:rPr>
          <w:rFonts w:ascii="Arial" w:eastAsia="Lucida Sans Unicode" w:hAnsi="Arial" w:cs="Arial"/>
          <w:i/>
          <w:sz w:val="22"/>
          <w:szCs w:val="22"/>
          <w:lang w:bidi="ar-SA"/>
        </w:rPr>
        <w:t>osidad en las operaciones comerciales.</w:t>
      </w:r>
    </w:p>
    <w:p w:rsidR="00061CF1" w:rsidRDefault="004E6D5A">
      <w:pPr>
        <w:widowControl/>
        <w:suppressAutoHyphens w:val="0"/>
        <w:autoSpaceDE w:val="0"/>
        <w:spacing w:before="160" w:after="133" w:line="201" w:lineRule="atLeast"/>
        <w:ind w:firstLine="709"/>
        <w:jc w:val="both"/>
        <w:textAlignment w:val="auto"/>
      </w:pPr>
      <w:r>
        <w:rPr>
          <w:rFonts w:ascii="Arial" w:eastAsia="Times New Roman" w:hAnsi="Arial" w:cs="Arial"/>
          <w:i/>
          <w:sz w:val="22"/>
          <w:szCs w:val="22"/>
          <w:lang w:eastAsia="ar-SA" w:bidi="ar-SA"/>
        </w:rPr>
        <w:t>Es por lo que, visto el informe emitido por la intervención Municipal, de fecha 20 de octubre de 2025, para el Tercer trimestre, esta Concejalía delegada de Hacienda PROPONE:</w:t>
      </w:r>
    </w:p>
    <w:p w:rsidR="00061CF1" w:rsidRDefault="004E6D5A">
      <w:pPr>
        <w:widowControl/>
        <w:tabs>
          <w:tab w:val="left" w:pos="1716"/>
        </w:tabs>
        <w:spacing w:after="120"/>
        <w:jc w:val="both"/>
        <w:textAlignment w:val="auto"/>
      </w:pPr>
      <w:r>
        <w:rPr>
          <w:rFonts w:ascii="Arial" w:eastAsia="Times New Roman" w:hAnsi="Arial" w:cs="Arial"/>
          <w:bCs/>
          <w:i/>
          <w:sz w:val="22"/>
          <w:szCs w:val="22"/>
          <w:lang w:eastAsia="ar-SA" w:bidi="ar-SA"/>
        </w:rPr>
        <w:t>Primero</w:t>
      </w:r>
      <w:r>
        <w:rPr>
          <w:rFonts w:ascii="Arial" w:eastAsia="Times New Roman" w:hAnsi="Arial" w:cs="Arial"/>
          <w:i/>
          <w:sz w:val="22"/>
          <w:szCs w:val="22"/>
          <w:lang w:eastAsia="ar-SA" w:bidi="ar-SA"/>
        </w:rPr>
        <w:t>: Dar cuenta al Pleno del Periodo M</w:t>
      </w:r>
      <w:r>
        <w:rPr>
          <w:rFonts w:ascii="Arial" w:eastAsia="Times New Roman" w:hAnsi="Arial" w:cs="Arial"/>
          <w:i/>
          <w:sz w:val="22"/>
          <w:szCs w:val="22"/>
          <w:lang w:eastAsia="ar-SA" w:bidi="ar-SA"/>
        </w:rPr>
        <w:t>edio de Pago previsto en el Real Decreto 1040/2017, de 22 de diciembre, por el que se desarrolla la Metodología de cálculo del Periodo Medio de Pago a proveedores de las Administraciones Públicas y las condiciones y el procedimiento de retención de recurso</w:t>
      </w:r>
      <w:r>
        <w:rPr>
          <w:rFonts w:ascii="Arial" w:eastAsia="Times New Roman" w:hAnsi="Arial" w:cs="Arial"/>
          <w:i/>
          <w:sz w:val="22"/>
          <w:szCs w:val="22"/>
          <w:lang w:eastAsia="ar-SA" w:bidi="ar-SA"/>
        </w:rPr>
        <w:t xml:space="preserve">s de los regímenes de financiación previstos en la Ley Orgánica 2/2012 de 27 de abril, </w:t>
      </w:r>
    </w:p>
    <w:p w:rsidR="00061CF1" w:rsidRDefault="00061CF1">
      <w:pPr>
        <w:widowControl/>
        <w:tabs>
          <w:tab w:val="left" w:pos="1716"/>
        </w:tabs>
        <w:spacing w:after="120"/>
        <w:jc w:val="both"/>
        <w:textAlignment w:val="auto"/>
        <w:rPr>
          <w:rFonts w:ascii="Arial" w:eastAsia="Times New Roman" w:hAnsi="Arial" w:cs="Arial"/>
          <w:i/>
          <w:sz w:val="22"/>
          <w:szCs w:val="22"/>
          <w:lang w:eastAsia="ar-SA" w:bidi="ar-SA"/>
        </w:rPr>
      </w:pPr>
    </w:p>
    <w:p w:rsidR="00061CF1" w:rsidRDefault="004E6D5A">
      <w:pPr>
        <w:widowControl/>
        <w:tabs>
          <w:tab w:val="left" w:pos="1716"/>
        </w:tabs>
        <w:spacing w:after="120"/>
        <w:jc w:val="both"/>
        <w:textAlignment w:val="auto"/>
      </w:pPr>
      <w:r>
        <w:rPr>
          <w:rFonts w:ascii="Arial" w:eastAsia="Times New Roman" w:hAnsi="Arial" w:cs="Arial"/>
          <w:i/>
          <w:sz w:val="22"/>
          <w:szCs w:val="22"/>
          <w:lang w:eastAsia="ar-SA" w:bidi="ar-SA"/>
        </w:rPr>
        <w:t>de Estabilidad Presupuestaria y Sostenibilidad Financiera, correspondiente al Tercer Trimestre del año 2025, que presenta el siguiente detalle:</w:t>
      </w:r>
    </w:p>
    <w:p w:rsidR="00061CF1" w:rsidRDefault="00061CF1">
      <w:pPr>
        <w:widowControl/>
        <w:tabs>
          <w:tab w:val="left" w:pos="1716"/>
        </w:tabs>
        <w:spacing w:after="120"/>
        <w:jc w:val="both"/>
        <w:textAlignment w:val="auto"/>
        <w:rPr>
          <w:rFonts w:ascii="Arial" w:eastAsia="Times New Roman" w:hAnsi="Arial" w:cs="Arial"/>
          <w:i/>
          <w:sz w:val="22"/>
          <w:szCs w:val="22"/>
          <w:lang w:eastAsia="ar-SA" w:bidi="ar-SA"/>
        </w:rPr>
      </w:pPr>
    </w:p>
    <w:tbl>
      <w:tblPr>
        <w:tblW w:w="8500" w:type="dxa"/>
        <w:tblInd w:w="75" w:type="dxa"/>
        <w:tblLayout w:type="fixed"/>
        <w:tblCellMar>
          <w:left w:w="10" w:type="dxa"/>
          <w:right w:w="10" w:type="dxa"/>
        </w:tblCellMar>
        <w:tblLook w:val="0000" w:firstRow="0" w:lastRow="0" w:firstColumn="0" w:lastColumn="0" w:noHBand="0" w:noVBand="0"/>
      </w:tblPr>
      <w:tblGrid>
        <w:gridCol w:w="1608"/>
        <w:gridCol w:w="1251"/>
        <w:gridCol w:w="1571"/>
        <w:gridCol w:w="1377"/>
        <w:gridCol w:w="1701"/>
        <w:gridCol w:w="992"/>
      </w:tblGrid>
      <w:tr w:rsidR="00061CF1">
        <w:tblPrEx>
          <w:tblCellMar>
            <w:top w:w="0" w:type="dxa"/>
            <w:bottom w:w="0" w:type="dxa"/>
          </w:tblCellMar>
        </w:tblPrEx>
        <w:trPr>
          <w:trHeight w:val="702"/>
        </w:trPr>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center"/>
              <w:textAlignment w:val="auto"/>
            </w:pPr>
            <w:r>
              <w:rPr>
                <w:rFonts w:ascii="Verdana" w:eastAsia="Lucida Sans Unicode" w:hAnsi="Verdana" w:cs="Arial"/>
                <w:i/>
                <w:sz w:val="18"/>
                <w:szCs w:val="18"/>
                <w:lang w:bidi="ar-SA"/>
              </w:rPr>
              <w:t>Entidad</w:t>
            </w:r>
          </w:p>
        </w:tc>
        <w:tc>
          <w:tcPr>
            <w:tcW w:w="125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 xml:space="preserve">Ratio </w:t>
            </w:r>
            <w:r>
              <w:rPr>
                <w:rFonts w:ascii="Verdana" w:eastAsia="Lucida Sans Unicode" w:hAnsi="Verdana" w:cs="Arial"/>
                <w:i/>
                <w:sz w:val="18"/>
                <w:szCs w:val="18"/>
                <w:lang w:bidi="ar-SA"/>
              </w:rPr>
              <w:t xml:space="preserve">Operaciones </w:t>
            </w:r>
            <w:r>
              <w:rPr>
                <w:rFonts w:ascii="Verdana" w:eastAsia="Lucida Sans Unicode" w:hAnsi="Verdana" w:cs="Arial"/>
                <w:i/>
                <w:sz w:val="18"/>
                <w:szCs w:val="18"/>
                <w:lang w:bidi="ar-SA"/>
              </w:rPr>
              <w:br/>
            </w:r>
            <w:r>
              <w:rPr>
                <w:rFonts w:ascii="Verdana" w:eastAsia="Lucida Sans Unicode" w:hAnsi="Verdana" w:cs="Arial"/>
                <w:i/>
                <w:sz w:val="18"/>
                <w:szCs w:val="18"/>
                <w:lang w:bidi="ar-SA"/>
              </w:rPr>
              <w:t>Pagadas</w:t>
            </w:r>
          </w:p>
        </w:tc>
        <w:tc>
          <w:tcPr>
            <w:tcW w:w="157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Importe Pagos</w:t>
            </w:r>
            <w:r>
              <w:rPr>
                <w:rFonts w:ascii="Verdana" w:eastAsia="Lucida Sans Unicode" w:hAnsi="Verdana" w:cs="Arial"/>
                <w:i/>
                <w:sz w:val="18"/>
                <w:szCs w:val="18"/>
                <w:lang w:bidi="ar-SA"/>
              </w:rPr>
              <w:br/>
            </w:r>
            <w:r>
              <w:rPr>
                <w:rFonts w:ascii="Verdana" w:eastAsia="Lucida Sans Unicode" w:hAnsi="Verdana" w:cs="Arial"/>
                <w:i/>
                <w:sz w:val="18"/>
                <w:szCs w:val="18"/>
                <w:lang w:bidi="ar-SA"/>
              </w:rPr>
              <w:t>Realizados</w:t>
            </w:r>
          </w:p>
        </w:tc>
        <w:tc>
          <w:tcPr>
            <w:tcW w:w="137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 xml:space="preserve">Ratio Operaciones </w:t>
            </w:r>
            <w:r>
              <w:rPr>
                <w:rFonts w:ascii="Verdana" w:eastAsia="Lucida Sans Unicode" w:hAnsi="Verdana" w:cs="Arial"/>
                <w:i/>
                <w:sz w:val="18"/>
                <w:szCs w:val="18"/>
                <w:lang w:bidi="ar-SA"/>
              </w:rPr>
              <w:br/>
            </w:r>
            <w:r>
              <w:rPr>
                <w:rFonts w:ascii="Verdana" w:eastAsia="Lucida Sans Unicode" w:hAnsi="Verdana" w:cs="Arial"/>
                <w:i/>
                <w:sz w:val="18"/>
                <w:szCs w:val="18"/>
                <w:lang w:bidi="ar-SA"/>
              </w:rPr>
              <w:t>Pendientes de Pago</w:t>
            </w: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Importe Pagos</w:t>
            </w:r>
            <w:r>
              <w:rPr>
                <w:rFonts w:ascii="Verdana" w:eastAsia="Lucida Sans Unicode" w:hAnsi="Verdana" w:cs="Arial"/>
                <w:i/>
                <w:sz w:val="18"/>
                <w:szCs w:val="18"/>
                <w:lang w:bidi="ar-SA"/>
              </w:rPr>
              <w:br/>
            </w:r>
            <w:r>
              <w:rPr>
                <w:rFonts w:ascii="Verdana" w:eastAsia="Lucida Sans Unicode" w:hAnsi="Verdana" w:cs="Arial"/>
                <w:i/>
                <w:sz w:val="18"/>
                <w:szCs w:val="18"/>
                <w:lang w:bidi="ar-SA"/>
              </w:rPr>
              <w:t>Pendientes</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PMP</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Ayuntamiento de Candelaria</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12,07</w:t>
            </w:r>
          </w:p>
        </w:tc>
        <w:tc>
          <w:tcPr>
            <w:tcW w:w="157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6.006.006,18</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33,19</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1.164.464,83</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15,50</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EPELCAN</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28,25</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26.965,86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11,08</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12.102,98</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22,94</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VIVIENDAS Y SERVICIOS</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7,92</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32.523,36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12,16</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4.091,55</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8,40</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CANDESOL</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3,29</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pPr>
            <w:r>
              <w:rPr>
                <w:rFonts w:ascii="Verdana" w:eastAsia="Lucida Sans Unicode" w:hAnsi="Verdana" w:cs="Arial"/>
                <w:i/>
                <w:sz w:val="18"/>
                <w:szCs w:val="18"/>
                <w:lang w:bidi="ar-SA"/>
              </w:rPr>
              <w:t>12.111,77</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13,38</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21"/>
                <w:szCs w:val="21"/>
                <w:lang w:bidi="ar-SA"/>
              </w:rPr>
            </w:pPr>
            <w:r>
              <w:rPr>
                <w:rFonts w:ascii="Verdana" w:eastAsia="Lucida Sans Unicode" w:hAnsi="Verdana" w:cs="Arial"/>
                <w:i/>
                <w:sz w:val="21"/>
                <w:szCs w:val="21"/>
                <w:lang w:bidi="ar-SA"/>
              </w:rPr>
              <w:t>6.004,99</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i/>
                <w:sz w:val="18"/>
                <w:szCs w:val="18"/>
                <w:lang w:bidi="ar-SA"/>
              </w:rPr>
            </w:pPr>
            <w:r>
              <w:rPr>
                <w:rFonts w:ascii="Verdana" w:eastAsia="Lucida Sans Unicode" w:hAnsi="Verdana" w:cs="Arial"/>
                <w:i/>
                <w:sz w:val="18"/>
                <w:szCs w:val="18"/>
                <w:lang w:bidi="ar-SA"/>
              </w:rPr>
              <w:t>9,62</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PMP Global</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 </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6.078.672,38</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 </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1.184.190,97</w:t>
            </w:r>
          </w:p>
          <w:p w:rsidR="00061CF1" w:rsidRDefault="00061CF1">
            <w:pPr>
              <w:jc w:val="center"/>
              <w:textAlignment w:val="auto"/>
              <w:rPr>
                <w:rFonts w:ascii="Verdana" w:eastAsia="Lucida Sans Unicode" w:hAnsi="Verdana" w:cs="Arial"/>
                <w:bCs/>
                <w:i/>
                <w:sz w:val="18"/>
                <w:szCs w:val="18"/>
                <w:lang w:bidi="ar-SA"/>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Cs/>
                <w:i/>
                <w:sz w:val="18"/>
                <w:szCs w:val="18"/>
                <w:lang w:bidi="ar-SA"/>
              </w:rPr>
            </w:pPr>
            <w:r>
              <w:rPr>
                <w:rFonts w:ascii="Verdana" w:eastAsia="Lucida Sans Unicode" w:hAnsi="Verdana" w:cs="Arial"/>
                <w:bCs/>
                <w:i/>
                <w:sz w:val="18"/>
                <w:szCs w:val="18"/>
                <w:lang w:bidi="ar-SA"/>
              </w:rPr>
              <w:t>15,49</w:t>
            </w:r>
          </w:p>
        </w:tc>
      </w:tr>
    </w:tbl>
    <w:p w:rsidR="00061CF1" w:rsidRDefault="00061CF1">
      <w:pPr>
        <w:widowControl/>
        <w:tabs>
          <w:tab w:val="left" w:pos="1716"/>
        </w:tabs>
        <w:spacing w:after="120"/>
        <w:jc w:val="both"/>
        <w:textAlignment w:val="auto"/>
        <w:rPr>
          <w:rFonts w:ascii="Arial" w:eastAsia="Times New Roman" w:hAnsi="Arial" w:cs="Arial"/>
          <w:i/>
          <w:sz w:val="22"/>
          <w:szCs w:val="22"/>
          <w:lang w:eastAsia="ar-SA" w:bidi="ar-SA"/>
        </w:rPr>
      </w:pPr>
    </w:p>
    <w:p w:rsidR="00061CF1" w:rsidRDefault="004E6D5A">
      <w:pPr>
        <w:widowControl/>
        <w:tabs>
          <w:tab w:val="left" w:pos="1716"/>
        </w:tabs>
        <w:spacing w:after="120"/>
        <w:jc w:val="both"/>
        <w:textAlignment w:val="auto"/>
      </w:pPr>
      <w:r>
        <w:rPr>
          <w:rFonts w:ascii="Arial" w:eastAsia="Times New Roman" w:hAnsi="Arial" w:cs="Arial"/>
          <w:bCs/>
          <w:i/>
          <w:sz w:val="22"/>
          <w:szCs w:val="22"/>
          <w:lang w:eastAsia="ar-SA" w:bidi="ar-SA"/>
        </w:rPr>
        <w:t>Segundo</w:t>
      </w:r>
      <w:r>
        <w:rPr>
          <w:rFonts w:ascii="Arial" w:eastAsia="Times New Roman" w:hAnsi="Arial" w:cs="Arial"/>
          <w:i/>
          <w:sz w:val="22"/>
          <w:szCs w:val="22"/>
          <w:lang w:eastAsia="ar-SA" w:bidi="ar-SA"/>
        </w:rPr>
        <w:t xml:space="preserve">: Dar traslado de dicho acuerdo al Ministerio de Hacienda y Función Pública, a través de la plataforma telemática que </w:t>
      </w:r>
      <w:r>
        <w:rPr>
          <w:rFonts w:ascii="Arial" w:eastAsia="Times New Roman" w:hAnsi="Arial" w:cs="Arial"/>
          <w:i/>
          <w:sz w:val="22"/>
          <w:szCs w:val="22"/>
          <w:lang w:eastAsia="ar-SA" w:bidi="ar-SA"/>
        </w:rPr>
        <w:t>habilita el propio Ministerio.</w:t>
      </w:r>
    </w:p>
    <w:p w:rsidR="00061CF1" w:rsidRDefault="004E6D5A">
      <w:pPr>
        <w:widowControl/>
        <w:tabs>
          <w:tab w:val="left" w:pos="1716"/>
        </w:tabs>
        <w:spacing w:after="120"/>
        <w:jc w:val="both"/>
        <w:textAlignment w:val="auto"/>
      </w:pPr>
      <w:r>
        <w:rPr>
          <w:rFonts w:ascii="Arial" w:eastAsia="Times New Roman" w:hAnsi="Arial" w:cs="Arial"/>
          <w:bCs/>
          <w:i/>
          <w:sz w:val="22"/>
          <w:szCs w:val="22"/>
          <w:lang w:eastAsia="ar-SA" w:bidi="ar-SA"/>
        </w:rPr>
        <w:t>Tercero</w:t>
      </w:r>
      <w:r>
        <w:rPr>
          <w:rFonts w:ascii="Arial" w:eastAsia="Times New Roman" w:hAnsi="Arial" w:cs="Arial"/>
          <w:i/>
          <w:sz w:val="22"/>
          <w:szCs w:val="22"/>
          <w:lang w:eastAsia="ar-SA" w:bidi="ar-SA"/>
        </w:rPr>
        <w:t>: Publicar en el portal web del Ayuntamiento de Candelaria, el Periodo Medio de Pago del Tercer Trimestre del ejercicio 2025, en cumplimiento el Real Decreto 1040/2017, de 22 de diciembre.</w:t>
      </w:r>
    </w:p>
    <w:p w:rsidR="00061CF1" w:rsidRDefault="00061CF1">
      <w:pPr>
        <w:jc w:val="both"/>
        <w:textAlignment w:val="auto"/>
        <w:rPr>
          <w:rFonts w:ascii="Arial" w:eastAsia="Times New Roman" w:hAnsi="Arial" w:cs="Arial"/>
          <w:i/>
          <w:sz w:val="22"/>
          <w:szCs w:val="22"/>
          <w:lang w:eastAsia="ar-SA" w:bidi="ar-SA"/>
        </w:rPr>
      </w:pPr>
    </w:p>
    <w:p w:rsidR="00061CF1" w:rsidRDefault="00061CF1">
      <w:pPr>
        <w:jc w:val="both"/>
        <w:textAlignment w:val="auto"/>
        <w:rPr>
          <w:rFonts w:ascii="Arial" w:eastAsia="Times New Roman" w:hAnsi="Arial" w:cs="Arial"/>
          <w:i/>
          <w:sz w:val="22"/>
          <w:szCs w:val="22"/>
          <w:lang w:eastAsia="ar-SA"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DICTAMEN FAVORABLE DE LA CO</w:t>
      </w:r>
      <w:r>
        <w:rPr>
          <w:rFonts w:ascii="Arial" w:eastAsia="Lucida Sans Unicode" w:hAnsi="Arial" w:cs="Arial"/>
          <w:b/>
          <w:sz w:val="22"/>
          <w:szCs w:val="22"/>
          <w:lang w:bidi="ar-SA"/>
        </w:rPr>
        <w:t xml:space="preserve">MISIÓN INFORMATIVA DE HACIENDA, RECURSOS HUMANOS Y SERVICIOS GENERALES DE 28 DE OCTUBRE DE 2025 QUE SE TUVO QUE REPETIR POR EL FALLO INFORMÁTICO EL LUNES 27 DE OCTUBRE, DEL SISTEMA “CLAVE” DE ACCESO A LA SEDE ELECTRÓNICA Y DE ESTA FORMA QUEDÓ SUBSANADA LA </w:t>
      </w:r>
      <w:r>
        <w:rPr>
          <w:rFonts w:ascii="Arial" w:eastAsia="Lucida Sans Unicode" w:hAnsi="Arial" w:cs="Arial"/>
          <w:b/>
          <w:sz w:val="22"/>
          <w:szCs w:val="22"/>
          <w:lang w:bidi="ar-SA"/>
        </w:rPr>
        <w:t>COMISIÓN CON SU CELEBRACIÓN EL 28 DE OCTUBRE.</w:t>
      </w: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presentes tomaron conocimiento: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 Don José 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JUNTA DE PORTAVOCES PREVISTA PARA EL DÍA 27 DE OCTUBRE Y QUE FUE APLAZADA AL 28 DE OCTUBRE DE 2025 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17 concejales presentes tomaron conocimiento: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w:t>
      </w:r>
      <w:r>
        <w:rPr>
          <w:rFonts w:ascii="Arial" w:eastAsia="Lucida Sans Unicode" w:hAnsi="Arial" w:cs="Arial"/>
          <w:sz w:val="22"/>
          <w:szCs w:val="22"/>
          <w:lang w:bidi="ar-SA"/>
        </w:rPr>
        <w:t xml:space="preserve"> concejales del Grupo Socialista: Doña María Concepción Brito Núñez, Don Jorge Baute Delgado, Don José Francisco Pinto Ramos, Doña Olivia Concepción Pérez Díaz, Don Reinaldo José Triviño Blanco, Don Manuel Alberto González Pestano, Doña Margarita Eva Tende</w:t>
      </w:r>
      <w:r>
        <w:rPr>
          <w:rFonts w:ascii="Arial" w:eastAsia="Lucida Sans Unicode" w:hAnsi="Arial" w:cs="Arial"/>
          <w:sz w:val="22"/>
          <w:szCs w:val="22"/>
          <w:lang w:bidi="ar-SA"/>
        </w:rPr>
        <w:t xml:space="preserve">ro Barroso, Don Airam Pérez Chinea, Doña María del Carmen Clemente Díaz, Don Olegario Francisco Alonso Bello, Doña Mónica Monserrat Yanes Delgado. </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4 concejales del Grupo Popular: Don Jacobo López Fariña, Doña Raquel Martín Castro, Don Miguel Eduardo Herná</w:t>
      </w:r>
      <w:r>
        <w:rPr>
          <w:rFonts w:ascii="Arial" w:eastAsia="Lucida Sans Unicode" w:hAnsi="Arial" w:cs="Arial"/>
          <w:sz w:val="22"/>
          <w:szCs w:val="22"/>
          <w:lang w:bidi="ar-SA"/>
        </w:rPr>
        <w:t>ndez Chitty,  Don José Daniel Sosa González.</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2 concejales del Grupo Mixto: Don José Tortosa Pallarés (VOX) y Doña Violeta López Jiménez (USP).</w:t>
      </w:r>
    </w:p>
    <w:p w:rsidR="00061CF1" w:rsidRDefault="004E6D5A">
      <w:pPr>
        <w:ind w:left="1416" w:firstLine="708"/>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ACUERDO DEL PLENO DE 31 DE OCTUBRE DE 2025.</w:t>
      </w:r>
    </w:p>
    <w:p w:rsidR="00061CF1" w:rsidRDefault="004E6D5A">
      <w:pPr>
        <w:widowControl/>
        <w:tabs>
          <w:tab w:val="left" w:pos="1716"/>
        </w:tabs>
        <w:spacing w:after="120"/>
        <w:jc w:val="both"/>
        <w:textAlignment w:val="auto"/>
      </w:pPr>
      <w:r>
        <w:rPr>
          <w:rFonts w:ascii="Arial" w:eastAsia="Times New Roman" w:hAnsi="Arial" w:cs="Arial"/>
          <w:b/>
          <w:bCs/>
          <w:sz w:val="22"/>
          <w:szCs w:val="22"/>
          <w:lang w:eastAsia="ar-SA" w:bidi="ar-SA"/>
        </w:rPr>
        <w:t>Primero</w:t>
      </w:r>
      <w:r>
        <w:rPr>
          <w:rFonts w:ascii="Arial" w:eastAsia="Times New Roman" w:hAnsi="Arial" w:cs="Arial"/>
          <w:b/>
          <w:sz w:val="22"/>
          <w:szCs w:val="22"/>
          <w:lang w:eastAsia="ar-SA" w:bidi="ar-SA"/>
        </w:rPr>
        <w:t>: Dar cuenta al Pleno del Periodo Medio de Pago previsto en el</w:t>
      </w:r>
      <w:r>
        <w:rPr>
          <w:rFonts w:ascii="Arial" w:eastAsia="Times New Roman" w:hAnsi="Arial" w:cs="Arial"/>
          <w:b/>
          <w:sz w:val="22"/>
          <w:szCs w:val="22"/>
          <w:lang w:eastAsia="ar-SA" w:bidi="ar-SA"/>
        </w:rPr>
        <w:t xml:space="preserve"> Real Decreto 1040/2017, de 22 de diciembre, por el que se desarrolla la Metodología de cálculo del Periodo Medio de Pago a proveedores de las Administraciones Públicas y las condiciones y el procedimiento de retención de recursos de los regímenes de finan</w:t>
      </w:r>
      <w:r>
        <w:rPr>
          <w:rFonts w:ascii="Arial" w:eastAsia="Times New Roman" w:hAnsi="Arial" w:cs="Arial"/>
          <w:b/>
          <w:sz w:val="22"/>
          <w:szCs w:val="22"/>
          <w:lang w:eastAsia="ar-SA" w:bidi="ar-SA"/>
        </w:rPr>
        <w:t>ciación previstos en la Ley Orgánica 2/2012 de 27 de abril, de Estabilidad Presupuestaria y Sostenibilidad Financiera, correspondiente al Tercer Trimestre del año 2025, que presenta el siguiente detalle:</w:t>
      </w:r>
    </w:p>
    <w:p w:rsidR="00061CF1" w:rsidRDefault="00061CF1">
      <w:pPr>
        <w:widowControl/>
        <w:tabs>
          <w:tab w:val="left" w:pos="1716"/>
        </w:tabs>
        <w:spacing w:after="120"/>
        <w:jc w:val="both"/>
        <w:textAlignment w:val="auto"/>
        <w:rPr>
          <w:rFonts w:ascii="Arial" w:eastAsia="Times New Roman" w:hAnsi="Arial" w:cs="Arial"/>
          <w:b/>
          <w:sz w:val="22"/>
          <w:szCs w:val="22"/>
          <w:lang w:eastAsia="ar-SA" w:bidi="ar-SA"/>
        </w:rPr>
      </w:pPr>
    </w:p>
    <w:tbl>
      <w:tblPr>
        <w:tblW w:w="8500" w:type="dxa"/>
        <w:tblInd w:w="75" w:type="dxa"/>
        <w:tblLayout w:type="fixed"/>
        <w:tblCellMar>
          <w:left w:w="10" w:type="dxa"/>
          <w:right w:w="10" w:type="dxa"/>
        </w:tblCellMar>
        <w:tblLook w:val="0000" w:firstRow="0" w:lastRow="0" w:firstColumn="0" w:lastColumn="0" w:noHBand="0" w:noVBand="0"/>
      </w:tblPr>
      <w:tblGrid>
        <w:gridCol w:w="1608"/>
        <w:gridCol w:w="1251"/>
        <w:gridCol w:w="1571"/>
        <w:gridCol w:w="1377"/>
        <w:gridCol w:w="1701"/>
        <w:gridCol w:w="992"/>
      </w:tblGrid>
      <w:tr w:rsidR="00061CF1">
        <w:tblPrEx>
          <w:tblCellMar>
            <w:top w:w="0" w:type="dxa"/>
            <w:bottom w:w="0" w:type="dxa"/>
          </w:tblCellMar>
        </w:tblPrEx>
        <w:trPr>
          <w:trHeight w:val="702"/>
        </w:trPr>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center"/>
              <w:textAlignment w:val="auto"/>
            </w:pPr>
            <w:r>
              <w:rPr>
                <w:rFonts w:ascii="Verdana" w:eastAsia="Lucida Sans Unicode" w:hAnsi="Verdana" w:cs="Arial"/>
                <w:b/>
                <w:sz w:val="18"/>
                <w:szCs w:val="18"/>
                <w:lang w:bidi="ar-SA"/>
              </w:rPr>
              <w:t>Entidad</w:t>
            </w:r>
          </w:p>
        </w:tc>
        <w:tc>
          <w:tcPr>
            <w:tcW w:w="125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 xml:space="preserve">Ratio Operaciones </w:t>
            </w:r>
            <w:r>
              <w:rPr>
                <w:rFonts w:ascii="Verdana" w:eastAsia="Lucida Sans Unicode" w:hAnsi="Verdana" w:cs="Arial"/>
                <w:b/>
                <w:sz w:val="18"/>
                <w:szCs w:val="18"/>
                <w:lang w:bidi="ar-SA"/>
              </w:rPr>
              <w:br/>
            </w:r>
            <w:r>
              <w:rPr>
                <w:rFonts w:ascii="Verdana" w:eastAsia="Lucida Sans Unicode" w:hAnsi="Verdana" w:cs="Arial"/>
                <w:b/>
                <w:sz w:val="18"/>
                <w:szCs w:val="18"/>
                <w:lang w:bidi="ar-SA"/>
              </w:rPr>
              <w:t>Pagadas</w:t>
            </w:r>
          </w:p>
        </w:tc>
        <w:tc>
          <w:tcPr>
            <w:tcW w:w="157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Importe Pagos</w:t>
            </w:r>
            <w:r>
              <w:rPr>
                <w:rFonts w:ascii="Verdana" w:eastAsia="Lucida Sans Unicode" w:hAnsi="Verdana" w:cs="Arial"/>
                <w:b/>
                <w:sz w:val="18"/>
                <w:szCs w:val="18"/>
                <w:lang w:bidi="ar-SA"/>
              </w:rPr>
              <w:br/>
            </w:r>
            <w:r>
              <w:rPr>
                <w:rFonts w:ascii="Verdana" w:eastAsia="Lucida Sans Unicode" w:hAnsi="Verdana" w:cs="Arial"/>
                <w:b/>
                <w:sz w:val="18"/>
                <w:szCs w:val="18"/>
                <w:lang w:bidi="ar-SA"/>
              </w:rPr>
              <w:t>Realizados</w:t>
            </w:r>
          </w:p>
        </w:tc>
        <w:tc>
          <w:tcPr>
            <w:tcW w:w="1377"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 xml:space="preserve">Ratio Operaciones </w:t>
            </w:r>
            <w:r>
              <w:rPr>
                <w:rFonts w:ascii="Verdana" w:eastAsia="Lucida Sans Unicode" w:hAnsi="Verdana" w:cs="Arial"/>
                <w:b/>
                <w:sz w:val="18"/>
                <w:szCs w:val="18"/>
                <w:lang w:bidi="ar-SA"/>
              </w:rPr>
              <w:br/>
            </w:r>
            <w:r>
              <w:rPr>
                <w:rFonts w:ascii="Verdana" w:eastAsia="Lucida Sans Unicode" w:hAnsi="Verdana" w:cs="Arial"/>
                <w:b/>
                <w:sz w:val="18"/>
                <w:szCs w:val="18"/>
                <w:lang w:bidi="ar-SA"/>
              </w:rPr>
              <w:t>Pendientes de Pago</w:t>
            </w: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Importe Pagos</w:t>
            </w:r>
            <w:r>
              <w:rPr>
                <w:rFonts w:ascii="Verdana" w:eastAsia="Lucida Sans Unicode" w:hAnsi="Verdana" w:cs="Arial"/>
                <w:b/>
                <w:sz w:val="18"/>
                <w:szCs w:val="18"/>
                <w:lang w:bidi="ar-SA"/>
              </w:rPr>
              <w:br/>
            </w:r>
            <w:r>
              <w:rPr>
                <w:rFonts w:ascii="Verdana" w:eastAsia="Lucida Sans Unicode" w:hAnsi="Verdana" w:cs="Arial"/>
                <w:b/>
                <w:sz w:val="18"/>
                <w:szCs w:val="18"/>
                <w:lang w:bidi="ar-SA"/>
              </w:rPr>
              <w:t>Pendientes</w:t>
            </w: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PMP</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Ayuntamiento de Candelaria</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12,07</w:t>
            </w:r>
          </w:p>
        </w:tc>
        <w:tc>
          <w:tcPr>
            <w:tcW w:w="157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6.006.006,18</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33,19</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1.164.464,83</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15,50</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EPELCAN</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28,25</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26.965,86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11,08</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12.102,98</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22,94</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VIVIENDAS Y SERVICIOS</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7,92</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32.523,36</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12,16</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4.091,55</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8,40</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CANDESOL</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3,29</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pPr>
            <w:r>
              <w:rPr>
                <w:rFonts w:ascii="Verdana" w:eastAsia="Lucida Sans Unicode" w:hAnsi="Verdana" w:cs="Arial"/>
                <w:b/>
                <w:sz w:val="18"/>
                <w:szCs w:val="18"/>
                <w:lang w:bidi="ar-SA"/>
              </w:rPr>
              <w:t>12.111,77</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13,38</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21"/>
                <w:szCs w:val="21"/>
                <w:lang w:bidi="ar-SA"/>
              </w:rPr>
            </w:pPr>
            <w:r>
              <w:rPr>
                <w:rFonts w:ascii="Verdana" w:eastAsia="Lucida Sans Unicode" w:hAnsi="Verdana" w:cs="Arial"/>
                <w:b/>
                <w:sz w:val="21"/>
                <w:szCs w:val="21"/>
                <w:lang w:bidi="ar-SA"/>
              </w:rPr>
              <w:t>6.004,99</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sz w:val="18"/>
                <w:szCs w:val="18"/>
                <w:lang w:bidi="ar-SA"/>
              </w:rPr>
            </w:pPr>
            <w:r>
              <w:rPr>
                <w:rFonts w:ascii="Verdana" w:eastAsia="Lucida Sans Unicode" w:hAnsi="Verdana" w:cs="Arial"/>
                <w:b/>
                <w:sz w:val="18"/>
                <w:szCs w:val="18"/>
                <w:lang w:bidi="ar-SA"/>
              </w:rPr>
              <w:t>9,62</w:t>
            </w:r>
          </w:p>
        </w:tc>
      </w:tr>
      <w:tr w:rsidR="00061CF1">
        <w:tblPrEx>
          <w:tblCellMar>
            <w:top w:w="0" w:type="dxa"/>
            <w:bottom w:w="0" w:type="dxa"/>
          </w:tblCellMar>
        </w:tblPrEx>
        <w:trPr>
          <w:trHeight w:val="600"/>
        </w:trPr>
        <w:tc>
          <w:tcPr>
            <w:tcW w:w="1608"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bCs/>
                <w:sz w:val="18"/>
                <w:szCs w:val="18"/>
                <w:lang w:bidi="ar-SA"/>
              </w:rPr>
            </w:pPr>
            <w:r>
              <w:rPr>
                <w:rFonts w:ascii="Verdana" w:eastAsia="Lucida Sans Unicode" w:hAnsi="Verdana" w:cs="Arial"/>
                <w:b/>
                <w:bCs/>
                <w:sz w:val="18"/>
                <w:szCs w:val="18"/>
                <w:lang w:bidi="ar-SA"/>
              </w:rPr>
              <w:t>PMP Global</w:t>
            </w:r>
          </w:p>
        </w:tc>
        <w:tc>
          <w:tcPr>
            <w:tcW w:w="12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bCs/>
                <w:sz w:val="18"/>
                <w:szCs w:val="18"/>
                <w:lang w:bidi="ar-SA"/>
              </w:rPr>
            </w:pPr>
            <w:r>
              <w:rPr>
                <w:rFonts w:ascii="Verdana" w:eastAsia="Lucida Sans Unicode" w:hAnsi="Verdana" w:cs="Arial"/>
                <w:b/>
                <w:bCs/>
                <w:sz w:val="18"/>
                <w:szCs w:val="18"/>
                <w:lang w:bidi="ar-SA"/>
              </w:rPr>
              <w:t> </w:t>
            </w:r>
          </w:p>
        </w:tc>
        <w:tc>
          <w:tcPr>
            <w:tcW w:w="157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bCs/>
                <w:sz w:val="18"/>
                <w:szCs w:val="18"/>
                <w:lang w:bidi="ar-SA"/>
              </w:rPr>
            </w:pPr>
            <w:r>
              <w:rPr>
                <w:rFonts w:ascii="Verdana" w:eastAsia="Lucida Sans Unicode" w:hAnsi="Verdana" w:cs="Arial"/>
                <w:b/>
                <w:bCs/>
                <w:sz w:val="18"/>
                <w:szCs w:val="18"/>
                <w:lang w:bidi="ar-SA"/>
              </w:rPr>
              <w:t>6.078.672,38</w:t>
            </w:r>
          </w:p>
        </w:tc>
        <w:tc>
          <w:tcPr>
            <w:tcW w:w="137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bCs/>
                <w:sz w:val="18"/>
                <w:szCs w:val="18"/>
                <w:lang w:bidi="ar-SA"/>
              </w:rPr>
            </w:pPr>
            <w:r>
              <w:rPr>
                <w:rFonts w:ascii="Verdana" w:eastAsia="Lucida Sans Unicode" w:hAnsi="Verdana" w:cs="Arial"/>
                <w:b/>
                <w:bCs/>
                <w:sz w:val="18"/>
                <w:szCs w:val="18"/>
                <w:lang w:bidi="ar-SA"/>
              </w:rPr>
              <w:t> </w:t>
            </w:r>
          </w:p>
        </w:tc>
        <w:tc>
          <w:tcPr>
            <w:tcW w:w="170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bCs/>
                <w:sz w:val="18"/>
                <w:szCs w:val="18"/>
                <w:lang w:bidi="ar-SA"/>
              </w:rPr>
            </w:pPr>
            <w:r>
              <w:rPr>
                <w:rFonts w:ascii="Verdana" w:eastAsia="Lucida Sans Unicode" w:hAnsi="Verdana" w:cs="Arial"/>
                <w:b/>
                <w:bCs/>
                <w:sz w:val="18"/>
                <w:szCs w:val="18"/>
                <w:lang w:bidi="ar-SA"/>
              </w:rPr>
              <w:t>1.184.190,97</w:t>
            </w:r>
          </w:p>
          <w:p w:rsidR="00061CF1" w:rsidRDefault="00061CF1">
            <w:pPr>
              <w:jc w:val="center"/>
              <w:textAlignment w:val="auto"/>
              <w:rPr>
                <w:rFonts w:ascii="Verdana" w:eastAsia="Lucida Sans Unicode" w:hAnsi="Verdana" w:cs="Arial"/>
                <w:b/>
                <w:bCs/>
                <w:sz w:val="18"/>
                <w:szCs w:val="18"/>
                <w:lang w:bidi="ar-SA"/>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jc w:val="center"/>
              <w:textAlignment w:val="auto"/>
              <w:rPr>
                <w:rFonts w:ascii="Verdana" w:eastAsia="Lucida Sans Unicode" w:hAnsi="Verdana" w:cs="Arial"/>
                <w:b/>
                <w:bCs/>
                <w:sz w:val="18"/>
                <w:szCs w:val="18"/>
                <w:lang w:bidi="ar-SA"/>
              </w:rPr>
            </w:pPr>
            <w:r>
              <w:rPr>
                <w:rFonts w:ascii="Verdana" w:eastAsia="Lucida Sans Unicode" w:hAnsi="Verdana" w:cs="Arial"/>
                <w:b/>
                <w:bCs/>
                <w:sz w:val="18"/>
                <w:szCs w:val="18"/>
                <w:lang w:bidi="ar-SA"/>
              </w:rPr>
              <w:t>15,49</w:t>
            </w:r>
          </w:p>
        </w:tc>
      </w:tr>
    </w:tbl>
    <w:p w:rsidR="00061CF1" w:rsidRDefault="00061CF1">
      <w:pPr>
        <w:widowControl/>
        <w:tabs>
          <w:tab w:val="left" w:pos="1716"/>
        </w:tabs>
        <w:spacing w:after="120"/>
        <w:jc w:val="both"/>
        <w:textAlignment w:val="auto"/>
        <w:rPr>
          <w:rFonts w:ascii="Arial" w:eastAsia="Times New Roman" w:hAnsi="Arial" w:cs="Arial"/>
          <w:b/>
          <w:sz w:val="22"/>
          <w:szCs w:val="22"/>
          <w:lang w:eastAsia="ar-SA" w:bidi="ar-SA"/>
        </w:rPr>
      </w:pPr>
    </w:p>
    <w:p w:rsidR="00061CF1" w:rsidRDefault="004E6D5A">
      <w:pPr>
        <w:widowControl/>
        <w:tabs>
          <w:tab w:val="left" w:pos="1716"/>
        </w:tabs>
        <w:spacing w:after="120"/>
        <w:jc w:val="both"/>
        <w:textAlignment w:val="auto"/>
      </w:pPr>
      <w:r>
        <w:rPr>
          <w:rFonts w:ascii="Arial" w:eastAsia="Times New Roman" w:hAnsi="Arial" w:cs="Arial"/>
          <w:b/>
          <w:bCs/>
          <w:sz w:val="22"/>
          <w:szCs w:val="22"/>
          <w:lang w:eastAsia="ar-SA" w:bidi="ar-SA"/>
        </w:rPr>
        <w:t>Segundo</w:t>
      </w:r>
      <w:r>
        <w:rPr>
          <w:rFonts w:ascii="Arial" w:eastAsia="Times New Roman" w:hAnsi="Arial" w:cs="Arial"/>
          <w:b/>
          <w:sz w:val="22"/>
          <w:szCs w:val="22"/>
          <w:lang w:eastAsia="ar-SA" w:bidi="ar-SA"/>
        </w:rPr>
        <w:t>: Dar traslado de dicho acuerdo al Ministerio de Hacienda y Función Pública, a través de la plataforma telemática que habilita el propio Ministerio.</w:t>
      </w:r>
    </w:p>
    <w:p w:rsidR="00061CF1" w:rsidRDefault="00061CF1">
      <w:pPr>
        <w:widowControl/>
        <w:tabs>
          <w:tab w:val="left" w:pos="1716"/>
        </w:tabs>
        <w:spacing w:after="120"/>
        <w:jc w:val="both"/>
        <w:textAlignment w:val="auto"/>
        <w:rPr>
          <w:rFonts w:ascii="Arial" w:eastAsia="Times New Roman" w:hAnsi="Arial" w:cs="Arial"/>
          <w:b/>
          <w:bCs/>
          <w:sz w:val="22"/>
          <w:szCs w:val="22"/>
          <w:lang w:eastAsia="ar-SA" w:bidi="ar-SA"/>
        </w:rPr>
      </w:pPr>
    </w:p>
    <w:p w:rsidR="00061CF1" w:rsidRDefault="00061CF1">
      <w:pPr>
        <w:widowControl/>
        <w:tabs>
          <w:tab w:val="left" w:pos="1716"/>
        </w:tabs>
        <w:spacing w:after="120"/>
        <w:jc w:val="both"/>
        <w:textAlignment w:val="auto"/>
        <w:rPr>
          <w:rFonts w:ascii="Arial" w:eastAsia="Times New Roman" w:hAnsi="Arial" w:cs="Arial"/>
          <w:b/>
          <w:bCs/>
          <w:sz w:val="22"/>
          <w:szCs w:val="22"/>
          <w:lang w:eastAsia="ar-SA" w:bidi="ar-SA"/>
        </w:rPr>
      </w:pPr>
    </w:p>
    <w:p w:rsidR="00061CF1" w:rsidRDefault="00061CF1">
      <w:pPr>
        <w:widowControl/>
        <w:tabs>
          <w:tab w:val="left" w:pos="1716"/>
        </w:tabs>
        <w:spacing w:after="120"/>
        <w:jc w:val="both"/>
        <w:textAlignment w:val="auto"/>
        <w:rPr>
          <w:rFonts w:ascii="Arial" w:eastAsia="Times New Roman" w:hAnsi="Arial" w:cs="Arial"/>
          <w:b/>
          <w:bCs/>
          <w:sz w:val="22"/>
          <w:szCs w:val="22"/>
          <w:lang w:eastAsia="ar-SA" w:bidi="ar-SA"/>
        </w:rPr>
      </w:pPr>
    </w:p>
    <w:p w:rsidR="00061CF1" w:rsidRDefault="004E6D5A">
      <w:pPr>
        <w:widowControl/>
        <w:tabs>
          <w:tab w:val="left" w:pos="1716"/>
        </w:tabs>
        <w:spacing w:after="120"/>
        <w:jc w:val="both"/>
        <w:textAlignment w:val="auto"/>
      </w:pPr>
      <w:r>
        <w:rPr>
          <w:rFonts w:ascii="Arial" w:eastAsia="Times New Roman" w:hAnsi="Arial" w:cs="Arial"/>
          <w:b/>
          <w:bCs/>
          <w:sz w:val="22"/>
          <w:szCs w:val="22"/>
          <w:lang w:eastAsia="ar-SA" w:bidi="ar-SA"/>
        </w:rPr>
        <w:t>Tercero</w:t>
      </w:r>
      <w:r>
        <w:rPr>
          <w:rFonts w:ascii="Arial" w:eastAsia="Times New Roman" w:hAnsi="Arial" w:cs="Arial"/>
          <w:b/>
          <w:sz w:val="22"/>
          <w:szCs w:val="22"/>
          <w:lang w:eastAsia="ar-SA" w:bidi="ar-SA"/>
        </w:rPr>
        <w:t>: Publicar en el portal web del Ayuntamiento de Candelaria, el Periodo Medio de Pago del Tercer Trimestre del ejercicio 2025, en cumplimiento el Real Decreto 1040/2017, de 22 de diciembre.</w:t>
      </w:r>
    </w:p>
    <w:p w:rsidR="00061CF1" w:rsidRDefault="00061CF1">
      <w:pPr>
        <w:pStyle w:val="Standard"/>
        <w:jc w:val="both"/>
        <w:rPr>
          <w:rFonts w:ascii="Arial" w:hAnsi="Arial" w:cs="Arial"/>
          <w:sz w:val="22"/>
          <w:szCs w:val="22"/>
        </w:rPr>
      </w:pPr>
    </w:p>
    <w:p w:rsidR="00061CF1" w:rsidRDefault="00061CF1">
      <w:pPr>
        <w:pStyle w:val="Standard"/>
        <w:jc w:val="both"/>
        <w:rPr>
          <w:rFonts w:ascii="Arial" w:hAnsi="Arial" w:cs="Arial"/>
          <w:sz w:val="22"/>
          <w:szCs w:val="22"/>
        </w:rPr>
      </w:pPr>
    </w:p>
    <w:p w:rsidR="00061CF1" w:rsidRDefault="004E6D5A">
      <w:pPr>
        <w:spacing w:after="120"/>
        <w:jc w:val="both"/>
        <w:textAlignment w:val="auto"/>
      </w:pPr>
      <w:r>
        <w:rPr>
          <w:rFonts w:ascii="Arial" w:eastAsia="Lucida Sans Unicode" w:hAnsi="Arial" w:cs="Arial"/>
          <w:b/>
          <w:color w:val="000000"/>
          <w:shd w:val="clear" w:color="auto" w:fill="F5F7F9"/>
          <w:lang w:bidi="ar-SA"/>
        </w:rPr>
        <w:t xml:space="preserve">5.- </w:t>
      </w:r>
      <w:r>
        <w:rPr>
          <w:rFonts w:ascii="Arial" w:eastAsia="Lucida Sans Unicode" w:hAnsi="Arial" w:cs="Arial"/>
          <w:b/>
          <w:color w:val="000000"/>
          <w:u w:val="single"/>
          <w:shd w:val="clear" w:color="auto" w:fill="F5F7F9"/>
          <w:lang w:bidi="ar-SA"/>
        </w:rPr>
        <w:t>Expediente 9619/2025</w:t>
      </w:r>
      <w:r>
        <w:rPr>
          <w:rFonts w:ascii="Arial" w:eastAsia="Lucida Sans Unicode" w:hAnsi="Arial" w:cs="Arial"/>
          <w:b/>
          <w:color w:val="000000"/>
          <w:shd w:val="clear" w:color="auto" w:fill="F5F7F9"/>
          <w:lang w:bidi="ar-SA"/>
        </w:rPr>
        <w:t xml:space="preserve">. Propuesta del Concejal delegado </w:t>
      </w:r>
      <w:r>
        <w:rPr>
          <w:rFonts w:ascii="Arial" w:eastAsia="Lucida Sans Unicode" w:hAnsi="Arial" w:cs="Arial"/>
          <w:b/>
          <w:color w:val="000000"/>
          <w:shd w:val="clear" w:color="auto" w:fill="F5F7F9"/>
          <w:lang w:bidi="ar-SA"/>
        </w:rPr>
        <w:t>de Hacienda al Pleno de aprobación inicial del expediente de modificación presupuestaria por créditos extraordinarios financiado con Remanente de Tesorería para gastos generales, por una cantidad total de 5.862.162,68 euros.</w:t>
      </w:r>
    </w:p>
    <w:p w:rsidR="00061CF1" w:rsidRDefault="004E6D5A">
      <w:pPr>
        <w:spacing w:after="120"/>
        <w:jc w:val="both"/>
        <w:textAlignment w:val="auto"/>
        <w:rPr>
          <w:rFonts w:ascii="Arial" w:eastAsia="Lucida Sans Unicode" w:hAnsi="Arial" w:cs="Arial"/>
          <w:b/>
          <w:color w:val="000000"/>
          <w:sz w:val="22"/>
          <w:szCs w:val="22"/>
          <w:shd w:val="clear" w:color="auto" w:fill="F5F7F9"/>
          <w:lang w:bidi="ar-SA"/>
        </w:rPr>
      </w:pPr>
      <w:r>
        <w:rPr>
          <w:rFonts w:ascii="Arial" w:eastAsia="Lucida Sans Unicode" w:hAnsi="Arial" w:cs="Arial"/>
          <w:b/>
          <w:color w:val="000000"/>
          <w:sz w:val="22"/>
          <w:szCs w:val="22"/>
          <w:shd w:val="clear" w:color="auto" w:fill="F5F7F9"/>
          <w:lang w:bidi="ar-SA"/>
        </w:rPr>
        <w:t>Consta en el expediente informe</w:t>
      </w:r>
      <w:r>
        <w:rPr>
          <w:rFonts w:ascii="Arial" w:eastAsia="Lucida Sans Unicode" w:hAnsi="Arial" w:cs="Arial"/>
          <w:b/>
          <w:color w:val="000000"/>
          <w:sz w:val="22"/>
          <w:szCs w:val="22"/>
          <w:shd w:val="clear" w:color="auto" w:fill="F5F7F9"/>
          <w:lang w:bidi="ar-SA"/>
        </w:rPr>
        <w:t xml:space="preserve"> de la Intervención Municipal de fecha 22 de octubre que transcrito literalmente dice:</w:t>
      </w:r>
    </w:p>
    <w:p w:rsidR="00061CF1" w:rsidRDefault="004E6D5A">
      <w:pPr>
        <w:widowControl/>
        <w:suppressAutoHyphens w:val="0"/>
        <w:spacing w:before="60" w:after="60" w:line="242" w:lineRule="auto"/>
        <w:ind w:firstLine="709"/>
        <w:jc w:val="both"/>
        <w:textAlignment w:val="auto"/>
      </w:pPr>
      <w:bookmarkStart w:id="2" w:name="_Hlk212030113"/>
      <w:r>
        <w:rPr>
          <w:rFonts w:ascii="Arial" w:eastAsia="Lucida Sans Unicode" w:hAnsi="Arial" w:cs="Arial"/>
          <w:i/>
          <w:spacing w:val="-2"/>
          <w:sz w:val="22"/>
          <w:szCs w:val="22"/>
          <w:lang w:eastAsia="es-ES" w:bidi="ar-SA"/>
        </w:rPr>
        <w:t>“Vista la propuesta de la Alcaldesa</w:t>
      </w:r>
      <w:r>
        <w:rPr>
          <w:rFonts w:ascii="Arial" w:eastAsia="Lucida Sans Unicode" w:hAnsi="Arial" w:cs="Times New Roman"/>
          <w:i/>
          <w:sz w:val="22"/>
          <w:lang w:bidi="ar-SA"/>
        </w:rPr>
        <w:t xml:space="preserve">, </w:t>
      </w:r>
      <w:r>
        <w:rPr>
          <w:rFonts w:ascii="Arial" w:eastAsia="Lucida Sans Unicode" w:hAnsi="Arial" w:cs="Arial"/>
          <w:i/>
          <w:spacing w:val="-2"/>
          <w:sz w:val="22"/>
          <w:szCs w:val="22"/>
          <w:lang w:eastAsia="es-ES" w:bidi="ar-SA"/>
        </w:rPr>
        <w:t>de tramitación de modificación presupuestaria por Suplemento de Créditos financiados con remanantes de Tesorería para Gastos General</w:t>
      </w:r>
      <w:r>
        <w:rPr>
          <w:rFonts w:ascii="Arial" w:eastAsia="Lucida Sans Unicode" w:hAnsi="Arial" w:cs="Arial"/>
          <w:i/>
          <w:spacing w:val="-2"/>
          <w:sz w:val="22"/>
          <w:szCs w:val="22"/>
          <w:lang w:eastAsia="es-ES" w:bidi="ar-SA"/>
        </w:rPr>
        <w:t>es, que dice:</w:t>
      </w:r>
    </w:p>
    <w:p w:rsidR="00061CF1" w:rsidRDefault="004E6D5A">
      <w:pPr>
        <w:widowControl/>
        <w:suppressAutoHyphens w:val="0"/>
        <w:spacing w:before="60" w:after="60" w:line="242" w:lineRule="auto"/>
        <w:ind w:firstLine="709"/>
        <w:jc w:val="both"/>
        <w:textAlignment w:val="auto"/>
      </w:pPr>
      <w:r>
        <w:rPr>
          <w:rFonts w:ascii="Arial" w:eastAsia="Lucida Sans Unicode" w:hAnsi="Arial" w:cs="Arial"/>
          <w:i/>
          <w:color w:val="000000"/>
          <w:sz w:val="22"/>
          <w:szCs w:val="22"/>
          <w:lang w:eastAsia="es-ES" w:bidi="ar-SA"/>
        </w:rPr>
        <w:t xml:space="preserve">El Ayuntamiento de Candelaria necesita Créditos extraordinarios a los consignados en el Presupuesto vigente para llevar a cabo actuaciones de mejora de instalaciones e infraestructuras municipales con ocasión de la ejecución de los proyectos </w:t>
      </w:r>
      <w:r>
        <w:rPr>
          <w:rFonts w:ascii="Arial" w:eastAsia="Lucida Sans Unicode" w:hAnsi="Arial" w:cs="Arial"/>
          <w:i/>
          <w:color w:val="000000"/>
          <w:sz w:val="22"/>
          <w:szCs w:val="22"/>
          <w:lang w:eastAsia="es-ES" w:bidi="ar-SA"/>
        </w:rPr>
        <w:t>siguientes, además de atender ejecución de sentencia judicial, según memorias-propuestas presentadas</w:t>
      </w:r>
      <w:r>
        <w:rPr>
          <w:rFonts w:ascii="Arial" w:eastAsia="Lucida Sans Unicode" w:hAnsi="Arial" w:cs="Arial"/>
          <w:i/>
          <w:sz w:val="22"/>
          <w:lang w:bidi="ar-SA"/>
        </w:rPr>
        <w:t>:</w:t>
      </w:r>
    </w:p>
    <w:p w:rsidR="00061CF1" w:rsidRDefault="004E6D5A">
      <w:pPr>
        <w:suppressAutoHyphens w:val="0"/>
        <w:spacing w:before="62" w:after="142"/>
        <w:ind w:left="-11"/>
        <w:jc w:val="both"/>
        <w:textAlignment w:val="auto"/>
        <w:rPr>
          <w:rFonts w:ascii="Arial" w:eastAsia="Lucida Sans Unicode" w:hAnsi="Arial" w:cs="Arial"/>
          <w:i/>
          <w:spacing w:val="-2"/>
          <w:sz w:val="22"/>
          <w:szCs w:val="22"/>
          <w:lang w:eastAsia="es-ES" w:bidi="ar-SA"/>
        </w:rPr>
      </w:pPr>
      <w:r>
        <w:rPr>
          <w:rFonts w:ascii="Arial" w:eastAsia="Lucida Sans Unicode" w:hAnsi="Arial" w:cs="Arial"/>
          <w:i/>
          <w:spacing w:val="-2"/>
          <w:sz w:val="22"/>
          <w:szCs w:val="22"/>
          <w:lang w:eastAsia="es-ES" w:bidi="ar-SA"/>
        </w:rPr>
        <w:t>Siendo un gasto específico y determinado ante la imposibilidad de demorarlo a ejercicios posteriores, y no habiendo crédito suficiente en las aplicaciónes</w:t>
      </w:r>
      <w:r>
        <w:rPr>
          <w:rFonts w:ascii="Arial" w:eastAsia="Lucida Sans Unicode" w:hAnsi="Arial" w:cs="Arial"/>
          <w:i/>
          <w:spacing w:val="-2"/>
          <w:sz w:val="22"/>
          <w:szCs w:val="22"/>
          <w:lang w:eastAsia="es-ES" w:bidi="ar-SA"/>
        </w:rPr>
        <w:t xml:space="preserve"> presupuestarias.</w:t>
      </w:r>
    </w:p>
    <w:p w:rsidR="00061CF1" w:rsidRDefault="00061CF1">
      <w:pPr>
        <w:suppressAutoHyphens w:val="0"/>
        <w:spacing w:before="62" w:after="142"/>
        <w:ind w:left="-11"/>
        <w:jc w:val="both"/>
        <w:textAlignment w:val="auto"/>
        <w:rPr>
          <w:rFonts w:ascii="Arial" w:eastAsia="Lucida Sans Unicode" w:hAnsi="Arial" w:cs="Arial"/>
          <w:i/>
          <w:spacing w:val="-2"/>
          <w:sz w:val="22"/>
          <w:szCs w:val="22"/>
          <w:lang w:eastAsia="es-ES" w:bidi="ar-SA"/>
        </w:rPr>
      </w:pPr>
    </w:p>
    <w:p w:rsidR="00061CF1" w:rsidRDefault="004E6D5A">
      <w:pPr>
        <w:suppressAutoHyphens w:val="0"/>
        <w:spacing w:before="62" w:after="142"/>
        <w:jc w:val="center"/>
        <w:textAlignment w:val="auto"/>
      </w:pPr>
      <w:r>
        <w:rPr>
          <w:rFonts w:ascii="Arial" w:eastAsia="Lucida Sans Unicode" w:hAnsi="Arial" w:cs="Arial"/>
          <w:bCs/>
          <w:i/>
          <w:sz w:val="22"/>
          <w:szCs w:val="22"/>
          <w:lang w:eastAsia="es-ES" w:bidi="ar-SA"/>
        </w:rPr>
        <w:t>SE PROPONE:</w:t>
      </w:r>
    </w:p>
    <w:p w:rsidR="00061CF1" w:rsidRDefault="004E6D5A">
      <w:pPr>
        <w:spacing w:after="120"/>
        <w:jc w:val="both"/>
        <w:textAlignment w:val="auto"/>
      </w:pPr>
      <w:r>
        <w:rPr>
          <w:rFonts w:ascii="Arial" w:eastAsia="Lucida Sans Unicode" w:hAnsi="Arial" w:cs="Arial"/>
          <w:i/>
          <w:sz w:val="22"/>
          <w:szCs w:val="22"/>
          <w:lang w:eastAsia="es-ES" w:bidi="ar-SA"/>
        </w:rPr>
        <w:t xml:space="preserve">Único: </w:t>
      </w:r>
      <w:r>
        <w:rPr>
          <w:rFonts w:ascii="Arial" w:eastAsia="Lucida Sans Unicode" w:hAnsi="Arial" w:cs="Arial"/>
          <w:i/>
          <w:sz w:val="22"/>
          <w:szCs w:val="22"/>
          <w:lang w:bidi="ar-SA"/>
        </w:rPr>
        <w:t xml:space="preserve">Tramitar expediente 9619/2025 de modificación presupuestaria por Créditos Extraordinarios financiados con Remanente de Tesorería para gastos generales, por una cantidad total de 5.862.162,68 euros, de acuerdo al </w:t>
      </w:r>
      <w:r>
        <w:rPr>
          <w:rFonts w:ascii="Arial" w:eastAsia="Lucida Sans Unicode" w:hAnsi="Arial" w:cs="Arial"/>
          <w:i/>
          <w:sz w:val="22"/>
          <w:szCs w:val="22"/>
          <w:lang w:bidi="ar-SA"/>
        </w:rPr>
        <w:t>siguiente detalle:</w:t>
      </w:r>
    </w:p>
    <w:p w:rsidR="00061CF1" w:rsidRDefault="00061CF1">
      <w:pPr>
        <w:spacing w:after="120"/>
        <w:jc w:val="both"/>
        <w:textAlignment w:val="auto"/>
        <w:rPr>
          <w:rFonts w:ascii="Arial" w:eastAsia="Lucida Sans Unicode" w:hAnsi="Arial" w:cs="Arial"/>
          <w:i/>
          <w:sz w:val="22"/>
          <w:szCs w:val="22"/>
          <w:lang w:bidi="ar-SA"/>
        </w:rPr>
      </w:pPr>
    </w:p>
    <w:tbl>
      <w:tblPr>
        <w:tblW w:w="8654" w:type="dxa"/>
        <w:tblInd w:w="75" w:type="dxa"/>
        <w:tblCellMar>
          <w:left w:w="10" w:type="dxa"/>
          <w:right w:w="10" w:type="dxa"/>
        </w:tblCellMar>
        <w:tblLook w:val="0000" w:firstRow="0" w:lastRow="0" w:firstColumn="0" w:lastColumn="0" w:noHBand="0" w:noVBand="0"/>
      </w:tblPr>
      <w:tblGrid>
        <w:gridCol w:w="3044"/>
        <w:gridCol w:w="4292"/>
        <w:gridCol w:w="1318"/>
      </w:tblGrid>
      <w:tr w:rsidR="00061CF1">
        <w:tblPrEx>
          <w:tblCellMar>
            <w:top w:w="0" w:type="dxa"/>
            <w:bottom w:w="0" w:type="dxa"/>
          </w:tblCellMar>
        </w:tblPrEx>
        <w:trPr>
          <w:trHeight w:val="302"/>
        </w:trPr>
        <w:tc>
          <w:tcPr>
            <w:tcW w:w="3044"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Concejalía</w:t>
            </w:r>
          </w:p>
        </w:tc>
        <w:tc>
          <w:tcPr>
            <w:tcW w:w="4292"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Concepto</w:t>
            </w:r>
          </w:p>
        </w:tc>
        <w:tc>
          <w:tcPr>
            <w:tcW w:w="1318"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Importe</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Desarrollo Pesquero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 Instalación de bomba y obra de conducción de aguas negra del puerto de Candelaria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10.280,38</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Medioambiente Natural</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Servicio de control, eliminación y gestión flora invasora, </w:t>
            </w:r>
            <w:r>
              <w:rPr>
                <w:rFonts w:ascii="Calibri" w:eastAsia="Times New Roman" w:hAnsi="Calibri" w:cs="Calibri"/>
                <w:i/>
                <w:color w:val="000000"/>
                <w:kern w:val="0"/>
                <w:sz w:val="22"/>
                <w:szCs w:val="22"/>
                <w:lang w:eastAsia="es-ES" w:bidi="ar-SA"/>
              </w:rPr>
              <w:t>específicamente Rabo de Gato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16.017,90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Obras y servicios </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Sistema Climatización CERI y Zona Joven</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66.714,50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Reforma Oficinas del SAC y AEDL</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836.720,58</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Reformas baños Públicos Playa Las Caletillas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74.604,63</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Obras y </w:t>
            </w:r>
            <w:r>
              <w:rPr>
                <w:rFonts w:ascii="Calibri" w:eastAsia="Times New Roman" w:hAnsi="Calibri" w:cs="Calibri"/>
                <w:i/>
                <w:color w:val="000000"/>
                <w:kern w:val="0"/>
                <w:sz w:val="22"/>
                <w:szCs w:val="22"/>
                <w:lang w:eastAsia="es-ES" w:bidi="ar-SA"/>
              </w:rPr>
              <w:t>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Zona de Sombras Avenida Constitución </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72.588,80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Calibri" w:eastAsia="Lucida Sans Unicode" w:hAnsi="Calibri" w:cs="Calibri"/>
                <w:i/>
                <w:color w:val="000000"/>
                <w:sz w:val="22"/>
                <w:szCs w:val="22"/>
                <w:lang w:bidi="ar-SA"/>
              </w:rPr>
              <w:t>Piedras obra Avenida, cambio madera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166.252,32</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Pavimento Plaza de Los Príncipes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38.043,56</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Reposición Muro Playa de la Viuda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219.908,20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061CF1">
            <w:pPr>
              <w:widowControl/>
              <w:suppressAutoHyphens w:val="0"/>
              <w:textAlignment w:val="auto"/>
              <w:rPr>
                <w:rFonts w:ascii="Calibri" w:eastAsia="Times New Roman" w:hAnsi="Calibri" w:cs="Calibri"/>
                <w:i/>
                <w:color w:val="000000"/>
                <w:kern w:val="0"/>
                <w:sz w:val="22"/>
                <w:szCs w:val="22"/>
                <w:lang w:eastAsia="es-ES" w:bidi="ar-SA"/>
              </w:rPr>
            </w:pPr>
          </w:p>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 Estabilización Talud C/ Nivaria + dirección obra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225.294,30</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Repavimentación varias calles del municipio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868.936,33</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Renovación red abastecimiento Cuevecitas (entre Polideportivo y carretera Los Peneras)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681.845,94</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Renovación red abastecimiento Calle Icerse</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757.063,29</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Renovación red abastecimiento Calle Chijerno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698.330,53</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Policía y Protección Civil</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Rehabilitación Edificio Protección Civil</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34.007,25</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Policía y Protección Civil</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Material técnico Policía </w:t>
            </w:r>
            <w:r>
              <w:rPr>
                <w:rFonts w:ascii="Calibri" w:eastAsia="Times New Roman" w:hAnsi="Calibri" w:cs="Calibri"/>
                <w:i/>
                <w:color w:val="000000"/>
                <w:kern w:val="0"/>
                <w:sz w:val="22"/>
                <w:szCs w:val="22"/>
                <w:lang w:eastAsia="es-ES" w:bidi="ar-SA"/>
              </w:rPr>
              <w:t>(Drones, Test drogas, Cámaras Vigilancia y Tráfico,…)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58.009,94</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Sanidad</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Adaptación zona cuarentena Parque de Perros Punta Larga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35.550,75</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Sanidad</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Construcción cuarto lavadero y acondicionamiento baño anexo en depósito Municipal de C/Barranquillo Hondo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34.382,66</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Cementerios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Remodelación de Cementerios del municipio de Candelaria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562.367,71</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Cementerios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Construcción de 40 nichos en Cementerio municipal Santa Sabina de Candelaria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42.573,49</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Alcaldía</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Convenio Parroquia Santa Ana tratamiento de xilófagos en</w:t>
            </w:r>
            <w:r>
              <w:rPr>
                <w:rFonts w:ascii="Calibri" w:eastAsia="Times New Roman" w:hAnsi="Calibri" w:cs="Calibri"/>
                <w:i/>
                <w:color w:val="000000"/>
                <w:kern w:val="0"/>
                <w:sz w:val="22"/>
                <w:szCs w:val="22"/>
                <w:lang w:eastAsia="es-ES" w:bidi="ar-SA"/>
              </w:rPr>
              <w:t xml:space="preserve"> retablos, balcón, puertas y ventanas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25.477,56</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Alcaldía</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Convenio colaboración Archivo histórico Diocesano de San Cristóbal de La Laguna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14.480,00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Alcaldía</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Sustitución Señalética de las calles del municipio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186.822,06</w:t>
            </w:r>
          </w:p>
        </w:tc>
      </w:tr>
      <w:tr w:rsidR="00061CF1">
        <w:tblPrEx>
          <w:tblCellMar>
            <w:top w:w="0" w:type="dxa"/>
            <w:bottom w:w="0" w:type="dxa"/>
          </w:tblCellMar>
        </w:tblPrEx>
        <w:trPr>
          <w:trHeight w:val="437"/>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Servicios Sociales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Escultura </w:t>
            </w:r>
            <w:r>
              <w:rPr>
                <w:rFonts w:ascii="Calibri" w:eastAsia="Times New Roman" w:hAnsi="Calibri" w:cs="Calibri"/>
                <w:i/>
                <w:color w:val="000000"/>
                <w:kern w:val="0"/>
                <w:sz w:val="22"/>
                <w:szCs w:val="22"/>
                <w:lang w:eastAsia="es-ES" w:bidi="ar-SA"/>
              </w:rPr>
              <w:t>conmemorativa reconocimiento de Candelaria cómo "Ciudad amiga de la infancia"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135.890,00</w:t>
            </w:r>
          </w:p>
        </w:tc>
      </w:tr>
      <w:tr w:rsidR="00061CF1">
        <w:tblPrEx>
          <w:tblCellMar>
            <w:top w:w="0" w:type="dxa"/>
            <w:bottom w:w="0" w:type="dxa"/>
          </w:tblCellMar>
        </w:tblPrEx>
        <w:trPr>
          <w:trHeight w:val="437"/>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Total</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5.862.162,68</w:t>
            </w:r>
          </w:p>
        </w:tc>
      </w:tr>
    </w:tbl>
    <w:p w:rsidR="00061CF1" w:rsidRDefault="004E6D5A">
      <w:pPr>
        <w:widowControl/>
        <w:suppressAutoHyphens w:val="0"/>
        <w:spacing w:before="60" w:after="60" w:line="242" w:lineRule="auto"/>
        <w:jc w:val="both"/>
        <w:textAlignment w:val="auto"/>
        <w:rPr>
          <w:rFonts w:ascii="Arial" w:eastAsia="Lucida Sans Unicode" w:hAnsi="Arial" w:cs="Arial"/>
          <w:i/>
          <w:color w:val="000000"/>
          <w:sz w:val="22"/>
          <w:szCs w:val="22"/>
          <w:lang w:eastAsia="es-ES" w:bidi="ar-SA"/>
        </w:rPr>
      </w:pPr>
      <w:r>
        <w:rPr>
          <w:rFonts w:ascii="Arial" w:eastAsia="Lucida Sans Unicode" w:hAnsi="Arial" w:cs="Arial"/>
          <w:i/>
          <w:color w:val="000000"/>
          <w:sz w:val="22"/>
          <w:szCs w:val="22"/>
          <w:lang w:eastAsia="es-ES" w:bidi="ar-SA"/>
        </w:rPr>
        <w:t>.“</w:t>
      </w:r>
    </w:p>
    <w:p w:rsidR="00061CF1" w:rsidRDefault="004E6D5A">
      <w:pPr>
        <w:widowControl/>
        <w:suppressAutoHyphens w:val="0"/>
        <w:spacing w:after="160" w:line="242" w:lineRule="auto"/>
        <w:ind w:firstLine="708"/>
        <w:jc w:val="both"/>
        <w:textAlignment w:val="auto"/>
        <w:rPr>
          <w:rFonts w:ascii="Arial" w:eastAsia="Lucida Sans Unicode" w:hAnsi="Arial" w:cs="Arial"/>
          <w:i/>
          <w:spacing w:val="-2"/>
          <w:sz w:val="22"/>
          <w:szCs w:val="22"/>
          <w:lang w:eastAsia="es-ES" w:bidi="ar-SA"/>
        </w:rPr>
      </w:pPr>
      <w:r>
        <w:rPr>
          <w:rFonts w:ascii="Arial" w:eastAsia="Lucida Sans Unicode" w:hAnsi="Arial" w:cs="Arial"/>
          <w:i/>
          <w:spacing w:val="-2"/>
          <w:sz w:val="22"/>
          <w:szCs w:val="22"/>
          <w:lang w:eastAsia="es-ES" w:bidi="ar-SA"/>
        </w:rPr>
        <w:t xml:space="preserve">Vista las Memorias, informes técnicos, proyectos de obra y presupuestos, de las actuaciones que se quieren llevar a cabo, en la que se </w:t>
      </w:r>
      <w:r>
        <w:rPr>
          <w:rFonts w:ascii="Arial" w:eastAsia="Lucida Sans Unicode" w:hAnsi="Arial" w:cs="Arial"/>
          <w:i/>
          <w:spacing w:val="-2"/>
          <w:sz w:val="22"/>
          <w:szCs w:val="22"/>
          <w:lang w:eastAsia="es-ES" w:bidi="ar-SA"/>
        </w:rPr>
        <w:t>justifican la necesidad y urgencia de la modificación presupuestaria, requisito que se establece en la base 9ª del Presupuesto General, y siendo un gasto específico y determinado, ante la imposibilidad de demorarlo a ejercicios posteriores, y no habiendo c</w:t>
      </w:r>
      <w:r>
        <w:rPr>
          <w:rFonts w:ascii="Arial" w:eastAsia="Lucida Sans Unicode" w:hAnsi="Arial" w:cs="Arial"/>
          <w:i/>
          <w:spacing w:val="-2"/>
          <w:sz w:val="22"/>
          <w:szCs w:val="22"/>
          <w:lang w:eastAsia="es-ES" w:bidi="ar-SA"/>
        </w:rPr>
        <w:t>rédito suficiente en las aplicaciones presupuestarias.</w:t>
      </w:r>
    </w:p>
    <w:p w:rsidR="00061CF1" w:rsidRDefault="004E6D5A">
      <w:pPr>
        <w:widowControl/>
        <w:tabs>
          <w:tab w:val="left" w:pos="0"/>
        </w:tabs>
        <w:suppressAutoHyphens w:val="0"/>
        <w:jc w:val="both"/>
        <w:textAlignment w:val="auto"/>
      </w:pPr>
      <w:r>
        <w:rPr>
          <w:rFonts w:ascii="Arial" w:eastAsia="Lucida Sans Unicode" w:hAnsi="Arial" w:cs="Times New Roman"/>
          <w:i/>
          <w:sz w:val="22"/>
          <w:szCs w:val="22"/>
          <w:lang w:bidi="ar-SA"/>
        </w:rPr>
        <w:tab/>
      </w:r>
      <w:r>
        <w:rPr>
          <w:rFonts w:ascii="Arial" w:eastAsia="Lucida Sans Unicode" w:hAnsi="Arial" w:cs="Times New Roman"/>
          <w:i/>
          <w:sz w:val="22"/>
          <w:lang w:bidi="ar-SA"/>
        </w:rPr>
        <w:t>PRIMERO. La legislación aplicable es la siguiente:</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Los artículos 169, 170 y 172 a 177 del Real Decreto Legislativo 2/2004, de 5 de marzo, por el que se aprueba el Texto Refundido de la Ley Reguladora </w:t>
      </w:r>
      <w:r>
        <w:rPr>
          <w:rFonts w:ascii="Arial" w:eastAsia="Lucida Sans Unicode" w:hAnsi="Arial" w:cs="Times New Roman"/>
          <w:i/>
          <w:sz w:val="22"/>
          <w:lang w:bidi="ar-SA"/>
        </w:rPr>
        <w:t xml:space="preserve">de las Haciendas Locales. </w:t>
      </w:r>
    </w:p>
    <w:p w:rsidR="00061CF1" w:rsidRDefault="00061CF1">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p>
    <w:p w:rsidR="00061CF1" w:rsidRDefault="00061CF1">
      <w:pPr>
        <w:widowControl/>
        <w:tabs>
          <w:tab w:val="left" w:pos="-720"/>
        </w:tabs>
        <w:suppressAutoHyphens w:val="0"/>
        <w:spacing w:before="60" w:after="60"/>
        <w:ind w:left="720"/>
        <w:jc w:val="both"/>
        <w:textAlignment w:val="auto"/>
        <w:rPr>
          <w:rFonts w:ascii="Arial" w:eastAsia="Lucida Sans Unicode" w:hAnsi="Arial" w:cs="Times New Roman"/>
          <w:i/>
          <w:sz w:val="22"/>
          <w:lang w:bidi="ar-SA"/>
        </w:rPr>
      </w:pP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Los artículos 34 a 38 del Real Decreto 500/1990, de 20 de abril, por el que se desarrolla el Capítulo I, del Título VI, de la Ley 39/1988, de 28 de diciembre, Reguladora de las Haciendas Locales, en materia de presupuestos.</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Los</w:t>
      </w:r>
      <w:r>
        <w:rPr>
          <w:rFonts w:ascii="Arial" w:eastAsia="Lucida Sans Unicode" w:hAnsi="Arial" w:cs="Times New Roman"/>
          <w:i/>
          <w:sz w:val="22"/>
          <w:lang w:bidi="ar-SA"/>
        </w:rPr>
        <w:t xml:space="preserve"> artículos 3, 4, 11, 12, 13, 21, 23 y 32 de la Ley Orgánica 2/2012, de 27 de abril, de Estabilidad Presupuestaria y Sostenibilidad Financiera. </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El artículo 16.2 del Real Decreto 1463/2007, de 2 de noviembre, por el que se aprueba el Reglamento de Desarroll</w:t>
      </w:r>
      <w:r>
        <w:rPr>
          <w:rFonts w:ascii="Arial" w:eastAsia="Lucida Sans Unicode" w:hAnsi="Arial" w:cs="Times New Roman"/>
          <w:i/>
          <w:sz w:val="22"/>
          <w:lang w:bidi="ar-SA"/>
        </w:rPr>
        <w:t>o de la Ley 18/2001, de 12 de noviembre, de Estabilidad Presupuestaria, en su Aplicación a las Entidades Locales.</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El artículo 22.2.e) de la Ley 7/1985, de 2 de abril, Reguladora de las Bases del Régimen Local.</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La Disposición Adicional 6.ª de la Ley Orgánic</w:t>
      </w:r>
      <w:r>
        <w:rPr>
          <w:rFonts w:ascii="Arial" w:eastAsia="Lucida Sans Unicode" w:hAnsi="Arial" w:cs="Times New Roman"/>
          <w:i/>
          <w:sz w:val="22"/>
          <w:lang w:bidi="ar-SA"/>
        </w:rPr>
        <w:t>a 2/2012, de 27 de abril, de Estabilidad Presupuestaria y Sostenibilidad Financiera.</w:t>
      </w:r>
    </w:p>
    <w:p w:rsidR="00061CF1" w:rsidRDefault="004E6D5A">
      <w:pPr>
        <w:widowControl/>
        <w:numPr>
          <w:ilvl w:val="0"/>
          <w:numId w:val="10"/>
        </w:numPr>
        <w:tabs>
          <w:tab w:val="left" w:pos="-5040"/>
        </w:tabs>
        <w:suppressAutoHyphens w:val="0"/>
        <w:spacing w:before="60" w:after="60"/>
        <w:jc w:val="both"/>
        <w:textAlignment w:val="auto"/>
      </w:pPr>
      <w:r>
        <w:rPr>
          <w:rFonts w:ascii="Arial" w:eastAsia="Lucida Sans Unicode" w:hAnsi="Arial" w:cs="Times New Roman"/>
          <w:i/>
          <w:sz w:val="22"/>
          <w:lang w:bidi="ar-SA"/>
        </w:rPr>
        <w:t xml:space="preserve"> La Orden EHA/3565/2008, de 3 de diciembre, por la que se aprueba la estructura de presupuestos de las entidades locales. - Resolución de 14 de septiembre de 2009, de la D</w:t>
      </w:r>
      <w:r>
        <w:rPr>
          <w:rFonts w:ascii="Arial" w:eastAsia="Lucida Sans Unicode" w:hAnsi="Arial" w:cs="Times New Roman"/>
          <w:i/>
          <w:sz w:val="22"/>
          <w:lang w:bidi="ar-SA"/>
        </w:rPr>
        <w:t xml:space="preserve">irección General de Coordinación Financiera con las Comunidades Autónomas y con las Entidades Locales, por la que se Dictan Medidas para el Desarrollo de la Orden EHA/3565/2008, de 3 de diciembre, por la que se Aprueba la Estructura de los Presupuestos de </w:t>
      </w:r>
      <w:r>
        <w:rPr>
          <w:rFonts w:ascii="Arial" w:eastAsia="Lucida Sans Unicode" w:hAnsi="Arial" w:cs="Times New Roman"/>
          <w:i/>
          <w:sz w:val="22"/>
          <w:lang w:bidi="ar-SA"/>
        </w:rPr>
        <w:t>las Entidades Locales</w:t>
      </w:r>
      <w:r>
        <w:rPr>
          <w:rFonts w:ascii="Arial" w:eastAsia="Lucida Sans Unicode" w:hAnsi="Arial" w:cs="Arial"/>
          <w:i/>
          <w:lang w:bidi="ar-SA"/>
        </w:rPr>
        <w:t>.</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La Disposición Adicional 16.ª del Texto Refundido de la Ley Reguladora de las Haciendas Locales. </w:t>
      </w:r>
    </w:p>
    <w:p w:rsidR="00061CF1" w:rsidRDefault="00061CF1">
      <w:pPr>
        <w:widowControl/>
        <w:tabs>
          <w:tab w:val="left" w:pos="0"/>
        </w:tabs>
        <w:suppressAutoHyphens w:val="0"/>
        <w:jc w:val="both"/>
        <w:textAlignment w:val="auto"/>
        <w:rPr>
          <w:rFonts w:ascii="Arial" w:eastAsia="Lucida Sans Unicode" w:hAnsi="Arial" w:cs="Times New Roman"/>
          <w:i/>
          <w:sz w:val="22"/>
          <w:lang w:bidi="ar-SA"/>
        </w:rPr>
      </w:pPr>
    </w:p>
    <w:p w:rsidR="00061CF1" w:rsidRDefault="004E6D5A">
      <w:pPr>
        <w:widowControl/>
        <w:tabs>
          <w:tab w:val="left" w:pos="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SEGUNDO: Considerando que el artículo 177 del Real Decreto Legislativo 2/2004, de 5 de marzo, por el que se aprueba el texto refundido</w:t>
      </w:r>
      <w:r>
        <w:rPr>
          <w:rFonts w:ascii="Arial" w:eastAsia="Lucida Sans Unicode" w:hAnsi="Arial" w:cs="Times New Roman"/>
          <w:i/>
          <w:sz w:val="22"/>
          <w:lang w:bidi="ar-SA"/>
        </w:rPr>
        <w:t xml:space="preserve"> de la Ley Reguladora de las Haciendas Locales, regula los expedientes de modificación presupuestaria mediante créditos extraordinarios y suplementos de crédito, al señalar que:</w:t>
      </w:r>
    </w:p>
    <w:p w:rsidR="00061CF1" w:rsidRDefault="004E6D5A">
      <w:pPr>
        <w:widowControl/>
        <w:numPr>
          <w:ilvl w:val="0"/>
          <w:numId w:val="11"/>
        </w:numPr>
        <w:tabs>
          <w:tab w:val="left" w:pos="-504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Cuando haya de realizarse algún gasto que no pueda demorarse hasta el ejercici</w:t>
      </w:r>
      <w:r>
        <w:rPr>
          <w:rFonts w:ascii="Arial" w:eastAsia="Lucida Sans Unicode" w:hAnsi="Arial" w:cs="Times New Roman"/>
          <w:i/>
          <w:sz w:val="22"/>
          <w:lang w:bidi="ar-SA"/>
        </w:rPr>
        <w:t xml:space="preserve">o siguiente, y sea insuficiente en el presupuesto de la corporación el crédito consignado, el presidente de la corporación ordenará la incoación del expediente de suplemento de crédito. </w:t>
      </w:r>
    </w:p>
    <w:p w:rsidR="00061CF1" w:rsidRDefault="004E6D5A">
      <w:pPr>
        <w:widowControl/>
        <w:numPr>
          <w:ilvl w:val="0"/>
          <w:numId w:val="11"/>
        </w:numPr>
        <w:tabs>
          <w:tab w:val="left" w:pos="-504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El expediente, que habrá de ser previamente informado por la Interven</w:t>
      </w:r>
      <w:r>
        <w:rPr>
          <w:rFonts w:ascii="Arial" w:eastAsia="Lucida Sans Unicode" w:hAnsi="Arial" w:cs="Times New Roman"/>
          <w:i/>
          <w:sz w:val="22"/>
          <w:lang w:bidi="ar-SA"/>
        </w:rPr>
        <w:t>ción, se someterá a la aprobación del Pleno de la corporación, con sujeción a los mismos trámites y requisitos que los presupuestos. Serán, asimismo, de aplicación, las normas sobre información, reclamación y publicidad de los presupuestos a que se refiere</w:t>
      </w:r>
      <w:r>
        <w:rPr>
          <w:rFonts w:ascii="Arial" w:eastAsia="Lucida Sans Unicode" w:hAnsi="Arial" w:cs="Times New Roman"/>
          <w:i/>
          <w:sz w:val="22"/>
          <w:lang w:bidi="ar-SA"/>
        </w:rPr>
        <w:t xml:space="preserve"> el artículo 169 de esta ley. </w:t>
      </w:r>
    </w:p>
    <w:p w:rsidR="00061CF1" w:rsidRDefault="004E6D5A">
      <w:pPr>
        <w:widowControl/>
        <w:numPr>
          <w:ilvl w:val="0"/>
          <w:numId w:val="11"/>
        </w:numPr>
        <w:tabs>
          <w:tab w:val="left" w:pos="-504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El expediente deberá especificar la concreta partida presupuestaria a incrementar y el medio o recurso que ha de financiar el aumento que se propone.</w:t>
      </w:r>
    </w:p>
    <w:p w:rsidR="00061CF1" w:rsidRDefault="004E6D5A">
      <w:pPr>
        <w:widowControl/>
        <w:numPr>
          <w:ilvl w:val="0"/>
          <w:numId w:val="11"/>
        </w:numPr>
        <w:tabs>
          <w:tab w:val="left" w:pos="-5040"/>
        </w:tabs>
        <w:suppressAutoHyphens w:val="0"/>
        <w:jc w:val="both"/>
        <w:textAlignment w:val="auto"/>
      </w:pPr>
      <w:r>
        <w:rPr>
          <w:rFonts w:ascii="Arial" w:eastAsia="Lucida Sans Unicode" w:hAnsi="Arial" w:cs="Times New Roman"/>
          <w:i/>
          <w:sz w:val="22"/>
          <w:lang w:bidi="ar-SA"/>
        </w:rPr>
        <w:t>Dicho aumento se financiará con cargo al remanente líquido de tesorería, co</w:t>
      </w:r>
      <w:r>
        <w:rPr>
          <w:rFonts w:ascii="Arial" w:eastAsia="Lucida Sans Unicode" w:hAnsi="Arial" w:cs="Times New Roman"/>
          <w:i/>
          <w:sz w:val="22"/>
          <w:lang w:bidi="ar-SA"/>
        </w:rPr>
        <w:t>n nuevos o mayores ingresos recaudados sobre los totales previstos en el presupuesto corriente, y mediante anulaciones o bajas de créditos de gastos de otras partidas del presupuesto vigente no comprometidos, cuyas dotaciones se estimen reducibles sin pert</w:t>
      </w:r>
      <w:r>
        <w:rPr>
          <w:rFonts w:ascii="Arial" w:eastAsia="Lucida Sans Unicode" w:hAnsi="Arial" w:cs="Times New Roman"/>
          <w:i/>
          <w:sz w:val="22"/>
          <w:lang w:bidi="ar-SA"/>
        </w:rPr>
        <w:t xml:space="preserve">urbación del respectivo servicio. En el expediente se acreditará que los ingresos previstos en el presupuesto vengan efectuándose con normalidad, salvo que aquéllos tengan carácter finalista. </w:t>
      </w:r>
    </w:p>
    <w:p w:rsidR="00061CF1" w:rsidRDefault="00061CF1">
      <w:pPr>
        <w:widowControl/>
        <w:tabs>
          <w:tab w:val="left" w:pos="0"/>
        </w:tabs>
        <w:suppressAutoHyphens w:val="0"/>
        <w:jc w:val="both"/>
        <w:textAlignment w:val="auto"/>
        <w:rPr>
          <w:rFonts w:ascii="Arial" w:eastAsia="Lucida Sans Unicode" w:hAnsi="Arial" w:cs="Times New Roman"/>
          <w:i/>
          <w:sz w:val="22"/>
          <w:lang w:bidi="ar-SA"/>
        </w:rPr>
      </w:pPr>
    </w:p>
    <w:p w:rsidR="00061CF1" w:rsidRDefault="004E6D5A">
      <w:pPr>
        <w:widowControl/>
        <w:tabs>
          <w:tab w:val="left" w:pos="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TERCERO: Vista la Liquidación del Presupuesto general 2024, ap</w:t>
      </w:r>
      <w:r>
        <w:rPr>
          <w:rFonts w:ascii="Arial" w:eastAsia="Lucida Sans Unicode" w:hAnsi="Arial" w:cs="Times New Roman"/>
          <w:i/>
          <w:sz w:val="22"/>
          <w:lang w:bidi="ar-SA"/>
        </w:rPr>
        <w:t>robada por decreto 2017/2025 de 26/06/2025, donde se aprueba un Remanente de Tesorería para gastos Generales (RTGG) por un importe de 30.666.333,16€.</w:t>
      </w:r>
    </w:p>
    <w:p w:rsidR="00061CF1" w:rsidRDefault="004E6D5A">
      <w:pPr>
        <w:widowControl/>
        <w:tabs>
          <w:tab w:val="left" w:pos="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b/>
        <w:t>Visto Expediente 6629/2025 de Incorporación de Créditos financiados con RTGG, por un importe total de 8.0</w:t>
      </w:r>
      <w:r>
        <w:rPr>
          <w:rFonts w:ascii="Arial" w:eastAsia="Lucida Sans Unicode" w:hAnsi="Arial" w:cs="Times New Roman"/>
          <w:i/>
          <w:sz w:val="22"/>
          <w:lang w:bidi="ar-SA"/>
        </w:rPr>
        <w:t>95.399,23€</w:t>
      </w:r>
    </w:p>
    <w:p w:rsidR="00061CF1" w:rsidRDefault="004E6D5A">
      <w:pPr>
        <w:widowControl/>
        <w:tabs>
          <w:tab w:val="left" w:pos="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b/>
        <w:t>Visto Expediente 7148/2025 de Créditos Extraordinarios RTGG, por un importe total de 7.285.320,99€.</w:t>
      </w:r>
    </w:p>
    <w:p w:rsidR="00061CF1" w:rsidRDefault="00061CF1">
      <w:pPr>
        <w:widowControl/>
        <w:tabs>
          <w:tab w:val="left" w:pos="0"/>
        </w:tabs>
        <w:suppressAutoHyphens w:val="0"/>
        <w:jc w:val="both"/>
        <w:textAlignment w:val="auto"/>
        <w:rPr>
          <w:rFonts w:ascii="Arial" w:eastAsia="Lucida Sans Unicode" w:hAnsi="Arial" w:cs="Times New Roman"/>
          <w:i/>
          <w:sz w:val="22"/>
          <w:lang w:bidi="ar-SA"/>
        </w:rPr>
      </w:pPr>
    </w:p>
    <w:p w:rsidR="00061CF1" w:rsidRDefault="004E6D5A">
      <w:pPr>
        <w:widowControl/>
        <w:tabs>
          <w:tab w:val="left" w:pos="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b/>
        <w:t>Visto Expediente 7161/2025 de Suplementos de Créditos RTGG, por un importe total de 4.538.386,50€.</w:t>
      </w:r>
    </w:p>
    <w:p w:rsidR="00061CF1" w:rsidRDefault="004E6D5A">
      <w:pPr>
        <w:widowControl/>
        <w:tabs>
          <w:tab w:val="left" w:pos="0"/>
        </w:tabs>
        <w:suppressAutoHyphens w:val="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b/>
        <w:t xml:space="preserve">Visto Expediente 9614/2025 de </w:t>
      </w:r>
      <w:r>
        <w:rPr>
          <w:rFonts w:ascii="Arial" w:eastAsia="Lucida Sans Unicode" w:hAnsi="Arial" w:cs="Times New Roman"/>
          <w:i/>
          <w:sz w:val="22"/>
          <w:lang w:bidi="ar-SA"/>
        </w:rPr>
        <w:t>Incorporación de Créditos financiados con RTGG, por un importe total de 10.699,20€.</w:t>
      </w:r>
    </w:p>
    <w:p w:rsidR="00061CF1" w:rsidRDefault="004E6D5A">
      <w:pPr>
        <w:widowControl/>
        <w:tabs>
          <w:tab w:val="left" w:pos="0"/>
        </w:tabs>
        <w:suppressAutoHyphens w:val="0"/>
        <w:jc w:val="both"/>
        <w:textAlignment w:val="auto"/>
      </w:pPr>
      <w:r>
        <w:rPr>
          <w:rFonts w:ascii="Arial" w:eastAsia="Lucida Sans Unicode" w:hAnsi="Arial" w:cs="Times New Roman"/>
          <w:i/>
          <w:sz w:val="22"/>
          <w:lang w:bidi="ar-SA"/>
        </w:rPr>
        <w:tab/>
      </w:r>
      <w:r>
        <w:rPr>
          <w:rFonts w:ascii="Arial" w:eastAsia="Lucida Sans Unicode" w:hAnsi="Arial" w:cs="Arial"/>
          <w:i/>
          <w:sz w:val="22"/>
          <w:szCs w:val="22"/>
          <w:lang w:bidi="ar-SA"/>
        </w:rPr>
        <w:t>Queda un disponible de Remanente de Tesorería para gastos Generales (RTGG) de 10.736.527,24€.</w:t>
      </w:r>
    </w:p>
    <w:p w:rsidR="00061CF1" w:rsidRDefault="00061CF1">
      <w:pPr>
        <w:widowControl/>
        <w:tabs>
          <w:tab w:val="left" w:pos="0"/>
        </w:tabs>
        <w:suppressAutoHyphens w:val="0"/>
        <w:jc w:val="both"/>
        <w:textAlignment w:val="auto"/>
        <w:rPr>
          <w:rFonts w:ascii="Arial" w:eastAsia="Lucida Sans Unicode" w:hAnsi="Arial" w:cs="Times New Roman"/>
          <w:i/>
          <w:sz w:val="22"/>
          <w:lang w:val="es-ES_tradnl" w:eastAsia="es-ES" w:bidi="ar-SA"/>
        </w:rPr>
      </w:pPr>
    </w:p>
    <w:p w:rsidR="00061CF1" w:rsidRDefault="004E6D5A">
      <w:pPr>
        <w:tabs>
          <w:tab w:val="left" w:pos="1289"/>
        </w:tabs>
        <w:spacing w:after="120"/>
        <w:jc w:val="both"/>
        <w:textAlignment w:val="auto"/>
      </w:pPr>
      <w:r>
        <w:rPr>
          <w:rFonts w:ascii="Arial" w:eastAsia="Lucida Sans Unicode" w:hAnsi="Arial" w:cs="Times New Roman"/>
          <w:i/>
          <w:sz w:val="22"/>
          <w:lang w:bidi="ar-SA"/>
        </w:rPr>
        <w:t>CUARTO: Que el expediente de modificación presupuestaria 9619/2025</w:t>
      </w:r>
      <w:r>
        <w:rPr>
          <w:rFonts w:ascii="Arial" w:eastAsia="Lucida Sans Unicode" w:hAnsi="Arial" w:cs="Arial"/>
          <w:i/>
          <w:sz w:val="22"/>
          <w:szCs w:val="22"/>
          <w:lang w:bidi="ar-SA"/>
        </w:rPr>
        <w:t xml:space="preserve"> de </w:t>
      </w:r>
      <w:r>
        <w:rPr>
          <w:rFonts w:ascii="Arial" w:eastAsia="Lucida Sans Unicode" w:hAnsi="Arial" w:cs="Arial"/>
          <w:i/>
          <w:sz w:val="22"/>
          <w:szCs w:val="22"/>
          <w:lang w:bidi="ar-SA"/>
        </w:rPr>
        <w:t xml:space="preserve">modificación presupuestaria por Créditos Extraordinarios financiado con Remanente de Tesorería para gastos generales, por una cantidad total de </w:t>
      </w:r>
      <w:r>
        <w:rPr>
          <w:rFonts w:ascii="Arial" w:eastAsia="Times New Roman" w:hAnsi="Arial" w:cs="Arial"/>
          <w:bCs/>
          <w:i/>
          <w:color w:val="000000"/>
          <w:kern w:val="0"/>
          <w:sz w:val="22"/>
          <w:szCs w:val="22"/>
          <w:lang w:eastAsia="es-ES" w:bidi="ar-SA"/>
        </w:rPr>
        <w:t>5.862,162,68</w:t>
      </w:r>
      <w:r>
        <w:rPr>
          <w:rFonts w:ascii="Calibri" w:eastAsia="Times New Roman" w:hAnsi="Calibri" w:cs="Calibri"/>
          <w:bCs/>
          <w:i/>
          <w:color w:val="000000"/>
          <w:kern w:val="0"/>
          <w:sz w:val="22"/>
          <w:szCs w:val="22"/>
          <w:lang w:eastAsia="es-ES" w:bidi="ar-SA"/>
        </w:rPr>
        <w:t xml:space="preserve"> </w:t>
      </w:r>
      <w:r>
        <w:rPr>
          <w:rFonts w:ascii="Arial" w:eastAsia="Lucida Sans Unicode" w:hAnsi="Arial" w:cs="Arial"/>
          <w:i/>
          <w:sz w:val="22"/>
          <w:szCs w:val="22"/>
          <w:lang w:bidi="ar-SA"/>
        </w:rPr>
        <w:t xml:space="preserve">euros, de acuerdo al siguiente detalle: </w:t>
      </w:r>
    </w:p>
    <w:tbl>
      <w:tblPr>
        <w:tblW w:w="8505" w:type="dxa"/>
        <w:tblInd w:w="212" w:type="dxa"/>
        <w:tblCellMar>
          <w:left w:w="10" w:type="dxa"/>
          <w:right w:w="10" w:type="dxa"/>
        </w:tblCellMar>
        <w:tblLook w:val="0000" w:firstRow="0" w:lastRow="0" w:firstColumn="0" w:lastColumn="0" w:noHBand="0" w:noVBand="0"/>
      </w:tblPr>
      <w:tblGrid>
        <w:gridCol w:w="1418"/>
        <w:gridCol w:w="70"/>
        <w:gridCol w:w="5600"/>
        <w:gridCol w:w="1417"/>
      </w:tblGrid>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eastAsia="es-ES" w:bidi="ar-SA"/>
              </w:rPr>
            </w:pPr>
          </w:p>
        </w:tc>
        <w:tc>
          <w:tcPr>
            <w:tcW w:w="5600" w:type="dxa"/>
            <w:shd w:val="clear" w:color="auto" w:fill="auto"/>
            <w:noWrap/>
            <w:tcMar>
              <w:top w:w="0" w:type="dxa"/>
              <w:left w:w="70" w:type="dxa"/>
              <w:bottom w:w="0" w:type="dxa"/>
              <w:right w:w="70" w:type="dxa"/>
            </w:tcMar>
            <w:vAlign w:val="bottom"/>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Estado de Gastos</w:t>
            </w:r>
          </w:p>
        </w:tc>
        <w:tc>
          <w:tcPr>
            <w:tcW w:w="1417"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Calibri" w:eastAsia="Times New Roman" w:hAnsi="Calibri" w:cs="Calibri"/>
                <w:bCs/>
                <w:i/>
                <w:color w:val="000000"/>
                <w:kern w:val="0"/>
                <w:sz w:val="22"/>
                <w:szCs w:val="22"/>
                <w:lang w:eastAsia="es-ES" w:bidi="ar-SA"/>
              </w:rPr>
            </w:pPr>
          </w:p>
        </w:tc>
      </w:tr>
      <w:tr w:rsidR="00061CF1">
        <w:tblPrEx>
          <w:tblCellMar>
            <w:top w:w="0" w:type="dxa"/>
            <w:bottom w:w="0" w:type="dxa"/>
          </w:tblCellMar>
        </w:tblPrEx>
        <w:trPr>
          <w:trHeight w:val="189"/>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Proyecto de gasto P.25.2.37</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Aplicación</w:t>
            </w:r>
          </w:p>
        </w:tc>
        <w:tc>
          <w:tcPr>
            <w:tcW w:w="5600"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Descripción</w:t>
            </w:r>
          </w:p>
        </w:tc>
        <w:tc>
          <w:tcPr>
            <w:tcW w:w="1417"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13200.62301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MATERIAL TÉCNICO POLICÍA (DRONES, TEST DROGAS, CÁMARAS VIGIL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58.009,94</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13500.62200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REHABILITACIÓN EDIFICIO PROTECCIÓN CIVIL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34.007,25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15100.61901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 ESTABILIZACION TALUD C/NIVARIA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225.294,30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15100.61907</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REPOSICION MURO PLAYA LA VIUDA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219.908,20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15320.61908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PLAN ASFALTADO III: C/LA PUNTA, VENCE, CHIJERNO, CNO.LA MEDI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868.936,33</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16100.61900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RENOVACIÓN RED ABASTECIMIENTO: CUEVECITAS, C/ICERSE Y C/CHIJ</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2.137.239,76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16400.61900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REHABILITACIÓN CEMENTERIOS MU</w:t>
            </w:r>
            <w:r>
              <w:rPr>
                <w:rFonts w:ascii="Calibri" w:eastAsia="Times New Roman" w:hAnsi="Calibri" w:cs="Calibri"/>
                <w:i/>
                <w:color w:val="000000"/>
                <w:kern w:val="0"/>
                <w:sz w:val="22"/>
                <w:szCs w:val="22"/>
                <w:lang w:eastAsia="es-ES" w:bidi="ar-SA"/>
              </w:rPr>
              <w:t>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604.941,20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17000.22712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SS. CONTROL, ELIMINACION RABO DE GATO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16.017,90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31100.61901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PARQUE DE PERROS: ADAPTACIÓN ZONA CUARENTENA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35.550,75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31100.62200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 DEPÓSITO MUNICIPAL DE C/BARRANQUILLO: CUARTO LAVADERO Y</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34.382,66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41500.60900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OBRA </w:t>
            </w:r>
            <w:r>
              <w:rPr>
                <w:rFonts w:ascii="Calibri" w:eastAsia="Times New Roman" w:hAnsi="Calibri" w:cs="Calibri"/>
                <w:i/>
                <w:color w:val="000000"/>
                <w:kern w:val="0"/>
                <w:sz w:val="22"/>
                <w:szCs w:val="22"/>
                <w:lang w:eastAsia="es-ES" w:bidi="ar-SA"/>
              </w:rPr>
              <w:t>PUERTO CANDELARIA: BOMBA Y SANEAMIENTO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10.280,38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45900.61904</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OBRAS REHABILITACION INFRAESTRUCTURAS 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351.489,31</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92000.48002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PARROQUIA SANTA ANA: CONVENIO TRATAMIENTO XILOFAGOS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25.477,56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92000.48003</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ARCHIVO HISTORICO DIOCESANO SAN CRISTOBAL LA </w:t>
            </w:r>
            <w:r>
              <w:rPr>
                <w:rFonts w:ascii="Calibri" w:eastAsia="Times New Roman" w:hAnsi="Calibri" w:cs="Calibri"/>
                <w:i/>
                <w:color w:val="000000"/>
                <w:kern w:val="0"/>
                <w:sz w:val="22"/>
                <w:szCs w:val="22"/>
                <w:lang w:eastAsia="es-ES" w:bidi="ar-SA"/>
              </w:rPr>
              <w:t>LAGUNA: CONVENI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14.480,00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92000.62301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SISTEMA CLIMATIZACIÓN CERI Y ZONA JOVEN</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66.714,50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92000.62700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REFORMA OFICINAS DEL SAC Y AEDL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836.720,58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15100.61908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pPr>
            <w:r>
              <w:rPr>
                <w:rFonts w:ascii="Calibri" w:eastAsia="Lucida Sans Unicode" w:hAnsi="Calibri" w:cs="Calibri"/>
                <w:i/>
                <w:caps/>
                <w:color w:val="000000"/>
                <w:sz w:val="22"/>
                <w:szCs w:val="22"/>
                <w:lang w:bidi="ar-SA"/>
              </w:rPr>
              <w:t>Sustitución Señalética de las calles del municipio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186.822,06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23101.60900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i/>
                <w:caps/>
                <w:color w:val="000000"/>
                <w:kern w:val="0"/>
                <w:sz w:val="22"/>
                <w:szCs w:val="22"/>
                <w:lang w:eastAsia="es-ES" w:bidi="ar-SA"/>
              </w:rPr>
            </w:pPr>
            <w:r>
              <w:rPr>
                <w:rFonts w:ascii="Calibri" w:eastAsia="Times New Roman" w:hAnsi="Calibri" w:cs="Calibri"/>
                <w:i/>
                <w:caps/>
                <w:color w:val="000000"/>
                <w:kern w:val="0"/>
                <w:sz w:val="22"/>
                <w:szCs w:val="22"/>
                <w:lang w:eastAsia="es-ES" w:bidi="ar-SA"/>
              </w:rPr>
              <w:t>Escultura conmemorativa</w:t>
            </w:r>
            <w:r>
              <w:rPr>
                <w:rFonts w:ascii="Calibri" w:eastAsia="Times New Roman" w:hAnsi="Calibri" w:cs="Calibri"/>
                <w:i/>
                <w:caps/>
                <w:color w:val="000000"/>
                <w:kern w:val="0"/>
                <w:sz w:val="22"/>
                <w:szCs w:val="22"/>
                <w:lang w:eastAsia="es-ES" w:bidi="ar-SA"/>
              </w:rPr>
              <w:t xml:space="preserve"> "Ciudad amiga de la infancia"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135.890,00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5.862,162,68</w:t>
            </w:r>
          </w:p>
        </w:tc>
      </w:tr>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widowControl/>
              <w:suppressAutoHyphens w:val="0"/>
              <w:jc w:val="right"/>
              <w:textAlignment w:val="auto"/>
              <w:rPr>
                <w:rFonts w:ascii="Calibri" w:eastAsia="Times New Roman" w:hAnsi="Calibri" w:cs="Calibri"/>
                <w:bCs/>
                <w:i/>
                <w:color w:val="000000"/>
                <w:kern w:val="0"/>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eastAsia="es-ES" w:bidi="ar-SA"/>
              </w:rPr>
            </w:pPr>
          </w:p>
        </w:tc>
        <w:tc>
          <w:tcPr>
            <w:tcW w:w="1417"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eastAsia="Times New Roman" w:cs="Times New Roman"/>
                <w:i/>
                <w:kern w:val="0"/>
                <w:sz w:val="20"/>
                <w:szCs w:val="20"/>
                <w:lang w:eastAsia="es-ES" w:bidi="ar-SA"/>
              </w:rPr>
            </w:pPr>
          </w:p>
        </w:tc>
      </w:tr>
      <w:tr w:rsidR="00061CF1">
        <w:tblPrEx>
          <w:tblCellMar>
            <w:top w:w="0" w:type="dxa"/>
            <w:bottom w:w="0" w:type="dxa"/>
          </w:tblCellMar>
        </w:tblPrEx>
        <w:trPr>
          <w:trHeight w:val="189"/>
        </w:trPr>
        <w:tc>
          <w:tcPr>
            <w:tcW w:w="1418" w:type="dxa"/>
            <w:shd w:val="clear" w:color="auto" w:fill="auto"/>
            <w:noWrap/>
            <w:tcMar>
              <w:top w:w="0" w:type="dxa"/>
              <w:left w:w="70" w:type="dxa"/>
              <w:bottom w:w="0" w:type="dxa"/>
              <w:right w:w="70" w:type="dxa"/>
            </w:tcMar>
            <w:vAlign w:val="bottom"/>
          </w:tcPr>
          <w:p w:rsidR="00061CF1" w:rsidRDefault="00061CF1">
            <w:pPr>
              <w:widowControl/>
              <w:suppressAutoHyphens w:val="0"/>
              <w:jc w:val="center"/>
              <w:textAlignment w:val="auto"/>
              <w:rPr>
                <w:rFonts w:eastAsia="Times New Roman" w:cs="Times New Roman"/>
                <w:i/>
                <w:kern w:val="0"/>
                <w:sz w:val="20"/>
                <w:szCs w:val="20"/>
                <w:lang w:eastAsia="es-ES" w:bidi="ar-SA"/>
              </w:rPr>
            </w:pPr>
          </w:p>
        </w:tc>
        <w:tc>
          <w:tcPr>
            <w:tcW w:w="5670" w:type="dxa"/>
            <w:gridSpan w:val="2"/>
            <w:shd w:val="clear" w:color="auto" w:fill="auto"/>
            <w:noWrap/>
            <w:tcMar>
              <w:top w:w="0" w:type="dxa"/>
              <w:left w:w="70" w:type="dxa"/>
              <w:bottom w:w="0" w:type="dxa"/>
              <w:right w:w="70" w:type="dxa"/>
            </w:tcMar>
            <w:vAlign w:val="bottom"/>
          </w:tcPr>
          <w:p w:rsidR="00061CF1" w:rsidRDefault="004E6D5A">
            <w:pPr>
              <w:widowControl/>
              <w:suppressAutoHyphens w:val="0"/>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 xml:space="preserve">                                      Estado de Ingresos</w:t>
            </w:r>
          </w:p>
        </w:tc>
        <w:tc>
          <w:tcPr>
            <w:tcW w:w="1417"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Calibri" w:eastAsia="Times New Roman" w:hAnsi="Calibri" w:cs="Calibri"/>
                <w:bCs/>
                <w:i/>
                <w:color w:val="000000"/>
                <w:kern w:val="0"/>
                <w:sz w:val="22"/>
                <w:szCs w:val="22"/>
                <w:lang w:eastAsia="es-ES" w:bidi="ar-SA"/>
              </w:rPr>
            </w:pPr>
          </w:p>
        </w:tc>
      </w:tr>
      <w:tr w:rsidR="00061CF1">
        <w:tblPrEx>
          <w:tblCellMar>
            <w:top w:w="0" w:type="dxa"/>
            <w:bottom w:w="0" w:type="dxa"/>
          </w:tblCellMar>
        </w:tblPrEx>
        <w:trPr>
          <w:trHeight w:val="189"/>
        </w:trPr>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Aplicación</w:t>
            </w:r>
          </w:p>
        </w:tc>
        <w:tc>
          <w:tcPr>
            <w:tcW w:w="5600"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Descripción</w:t>
            </w:r>
          </w:p>
        </w:tc>
        <w:tc>
          <w:tcPr>
            <w:tcW w:w="141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870.00</w:t>
            </w:r>
          </w:p>
        </w:tc>
        <w:tc>
          <w:tcPr>
            <w:tcW w:w="560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xml:space="preserve">REMANENTE DE TESORERIA PARA GASTOS GENERALES </w:t>
            </w:r>
          </w:p>
        </w:tc>
        <w:tc>
          <w:tcPr>
            <w:tcW w:w="141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5.862,162.68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i/>
                <w:color w:val="000000"/>
                <w:kern w:val="0"/>
                <w:sz w:val="22"/>
                <w:szCs w:val="22"/>
                <w:lang w:eastAsia="es-ES" w:bidi="ar-SA"/>
              </w:rPr>
            </w:pPr>
            <w:r>
              <w:rPr>
                <w:rFonts w:ascii="Calibri" w:eastAsia="Times New Roman" w:hAnsi="Calibri" w:cs="Calibri"/>
                <w:i/>
                <w:color w:val="000000"/>
                <w:kern w:val="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Cs/>
                <w:i/>
                <w:color w:val="000000"/>
                <w:kern w:val="0"/>
                <w:sz w:val="22"/>
                <w:szCs w:val="22"/>
                <w:lang w:eastAsia="es-ES" w:bidi="ar-SA"/>
              </w:rPr>
            </w:pPr>
            <w:r>
              <w:rPr>
                <w:rFonts w:ascii="Calibri" w:eastAsia="Times New Roman" w:hAnsi="Calibri" w:cs="Calibri"/>
                <w:bCs/>
                <w:i/>
                <w:color w:val="000000"/>
                <w:kern w:val="0"/>
                <w:sz w:val="22"/>
                <w:szCs w:val="22"/>
                <w:lang w:eastAsia="es-ES" w:bidi="ar-SA"/>
              </w:rPr>
              <w:t>5.862,162,68</w:t>
            </w:r>
          </w:p>
        </w:tc>
      </w:tr>
      <w:bookmarkEnd w:id="2"/>
    </w:tbl>
    <w:p w:rsidR="00061CF1" w:rsidRDefault="00061CF1">
      <w:pPr>
        <w:spacing w:after="120"/>
        <w:jc w:val="both"/>
        <w:textAlignment w:val="auto"/>
        <w:rPr>
          <w:rFonts w:ascii="Arial" w:eastAsia="Lucida Sans Unicode" w:hAnsi="Arial" w:cs="Arial"/>
          <w:i/>
          <w:color w:val="000000"/>
          <w:shd w:val="clear" w:color="auto" w:fill="F5F7F9"/>
          <w:lang w:bidi="ar-SA"/>
        </w:rPr>
      </w:pPr>
    </w:p>
    <w:p w:rsidR="00061CF1" w:rsidRDefault="004E6D5A">
      <w:pPr>
        <w:spacing w:after="120"/>
        <w:jc w:val="both"/>
        <w:textAlignment w:val="auto"/>
        <w:rPr>
          <w:rFonts w:ascii="Arial" w:eastAsia="Lucida Sans Unicode" w:hAnsi="Arial" w:cs="Arial"/>
          <w:b/>
          <w:color w:val="000000"/>
          <w:shd w:val="clear" w:color="auto" w:fill="F5F7F9"/>
          <w:lang w:bidi="ar-SA"/>
        </w:rPr>
      </w:pPr>
      <w:r>
        <w:rPr>
          <w:rFonts w:ascii="Arial" w:eastAsia="Lucida Sans Unicode" w:hAnsi="Arial" w:cs="Arial"/>
          <w:b/>
          <w:color w:val="000000"/>
          <w:shd w:val="clear" w:color="auto" w:fill="F5F7F9"/>
          <w:lang w:bidi="ar-SA"/>
        </w:rPr>
        <w:t>Consta en el expediente propuesta del Concejal delegado de Hacienda de 28 de octubre de 2025 que transcrito literalmente dice:</w:t>
      </w: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4E6D5A">
      <w:pPr>
        <w:autoSpaceDE w:val="0"/>
        <w:spacing w:before="144" w:after="144"/>
        <w:ind w:firstLine="708"/>
        <w:jc w:val="both"/>
        <w:textAlignment w:val="auto"/>
      </w:pPr>
      <w:r>
        <w:rPr>
          <w:rFonts w:ascii="Arial" w:eastAsia="Lucida Sans Unicode" w:hAnsi="Arial" w:cs="Arial"/>
          <w:color w:val="000000"/>
          <w:sz w:val="22"/>
          <w:szCs w:val="22"/>
          <w:lang w:bidi="ar-SA"/>
        </w:rPr>
        <w:t xml:space="preserve">“Dado expediente </w:t>
      </w:r>
      <w:r>
        <w:rPr>
          <w:rFonts w:ascii="Arial" w:eastAsia="Lucida Sans Unicode" w:hAnsi="Arial" w:cs="Arial"/>
          <w:b/>
          <w:color w:val="000000"/>
          <w:sz w:val="22"/>
          <w:szCs w:val="22"/>
          <w:lang w:bidi="ar-SA"/>
        </w:rPr>
        <w:t>9619/2025 de Créditos Extraordinarios</w:t>
      </w:r>
      <w:r>
        <w:rPr>
          <w:rFonts w:ascii="Arial" w:eastAsia="Lucida Sans Unicode" w:hAnsi="Arial" w:cs="Arial"/>
          <w:color w:val="000000"/>
          <w:sz w:val="22"/>
          <w:szCs w:val="22"/>
          <w:lang w:bidi="ar-SA"/>
        </w:rPr>
        <w:t>, y visto informe de la Intervención General que se transcribe a continuac</w:t>
      </w:r>
      <w:r>
        <w:rPr>
          <w:rFonts w:ascii="Arial" w:eastAsia="Lucida Sans Unicode" w:hAnsi="Arial" w:cs="Arial"/>
          <w:color w:val="000000"/>
          <w:sz w:val="22"/>
          <w:szCs w:val="22"/>
          <w:lang w:bidi="ar-SA"/>
        </w:rPr>
        <w:t>ión:</w:t>
      </w:r>
    </w:p>
    <w:p w:rsidR="00061CF1" w:rsidRDefault="004E6D5A">
      <w:pPr>
        <w:suppressAutoHyphens w:val="0"/>
        <w:spacing w:before="60" w:after="60" w:line="242" w:lineRule="auto"/>
        <w:ind w:firstLine="709"/>
        <w:jc w:val="both"/>
        <w:textAlignment w:val="auto"/>
      </w:pPr>
      <w:r>
        <w:rPr>
          <w:rFonts w:ascii="Arial" w:eastAsia="Lucida Sans Unicode" w:hAnsi="Arial" w:cs="Arial"/>
          <w:color w:val="000000"/>
          <w:sz w:val="22"/>
          <w:szCs w:val="22"/>
          <w:lang w:bidi="ar-SA"/>
        </w:rPr>
        <w:t>“</w:t>
      </w:r>
      <w:r>
        <w:rPr>
          <w:rFonts w:ascii="Arial" w:eastAsia="Lucida Sans Unicode" w:hAnsi="Arial" w:cs="Arial"/>
          <w:spacing w:val="-2"/>
          <w:sz w:val="22"/>
          <w:szCs w:val="22"/>
          <w:lang w:eastAsia="es-ES" w:bidi="ar-SA"/>
        </w:rPr>
        <w:t>Vista la propuesta de la Alcaldesa</w:t>
      </w:r>
      <w:r>
        <w:rPr>
          <w:rFonts w:ascii="Arial" w:eastAsia="Lucida Sans Unicode" w:hAnsi="Arial" w:cs="Arial"/>
          <w:sz w:val="22"/>
          <w:szCs w:val="22"/>
          <w:lang w:bidi="ar-SA"/>
        </w:rPr>
        <w:t xml:space="preserve">, </w:t>
      </w:r>
      <w:r>
        <w:rPr>
          <w:rFonts w:ascii="Arial" w:eastAsia="Lucida Sans Unicode" w:hAnsi="Arial" w:cs="Arial"/>
          <w:spacing w:val="-2"/>
          <w:sz w:val="22"/>
          <w:szCs w:val="22"/>
          <w:lang w:eastAsia="es-ES" w:bidi="ar-SA"/>
        </w:rPr>
        <w:t>de tramitación de modificación presupuestaria por Suplemento de Créditos financiados con remanantes de Tesorería para Gastos Generales, que dice:</w:t>
      </w:r>
    </w:p>
    <w:p w:rsidR="00061CF1" w:rsidRDefault="004E6D5A">
      <w:pPr>
        <w:suppressAutoHyphens w:val="0"/>
        <w:spacing w:before="60" w:after="60" w:line="242" w:lineRule="auto"/>
        <w:ind w:firstLine="709"/>
        <w:jc w:val="both"/>
        <w:textAlignment w:val="auto"/>
      </w:pPr>
      <w:r>
        <w:rPr>
          <w:rFonts w:ascii="Arial" w:eastAsia="Lucida Sans Unicode" w:hAnsi="Arial" w:cs="Arial"/>
          <w:color w:val="000000"/>
          <w:sz w:val="22"/>
          <w:szCs w:val="22"/>
          <w:lang w:eastAsia="es-ES" w:bidi="ar-SA"/>
        </w:rPr>
        <w:t>El Ayuntamiento de Candelaria necesita Créditos extraordinarios a lo</w:t>
      </w:r>
      <w:r>
        <w:rPr>
          <w:rFonts w:ascii="Arial" w:eastAsia="Lucida Sans Unicode" w:hAnsi="Arial" w:cs="Arial"/>
          <w:color w:val="000000"/>
          <w:sz w:val="22"/>
          <w:szCs w:val="22"/>
          <w:lang w:eastAsia="es-ES" w:bidi="ar-SA"/>
        </w:rPr>
        <w:t>s consignados en el Presupuesto vigente para llevar a cabo actuaciones de mejora de instalaciones e infraestructuras municipales con ocasión de la ejecución de los proyectos siguientes, además de atender ejecución de sentencia judicial, según memorias-prop</w:t>
      </w:r>
      <w:r>
        <w:rPr>
          <w:rFonts w:ascii="Arial" w:eastAsia="Lucida Sans Unicode" w:hAnsi="Arial" w:cs="Arial"/>
          <w:color w:val="000000"/>
          <w:sz w:val="22"/>
          <w:szCs w:val="22"/>
          <w:lang w:eastAsia="es-ES" w:bidi="ar-SA"/>
        </w:rPr>
        <w:t>uestas presentadas</w:t>
      </w:r>
      <w:r>
        <w:rPr>
          <w:rFonts w:ascii="Arial" w:eastAsia="Lucida Sans Unicode" w:hAnsi="Arial" w:cs="Arial"/>
          <w:sz w:val="22"/>
          <w:szCs w:val="22"/>
          <w:lang w:bidi="ar-SA"/>
        </w:rPr>
        <w:t>:</w:t>
      </w:r>
    </w:p>
    <w:p w:rsidR="00061CF1" w:rsidRDefault="004E6D5A">
      <w:pPr>
        <w:suppressAutoHyphens w:val="0"/>
        <w:spacing w:before="62" w:after="142"/>
        <w:ind w:left="-11"/>
        <w:jc w:val="both"/>
        <w:textAlignment w:val="auto"/>
        <w:rPr>
          <w:rFonts w:ascii="Arial" w:eastAsia="Lucida Sans Unicode" w:hAnsi="Arial" w:cs="Arial"/>
          <w:spacing w:val="-2"/>
          <w:sz w:val="22"/>
          <w:szCs w:val="22"/>
          <w:lang w:eastAsia="es-ES" w:bidi="ar-SA"/>
        </w:rPr>
      </w:pPr>
      <w:r>
        <w:rPr>
          <w:rFonts w:ascii="Arial" w:eastAsia="Lucida Sans Unicode" w:hAnsi="Arial" w:cs="Arial"/>
          <w:spacing w:val="-2"/>
          <w:sz w:val="22"/>
          <w:szCs w:val="22"/>
          <w:lang w:eastAsia="es-ES" w:bidi="ar-SA"/>
        </w:rPr>
        <w:t>Siendo un gasto específico y determinado ante la imposibilidad de demorarlo a ejercicios posteriores, y no habiendo crédito suficiente en las aplicaciónes presupuestarias.</w:t>
      </w:r>
    </w:p>
    <w:p w:rsidR="00061CF1" w:rsidRDefault="00061CF1">
      <w:pPr>
        <w:suppressAutoHyphens w:val="0"/>
        <w:spacing w:before="62" w:after="142"/>
        <w:jc w:val="center"/>
        <w:textAlignment w:val="auto"/>
        <w:rPr>
          <w:rFonts w:ascii="Arial" w:eastAsia="Lucida Sans Unicode" w:hAnsi="Arial" w:cs="Arial"/>
          <w:b/>
          <w:bCs/>
          <w:sz w:val="22"/>
          <w:szCs w:val="22"/>
          <w:lang w:eastAsia="es-ES" w:bidi="ar-SA"/>
        </w:rPr>
      </w:pPr>
    </w:p>
    <w:p w:rsidR="00061CF1" w:rsidRDefault="004E6D5A">
      <w:pPr>
        <w:suppressAutoHyphens w:val="0"/>
        <w:spacing w:before="62" w:after="142"/>
        <w:jc w:val="center"/>
        <w:textAlignment w:val="auto"/>
      </w:pPr>
      <w:r>
        <w:rPr>
          <w:rFonts w:ascii="Arial" w:eastAsia="Lucida Sans Unicode" w:hAnsi="Arial" w:cs="Arial"/>
          <w:b/>
          <w:bCs/>
          <w:sz w:val="22"/>
          <w:szCs w:val="22"/>
          <w:lang w:eastAsia="es-ES" w:bidi="ar-SA"/>
        </w:rPr>
        <w:t>SE PROPONE:</w:t>
      </w:r>
    </w:p>
    <w:p w:rsidR="00061CF1" w:rsidRDefault="004E6D5A">
      <w:pPr>
        <w:spacing w:after="120"/>
        <w:textAlignment w:val="auto"/>
      </w:pPr>
      <w:r>
        <w:rPr>
          <w:rFonts w:ascii="Arial" w:eastAsia="Lucida Sans Unicode" w:hAnsi="Arial" w:cs="Arial"/>
          <w:sz w:val="22"/>
          <w:szCs w:val="22"/>
          <w:lang w:eastAsia="es-ES" w:bidi="ar-SA"/>
        </w:rPr>
        <w:t xml:space="preserve">Único: </w:t>
      </w:r>
      <w:r>
        <w:rPr>
          <w:rFonts w:ascii="Arial" w:eastAsia="Lucida Sans Unicode" w:hAnsi="Arial" w:cs="Arial"/>
          <w:sz w:val="22"/>
          <w:szCs w:val="22"/>
          <w:lang w:bidi="ar-SA"/>
        </w:rPr>
        <w:t xml:space="preserve">Tramitar expediente </w:t>
      </w:r>
      <w:r>
        <w:rPr>
          <w:rFonts w:ascii="Arial" w:eastAsia="Lucida Sans Unicode" w:hAnsi="Arial" w:cs="Arial"/>
          <w:b/>
          <w:sz w:val="22"/>
          <w:szCs w:val="22"/>
          <w:lang w:bidi="ar-SA"/>
        </w:rPr>
        <w:t>9619/2025</w:t>
      </w:r>
      <w:r>
        <w:rPr>
          <w:rFonts w:ascii="Arial" w:eastAsia="Lucida Sans Unicode" w:hAnsi="Arial" w:cs="Arial"/>
          <w:sz w:val="22"/>
          <w:szCs w:val="22"/>
          <w:lang w:bidi="ar-SA"/>
        </w:rPr>
        <w:t xml:space="preserve"> de </w:t>
      </w:r>
      <w:r>
        <w:rPr>
          <w:rFonts w:ascii="Arial" w:eastAsia="Lucida Sans Unicode" w:hAnsi="Arial" w:cs="Arial"/>
          <w:sz w:val="22"/>
          <w:szCs w:val="22"/>
          <w:lang w:bidi="ar-SA"/>
        </w:rPr>
        <w:t xml:space="preserve">modificación presupuestaria por </w:t>
      </w:r>
      <w:r>
        <w:rPr>
          <w:rFonts w:ascii="Arial" w:eastAsia="Lucida Sans Unicode" w:hAnsi="Arial" w:cs="Arial"/>
          <w:b/>
          <w:sz w:val="22"/>
          <w:szCs w:val="22"/>
          <w:lang w:bidi="ar-SA"/>
        </w:rPr>
        <w:t xml:space="preserve">Créditos Extraordinarios </w:t>
      </w:r>
      <w:r>
        <w:rPr>
          <w:rFonts w:ascii="Arial" w:eastAsia="Lucida Sans Unicode" w:hAnsi="Arial" w:cs="Arial"/>
          <w:sz w:val="22"/>
          <w:szCs w:val="22"/>
          <w:lang w:bidi="ar-SA"/>
        </w:rPr>
        <w:t>financiados con Remanente de Tesorería para gastos generales, por una cantidad total de</w:t>
      </w:r>
      <w:r>
        <w:rPr>
          <w:rFonts w:ascii="Arial" w:eastAsia="Lucida Sans Unicode" w:hAnsi="Arial" w:cs="Arial"/>
          <w:b/>
          <w:sz w:val="22"/>
          <w:szCs w:val="22"/>
          <w:lang w:bidi="ar-SA"/>
        </w:rPr>
        <w:t xml:space="preserve"> 5.862.162,68 euros</w:t>
      </w:r>
      <w:r>
        <w:rPr>
          <w:rFonts w:ascii="Arial" w:eastAsia="Lucida Sans Unicode" w:hAnsi="Arial" w:cs="Arial"/>
          <w:sz w:val="22"/>
          <w:szCs w:val="22"/>
          <w:lang w:bidi="ar-SA"/>
        </w:rPr>
        <w:t>, de acuerdo al siguiente detalle:</w:t>
      </w:r>
    </w:p>
    <w:p w:rsidR="00061CF1" w:rsidRDefault="00061CF1">
      <w:pPr>
        <w:spacing w:after="120"/>
        <w:textAlignment w:val="auto"/>
        <w:rPr>
          <w:rFonts w:ascii="Arial" w:eastAsia="Lucida Sans Unicode" w:hAnsi="Arial" w:cs="Arial"/>
          <w:sz w:val="22"/>
          <w:szCs w:val="22"/>
          <w:lang w:bidi="ar-SA"/>
        </w:rPr>
      </w:pPr>
    </w:p>
    <w:tbl>
      <w:tblPr>
        <w:tblW w:w="8654" w:type="dxa"/>
        <w:tblInd w:w="75" w:type="dxa"/>
        <w:tblCellMar>
          <w:left w:w="10" w:type="dxa"/>
          <w:right w:w="10" w:type="dxa"/>
        </w:tblCellMar>
        <w:tblLook w:val="0000" w:firstRow="0" w:lastRow="0" w:firstColumn="0" w:lastColumn="0" w:noHBand="0" w:noVBand="0"/>
      </w:tblPr>
      <w:tblGrid>
        <w:gridCol w:w="3044"/>
        <w:gridCol w:w="4292"/>
        <w:gridCol w:w="1318"/>
      </w:tblGrid>
      <w:tr w:rsidR="00061CF1">
        <w:tblPrEx>
          <w:tblCellMar>
            <w:top w:w="0" w:type="dxa"/>
            <w:bottom w:w="0" w:type="dxa"/>
          </w:tblCellMar>
        </w:tblPrEx>
        <w:trPr>
          <w:trHeight w:val="302"/>
        </w:trPr>
        <w:tc>
          <w:tcPr>
            <w:tcW w:w="3044"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Concejalía</w:t>
            </w:r>
          </w:p>
        </w:tc>
        <w:tc>
          <w:tcPr>
            <w:tcW w:w="4292"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Concepto</w:t>
            </w:r>
          </w:p>
        </w:tc>
        <w:tc>
          <w:tcPr>
            <w:tcW w:w="1318"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Desarrollo Pesquero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Obra </w:t>
            </w:r>
            <w:r>
              <w:rPr>
                <w:rFonts w:ascii="Calibri" w:eastAsia="Lucida Sans Unicode" w:hAnsi="Calibri" w:cs="Calibri"/>
                <w:color w:val="000000"/>
                <w:sz w:val="22"/>
                <w:szCs w:val="22"/>
                <w:lang w:eastAsia="es-ES" w:bidi="ar-SA"/>
              </w:rPr>
              <w:t>Instalación de bomba y obra de conducción de aguas negra del puerto de Candelaria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10.280,38</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Medioambiente Natural</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Servicio de control, eliminación y gestión flora invasora, específicamente Rabo de Gato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16.017,90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Obras y servicios </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Sistema Climatización </w:t>
            </w:r>
            <w:r>
              <w:rPr>
                <w:rFonts w:ascii="Calibri" w:eastAsia="Lucida Sans Unicode" w:hAnsi="Calibri" w:cs="Calibri"/>
                <w:color w:val="000000"/>
                <w:sz w:val="22"/>
                <w:szCs w:val="22"/>
                <w:lang w:eastAsia="es-ES" w:bidi="ar-SA"/>
              </w:rPr>
              <w:t>CERI y Zona Joven</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66.714,50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Reforma Oficinas del SAC y AEDL</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836.720,58</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Reformas baños Públicos Playa Las Caletillas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74.604,63</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Zona de Sombras Avenida Constitución </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72.588,80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Calibri" w:eastAsia="Lucida Sans Unicode" w:hAnsi="Calibri" w:cs="Calibri"/>
                <w:color w:val="000000"/>
                <w:sz w:val="22"/>
                <w:szCs w:val="22"/>
                <w:lang w:bidi="ar-SA"/>
              </w:rPr>
              <w:t>Piedras obra Avenida, cambio madera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166.252,32</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Obras y Servicios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Pavimento Plaza de Los Príncipes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38.043,56</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Reposición Muro Playa de la Viuda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219.908,20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061CF1">
            <w:pPr>
              <w:suppressAutoHyphens w:val="0"/>
              <w:textAlignment w:val="auto"/>
              <w:rPr>
                <w:rFonts w:ascii="Calibri" w:eastAsia="Lucida Sans Unicode" w:hAnsi="Calibri" w:cs="Calibri"/>
                <w:color w:val="000000"/>
                <w:sz w:val="22"/>
                <w:szCs w:val="22"/>
                <w:lang w:eastAsia="es-ES" w:bidi="ar-SA"/>
              </w:rPr>
            </w:pPr>
          </w:p>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Estabilización Talud C/ Nivaria + dirección obra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225.294,30</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Repavimentación varias calles del municipio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868.936,33</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Renovación red abastecimiento Cuevecitas (entre Polideportivo y carretera Los Peneras)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681.845,94</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Renovación red abastecimiento Calle Icerse</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757.063,29</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Urbanismo</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Renovación red </w:t>
            </w:r>
            <w:r>
              <w:rPr>
                <w:rFonts w:ascii="Calibri" w:eastAsia="Lucida Sans Unicode" w:hAnsi="Calibri" w:cs="Calibri"/>
                <w:color w:val="000000"/>
                <w:sz w:val="22"/>
                <w:szCs w:val="22"/>
                <w:lang w:eastAsia="es-ES" w:bidi="ar-SA"/>
              </w:rPr>
              <w:t>abastecimiento Calle Chijerno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698.330,53</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Policía y Protección Civil</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Rehabilitación Edificio Protección Civil</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34.007,25</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Policía y Protección Civil</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Material técnico Policía (Drones, Test drogas, Cámaras Vigilancia y Tráfico,…)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58.009,94</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Sanidad</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Adaptación zona cuarentena Parque de Perros Punta Larga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35.550,75</w:t>
            </w:r>
          </w:p>
        </w:tc>
      </w:tr>
      <w:tr w:rsidR="00061CF1">
        <w:tblPrEx>
          <w:tblCellMar>
            <w:top w:w="0" w:type="dxa"/>
            <w:bottom w:w="0" w:type="dxa"/>
          </w:tblCellMar>
        </w:tblPrEx>
        <w:trPr>
          <w:trHeight w:val="604"/>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Sanidad</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Construcción cuarto lavadero y acondicionamiento baño anexo en depósito Municipal de C/Barranquillo Hondo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34.382,66</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Cementerios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Remodelación de Cementerios del municipio de </w:t>
            </w:r>
            <w:r>
              <w:rPr>
                <w:rFonts w:ascii="Calibri" w:eastAsia="Lucida Sans Unicode" w:hAnsi="Calibri" w:cs="Calibri"/>
                <w:color w:val="000000"/>
                <w:sz w:val="22"/>
                <w:szCs w:val="22"/>
                <w:lang w:eastAsia="es-ES" w:bidi="ar-SA"/>
              </w:rPr>
              <w:t>Candelaria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562.367,71</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Cementerios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Construcción de 40 nichos en Cementerio municipal Santa Sabina de Candelaria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42.573,49</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Alcaldía</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Convenio Parroquia Santa Ana tratamiento de xilófagos en retablos, balcón, puertas y ventanas</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25.477,56</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Alcaldía</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Convenio </w:t>
            </w:r>
            <w:r>
              <w:rPr>
                <w:rFonts w:ascii="Calibri" w:eastAsia="Lucida Sans Unicode" w:hAnsi="Calibri" w:cs="Calibri"/>
                <w:color w:val="000000"/>
                <w:sz w:val="22"/>
                <w:szCs w:val="22"/>
                <w:lang w:eastAsia="es-ES" w:bidi="ar-SA"/>
              </w:rPr>
              <w:t>colaboración Archivo histórico Diocesano de San Cristobal de La Laguna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14.480,00</w:t>
            </w:r>
          </w:p>
        </w:tc>
      </w:tr>
      <w:tr w:rsidR="00061CF1">
        <w:tblPrEx>
          <w:tblCellMar>
            <w:top w:w="0" w:type="dxa"/>
            <w:bottom w:w="0" w:type="dxa"/>
          </w:tblCellMar>
        </w:tblPrEx>
        <w:trPr>
          <w:trHeight w:val="302"/>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Alcaldía</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Sustitución Señalética de las calles del municipio</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186.822,06</w:t>
            </w:r>
          </w:p>
        </w:tc>
      </w:tr>
      <w:tr w:rsidR="00061CF1">
        <w:tblPrEx>
          <w:tblCellMar>
            <w:top w:w="0" w:type="dxa"/>
            <w:bottom w:w="0" w:type="dxa"/>
          </w:tblCellMar>
        </w:tblPrEx>
        <w:trPr>
          <w:trHeight w:val="437"/>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Servicios Sociales</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Escultura conmemorativa reconocimiento de Candelaria cómo "Ciudad amiga de la </w:t>
            </w:r>
            <w:r>
              <w:rPr>
                <w:rFonts w:ascii="Calibri" w:eastAsia="Lucida Sans Unicode" w:hAnsi="Calibri" w:cs="Calibri"/>
                <w:color w:val="000000"/>
                <w:sz w:val="22"/>
                <w:szCs w:val="22"/>
                <w:lang w:eastAsia="es-ES" w:bidi="ar-SA"/>
              </w:rPr>
              <w:t>infancia"</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135.890,00</w:t>
            </w:r>
          </w:p>
        </w:tc>
      </w:tr>
      <w:tr w:rsidR="00061CF1">
        <w:tblPrEx>
          <w:tblCellMar>
            <w:top w:w="0" w:type="dxa"/>
            <w:bottom w:w="0" w:type="dxa"/>
          </w:tblCellMar>
        </w:tblPrEx>
        <w:trPr>
          <w:trHeight w:val="437"/>
        </w:trPr>
        <w:tc>
          <w:tcPr>
            <w:tcW w:w="30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429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3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bl>
    <w:p w:rsidR="00061CF1" w:rsidRDefault="00061CF1">
      <w:pPr>
        <w:suppressAutoHyphens w:val="0"/>
        <w:spacing w:after="160" w:line="242" w:lineRule="auto"/>
        <w:ind w:firstLine="708"/>
        <w:jc w:val="both"/>
        <w:textAlignment w:val="auto"/>
        <w:rPr>
          <w:rFonts w:ascii="Arial" w:eastAsia="Lucida Sans Unicode" w:hAnsi="Arial" w:cs="Arial"/>
          <w:color w:val="000000"/>
          <w:sz w:val="22"/>
          <w:szCs w:val="22"/>
          <w:lang w:eastAsia="es-ES" w:bidi="ar-SA"/>
        </w:rPr>
      </w:pPr>
    </w:p>
    <w:p w:rsidR="00061CF1" w:rsidRDefault="004E6D5A">
      <w:pPr>
        <w:suppressAutoHyphens w:val="0"/>
        <w:spacing w:after="160" w:line="242" w:lineRule="auto"/>
        <w:ind w:firstLine="708"/>
        <w:jc w:val="both"/>
        <w:textAlignment w:val="auto"/>
        <w:rPr>
          <w:rFonts w:ascii="Arial" w:eastAsia="Lucida Sans Unicode" w:hAnsi="Arial" w:cs="Arial"/>
          <w:spacing w:val="-2"/>
          <w:sz w:val="22"/>
          <w:szCs w:val="22"/>
          <w:lang w:eastAsia="es-ES" w:bidi="ar-SA"/>
        </w:rPr>
      </w:pPr>
      <w:r>
        <w:rPr>
          <w:rFonts w:ascii="Arial" w:eastAsia="Lucida Sans Unicode" w:hAnsi="Arial" w:cs="Arial"/>
          <w:spacing w:val="-2"/>
          <w:sz w:val="22"/>
          <w:szCs w:val="22"/>
          <w:lang w:eastAsia="es-ES" w:bidi="ar-SA"/>
        </w:rPr>
        <w:t xml:space="preserve">Vista las Memorias, informes técnicos, proyectos de obra y presupuestos, de las actuaciones que se quieren llevar a cabo, en la que se justifican la necesidad y urgencia de la modificación presupuestaria, </w:t>
      </w:r>
      <w:r>
        <w:rPr>
          <w:rFonts w:ascii="Arial" w:eastAsia="Lucida Sans Unicode" w:hAnsi="Arial" w:cs="Arial"/>
          <w:spacing w:val="-2"/>
          <w:sz w:val="22"/>
          <w:szCs w:val="22"/>
          <w:lang w:eastAsia="es-ES" w:bidi="ar-SA"/>
        </w:rPr>
        <w:t>requisito que se establece en la base 9ª del Presupuesto General, y siendo un gasto específico y determinado, ante la imposibilidad de demorarlo a ejercicios posteriores, y no habiendo crédito suficiente en las aplicaciones presupuestarias.</w:t>
      </w:r>
    </w:p>
    <w:p w:rsidR="00061CF1" w:rsidRDefault="004E6D5A">
      <w:pPr>
        <w:tabs>
          <w:tab w:val="left" w:pos="0"/>
        </w:tabs>
        <w:suppressAutoHyphens w:val="0"/>
        <w:jc w:val="both"/>
        <w:textAlignment w:val="auto"/>
      </w:pPr>
      <w:r>
        <w:rPr>
          <w:rFonts w:ascii="Arial" w:eastAsia="Lucida Sans Unicode" w:hAnsi="Arial" w:cs="Arial"/>
          <w:sz w:val="22"/>
          <w:szCs w:val="22"/>
          <w:lang w:bidi="ar-SA"/>
        </w:rPr>
        <w:tab/>
      </w:r>
    </w:p>
    <w:p w:rsidR="00061CF1" w:rsidRDefault="004E6D5A">
      <w:pPr>
        <w:tabs>
          <w:tab w:val="left" w:pos="0"/>
        </w:tabs>
        <w:suppressAutoHyphens w:val="0"/>
        <w:spacing w:before="60" w:after="60"/>
        <w:jc w:val="both"/>
        <w:textAlignment w:val="auto"/>
      </w:pPr>
      <w:r>
        <w:rPr>
          <w:rFonts w:ascii="Arial" w:eastAsia="Lucida Sans Unicode" w:hAnsi="Arial" w:cs="Arial"/>
          <w:b/>
          <w:sz w:val="22"/>
          <w:szCs w:val="22"/>
          <w:lang w:bidi="ar-SA"/>
        </w:rPr>
        <w:t>PRIMERO</w:t>
      </w:r>
      <w:r>
        <w:rPr>
          <w:rFonts w:ascii="Arial" w:eastAsia="Lucida Sans Unicode" w:hAnsi="Arial" w:cs="Arial"/>
          <w:sz w:val="22"/>
          <w:szCs w:val="22"/>
          <w:lang w:bidi="ar-SA"/>
        </w:rPr>
        <w:t xml:space="preserve">. La </w:t>
      </w:r>
      <w:r>
        <w:rPr>
          <w:rFonts w:ascii="Arial" w:eastAsia="Lucida Sans Unicode" w:hAnsi="Arial" w:cs="Arial"/>
          <w:sz w:val="22"/>
          <w:szCs w:val="22"/>
          <w:lang w:bidi="ar-SA"/>
        </w:rPr>
        <w:t>legislación aplicable es la siguiente:</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Los artículos 169, 170 y 172 a 177 del Real Decreto Legislativo 2/2004, de 5 de marzo, por el que se aprueba el Texto Refundido de la Ley Reguladora de las Haciendas Locales. </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artículos 34 a 38 del Real Decreto 50</w:t>
      </w:r>
      <w:r>
        <w:rPr>
          <w:rFonts w:ascii="Arial" w:eastAsia="Lucida Sans Unicode" w:hAnsi="Arial" w:cs="Arial"/>
          <w:sz w:val="22"/>
          <w:szCs w:val="22"/>
          <w:lang w:bidi="ar-SA"/>
        </w:rPr>
        <w:t>0/1990, de 20 de abril, por el que se desarrolla el Capítulo I, del Título VI, de la Ley 39/1988, de 28 de diciembre, Reguladora de las Haciendas Locales, en materia de presupuestos.</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artículos 3, 4, 11, 12, 13, 21, 23 y 32 de la Ley Orgánica 2/2012, de</w:t>
      </w:r>
      <w:r>
        <w:rPr>
          <w:rFonts w:ascii="Arial" w:eastAsia="Lucida Sans Unicode" w:hAnsi="Arial" w:cs="Arial"/>
          <w:sz w:val="22"/>
          <w:szCs w:val="22"/>
          <w:lang w:bidi="ar-SA"/>
        </w:rPr>
        <w:t xml:space="preserve"> 27 de abril, de Estabilidad Presupuestaria y Sostenibilidad Financiera. </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El artículo 16.2 del Real Decreto 1463/2007, de 2 de noviembre, por el que se aprueba el Reglamento de Desarrollo de la Ley 18/2001, de 12 de noviembre, de Estabilidad Presupuestaria</w:t>
      </w:r>
      <w:r>
        <w:rPr>
          <w:rFonts w:ascii="Arial" w:eastAsia="Lucida Sans Unicode" w:hAnsi="Arial" w:cs="Arial"/>
          <w:sz w:val="22"/>
          <w:szCs w:val="22"/>
          <w:lang w:bidi="ar-SA"/>
        </w:rPr>
        <w:t>, en su Aplicación a las Entidades Locales.</w:t>
      </w:r>
    </w:p>
    <w:p w:rsidR="00061CF1" w:rsidRDefault="00061CF1">
      <w:pPr>
        <w:widowControl/>
        <w:tabs>
          <w:tab w:val="left" w:pos="-720"/>
        </w:tabs>
        <w:suppressAutoHyphens w:val="0"/>
        <w:spacing w:before="60" w:after="60"/>
        <w:ind w:left="720"/>
        <w:jc w:val="both"/>
        <w:textAlignment w:val="auto"/>
        <w:rPr>
          <w:rFonts w:ascii="Arial" w:eastAsia="Lucida Sans Unicode" w:hAnsi="Arial" w:cs="Arial"/>
          <w:sz w:val="22"/>
          <w:szCs w:val="22"/>
          <w:lang w:bidi="ar-SA"/>
        </w:rPr>
      </w:pPr>
    </w:p>
    <w:p w:rsidR="00061CF1" w:rsidRDefault="00061CF1">
      <w:pPr>
        <w:widowControl/>
        <w:tabs>
          <w:tab w:val="left" w:pos="-720"/>
        </w:tabs>
        <w:suppressAutoHyphens w:val="0"/>
        <w:spacing w:before="60" w:after="60"/>
        <w:ind w:left="720"/>
        <w:jc w:val="both"/>
        <w:textAlignment w:val="auto"/>
        <w:rPr>
          <w:rFonts w:ascii="Arial" w:eastAsia="Lucida Sans Unicode" w:hAnsi="Arial" w:cs="Arial"/>
          <w:sz w:val="22"/>
          <w:szCs w:val="22"/>
          <w:lang w:bidi="ar-SA"/>
        </w:rPr>
      </w:pP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El artículo 22.2.e) de la Ley 7/1985, de 2 de abril, Reguladora de las Bases del Régimen Local.</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La Disposición Adicional 6.ª de la Ley Orgánica 2/2012, de 27 de abril, de Estabilidad Presupuestaria y Sostenibil</w:t>
      </w:r>
      <w:r>
        <w:rPr>
          <w:rFonts w:ascii="Arial" w:eastAsia="Lucida Sans Unicode" w:hAnsi="Arial" w:cs="Arial"/>
          <w:sz w:val="22"/>
          <w:szCs w:val="22"/>
          <w:lang w:bidi="ar-SA"/>
        </w:rPr>
        <w:t>idad Financiera.</w:t>
      </w:r>
    </w:p>
    <w:p w:rsidR="00061CF1" w:rsidRDefault="004E6D5A">
      <w:pPr>
        <w:widowControl/>
        <w:numPr>
          <w:ilvl w:val="0"/>
          <w:numId w:val="10"/>
        </w:numPr>
        <w:tabs>
          <w:tab w:val="left" w:pos="-5040"/>
        </w:tabs>
        <w:suppressAutoHyphens w:val="0"/>
        <w:spacing w:before="60" w:after="60"/>
        <w:jc w:val="both"/>
        <w:textAlignment w:val="auto"/>
      </w:pPr>
      <w:r>
        <w:rPr>
          <w:rFonts w:ascii="Arial" w:eastAsia="Lucida Sans Unicode" w:hAnsi="Arial" w:cs="Arial"/>
          <w:sz w:val="22"/>
          <w:szCs w:val="22"/>
          <w:lang w:bidi="ar-SA"/>
        </w:rPr>
        <w:t xml:space="preserve"> La Orden EHA/3565/2008, de 3 de diciembre, por la que se aprueba la estructura de presupuestos de las entidades locales. - Resolución de 14 de septiembre de 2009, de la Dirección General de Coordinación Financiera con las Comunidades Autó</w:t>
      </w:r>
      <w:r>
        <w:rPr>
          <w:rFonts w:ascii="Arial" w:eastAsia="Lucida Sans Unicode" w:hAnsi="Arial" w:cs="Arial"/>
          <w:sz w:val="22"/>
          <w:szCs w:val="22"/>
          <w:lang w:bidi="ar-SA"/>
        </w:rPr>
        <w:t>nomas y con las Entidades Locales, por la que se Dictan Medidas para el Desarrollo de la Orden EHA/3565/2008, de 3 de diciembre, por la que se Aprueba la Estructura de los Presupuestos de las Entidades Locales</w:t>
      </w:r>
      <w:r>
        <w:rPr>
          <w:rFonts w:ascii="Arial" w:eastAsia="Lucida Sans Unicode" w:hAnsi="Arial" w:cs="Arial"/>
          <w:b/>
          <w:sz w:val="22"/>
          <w:szCs w:val="22"/>
          <w:lang w:bidi="ar-SA"/>
        </w:rPr>
        <w:t>.</w:t>
      </w:r>
    </w:p>
    <w:p w:rsidR="00061CF1" w:rsidRDefault="004E6D5A">
      <w:pPr>
        <w:widowControl/>
        <w:numPr>
          <w:ilvl w:val="0"/>
          <w:numId w:val="10"/>
        </w:numPr>
        <w:tabs>
          <w:tab w:val="left" w:pos="-504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La Disposición Adicional 16.ª del Texto Refun</w:t>
      </w:r>
      <w:r>
        <w:rPr>
          <w:rFonts w:ascii="Arial" w:eastAsia="Lucida Sans Unicode" w:hAnsi="Arial" w:cs="Arial"/>
          <w:sz w:val="22"/>
          <w:szCs w:val="22"/>
          <w:lang w:bidi="ar-SA"/>
        </w:rPr>
        <w:t xml:space="preserve">dido de la Ley Reguladora de las Haciendas Locales. </w:t>
      </w:r>
    </w:p>
    <w:p w:rsidR="00061CF1" w:rsidRDefault="00061CF1">
      <w:pPr>
        <w:tabs>
          <w:tab w:val="left" w:pos="0"/>
        </w:tabs>
        <w:suppressAutoHyphens w:val="0"/>
        <w:jc w:val="both"/>
        <w:textAlignment w:val="auto"/>
        <w:rPr>
          <w:rFonts w:ascii="Arial" w:eastAsia="Lucida Sans Unicode" w:hAnsi="Arial" w:cs="Arial"/>
          <w:sz w:val="22"/>
          <w:szCs w:val="22"/>
          <w:lang w:bidi="ar-SA"/>
        </w:rPr>
      </w:pPr>
    </w:p>
    <w:p w:rsidR="00061CF1" w:rsidRDefault="00061CF1">
      <w:pPr>
        <w:tabs>
          <w:tab w:val="left" w:pos="0"/>
        </w:tabs>
        <w:suppressAutoHyphens w:val="0"/>
        <w:jc w:val="both"/>
        <w:textAlignment w:val="auto"/>
        <w:rPr>
          <w:rFonts w:ascii="Arial" w:eastAsia="Lucida Sans Unicode" w:hAnsi="Arial" w:cs="Arial"/>
          <w:sz w:val="22"/>
          <w:szCs w:val="22"/>
          <w:lang w:bidi="ar-SA"/>
        </w:rPr>
      </w:pPr>
    </w:p>
    <w:p w:rsidR="00061CF1" w:rsidRDefault="004E6D5A">
      <w:pPr>
        <w:tabs>
          <w:tab w:val="left" w:pos="0"/>
        </w:tabs>
        <w:suppressAutoHyphens w:val="0"/>
        <w:jc w:val="both"/>
        <w:textAlignment w:val="auto"/>
      </w:pPr>
      <w:r>
        <w:rPr>
          <w:rFonts w:ascii="Arial" w:eastAsia="Lucida Sans Unicode" w:hAnsi="Arial" w:cs="Arial"/>
          <w:b/>
          <w:sz w:val="22"/>
          <w:szCs w:val="22"/>
          <w:lang w:bidi="ar-SA"/>
        </w:rPr>
        <w:t>SEGUNDO</w:t>
      </w:r>
      <w:r>
        <w:rPr>
          <w:rFonts w:ascii="Arial" w:eastAsia="Lucida Sans Unicode" w:hAnsi="Arial" w:cs="Arial"/>
          <w:sz w:val="22"/>
          <w:szCs w:val="22"/>
          <w:lang w:bidi="ar-SA"/>
        </w:rPr>
        <w:t>: Considerando que el artículo 177 del Real Decreto Legislativo 2/2004, de 5 de marzo, por el que se aprueba el texto refundido de la Ley Reguladora de las Haciendas Locales, regula los expedien</w:t>
      </w:r>
      <w:r>
        <w:rPr>
          <w:rFonts w:ascii="Arial" w:eastAsia="Lucida Sans Unicode" w:hAnsi="Arial" w:cs="Arial"/>
          <w:sz w:val="22"/>
          <w:szCs w:val="22"/>
          <w:lang w:bidi="ar-SA"/>
        </w:rPr>
        <w:t>tes de modificación presupuestaria mediante créditos extraordinarios y suplementos de crédito, al señalar que:</w:t>
      </w:r>
    </w:p>
    <w:p w:rsidR="00061CF1" w:rsidRDefault="004E6D5A">
      <w:pPr>
        <w:widowControl/>
        <w:numPr>
          <w:ilvl w:val="0"/>
          <w:numId w:val="11"/>
        </w:numPr>
        <w:tabs>
          <w:tab w:val="left" w:pos="-504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Cuando haya de realizarse algún gasto que no pueda demorarse hasta el ejercicio siguiente, y sea insuficiente en el presupuesto de la corporación</w:t>
      </w:r>
      <w:r>
        <w:rPr>
          <w:rFonts w:ascii="Arial" w:eastAsia="Lucida Sans Unicode" w:hAnsi="Arial" w:cs="Arial"/>
          <w:sz w:val="22"/>
          <w:szCs w:val="22"/>
          <w:lang w:bidi="ar-SA"/>
        </w:rPr>
        <w:t xml:space="preserve"> el crédito consignado, el presidente de la corporación ordenará la incoación del expediente de suplemento de crédito. </w:t>
      </w:r>
    </w:p>
    <w:p w:rsidR="00061CF1" w:rsidRDefault="004E6D5A">
      <w:pPr>
        <w:widowControl/>
        <w:numPr>
          <w:ilvl w:val="0"/>
          <w:numId w:val="11"/>
        </w:numPr>
        <w:tabs>
          <w:tab w:val="left" w:pos="-504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El expediente, que habrá de ser previamente informado por la Intervención, se someterá a la aprobación del Pleno de la corporación, con </w:t>
      </w:r>
      <w:r>
        <w:rPr>
          <w:rFonts w:ascii="Arial" w:eastAsia="Lucida Sans Unicode" w:hAnsi="Arial" w:cs="Arial"/>
          <w:sz w:val="22"/>
          <w:szCs w:val="22"/>
          <w:lang w:bidi="ar-SA"/>
        </w:rPr>
        <w:t xml:space="preserve">sujeción a los mismos trámites y requisitos que los presupuestos. Serán, asimismo, de aplicación, las normas sobre información, reclamación y publicidad de los presupuestos a que se refiere el artículo 169 de esta ley. </w:t>
      </w:r>
    </w:p>
    <w:p w:rsidR="00061CF1" w:rsidRDefault="004E6D5A">
      <w:pPr>
        <w:widowControl/>
        <w:numPr>
          <w:ilvl w:val="0"/>
          <w:numId w:val="11"/>
        </w:numPr>
        <w:tabs>
          <w:tab w:val="left" w:pos="-504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El expediente deberá especificar la </w:t>
      </w:r>
      <w:r>
        <w:rPr>
          <w:rFonts w:ascii="Arial" w:eastAsia="Lucida Sans Unicode" w:hAnsi="Arial" w:cs="Arial"/>
          <w:sz w:val="22"/>
          <w:szCs w:val="22"/>
          <w:lang w:bidi="ar-SA"/>
        </w:rPr>
        <w:t>concreta partida presupuestaria a incrementar y el medio o recurso que ha de financiar el aumento que se propone.</w:t>
      </w:r>
    </w:p>
    <w:p w:rsidR="00061CF1" w:rsidRDefault="004E6D5A">
      <w:pPr>
        <w:widowControl/>
        <w:numPr>
          <w:ilvl w:val="0"/>
          <w:numId w:val="11"/>
        </w:numPr>
        <w:tabs>
          <w:tab w:val="left" w:pos="-5040"/>
        </w:tabs>
        <w:suppressAutoHyphens w:val="0"/>
        <w:jc w:val="both"/>
        <w:textAlignment w:val="auto"/>
      </w:pPr>
      <w:r>
        <w:rPr>
          <w:rFonts w:ascii="Arial" w:eastAsia="Lucida Sans Unicode" w:hAnsi="Arial" w:cs="Arial"/>
          <w:sz w:val="22"/>
          <w:szCs w:val="22"/>
          <w:lang w:bidi="ar-SA"/>
        </w:rPr>
        <w:t xml:space="preserve">Dicho aumento se financiará con cargo al remanente líquido de tesorería, con nuevos o mayores ingresos recaudados sobre los totales previstos </w:t>
      </w:r>
      <w:r>
        <w:rPr>
          <w:rFonts w:ascii="Arial" w:eastAsia="Lucida Sans Unicode" w:hAnsi="Arial" w:cs="Arial"/>
          <w:sz w:val="22"/>
          <w:szCs w:val="22"/>
          <w:lang w:bidi="ar-SA"/>
        </w:rPr>
        <w:t>en el presupuesto corriente, y mediante anulaciones o bajas de créditos de gastos de otras partidas del presupuesto vigente no comprometidos, cuyas dotaciones se estimen reducibles sin perturbación del respectivo servicio. En el expediente se acreditará qu</w:t>
      </w:r>
      <w:r>
        <w:rPr>
          <w:rFonts w:ascii="Arial" w:eastAsia="Lucida Sans Unicode" w:hAnsi="Arial" w:cs="Arial"/>
          <w:sz w:val="22"/>
          <w:szCs w:val="22"/>
          <w:lang w:bidi="ar-SA"/>
        </w:rPr>
        <w:t xml:space="preserve">e los ingresos previstos en el presupuesto vengan efectuándose con normalidad, salvo que aquéllos tengan carácter finalista. </w:t>
      </w: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4E6D5A">
      <w:pPr>
        <w:tabs>
          <w:tab w:val="left" w:pos="0"/>
        </w:tabs>
        <w:suppressAutoHyphens w:val="0"/>
        <w:jc w:val="both"/>
        <w:textAlignment w:val="auto"/>
      </w:pPr>
      <w:r>
        <w:rPr>
          <w:rFonts w:ascii="Arial" w:eastAsia="Lucida Sans Unicode" w:hAnsi="Arial" w:cs="Arial"/>
          <w:b/>
          <w:sz w:val="22"/>
          <w:szCs w:val="22"/>
          <w:lang w:bidi="ar-SA"/>
        </w:rPr>
        <w:t>TERCERO:</w:t>
      </w:r>
      <w:r>
        <w:rPr>
          <w:rFonts w:ascii="Arial" w:eastAsia="Lucida Sans Unicode" w:hAnsi="Arial" w:cs="Arial"/>
          <w:sz w:val="22"/>
          <w:szCs w:val="22"/>
          <w:lang w:bidi="ar-SA"/>
        </w:rPr>
        <w:t xml:space="preserve"> Vista la Liquidación del Presupuesto general 2024, aprobada por </w:t>
      </w:r>
      <w:r>
        <w:rPr>
          <w:rFonts w:ascii="Arial" w:eastAsia="Lucida Sans Unicode" w:hAnsi="Arial" w:cs="Arial"/>
          <w:b/>
          <w:sz w:val="22"/>
          <w:szCs w:val="22"/>
          <w:lang w:bidi="ar-SA"/>
        </w:rPr>
        <w:t xml:space="preserve">decreto 2017/2025 </w:t>
      </w:r>
      <w:r>
        <w:rPr>
          <w:rFonts w:ascii="Arial" w:eastAsia="Lucida Sans Unicode" w:hAnsi="Arial" w:cs="Arial"/>
          <w:sz w:val="22"/>
          <w:szCs w:val="22"/>
          <w:lang w:bidi="ar-SA"/>
        </w:rPr>
        <w:t xml:space="preserve">de 26/06/2025, donde se aprueba un </w:t>
      </w:r>
      <w:r>
        <w:rPr>
          <w:rFonts w:ascii="Arial" w:eastAsia="Lucida Sans Unicode" w:hAnsi="Arial" w:cs="Arial"/>
          <w:sz w:val="22"/>
          <w:szCs w:val="22"/>
          <w:lang w:bidi="ar-SA"/>
        </w:rPr>
        <w:t xml:space="preserve">Remanente de Tesorería para gastos Generales (RTGG) por un importe de </w:t>
      </w:r>
      <w:r>
        <w:rPr>
          <w:rFonts w:ascii="Arial" w:eastAsia="Lucida Sans Unicode" w:hAnsi="Arial" w:cs="Arial"/>
          <w:b/>
          <w:sz w:val="22"/>
          <w:szCs w:val="22"/>
          <w:lang w:bidi="ar-SA"/>
        </w:rPr>
        <w:t>30.666.333,16€</w:t>
      </w:r>
      <w:r>
        <w:rPr>
          <w:rFonts w:ascii="Arial" w:eastAsia="Lucida Sans Unicode" w:hAnsi="Arial" w:cs="Arial"/>
          <w:sz w:val="22"/>
          <w:szCs w:val="22"/>
          <w:lang w:bidi="ar-SA"/>
        </w:rPr>
        <w:t>.</w:t>
      </w:r>
    </w:p>
    <w:p w:rsidR="00061CF1" w:rsidRDefault="004E6D5A">
      <w:pPr>
        <w:tabs>
          <w:tab w:val="left" w:pos="0"/>
        </w:tabs>
        <w:suppressAutoHyphens w:val="0"/>
        <w:jc w:val="both"/>
        <w:textAlignment w:val="auto"/>
      </w:pPr>
      <w:r>
        <w:rPr>
          <w:rFonts w:ascii="Arial" w:eastAsia="Lucida Sans Unicode" w:hAnsi="Arial" w:cs="Arial"/>
          <w:sz w:val="22"/>
          <w:szCs w:val="22"/>
          <w:lang w:bidi="ar-SA"/>
        </w:rPr>
        <w:tab/>
        <w:t>Visto Expediente 6629/2025 de Incorporación de Créditos financiados con RTGG, por un importe total de 8.095.399,23€</w:t>
      </w:r>
    </w:p>
    <w:p w:rsidR="00061CF1" w:rsidRDefault="004E6D5A">
      <w:pPr>
        <w:tabs>
          <w:tab w:val="left" w:pos="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
        <w:t>Visto Expediente 7148/2025 de Créditos Extraordinari</w:t>
      </w:r>
      <w:r>
        <w:rPr>
          <w:rFonts w:ascii="Arial" w:eastAsia="Lucida Sans Unicode" w:hAnsi="Arial" w:cs="Arial"/>
          <w:sz w:val="22"/>
          <w:szCs w:val="22"/>
          <w:lang w:bidi="ar-SA"/>
        </w:rPr>
        <w:t>os RTGG, por un importe total de 7.285.320,99€.</w:t>
      </w:r>
    </w:p>
    <w:p w:rsidR="00061CF1" w:rsidRDefault="004E6D5A">
      <w:pPr>
        <w:tabs>
          <w:tab w:val="left" w:pos="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
        <w:t>Visto Expediente 7161/2025 de Suplementos de Créditos RTGG, por un importe total de 4.538.386,50€.</w:t>
      </w:r>
    </w:p>
    <w:p w:rsidR="00061CF1" w:rsidRDefault="004E6D5A">
      <w:pPr>
        <w:tabs>
          <w:tab w:val="left" w:pos="0"/>
        </w:tabs>
        <w:suppressAutoHyphens w:val="0"/>
        <w:jc w:val="both"/>
        <w:textAlignment w:val="auto"/>
      </w:pPr>
      <w:r>
        <w:rPr>
          <w:rFonts w:ascii="Arial" w:eastAsia="Lucida Sans Unicode" w:hAnsi="Arial" w:cs="Arial"/>
          <w:sz w:val="22"/>
          <w:szCs w:val="22"/>
          <w:lang w:bidi="ar-SA"/>
        </w:rPr>
        <w:tab/>
        <w:t>Visto Expediente 9614/2025 de Incorporación de Créditos financiados con RTGG, por un importe total de 10.69</w:t>
      </w:r>
      <w:r>
        <w:rPr>
          <w:rFonts w:ascii="Arial" w:eastAsia="Lucida Sans Unicode" w:hAnsi="Arial" w:cs="Arial"/>
          <w:sz w:val="22"/>
          <w:szCs w:val="22"/>
          <w:lang w:bidi="ar-SA"/>
        </w:rPr>
        <w:t>9,20€.</w:t>
      </w:r>
    </w:p>
    <w:p w:rsidR="00061CF1" w:rsidRDefault="004E6D5A">
      <w:pPr>
        <w:tabs>
          <w:tab w:val="left" w:pos="0"/>
        </w:tabs>
        <w:suppressAutoHyphens w:val="0"/>
        <w:jc w:val="both"/>
        <w:textAlignment w:val="auto"/>
      </w:pPr>
      <w:r>
        <w:rPr>
          <w:rFonts w:ascii="Arial" w:eastAsia="Lucida Sans Unicode" w:hAnsi="Arial" w:cs="Arial"/>
          <w:b/>
          <w:sz w:val="22"/>
          <w:szCs w:val="22"/>
          <w:lang w:bidi="ar-SA"/>
        </w:rPr>
        <w:tab/>
      </w:r>
      <w:r>
        <w:rPr>
          <w:rFonts w:ascii="Arial" w:eastAsia="Lucida Sans Unicode" w:hAnsi="Arial" w:cs="Arial"/>
          <w:sz w:val="22"/>
          <w:szCs w:val="22"/>
          <w:lang w:bidi="ar-SA"/>
        </w:rPr>
        <w:t xml:space="preserve">Queda un disponible de Remanente de Tesorería para gastos Generales (RTGG) de </w:t>
      </w:r>
      <w:r>
        <w:rPr>
          <w:rFonts w:ascii="Arial" w:eastAsia="Lucida Sans Unicode" w:hAnsi="Arial" w:cs="Arial"/>
          <w:b/>
          <w:sz w:val="22"/>
          <w:szCs w:val="22"/>
          <w:lang w:bidi="ar-SA"/>
        </w:rPr>
        <w:t>10.736.527,24€.</w:t>
      </w:r>
    </w:p>
    <w:p w:rsidR="00061CF1" w:rsidRDefault="00061CF1">
      <w:pPr>
        <w:tabs>
          <w:tab w:val="left" w:pos="0"/>
        </w:tabs>
        <w:suppressAutoHyphens w:val="0"/>
        <w:jc w:val="both"/>
        <w:textAlignment w:val="auto"/>
        <w:rPr>
          <w:rFonts w:ascii="Arial" w:eastAsia="Lucida Sans Unicode" w:hAnsi="Arial" w:cs="Arial"/>
          <w:b/>
          <w:sz w:val="22"/>
          <w:szCs w:val="22"/>
          <w:lang w:val="es-ES_tradnl" w:eastAsia="es-ES" w:bidi="ar-SA"/>
        </w:rPr>
      </w:pPr>
    </w:p>
    <w:p w:rsidR="00061CF1" w:rsidRDefault="00061CF1">
      <w:pPr>
        <w:tabs>
          <w:tab w:val="left" w:pos="0"/>
        </w:tabs>
        <w:suppressAutoHyphens w:val="0"/>
        <w:jc w:val="both"/>
        <w:textAlignment w:val="auto"/>
        <w:rPr>
          <w:rFonts w:ascii="Arial" w:eastAsia="Lucida Sans Unicode" w:hAnsi="Arial" w:cs="Arial"/>
          <w:b/>
          <w:sz w:val="22"/>
          <w:szCs w:val="22"/>
          <w:lang w:val="es-ES_tradnl" w:eastAsia="es-ES" w:bidi="ar-SA"/>
        </w:rPr>
      </w:pPr>
    </w:p>
    <w:p w:rsidR="00061CF1" w:rsidRDefault="004E6D5A">
      <w:pPr>
        <w:tabs>
          <w:tab w:val="left" w:pos="1289"/>
        </w:tabs>
        <w:spacing w:after="120"/>
        <w:textAlignment w:val="auto"/>
      </w:pPr>
      <w:r>
        <w:rPr>
          <w:rFonts w:ascii="Arial" w:eastAsia="Lucida Sans Unicode" w:hAnsi="Arial" w:cs="Arial"/>
          <w:b/>
          <w:sz w:val="22"/>
          <w:szCs w:val="22"/>
          <w:lang w:bidi="ar-SA"/>
        </w:rPr>
        <w:t>CUARTO:</w:t>
      </w:r>
      <w:r>
        <w:rPr>
          <w:rFonts w:ascii="Arial" w:eastAsia="Lucida Sans Unicode" w:hAnsi="Arial" w:cs="Arial"/>
          <w:sz w:val="22"/>
          <w:szCs w:val="22"/>
          <w:lang w:bidi="ar-SA"/>
        </w:rPr>
        <w:t xml:space="preserve"> Que el expediente de modificación presupuestaria </w:t>
      </w:r>
      <w:r>
        <w:rPr>
          <w:rFonts w:ascii="Arial" w:eastAsia="Lucida Sans Unicode" w:hAnsi="Arial" w:cs="Arial"/>
          <w:b/>
          <w:sz w:val="22"/>
          <w:szCs w:val="22"/>
          <w:lang w:bidi="ar-SA"/>
        </w:rPr>
        <w:t>9619/2025</w:t>
      </w:r>
      <w:r>
        <w:rPr>
          <w:rFonts w:ascii="Arial" w:eastAsia="Lucida Sans Unicode" w:hAnsi="Arial" w:cs="Arial"/>
          <w:sz w:val="22"/>
          <w:szCs w:val="22"/>
          <w:lang w:bidi="ar-SA"/>
        </w:rPr>
        <w:t xml:space="preserve"> de modificación presupuestaria por</w:t>
      </w:r>
      <w:r>
        <w:rPr>
          <w:rFonts w:ascii="Arial" w:eastAsia="Lucida Sans Unicode" w:hAnsi="Arial" w:cs="Arial"/>
          <w:b/>
          <w:sz w:val="22"/>
          <w:szCs w:val="22"/>
          <w:lang w:bidi="ar-SA"/>
        </w:rPr>
        <w:t xml:space="preserve"> Créditos Extraordinarios </w:t>
      </w:r>
      <w:r>
        <w:rPr>
          <w:rFonts w:ascii="Arial" w:eastAsia="Lucida Sans Unicode" w:hAnsi="Arial" w:cs="Arial"/>
          <w:sz w:val="22"/>
          <w:szCs w:val="22"/>
          <w:lang w:bidi="ar-SA"/>
        </w:rPr>
        <w:t xml:space="preserve">financiado con Remanente </w:t>
      </w:r>
      <w:r>
        <w:rPr>
          <w:rFonts w:ascii="Arial" w:eastAsia="Lucida Sans Unicode" w:hAnsi="Arial" w:cs="Arial"/>
          <w:sz w:val="22"/>
          <w:szCs w:val="22"/>
          <w:lang w:bidi="ar-SA"/>
        </w:rPr>
        <w:t>de Tesorería para gastos generales, por una cantidad total de</w:t>
      </w:r>
      <w:r>
        <w:rPr>
          <w:rFonts w:ascii="Arial" w:eastAsia="Lucida Sans Unicode" w:hAnsi="Arial" w:cs="Arial"/>
          <w:b/>
          <w:sz w:val="22"/>
          <w:szCs w:val="22"/>
          <w:lang w:bidi="ar-SA"/>
        </w:rPr>
        <w:t xml:space="preserve"> </w:t>
      </w:r>
      <w:r>
        <w:rPr>
          <w:rFonts w:ascii="Arial" w:eastAsia="Lucida Sans Unicode" w:hAnsi="Arial" w:cs="Arial"/>
          <w:b/>
          <w:bCs/>
          <w:color w:val="000000"/>
          <w:sz w:val="22"/>
          <w:szCs w:val="22"/>
          <w:lang w:eastAsia="es-ES" w:bidi="ar-SA"/>
        </w:rPr>
        <w:t xml:space="preserve">5.862,162,68 </w:t>
      </w:r>
      <w:r>
        <w:rPr>
          <w:rFonts w:ascii="Arial" w:eastAsia="Lucida Sans Unicode" w:hAnsi="Arial" w:cs="Arial"/>
          <w:b/>
          <w:sz w:val="22"/>
          <w:szCs w:val="22"/>
          <w:lang w:bidi="ar-SA"/>
        </w:rPr>
        <w:t>euros</w:t>
      </w:r>
      <w:r>
        <w:rPr>
          <w:rFonts w:ascii="Arial" w:eastAsia="Lucida Sans Unicode" w:hAnsi="Arial" w:cs="Arial"/>
          <w:sz w:val="22"/>
          <w:szCs w:val="22"/>
          <w:lang w:bidi="ar-SA"/>
        </w:rPr>
        <w:t xml:space="preserve">, de acuerdo al siguiente detalle: </w:t>
      </w:r>
    </w:p>
    <w:tbl>
      <w:tblPr>
        <w:tblW w:w="8505" w:type="dxa"/>
        <w:tblInd w:w="212" w:type="dxa"/>
        <w:tblCellMar>
          <w:left w:w="10" w:type="dxa"/>
          <w:right w:w="10" w:type="dxa"/>
        </w:tblCellMar>
        <w:tblLook w:val="0000" w:firstRow="0" w:lastRow="0" w:firstColumn="0" w:lastColumn="0" w:noHBand="0" w:noVBand="0"/>
      </w:tblPr>
      <w:tblGrid>
        <w:gridCol w:w="1418"/>
        <w:gridCol w:w="70"/>
        <w:gridCol w:w="5600"/>
        <w:gridCol w:w="1417"/>
      </w:tblGrid>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Estado de Gastos</w:t>
            </w: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
                <w:bCs/>
                <w:color w:val="000000"/>
                <w:sz w:val="22"/>
                <w:szCs w:val="22"/>
                <w:lang w:eastAsia="es-ES" w:bidi="ar-SA"/>
              </w:rPr>
            </w:pPr>
          </w:p>
        </w:tc>
      </w:tr>
      <w:tr w:rsidR="00061CF1">
        <w:tblPrEx>
          <w:tblCellMar>
            <w:top w:w="0" w:type="dxa"/>
            <w:bottom w:w="0" w:type="dxa"/>
          </w:tblCellMar>
        </w:tblPrEx>
        <w:trPr>
          <w:trHeight w:val="189"/>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Proyecto de gasto P.25.2.37</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Aplicación</w:t>
            </w:r>
          </w:p>
        </w:tc>
        <w:tc>
          <w:tcPr>
            <w:tcW w:w="5600"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Descripción</w:t>
            </w:r>
          </w:p>
        </w:tc>
        <w:tc>
          <w:tcPr>
            <w:tcW w:w="1417"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13200.62301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MATERIAL TÉCNICO POLICÍA (DRONES, TEST DROGAS, </w:t>
            </w:r>
            <w:r>
              <w:rPr>
                <w:rFonts w:ascii="Calibri" w:eastAsia="Lucida Sans Unicode" w:hAnsi="Calibri" w:cs="Calibri"/>
                <w:color w:val="000000"/>
                <w:sz w:val="22"/>
                <w:szCs w:val="22"/>
                <w:lang w:eastAsia="es-ES" w:bidi="ar-SA"/>
              </w:rPr>
              <w:t>CÁMARAS VIGIL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58.009,94</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REHABILITACIÓN EDIFICIO PROTECCIÓN CIVIL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34.007,25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ESTABILIZACION TALUD C/NIVARIA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225.294,30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15100.61907</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REPOSICION MURO PLAYA LA VIUDA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219.908,20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15320.61908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PLAN ASFALTADO III: C/LA PUNTA, VENCE, </w:t>
            </w:r>
            <w:r>
              <w:rPr>
                <w:rFonts w:ascii="Calibri" w:eastAsia="Lucida Sans Unicode" w:hAnsi="Calibri" w:cs="Calibri"/>
                <w:color w:val="000000"/>
                <w:sz w:val="22"/>
                <w:szCs w:val="22"/>
                <w:lang w:eastAsia="es-ES" w:bidi="ar-SA"/>
              </w:rPr>
              <w:t>CHIJERNO, CNO.LA MEDI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868.936,33</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16100.61900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RENOVACIÓN RED ABASTECIMIENTO: CUEVECITAS, C/ICERSE Y C/CHIJ</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2.137.239,76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16400.61900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REHABILITACIÓN CEMENTERIOS 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604.941,20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17000.22712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SS. CONTROL, ELIMINACION RABO DE GATO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16.017,90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31100.61901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PARQUE DE PERROS: ADAPTACIÓN ZONA CUARENTENA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35.550,75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31100.62200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DEPÓSITO MUNICIPAL DE C/BARRANQUILLO: CUARTO LAVADERO Y</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34.382,66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41500.60900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PUERTO CANDELARIA: BOMBA Y SANEAMIENTO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10.280,38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45900.61904</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OBRAS REHABILITACION </w:t>
            </w:r>
            <w:r>
              <w:rPr>
                <w:rFonts w:ascii="Calibri" w:eastAsia="Lucida Sans Unicode" w:hAnsi="Calibri" w:cs="Calibri"/>
                <w:color w:val="000000"/>
                <w:sz w:val="22"/>
                <w:szCs w:val="22"/>
                <w:lang w:eastAsia="es-ES" w:bidi="ar-SA"/>
              </w:rPr>
              <w:t>INFRAESTRUCTURAS 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351.489,31</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92000.48002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PARROQUIA SANTA ANA: CONVENIO TRATAMIENTO XILOFAGOS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25.477,56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92000.48003</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ARCHIVO HISTORICO DIOCESANO SAN CRISTOBAL LA LAGUNA: CONVENI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14.480,00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SISTEMA CLIMATIZACIÓN CERI Y ZONA JOVEN</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66.714,50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92000.62700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REFORMA OFICINAS DEL SAC Y AEDL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836.720,58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pPr>
            <w:r>
              <w:rPr>
                <w:rFonts w:ascii="Calibri" w:eastAsia="Lucida Sans Unicode" w:hAnsi="Calibri" w:cs="Calibri"/>
                <w:caps/>
                <w:color w:val="000000"/>
                <w:sz w:val="22"/>
                <w:szCs w:val="22"/>
                <w:lang w:bidi="ar-SA"/>
              </w:rPr>
              <w:t>Sustitución Señalética de las calles del municipio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186.822,06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23101.60900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aps/>
                <w:color w:val="000000"/>
                <w:sz w:val="22"/>
                <w:szCs w:val="22"/>
                <w:lang w:eastAsia="es-ES" w:bidi="ar-SA"/>
              </w:rPr>
            </w:pPr>
            <w:r>
              <w:rPr>
                <w:rFonts w:ascii="Calibri" w:eastAsia="Lucida Sans Unicode" w:hAnsi="Calibri" w:cs="Calibri"/>
                <w:caps/>
                <w:color w:val="000000"/>
                <w:sz w:val="22"/>
                <w:szCs w:val="22"/>
                <w:lang w:eastAsia="es-ES" w:bidi="ar-SA"/>
              </w:rPr>
              <w:t>Escultura conmemorativa "Ciudad amiga de la infancia"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135.890,00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suppressAutoHyphens w:val="0"/>
              <w:jc w:val="right"/>
              <w:textAlignment w:val="auto"/>
              <w:rPr>
                <w:rFonts w:ascii="Calibri" w:eastAsia="Lucida Sans Unicode" w:hAnsi="Calibri" w:cs="Calibri"/>
                <w:b/>
                <w:bCs/>
                <w:color w:val="000000"/>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r>
      <w:tr w:rsidR="00061CF1">
        <w:tblPrEx>
          <w:tblCellMar>
            <w:top w:w="0" w:type="dxa"/>
            <w:bottom w:w="0" w:type="dxa"/>
          </w:tblCellMar>
        </w:tblPrEx>
        <w:trPr>
          <w:trHeight w:val="189"/>
        </w:trPr>
        <w:tc>
          <w:tcPr>
            <w:tcW w:w="1418"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sz w:val="22"/>
                <w:szCs w:val="22"/>
                <w:lang w:eastAsia="es-ES" w:bidi="ar-SA"/>
              </w:rPr>
            </w:pPr>
          </w:p>
        </w:tc>
        <w:tc>
          <w:tcPr>
            <w:tcW w:w="5670" w:type="dxa"/>
            <w:gridSpan w:val="2"/>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 xml:space="preserve">                                      Estado de Ingresos</w:t>
            </w: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
                <w:bCs/>
                <w:color w:val="000000"/>
                <w:sz w:val="22"/>
                <w:szCs w:val="22"/>
                <w:lang w:eastAsia="es-ES" w:bidi="ar-SA"/>
              </w:rPr>
            </w:pPr>
          </w:p>
        </w:tc>
      </w:tr>
      <w:tr w:rsidR="00061CF1">
        <w:tblPrEx>
          <w:tblCellMar>
            <w:top w:w="0" w:type="dxa"/>
            <w:bottom w:w="0" w:type="dxa"/>
          </w:tblCellMar>
        </w:tblPrEx>
        <w:trPr>
          <w:trHeight w:val="189"/>
        </w:trPr>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Aplicación</w:t>
            </w:r>
          </w:p>
        </w:tc>
        <w:tc>
          <w:tcPr>
            <w:tcW w:w="5600"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Descripción</w:t>
            </w:r>
          </w:p>
        </w:tc>
        <w:tc>
          <w:tcPr>
            <w:tcW w:w="141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870.00</w:t>
            </w:r>
          </w:p>
        </w:tc>
        <w:tc>
          <w:tcPr>
            <w:tcW w:w="560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REMANENTE DE TESORERIA PARA GASTOS GENERALES </w:t>
            </w:r>
          </w:p>
        </w:tc>
        <w:tc>
          <w:tcPr>
            <w:tcW w:w="141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5.862,162.68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bl>
    <w:p w:rsidR="00061CF1" w:rsidRDefault="00061CF1">
      <w:pPr>
        <w:suppressAutoHyphens w:val="0"/>
        <w:spacing w:before="60" w:after="60" w:line="242" w:lineRule="auto"/>
        <w:ind w:firstLine="709"/>
        <w:jc w:val="both"/>
        <w:textAlignment w:val="auto"/>
        <w:rPr>
          <w:rFonts w:ascii="Arial" w:eastAsia="Lucida Sans Unicode" w:hAnsi="Arial" w:cs="Arial"/>
          <w:sz w:val="22"/>
          <w:szCs w:val="22"/>
          <w:lang w:bidi="ar-SA"/>
        </w:rPr>
      </w:pPr>
    </w:p>
    <w:p w:rsidR="00061CF1" w:rsidRDefault="004E6D5A">
      <w:pPr>
        <w:suppressAutoHyphens w:val="0"/>
        <w:spacing w:before="60" w:after="60" w:line="242" w:lineRule="auto"/>
        <w:jc w:val="both"/>
        <w:textAlignment w:val="auto"/>
        <w:rPr>
          <w:rFonts w:ascii="Arial" w:eastAsia="Lucida Sans Unicode" w:hAnsi="Arial" w:cs="Arial"/>
          <w:iCs/>
          <w:sz w:val="18"/>
          <w:szCs w:val="18"/>
          <w:lang w:bidi="ar-SA"/>
        </w:rPr>
      </w:pPr>
      <w:r>
        <w:rPr>
          <w:rFonts w:ascii="Arial" w:eastAsia="Lucida Sans Unicode" w:hAnsi="Arial" w:cs="Arial"/>
          <w:iCs/>
          <w:sz w:val="18"/>
          <w:szCs w:val="18"/>
          <w:lang w:bidi="ar-SA"/>
        </w:rPr>
        <w:t>…/…”</w:t>
      </w: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4E6D5A">
      <w:pPr>
        <w:tabs>
          <w:tab w:val="left" w:pos="0"/>
        </w:tabs>
        <w:suppressAutoHyphens w:val="0"/>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Este Concejal Delegado de Hacienda, PROPONE al Pleno la adopción </w:t>
      </w:r>
      <w:r>
        <w:rPr>
          <w:rFonts w:ascii="Arial" w:eastAsia="Lucida Sans Unicode" w:hAnsi="Arial" w:cs="Arial"/>
          <w:b/>
          <w:sz w:val="22"/>
          <w:szCs w:val="22"/>
          <w:lang w:bidi="ar-SA"/>
        </w:rPr>
        <w:t>del siguiente ACUERDO:</w:t>
      </w: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4E6D5A">
      <w:pPr>
        <w:tabs>
          <w:tab w:val="left" w:pos="1289"/>
        </w:tabs>
        <w:spacing w:after="120"/>
        <w:textAlignment w:val="auto"/>
      </w:pPr>
      <w:r>
        <w:rPr>
          <w:rFonts w:ascii="Arial" w:eastAsia="Lucida Sans Unicode" w:hAnsi="Arial" w:cs="Arial"/>
          <w:b/>
          <w:sz w:val="22"/>
          <w:szCs w:val="22"/>
          <w:lang w:bidi="ar-SA"/>
        </w:rPr>
        <w:t>PRIMERO:</w:t>
      </w:r>
      <w:r>
        <w:rPr>
          <w:rFonts w:ascii="Arial" w:eastAsia="Lucida Sans Unicode" w:hAnsi="Arial" w:cs="Arial"/>
          <w:sz w:val="22"/>
          <w:szCs w:val="22"/>
          <w:lang w:bidi="ar-SA"/>
        </w:rPr>
        <w:t xml:space="preserve"> Aprobar el expediente de modificación presupuestaria </w:t>
      </w:r>
      <w:r>
        <w:rPr>
          <w:rFonts w:ascii="Arial" w:eastAsia="Lucida Sans Unicode" w:hAnsi="Arial" w:cs="Arial"/>
          <w:b/>
          <w:sz w:val="22"/>
          <w:szCs w:val="22"/>
          <w:lang w:bidi="ar-SA"/>
        </w:rPr>
        <w:t>9619/2025</w:t>
      </w:r>
      <w:r>
        <w:rPr>
          <w:rFonts w:ascii="Arial" w:eastAsia="Lucida Sans Unicode" w:hAnsi="Arial" w:cs="Arial"/>
          <w:sz w:val="22"/>
          <w:szCs w:val="22"/>
          <w:lang w:bidi="ar-SA"/>
        </w:rPr>
        <w:t xml:space="preserve"> de modificación presupuestaria por</w:t>
      </w:r>
      <w:r>
        <w:rPr>
          <w:rFonts w:ascii="Arial" w:eastAsia="Lucida Sans Unicode" w:hAnsi="Arial" w:cs="Arial"/>
          <w:b/>
          <w:sz w:val="22"/>
          <w:szCs w:val="22"/>
          <w:lang w:bidi="ar-SA"/>
        </w:rPr>
        <w:t xml:space="preserve"> Créditos Extraordinarios </w:t>
      </w:r>
      <w:r>
        <w:rPr>
          <w:rFonts w:ascii="Arial" w:eastAsia="Lucida Sans Unicode" w:hAnsi="Arial" w:cs="Arial"/>
          <w:sz w:val="22"/>
          <w:szCs w:val="22"/>
          <w:lang w:bidi="ar-SA"/>
        </w:rPr>
        <w:t>financiado con Remanente de Tesorería para gastos generales, por una cantidad total de</w:t>
      </w:r>
      <w:r>
        <w:rPr>
          <w:rFonts w:ascii="Arial" w:eastAsia="Lucida Sans Unicode" w:hAnsi="Arial" w:cs="Arial"/>
          <w:b/>
          <w:sz w:val="22"/>
          <w:szCs w:val="22"/>
          <w:lang w:bidi="ar-SA"/>
        </w:rPr>
        <w:t xml:space="preserve"> 5.862.162,68</w:t>
      </w:r>
      <w:r>
        <w:rPr>
          <w:rFonts w:ascii="Arial" w:eastAsia="Lucida Sans Unicode" w:hAnsi="Arial" w:cs="Arial"/>
          <w:b/>
          <w:sz w:val="22"/>
          <w:szCs w:val="22"/>
          <w:lang w:bidi="ar-SA"/>
        </w:rPr>
        <w:t xml:space="preserve"> euros</w:t>
      </w:r>
      <w:r>
        <w:rPr>
          <w:rFonts w:ascii="Arial" w:eastAsia="Lucida Sans Unicode" w:hAnsi="Arial" w:cs="Arial"/>
          <w:sz w:val="22"/>
          <w:szCs w:val="22"/>
          <w:lang w:bidi="ar-SA"/>
        </w:rPr>
        <w:t xml:space="preserve">, de acuerdo al siguiente detalle: </w:t>
      </w:r>
    </w:p>
    <w:p w:rsidR="00061CF1" w:rsidRDefault="00061CF1">
      <w:pPr>
        <w:spacing w:after="120"/>
        <w:textAlignment w:val="auto"/>
        <w:rPr>
          <w:rFonts w:ascii="Arial" w:eastAsia="Lucida Sans Unicode" w:hAnsi="Arial" w:cs="Arial"/>
          <w:sz w:val="22"/>
          <w:szCs w:val="22"/>
          <w:lang w:bidi="ar-SA"/>
        </w:rPr>
      </w:pPr>
    </w:p>
    <w:tbl>
      <w:tblPr>
        <w:tblW w:w="8505" w:type="dxa"/>
        <w:tblInd w:w="212" w:type="dxa"/>
        <w:tblCellMar>
          <w:left w:w="10" w:type="dxa"/>
          <w:right w:w="10" w:type="dxa"/>
        </w:tblCellMar>
        <w:tblLook w:val="0000" w:firstRow="0" w:lastRow="0" w:firstColumn="0" w:lastColumn="0" w:noHBand="0" w:noVBand="0"/>
      </w:tblPr>
      <w:tblGrid>
        <w:gridCol w:w="1418"/>
        <w:gridCol w:w="70"/>
        <w:gridCol w:w="5600"/>
        <w:gridCol w:w="1417"/>
      </w:tblGrid>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Estado de Gastos</w:t>
            </w: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
                <w:bCs/>
                <w:color w:val="000000"/>
                <w:sz w:val="22"/>
                <w:szCs w:val="22"/>
                <w:lang w:eastAsia="es-ES" w:bidi="ar-SA"/>
              </w:rPr>
            </w:pPr>
          </w:p>
        </w:tc>
      </w:tr>
      <w:tr w:rsidR="00061CF1">
        <w:tblPrEx>
          <w:tblCellMar>
            <w:top w:w="0" w:type="dxa"/>
            <w:bottom w:w="0" w:type="dxa"/>
          </w:tblCellMar>
        </w:tblPrEx>
        <w:trPr>
          <w:trHeight w:val="189"/>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Proyecto de gasto P.25.2.37</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Aplicación</w:t>
            </w:r>
          </w:p>
        </w:tc>
        <w:tc>
          <w:tcPr>
            <w:tcW w:w="5600"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Descripción</w:t>
            </w:r>
          </w:p>
        </w:tc>
        <w:tc>
          <w:tcPr>
            <w:tcW w:w="1417"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13200.62301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MATERIAL TÉCNICO POLICÍA (DRONES, TEST DROGAS, CÁMARAS VIGIL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58.009,94</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REHABILITACIÓN EDIFICIO PROTECCIÓN </w:t>
            </w:r>
            <w:r>
              <w:rPr>
                <w:rFonts w:ascii="Calibri" w:eastAsia="Lucida Sans Unicode" w:hAnsi="Calibri" w:cs="Calibri"/>
                <w:color w:val="000000"/>
                <w:sz w:val="22"/>
                <w:szCs w:val="22"/>
                <w:lang w:eastAsia="es-ES" w:bidi="ar-SA"/>
              </w:rPr>
              <w:t>CIVIL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34.007,25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ESTABILIZACION TALUD C/NIVARIA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225.294,30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15100.61907</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REPOSICION MURO PLAYA LA VIUDA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219.908,20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15320.61908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PLAN ASFALTADO III: C/LA PUNTA, VENCE, CHIJERNO, CNO.LA MEDI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868.936,33</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16100.61900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RENOVACIÓN RED </w:t>
            </w:r>
            <w:r>
              <w:rPr>
                <w:rFonts w:ascii="Calibri" w:eastAsia="Lucida Sans Unicode" w:hAnsi="Calibri" w:cs="Calibri"/>
                <w:color w:val="000000"/>
                <w:sz w:val="22"/>
                <w:szCs w:val="22"/>
                <w:lang w:eastAsia="es-ES" w:bidi="ar-SA"/>
              </w:rPr>
              <w:t>ABASTECIMIENTO: CUEVECITAS, C/ICERSE Y C/CHIJ</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2.137.239,76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16400.61900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REHABILITACIÓN CEMENTERIOS 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604.941,20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17000.22712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SS. CONTROL, ELIMINACION RABO DE GATO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16.017,90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31100.61901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PARQUE DE PERROS: ADAPTACIÓN ZONA CUARENTENA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35.550,75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31100.62200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DEPÓSITO MUNICIPAL DE C/BARRANQUILLO: CUARTO LAVADERO Y</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34.382,66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41500.60900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PUERTO CANDELARIA: BOMBA Y SANEAMIENTO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10.280,38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45900.61904</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OBRAS REHABILITACION INFRAESTRUCTURAS 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351.489,31</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92000.48002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PARROQUIA SANTA </w:t>
            </w:r>
            <w:r>
              <w:rPr>
                <w:rFonts w:ascii="Calibri" w:eastAsia="Lucida Sans Unicode" w:hAnsi="Calibri" w:cs="Calibri"/>
                <w:color w:val="000000"/>
                <w:sz w:val="22"/>
                <w:szCs w:val="22"/>
                <w:lang w:eastAsia="es-ES" w:bidi="ar-SA"/>
              </w:rPr>
              <w:t>ANA: CONVENIO TRATAMIENTO XILOFAGOS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25.477,56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92000.48003</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ARCHIVO HISTORICO DIOCESANO SAN CRISTOBAL LA LAGUNA: CONVENI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14.480,00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SISTEMA CLIMATIZACIÓN CERI Y ZONA JOVEN</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66.714,50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92000.62700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REFORMA OFICINAS DEL SAC Y AEDL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836.720,58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pPr>
            <w:r>
              <w:rPr>
                <w:rFonts w:ascii="Calibri" w:eastAsia="Lucida Sans Unicode" w:hAnsi="Calibri" w:cs="Calibri"/>
                <w:caps/>
                <w:color w:val="000000"/>
                <w:sz w:val="22"/>
                <w:szCs w:val="22"/>
                <w:lang w:bidi="ar-SA"/>
              </w:rPr>
              <w:t>Sustitución Señalética de las calles del municipio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186.822,06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23101.60900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aps/>
                <w:color w:val="000000"/>
                <w:sz w:val="22"/>
                <w:szCs w:val="22"/>
                <w:lang w:eastAsia="es-ES" w:bidi="ar-SA"/>
              </w:rPr>
            </w:pPr>
            <w:r>
              <w:rPr>
                <w:rFonts w:ascii="Calibri" w:eastAsia="Lucida Sans Unicode" w:hAnsi="Calibri" w:cs="Calibri"/>
                <w:caps/>
                <w:color w:val="000000"/>
                <w:sz w:val="22"/>
                <w:szCs w:val="22"/>
                <w:lang w:eastAsia="es-ES" w:bidi="ar-SA"/>
              </w:rPr>
              <w:t>Escultura conmemorativa "Ciudad amiga de la infancia"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135.890,00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suppressAutoHyphens w:val="0"/>
              <w:jc w:val="right"/>
              <w:textAlignment w:val="auto"/>
              <w:rPr>
                <w:rFonts w:ascii="Calibri" w:eastAsia="Lucida Sans Unicode" w:hAnsi="Calibri" w:cs="Calibri"/>
                <w:b/>
                <w:bCs/>
                <w:color w:val="000000"/>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r>
      <w:tr w:rsidR="00061CF1">
        <w:tblPrEx>
          <w:tblCellMar>
            <w:top w:w="0" w:type="dxa"/>
            <w:bottom w:w="0" w:type="dxa"/>
          </w:tblCellMar>
        </w:tblPrEx>
        <w:trPr>
          <w:trHeight w:val="189"/>
        </w:trPr>
        <w:tc>
          <w:tcPr>
            <w:tcW w:w="1418"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sz w:val="22"/>
                <w:szCs w:val="22"/>
                <w:lang w:eastAsia="es-ES" w:bidi="ar-SA"/>
              </w:rPr>
            </w:pPr>
          </w:p>
        </w:tc>
        <w:tc>
          <w:tcPr>
            <w:tcW w:w="5670" w:type="dxa"/>
            <w:gridSpan w:val="2"/>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 xml:space="preserve">                                      Estado de Ingresos</w:t>
            </w: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
                <w:bCs/>
                <w:color w:val="000000"/>
                <w:sz w:val="22"/>
                <w:szCs w:val="22"/>
                <w:lang w:eastAsia="es-ES" w:bidi="ar-SA"/>
              </w:rPr>
            </w:pPr>
          </w:p>
        </w:tc>
      </w:tr>
      <w:tr w:rsidR="00061CF1">
        <w:tblPrEx>
          <w:tblCellMar>
            <w:top w:w="0" w:type="dxa"/>
            <w:bottom w:w="0" w:type="dxa"/>
          </w:tblCellMar>
        </w:tblPrEx>
        <w:trPr>
          <w:trHeight w:val="189"/>
        </w:trPr>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Aplicación</w:t>
            </w:r>
          </w:p>
        </w:tc>
        <w:tc>
          <w:tcPr>
            <w:tcW w:w="5600"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Descripción</w:t>
            </w:r>
          </w:p>
        </w:tc>
        <w:tc>
          <w:tcPr>
            <w:tcW w:w="141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870.00</w:t>
            </w:r>
          </w:p>
        </w:tc>
        <w:tc>
          <w:tcPr>
            <w:tcW w:w="560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REMANENTE DE TESORERIA PARA GASTOS GENERALES </w:t>
            </w:r>
          </w:p>
        </w:tc>
        <w:tc>
          <w:tcPr>
            <w:tcW w:w="141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5.862,162.68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bl>
    <w:p w:rsidR="00061CF1" w:rsidRDefault="00061CF1">
      <w:pPr>
        <w:spacing w:after="120"/>
        <w:jc w:val="center"/>
        <w:textAlignment w:val="auto"/>
        <w:rPr>
          <w:rFonts w:ascii="Arial" w:eastAsia="Lucida Sans Unicode" w:hAnsi="Arial" w:cs="Times New Roman"/>
          <w:b/>
          <w:sz w:val="22"/>
          <w:lang w:bidi="ar-SA"/>
        </w:rPr>
      </w:pPr>
    </w:p>
    <w:p w:rsidR="00061CF1" w:rsidRDefault="00061CF1">
      <w:pPr>
        <w:spacing w:after="120"/>
        <w:jc w:val="center"/>
        <w:textAlignment w:val="auto"/>
        <w:rPr>
          <w:rFonts w:ascii="Arial" w:eastAsia="Lucida Sans Unicode" w:hAnsi="Arial" w:cs="Times New Roman"/>
          <w:b/>
          <w:sz w:val="22"/>
          <w:lang w:bidi="ar-SA"/>
        </w:rPr>
      </w:pPr>
    </w:p>
    <w:p w:rsidR="00061CF1" w:rsidRDefault="004E6D5A">
      <w:pPr>
        <w:tabs>
          <w:tab w:val="left" w:pos="0"/>
        </w:tabs>
        <w:suppressAutoHyphens w:val="0"/>
        <w:jc w:val="both"/>
        <w:textAlignment w:val="auto"/>
      </w:pPr>
      <w:r>
        <w:rPr>
          <w:rFonts w:ascii="Arial" w:eastAsia="Lucida Sans Unicode" w:hAnsi="Arial" w:cs="Arial"/>
          <w:b/>
          <w:color w:val="000000"/>
          <w:sz w:val="22"/>
          <w:szCs w:val="22"/>
          <w:lang w:bidi="ar-SA"/>
        </w:rPr>
        <w:t>SEGUNDO.-</w:t>
      </w:r>
      <w:r>
        <w:rPr>
          <w:rFonts w:ascii="Arial" w:eastAsia="Lucida Sans Unicode" w:hAnsi="Arial" w:cs="Arial"/>
          <w:sz w:val="22"/>
          <w:szCs w:val="22"/>
          <w:lang w:bidi="ar-SA"/>
        </w:rPr>
        <w:t xml:space="preserve"> </w:t>
      </w:r>
      <w:r>
        <w:rPr>
          <w:rFonts w:ascii="Arial" w:eastAsia="Lucida Sans Unicode" w:hAnsi="Arial" w:cs="Arial"/>
          <w:color w:val="000000"/>
          <w:sz w:val="22"/>
          <w:szCs w:val="22"/>
          <w:lang w:bidi="ar-SA"/>
        </w:rPr>
        <w:t xml:space="preserve">Exponer este expediente al público mediante anuncio publicado en el Boletín Oficial de la Provincia, por 15 días, durante los cuales </w:t>
      </w:r>
      <w:r>
        <w:rPr>
          <w:rFonts w:ascii="Arial" w:eastAsia="Lucida Sans Unicode" w:hAnsi="Arial" w:cs="Arial"/>
          <w:color w:val="000000"/>
          <w:sz w:val="22"/>
          <w:szCs w:val="22"/>
          <w:lang w:bidi="ar-SA"/>
        </w:rPr>
        <w:t>los interesados podrán examinarlo y presentar reclamaciones ante el Pleno.</w:t>
      </w:r>
    </w:p>
    <w:p w:rsidR="00061CF1" w:rsidRDefault="004E6D5A">
      <w:pPr>
        <w:tabs>
          <w:tab w:val="left" w:pos="0"/>
        </w:tabs>
        <w:suppressAutoHyphens w:val="0"/>
        <w:jc w:val="both"/>
        <w:textAlignment w:val="auto"/>
        <w:rPr>
          <w:rFonts w:ascii="Arial" w:eastAsia="Lucida Sans Unicode" w:hAnsi="Arial" w:cs="Arial"/>
          <w:color w:val="000000"/>
          <w:sz w:val="22"/>
          <w:szCs w:val="22"/>
          <w:lang w:bidi="ar-SA"/>
        </w:rPr>
      </w:pPr>
      <w:r>
        <w:rPr>
          <w:rFonts w:ascii="Arial" w:eastAsia="Lucida Sans Unicode" w:hAnsi="Arial" w:cs="Arial"/>
          <w:color w:val="000000"/>
          <w:sz w:val="22"/>
          <w:szCs w:val="22"/>
          <w:lang w:bidi="ar-SA"/>
        </w:rPr>
        <w:tab/>
      </w:r>
    </w:p>
    <w:p w:rsidR="00061CF1" w:rsidRDefault="004E6D5A">
      <w:pPr>
        <w:tabs>
          <w:tab w:val="left" w:pos="0"/>
        </w:tabs>
        <w:suppressAutoHyphens w:val="0"/>
        <w:jc w:val="both"/>
        <w:textAlignment w:val="auto"/>
      </w:pPr>
      <w:r>
        <w:rPr>
          <w:rFonts w:ascii="Arial" w:eastAsia="Lucida Sans Unicode" w:hAnsi="Arial" w:cs="Arial"/>
          <w:b/>
          <w:color w:val="000000"/>
          <w:sz w:val="22"/>
          <w:szCs w:val="22"/>
          <w:lang w:bidi="ar-SA"/>
        </w:rPr>
        <w:t xml:space="preserve">TERCERO.- </w:t>
      </w:r>
      <w:r>
        <w:rPr>
          <w:rFonts w:ascii="Arial" w:eastAsia="Lucida Sans Unicode" w:hAnsi="Arial" w:cs="Arial"/>
          <w:color w:val="000000"/>
          <w:sz w:val="22"/>
          <w:szCs w:val="22"/>
          <w:lang w:bidi="ar-SA"/>
        </w:rPr>
        <w:t xml:space="preserve">El expediente se considerará definitivamente aprobado si durante el citado plazo no </w:t>
      </w:r>
    </w:p>
    <w:p w:rsidR="00061CF1" w:rsidRDefault="00061CF1">
      <w:pPr>
        <w:tabs>
          <w:tab w:val="left" w:pos="0"/>
        </w:tabs>
        <w:suppressAutoHyphens w:val="0"/>
        <w:jc w:val="both"/>
        <w:textAlignment w:val="auto"/>
        <w:rPr>
          <w:rFonts w:ascii="Arial" w:eastAsia="Lucida Sans Unicode" w:hAnsi="Arial" w:cs="Arial"/>
          <w:color w:val="000000"/>
          <w:sz w:val="22"/>
          <w:szCs w:val="22"/>
          <w:lang w:bidi="ar-SA"/>
        </w:rPr>
      </w:pPr>
    </w:p>
    <w:p w:rsidR="00061CF1" w:rsidRDefault="004E6D5A">
      <w:pPr>
        <w:tabs>
          <w:tab w:val="left" w:pos="0"/>
        </w:tabs>
        <w:suppressAutoHyphens w:val="0"/>
        <w:jc w:val="both"/>
        <w:textAlignment w:val="auto"/>
      </w:pPr>
      <w:r>
        <w:rPr>
          <w:rFonts w:ascii="Arial" w:eastAsia="Lucida Sans Unicode" w:hAnsi="Arial" w:cs="Arial"/>
          <w:color w:val="000000"/>
          <w:sz w:val="22"/>
          <w:szCs w:val="22"/>
          <w:lang w:bidi="ar-SA"/>
        </w:rPr>
        <w:t>se hubiesen presentado reclamaciones, en caso contrario el Pleno dispondrá de un me</w:t>
      </w:r>
      <w:r>
        <w:rPr>
          <w:rFonts w:ascii="Arial" w:eastAsia="Lucida Sans Unicode" w:hAnsi="Arial" w:cs="Arial"/>
          <w:color w:val="000000"/>
          <w:sz w:val="22"/>
          <w:szCs w:val="22"/>
          <w:lang w:bidi="ar-SA"/>
        </w:rPr>
        <w:t>s para resolverlas. El expediente definitivamente aprobado, será insertado en el boletín oficial de la provincia.</w:t>
      </w: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FAVORABLE DE LA COMISIÓN INFORMATIVA DE HACIENDA, RECURSOS HUMANOS Y SERVICIOS GENERALES DE 28 DE OCTUBRE DE 2025 QUE SE TUVO QUE </w:t>
      </w:r>
      <w:r>
        <w:rPr>
          <w:rFonts w:ascii="Arial" w:eastAsia="Lucida Sans Unicode" w:hAnsi="Arial" w:cs="Arial"/>
          <w:b/>
          <w:sz w:val="22"/>
          <w:szCs w:val="22"/>
          <w:lang w:bidi="ar-SA"/>
        </w:rPr>
        <w:t>REPETIR POR EL FALLO INFORMÁTICO EL LUNES 27 DE OCTUBRE, DEL SISTEMA “CLAVE” DE ACCESO A LA SEDE ELECTRÓNICA Y DE ESTA FORMA QUEDÓ SUBSANADA LA COMISIÓN CON SU CELEBRACIÓN EL 28 DE OCTUBRE.</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4.</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Don </w:t>
      </w:r>
      <w:r>
        <w:rPr>
          <w:rFonts w:ascii="Arial" w:eastAsia="Lucida Sans Unicode" w:hAnsi="Arial" w:cs="Arial"/>
          <w:sz w:val="22"/>
          <w:szCs w:val="22"/>
          <w:lang w:bidi="ar-SA"/>
        </w:rPr>
        <w:t>Airam Pérez Chinea, Don José 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0.</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JUNTA DE PORTAVOCES PREVISTA PARA EL DÍA 27 DE OCTUBRE Y QUE FUE APLAZADA AL 28 DE OCTUBRE DE 2025 POR </w:t>
      </w:r>
      <w:r>
        <w:rPr>
          <w:rFonts w:ascii="Arial" w:eastAsia="Lucida Sans Unicode" w:hAnsi="Arial" w:cs="Arial"/>
          <w:b/>
          <w:sz w:val="22"/>
          <w:szCs w:val="22"/>
          <w:lang w:bidi="ar-SA"/>
        </w:rPr>
        <w:t>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16.</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 concejales del Grupo Socialista: Doña María Concepción Brito Núñez, Don Jorge Baute Delgado, Don José Francisco Pinto Ramos, Doña Oliv</w:t>
      </w:r>
      <w:r>
        <w:rPr>
          <w:rFonts w:ascii="Arial" w:eastAsia="Lucida Sans Unicode" w:hAnsi="Arial" w:cs="Arial"/>
          <w:sz w:val="22"/>
          <w:szCs w:val="22"/>
          <w:lang w:bidi="ar-SA"/>
        </w:rPr>
        <w:t>ia Concepción Pérez Díaz, Don Reinaldo José Triviño Blanco, Don Manuel Alberto González Pestano, Doña Margarita Eva Tendero Barroso, Don Airam Pérez Chinea, Doña María del Carmen Clemente Díaz, Don Olegario Francisco Alonso Bello, Doña Mónica Monserrat Yan</w:t>
      </w:r>
      <w:r>
        <w:rPr>
          <w:rFonts w:ascii="Arial" w:eastAsia="Lucida Sans Unicode" w:hAnsi="Arial" w:cs="Arial"/>
          <w:sz w:val="22"/>
          <w:szCs w:val="22"/>
          <w:lang w:bidi="ar-SA"/>
        </w:rPr>
        <w:t xml:space="preserve">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5 concejales del Grupo Popular: Don Jacobo López Fariña,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2.</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(CC), Don José T</w:t>
      </w:r>
      <w:r>
        <w:rPr>
          <w:rFonts w:ascii="Arial" w:eastAsia="Lucida Sans Unicode" w:hAnsi="Arial" w:cs="Arial"/>
          <w:sz w:val="22"/>
          <w:szCs w:val="22"/>
          <w:lang w:bidi="ar-SA"/>
        </w:rPr>
        <w: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tabs>
          <w:tab w:val="left" w:pos="1289"/>
        </w:tabs>
        <w:spacing w:after="120"/>
        <w:jc w:val="center"/>
        <w:textAlignment w:val="auto"/>
        <w:rPr>
          <w:rFonts w:ascii="Arial" w:eastAsia="Lucida Sans Unicode" w:hAnsi="Arial" w:cs="Arial"/>
          <w:b/>
          <w:sz w:val="22"/>
          <w:szCs w:val="22"/>
          <w:lang w:bidi="ar-SA"/>
        </w:rPr>
      </w:pPr>
    </w:p>
    <w:p w:rsidR="00061CF1" w:rsidRDefault="004E6D5A">
      <w:pPr>
        <w:tabs>
          <w:tab w:val="left" w:pos="1289"/>
        </w:tabs>
        <w:spacing w:after="120"/>
        <w:jc w:val="cente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ACUERDO DEL PLENO</w:t>
      </w:r>
    </w:p>
    <w:p w:rsidR="00061CF1" w:rsidRDefault="00061CF1">
      <w:pPr>
        <w:tabs>
          <w:tab w:val="left" w:pos="1289"/>
        </w:tabs>
        <w:spacing w:after="120"/>
        <w:jc w:val="both"/>
        <w:textAlignment w:val="auto"/>
        <w:rPr>
          <w:rFonts w:ascii="Arial" w:eastAsia="Lucida Sans Unicode" w:hAnsi="Arial" w:cs="Arial"/>
          <w:b/>
          <w:sz w:val="22"/>
          <w:szCs w:val="22"/>
          <w:lang w:bidi="ar-SA"/>
        </w:rPr>
      </w:pPr>
    </w:p>
    <w:p w:rsidR="00061CF1" w:rsidRDefault="004E6D5A">
      <w:pPr>
        <w:tabs>
          <w:tab w:val="left" w:pos="1289"/>
        </w:tabs>
        <w:spacing w:after="120"/>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b/>
        <w:t xml:space="preserve">PRIMERO: Aprobar el expediente de modificación presupuestaria 9619/2025 de modificación presupuestaria por Créditos Extraordinarios financiado con Remanente de Tesorería </w:t>
      </w:r>
      <w:r>
        <w:rPr>
          <w:rFonts w:ascii="Arial" w:eastAsia="Lucida Sans Unicode" w:hAnsi="Arial" w:cs="Arial"/>
          <w:b/>
          <w:sz w:val="22"/>
          <w:szCs w:val="22"/>
          <w:lang w:bidi="ar-SA"/>
        </w:rPr>
        <w:t xml:space="preserve">para gastos generales, por una cantidad total de 5.862.162,68 euros, de acuerdo al siguiente detalle: </w:t>
      </w:r>
    </w:p>
    <w:p w:rsidR="00061CF1" w:rsidRDefault="004E6D5A">
      <w:pPr>
        <w:spacing w:after="120"/>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 </w:t>
      </w:r>
    </w:p>
    <w:tbl>
      <w:tblPr>
        <w:tblW w:w="8505" w:type="dxa"/>
        <w:tblInd w:w="212" w:type="dxa"/>
        <w:tblCellMar>
          <w:left w:w="10" w:type="dxa"/>
          <w:right w:w="10" w:type="dxa"/>
        </w:tblCellMar>
        <w:tblLook w:val="0000" w:firstRow="0" w:lastRow="0" w:firstColumn="0" w:lastColumn="0" w:noHBand="0" w:noVBand="0"/>
      </w:tblPr>
      <w:tblGrid>
        <w:gridCol w:w="1418"/>
        <w:gridCol w:w="70"/>
        <w:gridCol w:w="5600"/>
        <w:gridCol w:w="1417"/>
      </w:tblGrid>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Estado de Gastos</w:t>
            </w: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
                <w:bCs/>
                <w:color w:val="000000"/>
                <w:sz w:val="22"/>
                <w:szCs w:val="22"/>
                <w:lang w:eastAsia="es-ES" w:bidi="ar-SA"/>
              </w:rPr>
            </w:pPr>
          </w:p>
        </w:tc>
      </w:tr>
      <w:tr w:rsidR="00061CF1">
        <w:tblPrEx>
          <w:tblCellMar>
            <w:top w:w="0" w:type="dxa"/>
            <w:bottom w:w="0" w:type="dxa"/>
          </w:tblCellMar>
        </w:tblPrEx>
        <w:trPr>
          <w:trHeight w:val="189"/>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Proyecto de gasto P.25.2.37</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Aplicación</w:t>
            </w:r>
          </w:p>
        </w:tc>
        <w:tc>
          <w:tcPr>
            <w:tcW w:w="5600"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Descripción</w:t>
            </w:r>
          </w:p>
        </w:tc>
        <w:tc>
          <w:tcPr>
            <w:tcW w:w="1417"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13200.62301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MATERIAL TÉCNICO POLICÍA (DRONES, TEST DROGAS, CÁMARAS </w:t>
            </w:r>
            <w:r>
              <w:rPr>
                <w:rFonts w:ascii="Calibri" w:eastAsia="Lucida Sans Unicode" w:hAnsi="Calibri" w:cs="Calibri"/>
                <w:color w:val="000000"/>
                <w:sz w:val="22"/>
                <w:szCs w:val="22"/>
                <w:lang w:eastAsia="es-ES" w:bidi="ar-SA"/>
              </w:rPr>
              <w:t>VIGIL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58.009,94</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REHABILITACIÓN EDIFICIO PROTECCIÓN CIVIL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34.007,25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ESTABILIZACION TALUD C/NIVARIA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225.294,30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15100.61907</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REPOSICION MURO PLAYA LA VIUDA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219.908,20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15320.61908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PLAN ASFALTADO III: C/LA PUNTA, VENCE, CHIJERNO,</w:t>
            </w:r>
            <w:r>
              <w:rPr>
                <w:rFonts w:ascii="Calibri" w:eastAsia="Lucida Sans Unicode" w:hAnsi="Calibri" w:cs="Calibri"/>
                <w:color w:val="000000"/>
                <w:sz w:val="22"/>
                <w:szCs w:val="22"/>
                <w:lang w:eastAsia="es-ES" w:bidi="ar-SA"/>
              </w:rPr>
              <w:t xml:space="preserve"> CNO.LA MEDI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868.936,33</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16100.61900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RENOVACIÓN RED ABASTECIMIENTO: CUEVECITAS, C/ICERSE Y C/CHIJ</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2.137.239,76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16400.61900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REHABILITACIÓN CEMENTERIOS 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604.941,20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17000.22712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SS. CONTROL, ELIMINACION RABO DE GATO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16.017,90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31100.61901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PARQUE </w:t>
            </w:r>
            <w:r>
              <w:rPr>
                <w:rFonts w:ascii="Calibri" w:eastAsia="Lucida Sans Unicode" w:hAnsi="Calibri" w:cs="Calibri"/>
                <w:color w:val="000000"/>
                <w:sz w:val="22"/>
                <w:szCs w:val="22"/>
                <w:lang w:eastAsia="es-ES" w:bidi="ar-SA"/>
              </w:rPr>
              <w:t>DE PERROS: ADAPTACIÓN ZONA CUARENTENA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35.550,75</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31100.62200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DEPÓSITO MUNICIPAL DE C/BARRANQUILLO: CUARTO LAVADERO Y</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34.382,66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41500.60900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OBRA PUERTO CANDELARIA: BOMBA Y SANEAMIENTO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10.280,38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45900.61904</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OBRAS REHABILITACION INFRAESTRUCTURAS </w:t>
            </w:r>
            <w:r>
              <w:rPr>
                <w:rFonts w:ascii="Calibri" w:eastAsia="Lucida Sans Unicode" w:hAnsi="Calibri" w:cs="Calibri"/>
                <w:color w:val="000000"/>
                <w:sz w:val="22"/>
                <w:szCs w:val="22"/>
                <w:lang w:eastAsia="es-ES" w:bidi="ar-SA"/>
              </w:rPr>
              <w:t>MUNICIPALES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351.489,31</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92000.48002</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PARROQUIA SANTA ANA: CONVENIO TRATAMIENTO XILOFAGOS</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25.477,56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92000.48003</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ARCHIVO HISTORICO DIOCESANO SAN CRISTOBAL LA LAGUNA: CONVENI</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14.480,00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92000.62301</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SISTEMA CLIMATIZACIÓN CERI Y ZONA JOVEN</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66.714,50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92000.62700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REFORMA OFICINAS DEL SAC Y AEDL</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836.720,58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15100.61908</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pPr>
            <w:r>
              <w:rPr>
                <w:rFonts w:ascii="Calibri" w:eastAsia="Lucida Sans Unicode" w:hAnsi="Calibri" w:cs="Calibri"/>
                <w:caps/>
                <w:color w:val="000000"/>
                <w:sz w:val="22"/>
                <w:szCs w:val="22"/>
                <w:lang w:bidi="ar-SA"/>
              </w:rPr>
              <w:t>Sustitución Señalética de las calles del municipio</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186.822,06</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23101.60900</w:t>
            </w:r>
          </w:p>
        </w:tc>
        <w:tc>
          <w:tcPr>
            <w:tcW w:w="56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caps/>
                <w:color w:val="000000"/>
                <w:sz w:val="22"/>
                <w:szCs w:val="22"/>
                <w:lang w:eastAsia="es-ES" w:bidi="ar-SA"/>
              </w:rPr>
            </w:pPr>
            <w:r>
              <w:rPr>
                <w:rFonts w:ascii="Calibri" w:eastAsia="Lucida Sans Unicode" w:hAnsi="Calibri" w:cs="Calibri"/>
                <w:caps/>
                <w:color w:val="000000"/>
                <w:sz w:val="22"/>
                <w:szCs w:val="22"/>
                <w:lang w:eastAsia="es-ES" w:bidi="ar-SA"/>
              </w:rPr>
              <w:t>Escultura conmemorativa "Ciudad amiga de la infancia"</w:t>
            </w:r>
          </w:p>
        </w:tc>
        <w:tc>
          <w:tcPr>
            <w:tcW w:w="141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135.890,00</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r w:rsidR="00061CF1">
        <w:tblPrEx>
          <w:tblCellMar>
            <w:top w:w="0" w:type="dxa"/>
            <w:bottom w:w="0" w:type="dxa"/>
          </w:tblCellMar>
        </w:tblPrEx>
        <w:trPr>
          <w:trHeight w:val="189"/>
        </w:trPr>
        <w:tc>
          <w:tcPr>
            <w:tcW w:w="1488" w:type="dxa"/>
            <w:gridSpan w:val="2"/>
            <w:shd w:val="clear" w:color="auto" w:fill="auto"/>
            <w:noWrap/>
            <w:tcMar>
              <w:top w:w="0" w:type="dxa"/>
              <w:left w:w="70" w:type="dxa"/>
              <w:bottom w:w="0" w:type="dxa"/>
              <w:right w:w="70" w:type="dxa"/>
            </w:tcMar>
            <w:vAlign w:val="bottom"/>
          </w:tcPr>
          <w:p w:rsidR="00061CF1" w:rsidRDefault="00061CF1">
            <w:pPr>
              <w:suppressAutoHyphens w:val="0"/>
              <w:jc w:val="right"/>
              <w:textAlignment w:val="auto"/>
              <w:rPr>
                <w:rFonts w:ascii="Calibri" w:eastAsia="Lucida Sans Unicode" w:hAnsi="Calibri" w:cs="Calibri"/>
                <w:b/>
                <w:bCs/>
                <w:color w:val="000000"/>
                <w:sz w:val="22"/>
                <w:szCs w:val="22"/>
                <w:lang w:eastAsia="es-ES" w:bidi="ar-SA"/>
              </w:rPr>
            </w:pPr>
          </w:p>
        </w:tc>
        <w:tc>
          <w:tcPr>
            <w:tcW w:w="5600"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sz w:val="22"/>
                <w:szCs w:val="22"/>
                <w:lang w:eastAsia="es-ES" w:bidi="ar-SA"/>
              </w:rPr>
            </w:pPr>
          </w:p>
        </w:tc>
      </w:tr>
      <w:tr w:rsidR="00061CF1">
        <w:tblPrEx>
          <w:tblCellMar>
            <w:top w:w="0" w:type="dxa"/>
            <w:bottom w:w="0" w:type="dxa"/>
          </w:tblCellMar>
        </w:tblPrEx>
        <w:trPr>
          <w:trHeight w:val="189"/>
        </w:trPr>
        <w:tc>
          <w:tcPr>
            <w:tcW w:w="1418" w:type="dxa"/>
            <w:shd w:val="clear" w:color="auto" w:fill="auto"/>
            <w:noWrap/>
            <w:tcMar>
              <w:top w:w="0" w:type="dxa"/>
              <w:left w:w="70" w:type="dxa"/>
              <w:bottom w:w="0" w:type="dxa"/>
              <w:right w:w="70" w:type="dxa"/>
            </w:tcMar>
            <w:vAlign w:val="bottom"/>
          </w:tcPr>
          <w:p w:rsidR="00061CF1" w:rsidRDefault="00061CF1">
            <w:pPr>
              <w:suppressAutoHyphens w:val="0"/>
              <w:jc w:val="center"/>
              <w:textAlignment w:val="auto"/>
              <w:rPr>
                <w:rFonts w:ascii="Calibri" w:eastAsia="Lucida Sans Unicode" w:hAnsi="Calibri" w:cs="Calibri"/>
                <w:sz w:val="22"/>
                <w:szCs w:val="22"/>
                <w:lang w:eastAsia="es-ES" w:bidi="ar-SA"/>
              </w:rPr>
            </w:pPr>
          </w:p>
        </w:tc>
        <w:tc>
          <w:tcPr>
            <w:tcW w:w="5670" w:type="dxa"/>
            <w:gridSpan w:val="2"/>
            <w:shd w:val="clear" w:color="auto" w:fill="auto"/>
            <w:noWrap/>
            <w:tcMar>
              <w:top w:w="0" w:type="dxa"/>
              <w:left w:w="70" w:type="dxa"/>
              <w:bottom w:w="0" w:type="dxa"/>
              <w:right w:w="70" w:type="dxa"/>
            </w:tcMar>
            <w:vAlign w:val="bottom"/>
          </w:tcPr>
          <w:p w:rsidR="00061CF1" w:rsidRDefault="004E6D5A">
            <w:pPr>
              <w:suppressAutoHyphens w:val="0"/>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 xml:space="preserve">                                      Estado de Ingresos</w:t>
            </w:r>
          </w:p>
        </w:tc>
        <w:tc>
          <w:tcPr>
            <w:tcW w:w="1417"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Calibri" w:eastAsia="Lucida Sans Unicode" w:hAnsi="Calibri" w:cs="Calibri"/>
                <w:b/>
                <w:bCs/>
                <w:color w:val="000000"/>
                <w:sz w:val="22"/>
                <w:szCs w:val="22"/>
                <w:lang w:eastAsia="es-ES" w:bidi="ar-SA"/>
              </w:rPr>
            </w:pPr>
          </w:p>
        </w:tc>
      </w:tr>
      <w:tr w:rsidR="00061CF1">
        <w:tblPrEx>
          <w:tblCellMar>
            <w:top w:w="0" w:type="dxa"/>
            <w:bottom w:w="0" w:type="dxa"/>
          </w:tblCellMar>
        </w:tblPrEx>
        <w:trPr>
          <w:trHeight w:val="189"/>
        </w:trPr>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Aplicación</w:t>
            </w:r>
          </w:p>
        </w:tc>
        <w:tc>
          <w:tcPr>
            <w:tcW w:w="5600"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Descripción</w:t>
            </w:r>
          </w:p>
        </w:tc>
        <w:tc>
          <w:tcPr>
            <w:tcW w:w="141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Importe</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870.00</w:t>
            </w:r>
          </w:p>
        </w:tc>
        <w:tc>
          <w:tcPr>
            <w:tcW w:w="560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xml:space="preserve">REMANENTE DE TESORERIA PARA GASTOS GENERALES </w:t>
            </w:r>
          </w:p>
        </w:tc>
        <w:tc>
          <w:tcPr>
            <w:tcW w:w="141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5.862,162.68</w:t>
            </w:r>
          </w:p>
        </w:tc>
      </w:tr>
      <w:tr w:rsidR="00061CF1">
        <w:tblPrEx>
          <w:tblCellMar>
            <w:top w:w="0" w:type="dxa"/>
            <w:bottom w:w="0" w:type="dxa"/>
          </w:tblCellMar>
        </w:tblPrEx>
        <w:trPr>
          <w:trHeight w:val="189"/>
        </w:trPr>
        <w:tc>
          <w:tcPr>
            <w:tcW w:w="1488" w:type="dxa"/>
            <w:gridSpan w:val="2"/>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Calibri" w:eastAsia="Lucida Sans Unicode" w:hAnsi="Calibri" w:cs="Calibri"/>
                <w:color w:val="000000"/>
                <w:sz w:val="22"/>
                <w:szCs w:val="22"/>
                <w:lang w:eastAsia="es-ES" w:bidi="ar-SA"/>
              </w:rPr>
            </w:pPr>
            <w:r>
              <w:rPr>
                <w:rFonts w:ascii="Calibri" w:eastAsia="Lucida Sans Unicode" w:hAnsi="Calibri" w:cs="Calibri"/>
                <w:color w:val="000000"/>
                <w:sz w:val="22"/>
                <w:szCs w:val="22"/>
                <w:lang w:eastAsia="es-ES" w:bidi="ar-SA"/>
              </w:rPr>
              <w:t> </w:t>
            </w:r>
          </w:p>
        </w:tc>
        <w:tc>
          <w:tcPr>
            <w:tcW w:w="5600"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TOTAL</w:t>
            </w:r>
          </w:p>
        </w:tc>
        <w:tc>
          <w:tcPr>
            <w:tcW w:w="141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Calibri" w:eastAsia="Lucida Sans Unicode" w:hAnsi="Calibri" w:cs="Calibri"/>
                <w:b/>
                <w:bCs/>
                <w:color w:val="000000"/>
                <w:sz w:val="22"/>
                <w:szCs w:val="22"/>
                <w:lang w:eastAsia="es-ES" w:bidi="ar-SA"/>
              </w:rPr>
            </w:pPr>
            <w:r>
              <w:rPr>
                <w:rFonts w:ascii="Calibri" w:eastAsia="Lucida Sans Unicode" w:hAnsi="Calibri" w:cs="Calibri"/>
                <w:b/>
                <w:bCs/>
                <w:color w:val="000000"/>
                <w:sz w:val="22"/>
                <w:szCs w:val="22"/>
                <w:lang w:eastAsia="es-ES" w:bidi="ar-SA"/>
              </w:rPr>
              <w:t>5.862,162,68</w:t>
            </w:r>
          </w:p>
        </w:tc>
      </w:tr>
    </w:tbl>
    <w:p w:rsidR="00061CF1" w:rsidRDefault="00061CF1">
      <w:pPr>
        <w:spacing w:after="120"/>
        <w:jc w:val="center"/>
        <w:textAlignment w:val="auto"/>
        <w:rPr>
          <w:rFonts w:ascii="Arial" w:eastAsia="Lucida Sans Unicode" w:hAnsi="Arial" w:cs="Times New Roman"/>
          <w:b/>
          <w:sz w:val="22"/>
          <w:lang w:bidi="ar-SA"/>
        </w:rPr>
      </w:pPr>
    </w:p>
    <w:p w:rsidR="00061CF1" w:rsidRDefault="00061CF1">
      <w:pPr>
        <w:spacing w:after="120"/>
        <w:jc w:val="center"/>
        <w:textAlignment w:val="auto"/>
        <w:rPr>
          <w:rFonts w:ascii="Arial" w:eastAsia="Lucida Sans Unicode" w:hAnsi="Arial" w:cs="Times New Roman"/>
          <w:b/>
          <w:sz w:val="22"/>
          <w:lang w:bidi="ar-SA"/>
        </w:rPr>
      </w:pPr>
    </w:p>
    <w:p w:rsidR="00061CF1" w:rsidRDefault="00061CF1">
      <w:pPr>
        <w:spacing w:after="120"/>
        <w:jc w:val="center"/>
        <w:textAlignment w:val="auto"/>
        <w:rPr>
          <w:rFonts w:ascii="Arial" w:eastAsia="Lucida Sans Unicode" w:hAnsi="Arial" w:cs="Times New Roman"/>
          <w:b/>
          <w:sz w:val="22"/>
          <w:lang w:bidi="ar-SA"/>
        </w:rPr>
      </w:pPr>
    </w:p>
    <w:p w:rsidR="00061CF1" w:rsidRDefault="00061CF1">
      <w:pPr>
        <w:spacing w:after="120"/>
        <w:jc w:val="center"/>
        <w:textAlignment w:val="auto"/>
        <w:rPr>
          <w:rFonts w:ascii="Arial" w:eastAsia="Lucida Sans Unicode" w:hAnsi="Arial" w:cs="Times New Roman"/>
          <w:b/>
          <w:sz w:val="22"/>
          <w:lang w:bidi="ar-SA"/>
        </w:rPr>
      </w:pPr>
    </w:p>
    <w:p w:rsidR="00061CF1" w:rsidRDefault="004E6D5A">
      <w:pPr>
        <w:tabs>
          <w:tab w:val="left" w:pos="0"/>
        </w:tabs>
        <w:suppressAutoHyphens w:val="0"/>
        <w:jc w:val="both"/>
        <w:textAlignment w:val="auto"/>
      </w:pPr>
      <w:r>
        <w:rPr>
          <w:rFonts w:ascii="Arial" w:eastAsia="Lucida Sans Unicode" w:hAnsi="Arial" w:cs="Arial"/>
          <w:b/>
          <w:color w:val="000000"/>
          <w:sz w:val="22"/>
          <w:szCs w:val="22"/>
          <w:lang w:bidi="ar-SA"/>
        </w:rPr>
        <w:tab/>
        <w:t>SEGUNDO.-</w:t>
      </w:r>
      <w:r>
        <w:rPr>
          <w:rFonts w:ascii="Arial" w:eastAsia="Lucida Sans Unicode" w:hAnsi="Arial" w:cs="Arial"/>
          <w:b/>
          <w:sz w:val="22"/>
          <w:szCs w:val="22"/>
          <w:lang w:bidi="ar-SA"/>
        </w:rPr>
        <w:t xml:space="preserve"> </w:t>
      </w:r>
      <w:r>
        <w:rPr>
          <w:rFonts w:ascii="Arial" w:eastAsia="Lucida Sans Unicode" w:hAnsi="Arial" w:cs="Arial"/>
          <w:b/>
          <w:color w:val="000000"/>
          <w:sz w:val="22"/>
          <w:szCs w:val="22"/>
          <w:lang w:bidi="ar-SA"/>
        </w:rPr>
        <w:t>Exponer este expediente al público mediante anuncio publicado</w:t>
      </w:r>
      <w:r>
        <w:rPr>
          <w:rFonts w:ascii="Arial" w:eastAsia="Lucida Sans Unicode" w:hAnsi="Arial" w:cs="Arial"/>
          <w:b/>
          <w:color w:val="000000"/>
          <w:sz w:val="22"/>
          <w:szCs w:val="22"/>
          <w:lang w:bidi="ar-SA"/>
        </w:rPr>
        <w:t xml:space="preserve"> en el Boletín Oficial de la Provincia, por 15 días, durante los cuales los interesados podrán examinarlo y presentar reclamaciones ante el Pleno.</w:t>
      </w:r>
    </w:p>
    <w:p w:rsidR="00061CF1" w:rsidRDefault="004E6D5A">
      <w:pPr>
        <w:tabs>
          <w:tab w:val="left" w:pos="0"/>
        </w:tabs>
        <w:suppressAutoHyphens w:val="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ab/>
      </w:r>
    </w:p>
    <w:p w:rsidR="00061CF1" w:rsidRDefault="004E6D5A">
      <w:pPr>
        <w:tabs>
          <w:tab w:val="left" w:pos="0"/>
        </w:tabs>
        <w:suppressAutoHyphens w:val="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ab/>
      </w:r>
    </w:p>
    <w:p w:rsidR="00061CF1" w:rsidRDefault="00061CF1">
      <w:pPr>
        <w:tabs>
          <w:tab w:val="left" w:pos="0"/>
        </w:tabs>
        <w:suppressAutoHyphens w:val="0"/>
        <w:jc w:val="both"/>
        <w:textAlignment w:val="auto"/>
        <w:rPr>
          <w:rFonts w:ascii="Arial" w:eastAsia="Lucida Sans Unicode" w:hAnsi="Arial" w:cs="Arial"/>
          <w:b/>
          <w:color w:val="000000"/>
          <w:sz w:val="22"/>
          <w:szCs w:val="22"/>
          <w:lang w:bidi="ar-SA"/>
        </w:rPr>
      </w:pPr>
    </w:p>
    <w:p w:rsidR="00061CF1" w:rsidRDefault="004E6D5A">
      <w:pPr>
        <w:tabs>
          <w:tab w:val="left" w:pos="0"/>
        </w:tabs>
        <w:suppressAutoHyphens w:val="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ab/>
        <w:t>TERCERO.- El expediente se considerará definitivamente aprobado si durante el citado plazo no se hubies</w:t>
      </w:r>
      <w:r>
        <w:rPr>
          <w:rFonts w:ascii="Arial" w:eastAsia="Lucida Sans Unicode" w:hAnsi="Arial" w:cs="Arial"/>
          <w:b/>
          <w:color w:val="000000"/>
          <w:sz w:val="22"/>
          <w:szCs w:val="22"/>
          <w:lang w:bidi="ar-SA"/>
        </w:rPr>
        <w:t>en presentado reclamaciones, en caso contrario el Pleno dispondrá de un mes para resolverlas. El expediente definitivamente aprobado, será insertado en el boletín oficial de la provincia.</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b/>
          <w:lang w:bidi="ar-SA"/>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4E6D5A">
      <w:pPr>
        <w:pStyle w:val="Textoindependiente"/>
        <w:jc w:val="both"/>
      </w:pPr>
      <w:r>
        <w:rPr>
          <w:rFonts w:cs="Arial"/>
          <w:b/>
        </w:rPr>
        <w:t xml:space="preserve">6.- </w:t>
      </w:r>
      <w:r>
        <w:rPr>
          <w:rFonts w:cs="Arial"/>
          <w:b/>
          <w:color w:val="000000"/>
          <w:sz w:val="24"/>
          <w:u w:val="single"/>
          <w:shd w:val="clear" w:color="auto" w:fill="F5F7F9"/>
        </w:rPr>
        <w:t>Expediente 10000/2025</w:t>
      </w:r>
      <w:r>
        <w:rPr>
          <w:rFonts w:cs="Arial"/>
          <w:b/>
          <w:color w:val="000000"/>
          <w:sz w:val="24"/>
          <w:shd w:val="clear" w:color="auto" w:fill="F5F7F9"/>
        </w:rPr>
        <w:t xml:space="preserve">. Propuesta del Concejal </w:t>
      </w:r>
      <w:r>
        <w:rPr>
          <w:rFonts w:cs="Arial"/>
          <w:b/>
          <w:color w:val="000000"/>
          <w:sz w:val="24"/>
          <w:shd w:val="clear" w:color="auto" w:fill="F5F7F9"/>
        </w:rPr>
        <w:t>delegado de Hacienda al Pleno de aprobación inicial del expediente de modificación presupuestaria por suplementos de créditos financiado con Remanente de Tesorería para gastos generales, por una cantidad total de 522.523,17 euros.</w:t>
      </w:r>
    </w:p>
    <w:p w:rsidR="00061CF1" w:rsidRDefault="004E6D5A">
      <w:pPr>
        <w:spacing w:after="120"/>
        <w:jc w:val="both"/>
        <w:textAlignment w:val="auto"/>
        <w:rPr>
          <w:rFonts w:ascii="Arial" w:eastAsia="Lucida Sans Unicode" w:hAnsi="Arial" w:cs="Arial"/>
          <w:b/>
          <w:color w:val="000000"/>
          <w:shd w:val="clear" w:color="auto" w:fill="F5F7F9"/>
          <w:lang w:bidi="ar-SA"/>
        </w:rPr>
      </w:pPr>
      <w:r>
        <w:rPr>
          <w:rFonts w:ascii="Arial" w:eastAsia="Lucida Sans Unicode" w:hAnsi="Arial" w:cs="Arial"/>
          <w:b/>
          <w:color w:val="000000"/>
          <w:shd w:val="clear" w:color="auto" w:fill="F5F7F9"/>
          <w:lang w:bidi="ar-SA"/>
        </w:rPr>
        <w:t>Consta en el expediente i</w:t>
      </w:r>
      <w:r>
        <w:rPr>
          <w:rFonts w:ascii="Arial" w:eastAsia="Lucida Sans Unicode" w:hAnsi="Arial" w:cs="Arial"/>
          <w:b/>
          <w:color w:val="000000"/>
          <w:shd w:val="clear" w:color="auto" w:fill="F5F7F9"/>
          <w:lang w:bidi="ar-SA"/>
        </w:rPr>
        <w:t>nforme de la Intervención Municipal de fecha que transcrito literalmente dice:</w:t>
      </w: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4E6D5A">
      <w:pPr>
        <w:widowControl/>
        <w:suppressAutoHyphens w:val="0"/>
        <w:spacing w:before="60" w:after="60" w:line="244" w:lineRule="auto"/>
        <w:ind w:firstLine="709"/>
        <w:jc w:val="both"/>
        <w:textAlignment w:val="auto"/>
      </w:pPr>
      <w:r>
        <w:rPr>
          <w:rFonts w:ascii="Arial" w:eastAsia="Lucida Sans Unicode" w:hAnsi="Arial" w:cs="Arial"/>
          <w:spacing w:val="-2"/>
          <w:sz w:val="22"/>
          <w:szCs w:val="22"/>
          <w:lang w:eastAsia="es-ES" w:bidi="ar-SA"/>
        </w:rPr>
        <w:t>Vista la propuesta de la Alcaldesa</w:t>
      </w:r>
      <w:r>
        <w:rPr>
          <w:rFonts w:ascii="Arial" w:eastAsia="Lucida Sans Unicode" w:hAnsi="Arial" w:cs="Times New Roman"/>
          <w:sz w:val="22"/>
          <w:lang w:bidi="ar-SA"/>
        </w:rPr>
        <w:t xml:space="preserve">, </w:t>
      </w:r>
      <w:r>
        <w:rPr>
          <w:rFonts w:ascii="Arial" w:eastAsia="Lucida Sans Unicode" w:hAnsi="Arial" w:cs="Arial"/>
          <w:spacing w:val="-2"/>
          <w:sz w:val="22"/>
          <w:szCs w:val="22"/>
          <w:lang w:eastAsia="es-ES" w:bidi="ar-SA"/>
        </w:rPr>
        <w:t xml:space="preserve">de tramitación de modificación presupuestaria por Suplemento de Créditos financiados con remanantes de Tesorería para Gastos Generales, que </w:t>
      </w:r>
      <w:r>
        <w:rPr>
          <w:rFonts w:ascii="Arial" w:eastAsia="Lucida Sans Unicode" w:hAnsi="Arial" w:cs="Arial"/>
          <w:spacing w:val="-2"/>
          <w:sz w:val="22"/>
          <w:szCs w:val="22"/>
          <w:lang w:eastAsia="es-ES" w:bidi="ar-SA"/>
        </w:rPr>
        <w:t>dice:</w:t>
      </w:r>
    </w:p>
    <w:p w:rsidR="00061CF1" w:rsidRDefault="004E6D5A">
      <w:pPr>
        <w:widowControl/>
        <w:suppressAutoHyphens w:val="0"/>
        <w:autoSpaceDE w:val="0"/>
        <w:spacing w:after="240"/>
        <w:ind w:firstLine="709"/>
        <w:jc w:val="both"/>
        <w:textAlignment w:val="auto"/>
      </w:pPr>
      <w:r>
        <w:rPr>
          <w:rFonts w:ascii="Helvetica" w:eastAsia="Times New Roman" w:hAnsi="Helvetica" w:cs="Helvetica"/>
          <w:kern w:val="0"/>
          <w:sz w:val="22"/>
          <w:szCs w:val="22"/>
          <w:lang w:eastAsia="es-ES" w:bidi="ar-SA"/>
        </w:rPr>
        <w:t xml:space="preserve">“El Ayuntamiento de Candelaria necesita suplementar créditos a los consignados en el Presupuesto vigente </w:t>
      </w:r>
      <w:r>
        <w:rPr>
          <w:rFonts w:ascii="Arial" w:eastAsia="Lucida Sans Unicode" w:hAnsi="Arial" w:cs="Arial"/>
          <w:color w:val="000000"/>
          <w:sz w:val="22"/>
          <w:szCs w:val="22"/>
          <w:lang w:eastAsia="es-ES" w:bidi="ar-SA"/>
        </w:rPr>
        <w:t>para llevar a cabo actuaciones de mejora de instalaciones e infraestructuras municipales, adquisición de equipos informático y modificado calle A</w:t>
      </w:r>
      <w:r>
        <w:rPr>
          <w:rFonts w:ascii="Arial" w:eastAsia="Lucida Sans Unicode" w:hAnsi="Arial" w:cs="Arial"/>
          <w:color w:val="000000"/>
          <w:sz w:val="22"/>
          <w:szCs w:val="22"/>
          <w:lang w:eastAsia="es-ES" w:bidi="ar-SA"/>
        </w:rPr>
        <w:t>mance, según memorias-propuestas presentadas</w:t>
      </w:r>
      <w:r>
        <w:rPr>
          <w:rFonts w:ascii="Helvetica" w:eastAsia="Times New Roman" w:hAnsi="Helvetica" w:cs="Helvetica"/>
          <w:kern w:val="0"/>
          <w:sz w:val="22"/>
          <w:szCs w:val="22"/>
          <w:lang w:eastAsia="es-ES" w:bidi="ar-SA"/>
        </w:rPr>
        <w:t>:</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8"/>
                <w:szCs w:val="18"/>
                <w:lang w:eastAsia="es-ES" w:bidi="ar-SA"/>
              </w:rPr>
            </w:pPr>
            <w:r>
              <w:rPr>
                <w:rFonts w:ascii="Calibri" w:eastAsia="Times New Roman" w:hAnsi="Calibri" w:cs="Calibri"/>
                <w:b/>
                <w:bCs/>
                <w:color w:val="000000"/>
                <w:kern w:val="0"/>
                <w:sz w:val="18"/>
                <w:szCs w:val="18"/>
                <w:lang w:eastAsia="es-ES" w:bidi="ar-SA"/>
              </w:rPr>
              <w:t>Concejalía</w:t>
            </w:r>
          </w:p>
        </w:tc>
        <w:tc>
          <w:tcPr>
            <w:tcW w:w="6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8"/>
                <w:szCs w:val="18"/>
                <w:lang w:eastAsia="es-ES" w:bidi="ar-SA"/>
              </w:rPr>
            </w:pPr>
            <w:r>
              <w:rPr>
                <w:rFonts w:ascii="Calibri" w:eastAsia="Times New Roman" w:hAnsi="Calibri" w:cs="Calibri"/>
                <w:b/>
                <w:bCs/>
                <w:color w:val="000000"/>
                <w:kern w:val="0"/>
                <w:sz w:val="18"/>
                <w:szCs w:val="18"/>
                <w:lang w:eastAsia="es-ES" w:bidi="ar-SA"/>
              </w:rPr>
              <w:t>Descripción</w:t>
            </w:r>
          </w:p>
        </w:tc>
        <w:tc>
          <w:tcPr>
            <w:tcW w:w="123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8"/>
                <w:szCs w:val="18"/>
                <w:lang w:eastAsia="es-ES" w:bidi="ar-SA"/>
              </w:rPr>
            </w:pPr>
            <w:r>
              <w:rPr>
                <w:rFonts w:ascii="Calibri" w:eastAsia="Times New Roman" w:hAnsi="Calibri" w:cs="Calibri"/>
                <w:b/>
                <w:bCs/>
                <w:color w:val="000000"/>
                <w:kern w:val="0"/>
                <w:sz w:val="18"/>
                <w:szCs w:val="18"/>
                <w:lang w:eastAsia="es-ES" w:bidi="ar-SA"/>
              </w:rPr>
              <w:t>Importe</w:t>
            </w:r>
          </w:p>
        </w:tc>
      </w:tr>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Educación</w:t>
            </w:r>
          </w:p>
        </w:tc>
        <w:tc>
          <w:tcPr>
            <w:tcW w:w="6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kern w:val="0"/>
                <w:sz w:val="18"/>
                <w:szCs w:val="18"/>
                <w:lang w:eastAsia="es-ES" w:bidi="ar-SA"/>
              </w:rPr>
              <w:t>Reformas y Mantenimiento Colegios Igueste, Príncipe Felipe, Carmen Álvarez de la Rosa, Araya, Ciclo Formativo Restaurante-Bar</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380.258,25</w:t>
            </w:r>
          </w:p>
        </w:tc>
      </w:tr>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Nuevas Tecnologías</w:t>
            </w:r>
          </w:p>
        </w:tc>
        <w:tc>
          <w:tcPr>
            <w:tcW w:w="6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kern w:val="0"/>
                <w:sz w:val="18"/>
                <w:szCs w:val="18"/>
                <w:lang w:eastAsia="es-ES" w:bidi="ar-SA"/>
              </w:rPr>
              <w:t>Adquisición</w:t>
            </w:r>
            <w:r>
              <w:rPr>
                <w:rFonts w:ascii="Arial" w:eastAsia="Times New Roman" w:hAnsi="Arial" w:cs="Arial"/>
                <w:kern w:val="0"/>
                <w:sz w:val="18"/>
                <w:szCs w:val="18"/>
                <w:lang w:eastAsia="es-ES" w:bidi="ar-SA"/>
              </w:rPr>
              <w:t xml:space="preserve"> 80 Ordenadores</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71.945,94</w:t>
            </w:r>
          </w:p>
        </w:tc>
      </w:tr>
      <w:tr w:rsidR="00061CF1">
        <w:tblPrEx>
          <w:tblCellMar>
            <w:top w:w="0" w:type="dxa"/>
            <w:bottom w:w="0" w:type="dxa"/>
          </w:tblCellMar>
        </w:tblPrEx>
        <w:trPr>
          <w:trHeight w:val="380"/>
        </w:trPr>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Urbanismo</w:t>
            </w:r>
          </w:p>
        </w:tc>
        <w:tc>
          <w:tcPr>
            <w:tcW w:w="6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kern w:val="0"/>
                <w:sz w:val="18"/>
                <w:szCs w:val="18"/>
                <w:lang w:eastAsia="es-ES" w:bidi="ar-SA"/>
              </w:rPr>
              <w:t>Modificado obra Acondicionamiento Calle Amance y Manuel Sabina Coello</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70.318,98</w:t>
            </w:r>
          </w:p>
        </w:tc>
      </w:tr>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8"/>
                <w:szCs w:val="18"/>
                <w:lang w:eastAsia="es-ES" w:bidi="ar-SA"/>
              </w:rPr>
            </w:pPr>
            <w:r>
              <w:rPr>
                <w:rFonts w:ascii="Calibri" w:eastAsia="Times New Roman" w:hAnsi="Calibri" w:cs="Calibri"/>
                <w:color w:val="000000"/>
                <w:kern w:val="0"/>
                <w:sz w:val="18"/>
                <w:szCs w:val="18"/>
                <w:lang w:eastAsia="es-ES" w:bidi="ar-SA"/>
              </w:rPr>
              <w:t> </w:t>
            </w:r>
          </w:p>
        </w:tc>
        <w:tc>
          <w:tcPr>
            <w:tcW w:w="6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
                <w:bCs/>
                <w:color w:val="000000"/>
                <w:kern w:val="0"/>
                <w:sz w:val="18"/>
                <w:szCs w:val="18"/>
                <w:lang w:eastAsia="es-ES" w:bidi="ar-SA"/>
              </w:rPr>
            </w:pPr>
            <w:r>
              <w:rPr>
                <w:rFonts w:ascii="Calibri" w:eastAsia="Times New Roman" w:hAnsi="Calibri" w:cs="Calibri"/>
                <w:b/>
                <w:bCs/>
                <w:color w:val="000000"/>
                <w:kern w:val="0"/>
                <w:sz w:val="18"/>
                <w:szCs w:val="18"/>
                <w:lang w:eastAsia="es-ES" w:bidi="ar-SA"/>
              </w:rPr>
              <w:t>Total</w:t>
            </w:r>
          </w:p>
        </w:tc>
        <w:tc>
          <w:tcPr>
            <w:tcW w:w="123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
                <w:bCs/>
                <w:color w:val="000000"/>
                <w:kern w:val="0"/>
                <w:sz w:val="18"/>
                <w:szCs w:val="18"/>
                <w:lang w:eastAsia="es-ES" w:bidi="ar-SA"/>
              </w:rPr>
            </w:pPr>
            <w:r>
              <w:rPr>
                <w:rFonts w:ascii="Calibri" w:eastAsia="Times New Roman" w:hAnsi="Calibri" w:cs="Calibri"/>
                <w:b/>
                <w:bCs/>
                <w:color w:val="000000"/>
                <w:kern w:val="0"/>
                <w:sz w:val="18"/>
                <w:szCs w:val="18"/>
                <w:lang w:eastAsia="es-ES" w:bidi="ar-SA"/>
              </w:rPr>
              <w:t>522.523,17</w:t>
            </w:r>
          </w:p>
        </w:tc>
      </w:tr>
    </w:tbl>
    <w:p w:rsidR="00061CF1" w:rsidRDefault="004E6D5A">
      <w:pPr>
        <w:widowControl/>
        <w:suppressAutoHyphens w:val="0"/>
        <w:autoSpaceDE w:val="0"/>
        <w:spacing w:after="240"/>
        <w:ind w:firstLine="709"/>
        <w:jc w:val="both"/>
        <w:textAlignment w:val="auto"/>
        <w:rPr>
          <w:rFonts w:ascii="Helvetica" w:eastAsia="Times New Roman" w:hAnsi="Helvetica" w:cs="Helvetica"/>
          <w:kern w:val="0"/>
          <w:sz w:val="22"/>
          <w:szCs w:val="22"/>
          <w:lang w:eastAsia="es-ES" w:bidi="ar-SA"/>
        </w:rPr>
      </w:pPr>
      <w:r>
        <w:rPr>
          <w:rFonts w:ascii="Helvetica" w:eastAsia="Times New Roman" w:hAnsi="Helvetica" w:cs="Helvetica"/>
          <w:kern w:val="0"/>
          <w:sz w:val="22"/>
          <w:szCs w:val="22"/>
          <w:lang w:eastAsia="es-ES" w:bidi="ar-SA"/>
        </w:rPr>
        <w:t xml:space="preserve">Siendo un gasto específico y determinado ante la imposibilidad de demorarlo a ejercicios posteriores, y no habiendo </w:t>
      </w:r>
      <w:r>
        <w:rPr>
          <w:rFonts w:ascii="Helvetica" w:eastAsia="Times New Roman" w:hAnsi="Helvetica" w:cs="Helvetica"/>
          <w:kern w:val="0"/>
          <w:sz w:val="22"/>
          <w:szCs w:val="22"/>
          <w:lang w:eastAsia="es-ES" w:bidi="ar-SA"/>
        </w:rPr>
        <w:t>crédito suficiente en las aplicaciones presupuestarias.</w:t>
      </w:r>
    </w:p>
    <w:p w:rsidR="00061CF1" w:rsidRDefault="00061CF1">
      <w:pPr>
        <w:widowControl/>
        <w:suppressAutoHyphens w:val="0"/>
        <w:autoSpaceDE w:val="0"/>
        <w:spacing w:after="240"/>
        <w:ind w:firstLine="709"/>
        <w:jc w:val="both"/>
        <w:textAlignment w:val="auto"/>
        <w:rPr>
          <w:rFonts w:ascii="Helvetica" w:eastAsia="Times New Roman" w:hAnsi="Helvetica" w:cs="Helvetica"/>
          <w:kern w:val="0"/>
          <w:sz w:val="22"/>
          <w:szCs w:val="22"/>
          <w:lang w:eastAsia="es-ES" w:bidi="ar-SA"/>
        </w:rPr>
      </w:pPr>
    </w:p>
    <w:p w:rsidR="00061CF1" w:rsidRDefault="004E6D5A">
      <w:pPr>
        <w:widowControl/>
        <w:suppressAutoHyphens w:val="0"/>
        <w:autoSpaceDE w:val="0"/>
        <w:spacing w:after="240"/>
        <w:ind w:firstLine="709"/>
        <w:jc w:val="both"/>
        <w:textAlignment w:val="auto"/>
      </w:pPr>
      <w:r>
        <w:rPr>
          <w:rFonts w:ascii="Helvetica" w:eastAsia="Times New Roman" w:hAnsi="Helvetica" w:cs="Helvetica"/>
          <w:b/>
          <w:bCs/>
          <w:kern w:val="0"/>
          <w:sz w:val="22"/>
          <w:szCs w:val="22"/>
          <w:lang w:eastAsia="es-ES" w:bidi="ar-SA"/>
        </w:rPr>
        <w:t>SE PROPONE:</w:t>
      </w:r>
    </w:p>
    <w:p w:rsidR="00061CF1" w:rsidRDefault="004E6D5A">
      <w:pPr>
        <w:widowControl/>
        <w:suppressAutoHyphens w:val="0"/>
        <w:autoSpaceDE w:val="0"/>
        <w:spacing w:after="240"/>
        <w:ind w:firstLine="709"/>
        <w:jc w:val="both"/>
        <w:textAlignment w:val="auto"/>
      </w:pPr>
      <w:r>
        <w:rPr>
          <w:rFonts w:ascii="Helvetica" w:eastAsia="Times New Roman" w:hAnsi="Helvetica" w:cs="Helvetica"/>
          <w:kern w:val="0"/>
          <w:sz w:val="22"/>
          <w:szCs w:val="22"/>
          <w:lang w:eastAsia="es-ES" w:bidi="ar-SA"/>
        </w:rPr>
        <w:t xml:space="preserve">Único: Tramitar expediente </w:t>
      </w:r>
      <w:r>
        <w:rPr>
          <w:rFonts w:ascii="Helvetica" w:eastAsia="Times New Roman" w:hAnsi="Helvetica" w:cs="Helvetica"/>
          <w:b/>
          <w:kern w:val="0"/>
          <w:sz w:val="22"/>
          <w:szCs w:val="22"/>
          <w:lang w:eastAsia="es-ES" w:bidi="ar-SA"/>
        </w:rPr>
        <w:t>10.000/2025</w:t>
      </w:r>
      <w:r>
        <w:rPr>
          <w:rFonts w:ascii="Helvetica" w:eastAsia="Times New Roman" w:hAnsi="Helvetica" w:cs="Helvetica"/>
          <w:kern w:val="0"/>
          <w:sz w:val="22"/>
          <w:szCs w:val="22"/>
          <w:lang w:eastAsia="es-ES" w:bidi="ar-SA"/>
        </w:rPr>
        <w:t xml:space="preserve"> de modificación presupuestaria por </w:t>
      </w:r>
      <w:r>
        <w:rPr>
          <w:rFonts w:ascii="Helvetica" w:eastAsia="Times New Roman" w:hAnsi="Helvetica" w:cs="Helvetica"/>
          <w:b/>
          <w:kern w:val="0"/>
          <w:sz w:val="22"/>
          <w:szCs w:val="22"/>
          <w:lang w:eastAsia="es-ES" w:bidi="ar-SA"/>
        </w:rPr>
        <w:t xml:space="preserve">Suplementos de Créditos </w:t>
      </w:r>
      <w:r>
        <w:rPr>
          <w:rFonts w:ascii="Helvetica" w:eastAsia="Times New Roman" w:hAnsi="Helvetica" w:cs="Helvetica"/>
          <w:kern w:val="0"/>
          <w:sz w:val="22"/>
          <w:szCs w:val="22"/>
          <w:lang w:eastAsia="es-ES" w:bidi="ar-SA"/>
        </w:rPr>
        <w:t>financiado con Remanente de Tesorería para gastos generales, por una cantidad total de</w:t>
      </w:r>
      <w:r>
        <w:rPr>
          <w:rFonts w:ascii="Helvetica" w:eastAsia="Times New Roman" w:hAnsi="Helvetica" w:cs="Helvetica"/>
          <w:b/>
          <w:kern w:val="0"/>
          <w:sz w:val="22"/>
          <w:szCs w:val="22"/>
          <w:lang w:eastAsia="es-ES" w:bidi="ar-SA"/>
        </w:rPr>
        <w:t xml:space="preserve"> </w:t>
      </w:r>
      <w:r>
        <w:rPr>
          <w:rFonts w:ascii="Helvetica" w:eastAsia="Times New Roman" w:hAnsi="Helvetica" w:cs="Helvetica"/>
          <w:b/>
          <w:kern w:val="0"/>
          <w:sz w:val="22"/>
          <w:szCs w:val="22"/>
          <w:lang w:eastAsia="es-ES" w:bidi="ar-SA"/>
        </w:rPr>
        <w:t>522.523,17 euros</w:t>
      </w:r>
      <w:r>
        <w:rPr>
          <w:rFonts w:ascii="Helvetica" w:eastAsia="Times New Roman" w:hAnsi="Helvetica" w:cs="Helvetica"/>
          <w:kern w:val="0"/>
          <w:sz w:val="22"/>
          <w:szCs w:val="22"/>
          <w:lang w:eastAsia="es-ES" w:bidi="ar-SA"/>
        </w:rPr>
        <w:t>, de acuerdo al siguiente detalle:</w:t>
      </w:r>
    </w:p>
    <w:p w:rsidR="00061CF1" w:rsidRDefault="00061CF1">
      <w:pPr>
        <w:widowControl/>
        <w:suppressAutoHyphens w:val="0"/>
        <w:autoSpaceDE w:val="0"/>
        <w:spacing w:after="240"/>
        <w:ind w:firstLine="709"/>
        <w:jc w:val="both"/>
        <w:textAlignment w:val="auto"/>
        <w:rPr>
          <w:rFonts w:ascii="Helvetica" w:eastAsia="Times New Roman" w:hAnsi="Helvetica" w:cs="Helvetica"/>
          <w:kern w:val="0"/>
          <w:sz w:val="22"/>
          <w:szCs w:val="22"/>
          <w:lang w:eastAsia="es-ES" w:bidi="ar-SA"/>
        </w:rPr>
      </w:pPr>
    </w:p>
    <w:p w:rsidR="00061CF1" w:rsidRDefault="00061CF1">
      <w:pPr>
        <w:widowControl/>
        <w:suppressAutoHyphens w:val="0"/>
        <w:autoSpaceDE w:val="0"/>
        <w:spacing w:after="240"/>
        <w:ind w:firstLine="709"/>
        <w:jc w:val="both"/>
        <w:textAlignment w:val="auto"/>
        <w:rPr>
          <w:rFonts w:ascii="Helvetica" w:eastAsia="Times New Roman" w:hAnsi="Helvetica" w:cs="Helvetica"/>
          <w:kern w:val="0"/>
          <w:sz w:val="22"/>
          <w:szCs w:val="22"/>
          <w:lang w:eastAsia="es-ES" w:bidi="ar-SA"/>
        </w:rPr>
      </w:pP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Proyecto de Gasto P.25.2.38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Aplicación</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Descripción</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Importe</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6"/>
                <w:szCs w:val="16"/>
                <w:lang w:eastAsia="es-ES" w:bidi="ar-SA"/>
              </w:rPr>
            </w:pPr>
            <w:r>
              <w:rPr>
                <w:rFonts w:ascii="Calibri" w:eastAsia="Times New Roman" w:hAnsi="Calibri" w:cs="Calibri"/>
                <w:color w:val="000000"/>
                <w:kern w:val="0"/>
                <w:sz w:val="16"/>
                <w:szCs w:val="16"/>
                <w:lang w:eastAsia="es-ES" w:bidi="ar-SA"/>
              </w:rPr>
              <w:t>32300.21200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caps/>
                <w:kern w:val="0"/>
                <w:sz w:val="16"/>
                <w:szCs w:val="16"/>
                <w:lang w:eastAsia="es-ES" w:bidi="ar-SA"/>
              </w:rPr>
              <w:t>R.M.C Edificios y otras construcciones</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color w:val="000000"/>
                <w:kern w:val="0"/>
                <w:sz w:val="16"/>
                <w:szCs w:val="16"/>
                <w:lang w:eastAsia="es-ES" w:bidi="ar-SA"/>
              </w:rPr>
            </w:pPr>
            <w:r>
              <w:rPr>
                <w:rFonts w:ascii="Calibri" w:eastAsia="Times New Roman" w:hAnsi="Calibri" w:cs="Calibri"/>
                <w:color w:val="000000"/>
                <w:kern w:val="0"/>
                <w:sz w:val="16"/>
                <w:szCs w:val="16"/>
                <w:lang w:eastAsia="es-ES" w:bidi="ar-SA"/>
              </w:rPr>
              <w:t>380.258,25</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49200.62600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Arial" w:eastAsia="Times New Roman" w:hAnsi="Arial" w:cs="Arial"/>
                <w:caps/>
                <w:color w:val="000000"/>
                <w:kern w:val="0"/>
                <w:sz w:val="16"/>
                <w:szCs w:val="16"/>
                <w:lang w:eastAsia="es-ES" w:bidi="ar-SA"/>
              </w:rPr>
            </w:pPr>
            <w:r>
              <w:rPr>
                <w:rFonts w:ascii="Arial" w:eastAsia="Times New Roman" w:hAnsi="Arial" w:cs="Arial"/>
                <w:caps/>
                <w:color w:val="000000"/>
                <w:kern w:val="0"/>
                <w:sz w:val="16"/>
                <w:szCs w:val="16"/>
                <w:lang w:eastAsia="es-ES" w:bidi="ar-SA"/>
              </w:rPr>
              <w:t>Equipos procesos de Información</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color w:val="000000"/>
                <w:kern w:val="0"/>
                <w:sz w:val="16"/>
                <w:szCs w:val="16"/>
                <w:lang w:eastAsia="es-ES" w:bidi="ar-SA"/>
              </w:rPr>
            </w:pPr>
            <w:r>
              <w:rPr>
                <w:rFonts w:ascii="Calibri" w:eastAsia="Times New Roman" w:hAnsi="Calibri" w:cs="Calibri"/>
                <w:color w:val="000000"/>
                <w:kern w:val="0"/>
                <w:sz w:val="16"/>
                <w:szCs w:val="16"/>
                <w:lang w:eastAsia="es-ES" w:bidi="ar-SA"/>
              </w:rPr>
              <w:t>71.945,94</w:t>
            </w:r>
          </w:p>
        </w:tc>
      </w:tr>
      <w:tr w:rsidR="00061CF1">
        <w:tblPrEx>
          <w:tblCellMar>
            <w:top w:w="0" w:type="dxa"/>
            <w:bottom w:w="0" w:type="dxa"/>
          </w:tblCellMar>
        </w:tblPrEx>
        <w:trPr>
          <w:trHeight w:val="380"/>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6"/>
                <w:szCs w:val="16"/>
                <w:lang w:eastAsia="es-ES" w:bidi="ar-SA"/>
              </w:rPr>
            </w:pPr>
            <w:r>
              <w:rPr>
                <w:rFonts w:ascii="Calibri" w:eastAsia="Times New Roman" w:hAnsi="Calibri" w:cs="Calibri"/>
                <w:color w:val="000000"/>
                <w:kern w:val="0"/>
                <w:sz w:val="16"/>
                <w:szCs w:val="16"/>
                <w:lang w:eastAsia="es-ES" w:bidi="ar-SA"/>
              </w:rPr>
              <w:t>15320.61910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caps/>
                <w:kern w:val="0"/>
                <w:sz w:val="16"/>
                <w:szCs w:val="16"/>
                <w:lang w:eastAsia="es-ES" w:bidi="ar-SA"/>
              </w:rPr>
              <w:t>Acondicionamiento Calle Amance y Manuel Sabina Coello</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color w:val="000000"/>
                <w:kern w:val="0"/>
                <w:sz w:val="16"/>
                <w:szCs w:val="16"/>
                <w:lang w:eastAsia="es-ES" w:bidi="ar-SA"/>
              </w:rPr>
            </w:pPr>
            <w:r>
              <w:rPr>
                <w:rFonts w:ascii="Calibri" w:eastAsia="Times New Roman" w:hAnsi="Calibri" w:cs="Calibri"/>
                <w:color w:val="000000"/>
                <w:kern w:val="0"/>
                <w:sz w:val="16"/>
                <w:szCs w:val="16"/>
                <w:lang w:eastAsia="es-ES" w:bidi="ar-SA"/>
              </w:rPr>
              <w:t>70.318,98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color w:val="000000"/>
                <w:kern w:val="0"/>
                <w:sz w:val="16"/>
                <w:szCs w:val="16"/>
                <w:lang w:eastAsia="es-ES" w:bidi="ar-SA"/>
              </w:rPr>
            </w:pPr>
            <w:r>
              <w:rPr>
                <w:rFonts w:ascii="Calibri" w:eastAsia="Times New Roman" w:hAnsi="Calibri" w:cs="Calibri"/>
                <w:color w:val="000000"/>
                <w:kern w:val="0"/>
                <w:sz w:val="16"/>
                <w:szCs w:val="16"/>
                <w:lang w:eastAsia="es-ES" w:bidi="ar-SA"/>
              </w:rPr>
              <w:t> </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Total</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522.523,17</w:t>
            </w:r>
          </w:p>
        </w:tc>
      </w:tr>
    </w:tbl>
    <w:p w:rsidR="00061CF1" w:rsidRDefault="004E6D5A">
      <w:pPr>
        <w:widowControl/>
        <w:suppressAutoHyphens w:val="0"/>
        <w:autoSpaceDE w:val="0"/>
        <w:spacing w:after="240"/>
        <w:jc w:val="both"/>
        <w:textAlignment w:val="auto"/>
        <w:rPr>
          <w:rFonts w:ascii="Arial" w:eastAsia="Lucida Sans Unicode" w:hAnsi="Arial" w:cs="Arial"/>
          <w:color w:val="000000"/>
          <w:sz w:val="22"/>
          <w:szCs w:val="22"/>
          <w:lang w:eastAsia="es-ES" w:bidi="ar-SA"/>
        </w:rPr>
      </w:pPr>
      <w:r>
        <w:rPr>
          <w:rFonts w:ascii="Arial" w:eastAsia="Lucida Sans Unicode" w:hAnsi="Arial" w:cs="Arial"/>
          <w:color w:val="000000"/>
          <w:sz w:val="22"/>
          <w:szCs w:val="22"/>
          <w:lang w:eastAsia="es-ES" w:bidi="ar-SA"/>
        </w:rPr>
        <w:t>.“</w:t>
      </w:r>
    </w:p>
    <w:p w:rsidR="00061CF1" w:rsidRDefault="004E6D5A">
      <w:pPr>
        <w:widowControl/>
        <w:suppressAutoHyphens w:val="0"/>
        <w:spacing w:after="160" w:line="244" w:lineRule="auto"/>
        <w:ind w:firstLine="708"/>
        <w:jc w:val="both"/>
        <w:textAlignment w:val="auto"/>
        <w:rPr>
          <w:rFonts w:ascii="Arial" w:eastAsia="Lucida Sans Unicode" w:hAnsi="Arial" w:cs="Arial"/>
          <w:spacing w:val="-2"/>
          <w:sz w:val="22"/>
          <w:szCs w:val="22"/>
          <w:lang w:eastAsia="es-ES" w:bidi="ar-SA"/>
        </w:rPr>
      </w:pPr>
      <w:r>
        <w:rPr>
          <w:rFonts w:ascii="Arial" w:eastAsia="Lucida Sans Unicode" w:hAnsi="Arial" w:cs="Arial"/>
          <w:spacing w:val="-2"/>
          <w:sz w:val="22"/>
          <w:szCs w:val="22"/>
          <w:lang w:eastAsia="es-ES" w:bidi="ar-SA"/>
        </w:rPr>
        <w:t xml:space="preserve">Vista las Memorias, informes técnicos, proyectos de obra y presupuestos, de las actuaciones que se quieren llevar a cabo, en la que se justifican la necesidad y </w:t>
      </w:r>
      <w:r>
        <w:rPr>
          <w:rFonts w:ascii="Arial" w:eastAsia="Lucida Sans Unicode" w:hAnsi="Arial" w:cs="Arial"/>
          <w:spacing w:val="-2"/>
          <w:sz w:val="22"/>
          <w:szCs w:val="22"/>
          <w:lang w:eastAsia="es-ES" w:bidi="ar-SA"/>
        </w:rPr>
        <w:t xml:space="preserve">urgencia de la modificación presupuestaria, requisito que se establece en la base 9ª del Presupuesto General,  y siendo un gasto específico y determinado, ante la imposibilidad de demorarlo a ejercicios posteriores, y no habiendo crédito suficiente en las </w:t>
      </w:r>
      <w:r>
        <w:rPr>
          <w:rFonts w:ascii="Arial" w:eastAsia="Lucida Sans Unicode" w:hAnsi="Arial" w:cs="Arial"/>
          <w:spacing w:val="-2"/>
          <w:sz w:val="22"/>
          <w:szCs w:val="22"/>
          <w:lang w:eastAsia="es-ES" w:bidi="ar-SA"/>
        </w:rPr>
        <w:t>aplicaciones presupuestarias.</w:t>
      </w:r>
    </w:p>
    <w:p w:rsidR="00061CF1" w:rsidRDefault="004E6D5A">
      <w:pPr>
        <w:shd w:val="clear" w:color="auto" w:fill="FFFFFF"/>
        <w:spacing w:before="100" w:after="100"/>
        <w:jc w:val="both"/>
        <w:textAlignment w:val="auto"/>
      </w:pPr>
      <w:r>
        <w:rPr>
          <w:rFonts w:ascii="Arial" w:eastAsia="Lucida Sans Unicode" w:hAnsi="Arial" w:cs="Times New Roman"/>
          <w:b/>
          <w:sz w:val="22"/>
          <w:szCs w:val="22"/>
          <w:lang w:val="es-ES_tradnl" w:bidi="ar-SA"/>
        </w:rPr>
        <w:t xml:space="preserve">PRIMERO. </w:t>
      </w:r>
      <w:r>
        <w:rPr>
          <w:rFonts w:ascii="Arial" w:eastAsia="Lucida Sans Unicode" w:hAnsi="Arial" w:cs="Times New Roman"/>
          <w:sz w:val="22"/>
          <w:lang w:bidi="ar-SA"/>
        </w:rPr>
        <w:t>La legislación aplicable es la siguiente:</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 xml:space="preserve">Los artículos 169, 170 y 172 a 177 del Real Decreto Legislativo 2/2004, de 5 de marzo, por el que se aprueba el Texto Refundido de la Ley Reguladora de las Haciendas Locales. </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Los artículos 34 a 38 del Real Decreto 500/1990, de 20 de abril, por el que se desarrolla el Capítulo I, del Título VI, de la Ley 39/1988, de 28 de diciembre, Reguladora de las Haciendas Locales, en materia de presupuestos.</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Los artículos 3, 4, 11, 12, 13,</w:t>
      </w:r>
      <w:r>
        <w:rPr>
          <w:rFonts w:ascii="Arial" w:eastAsia="Lucida Sans Unicode" w:hAnsi="Arial" w:cs="Times New Roman"/>
          <w:sz w:val="22"/>
          <w:lang w:bidi="ar-SA"/>
        </w:rPr>
        <w:t xml:space="preserve"> 21, 23 y 32 de la Ley Orgánica 2/2012, de 27 de abril, de Estabilidad Presupuestaria y Sostenibilidad Financiera. </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El artículo 16.2 del Real Decreto 1463/2007, de 2 de noviembre, por el que se aprueba el Reglamento de Desarrollo de la Ley 18/2001, de 12 d</w:t>
      </w:r>
      <w:r>
        <w:rPr>
          <w:rFonts w:ascii="Arial" w:eastAsia="Lucida Sans Unicode" w:hAnsi="Arial" w:cs="Times New Roman"/>
          <w:sz w:val="22"/>
          <w:lang w:bidi="ar-SA"/>
        </w:rPr>
        <w:t>e noviembre, de Estabilidad Presupuestaria, en su Aplicación a las Entidades Locales.</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El artículo 22.2.e) de la Ley 7/1985, de 2 de abril, Reguladora de las Bases del Régimen Local.</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La Disposición Adicional 6.ª de la Ley Orgánica 2/2012, de 27 de abril, de</w:t>
      </w:r>
      <w:r>
        <w:rPr>
          <w:rFonts w:ascii="Arial" w:eastAsia="Lucida Sans Unicode" w:hAnsi="Arial" w:cs="Times New Roman"/>
          <w:sz w:val="22"/>
          <w:lang w:bidi="ar-SA"/>
        </w:rPr>
        <w:t xml:space="preserve"> Estabilidad Presupuestaria y Sostenibilidad Financiera.</w:t>
      </w:r>
    </w:p>
    <w:p w:rsidR="00061CF1" w:rsidRDefault="004E6D5A">
      <w:pPr>
        <w:widowControl/>
        <w:numPr>
          <w:ilvl w:val="0"/>
          <w:numId w:val="12"/>
        </w:numPr>
        <w:tabs>
          <w:tab w:val="left" w:pos="-4320"/>
        </w:tabs>
        <w:suppressAutoHyphens w:val="0"/>
        <w:spacing w:before="60" w:after="60"/>
        <w:jc w:val="both"/>
        <w:textAlignment w:val="auto"/>
      </w:pPr>
      <w:r>
        <w:rPr>
          <w:rFonts w:ascii="Arial" w:eastAsia="Lucida Sans Unicode" w:hAnsi="Arial" w:cs="Times New Roman"/>
          <w:sz w:val="22"/>
          <w:lang w:bidi="ar-SA"/>
        </w:rPr>
        <w:t xml:space="preserve"> La Orden EHA/3565/2008, de 3 de diciembre, por la que se aprueba la estructura de presupuestos de las entidades locales. - Resolución de 14 de septiembre de 2009, de la Dirección General de Coordina</w:t>
      </w:r>
      <w:r>
        <w:rPr>
          <w:rFonts w:ascii="Arial" w:eastAsia="Lucida Sans Unicode" w:hAnsi="Arial" w:cs="Times New Roman"/>
          <w:sz w:val="22"/>
          <w:lang w:bidi="ar-SA"/>
        </w:rPr>
        <w:t>ción Financiera con las Comunidades Autónomas y con las Entidades Locales, por la que se Dictan Medidas para el Desarrollo de la Orden EHA/3565/2008, de 3 de diciembre, por la que se Aprueba la Estructura de los Presupuestos de las Entidades Locales</w:t>
      </w:r>
      <w:r>
        <w:rPr>
          <w:rFonts w:ascii="Arial" w:eastAsia="Lucida Sans Unicode" w:hAnsi="Arial" w:cs="Arial"/>
          <w:b/>
          <w:lang w:bidi="ar-SA"/>
        </w:rPr>
        <w:t>.</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La Di</w:t>
      </w:r>
      <w:r>
        <w:rPr>
          <w:rFonts w:ascii="Arial" w:eastAsia="Lucida Sans Unicode" w:hAnsi="Arial" w:cs="Times New Roman"/>
          <w:sz w:val="22"/>
          <w:lang w:bidi="ar-SA"/>
        </w:rPr>
        <w:t xml:space="preserve">sposición Adicional 16.ª del Texto Refundido de la Ley Reguladora de las Haciendas Locales. </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Acuerdo del Congreso de los Diputados del 13 de octubre de 2020, relativo al Objetivo de Estabilidad Presupuestaria, según acuerdo del Consejo de Ministros de 6 de</w:t>
      </w:r>
      <w:r>
        <w:rPr>
          <w:rFonts w:ascii="Arial" w:eastAsia="Lucida Sans Unicode" w:hAnsi="Arial" w:cs="Times New Roman"/>
          <w:sz w:val="22"/>
          <w:lang w:bidi="ar-SA"/>
        </w:rPr>
        <w:t xml:space="preserve"> octubre de 2020 de “Someter a la deliberación del Pleno, a los efectos previstos en los artículos 135.4 de la Constitución y 11.3 de la Ley Orgánica 2/2012, de 27 de abril, de Estabilidad Presupuestaria y Sostenibilidad Financiera y publicar en el Boletín</w:t>
      </w:r>
      <w:r>
        <w:rPr>
          <w:rFonts w:ascii="Arial" w:eastAsia="Lucida Sans Unicode" w:hAnsi="Arial" w:cs="Times New Roman"/>
          <w:sz w:val="22"/>
          <w:lang w:bidi="ar-SA"/>
        </w:rPr>
        <w:t xml:space="preserve"> Oficial de las Cortes Generales.”</w:t>
      </w:r>
    </w:p>
    <w:p w:rsidR="00061CF1" w:rsidRDefault="00061CF1">
      <w:pPr>
        <w:widowControl/>
        <w:tabs>
          <w:tab w:val="left" w:pos="0"/>
        </w:tabs>
        <w:suppressAutoHyphens w:val="0"/>
        <w:jc w:val="both"/>
        <w:textAlignment w:val="auto"/>
        <w:rPr>
          <w:rFonts w:ascii="Arial" w:eastAsia="Lucida Sans Unicode" w:hAnsi="Arial" w:cs="Times New Roman"/>
          <w:sz w:val="22"/>
          <w:lang w:bidi="ar-SA"/>
        </w:rPr>
      </w:pPr>
    </w:p>
    <w:p w:rsidR="00061CF1" w:rsidRDefault="00061CF1">
      <w:pPr>
        <w:widowControl/>
        <w:tabs>
          <w:tab w:val="left" w:pos="0"/>
        </w:tabs>
        <w:suppressAutoHyphens w:val="0"/>
        <w:jc w:val="both"/>
        <w:textAlignment w:val="auto"/>
        <w:rPr>
          <w:rFonts w:ascii="Arial" w:eastAsia="Lucida Sans Unicode" w:hAnsi="Arial" w:cs="Times New Roman"/>
          <w:sz w:val="22"/>
          <w:lang w:bidi="ar-SA"/>
        </w:rPr>
      </w:pPr>
    </w:p>
    <w:p w:rsidR="00061CF1" w:rsidRDefault="00061CF1">
      <w:pPr>
        <w:widowControl/>
        <w:tabs>
          <w:tab w:val="left" w:pos="0"/>
        </w:tabs>
        <w:suppressAutoHyphens w:val="0"/>
        <w:jc w:val="both"/>
        <w:textAlignment w:val="auto"/>
        <w:rPr>
          <w:rFonts w:ascii="Arial" w:eastAsia="Lucida Sans Unicode" w:hAnsi="Arial" w:cs="Times New Roman"/>
          <w:sz w:val="22"/>
          <w:lang w:bidi="ar-SA"/>
        </w:rPr>
      </w:pPr>
    </w:p>
    <w:p w:rsidR="00061CF1" w:rsidRDefault="004E6D5A">
      <w:pPr>
        <w:widowControl/>
        <w:tabs>
          <w:tab w:val="left" w:pos="0"/>
        </w:tabs>
        <w:suppressAutoHyphens w:val="0"/>
        <w:jc w:val="both"/>
        <w:textAlignment w:val="auto"/>
      </w:pPr>
      <w:r>
        <w:rPr>
          <w:rFonts w:ascii="Arial" w:eastAsia="Lucida Sans Unicode" w:hAnsi="Arial" w:cs="Times New Roman"/>
          <w:b/>
          <w:sz w:val="22"/>
          <w:lang w:bidi="ar-SA"/>
        </w:rPr>
        <w:t>SEGUNDO</w:t>
      </w:r>
      <w:r>
        <w:rPr>
          <w:rFonts w:ascii="Arial" w:eastAsia="Lucida Sans Unicode" w:hAnsi="Arial" w:cs="Times New Roman"/>
          <w:sz w:val="22"/>
          <w:lang w:bidi="ar-SA"/>
        </w:rPr>
        <w:t>: Considerando que el artículo 177 del Real Decreto Legislativo 2/2004, de 5 de marzo, por el que se aprueba el texto refundido de la Ley Reguladora de las Haciendas Locales, regula los expedientes de modificaci</w:t>
      </w:r>
      <w:r>
        <w:rPr>
          <w:rFonts w:ascii="Arial" w:eastAsia="Lucida Sans Unicode" w:hAnsi="Arial" w:cs="Times New Roman"/>
          <w:sz w:val="22"/>
          <w:lang w:bidi="ar-SA"/>
        </w:rPr>
        <w:t>ón presupuestaria mediante créditos extraordinarios y suplementos de crédito, al señalar que:</w:t>
      </w:r>
    </w:p>
    <w:p w:rsidR="00061CF1" w:rsidRDefault="004E6D5A">
      <w:pPr>
        <w:widowControl/>
        <w:numPr>
          <w:ilvl w:val="0"/>
          <w:numId w:val="13"/>
        </w:numPr>
        <w:tabs>
          <w:tab w:val="left" w:pos="-4320"/>
        </w:tabs>
        <w:suppressAutoHyphens w:val="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Cuando haya de realizarse algún gasto que no pueda demorarse hasta el ejercicio siguiente, y sea insuficiente en el presupuesto de la corporación el crédito consi</w:t>
      </w:r>
      <w:r>
        <w:rPr>
          <w:rFonts w:ascii="Arial" w:eastAsia="Lucida Sans Unicode" w:hAnsi="Arial" w:cs="Times New Roman"/>
          <w:sz w:val="22"/>
          <w:lang w:bidi="ar-SA"/>
        </w:rPr>
        <w:t xml:space="preserve">gnado, el presidente de la corporación ordenará la incoación del expediente de suplemento de crédito. </w:t>
      </w:r>
    </w:p>
    <w:p w:rsidR="00061CF1" w:rsidRDefault="004E6D5A">
      <w:pPr>
        <w:widowControl/>
        <w:numPr>
          <w:ilvl w:val="0"/>
          <w:numId w:val="13"/>
        </w:numPr>
        <w:tabs>
          <w:tab w:val="left" w:pos="-4320"/>
        </w:tabs>
        <w:suppressAutoHyphens w:val="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El expediente, que habrá de ser previamente informado por la Intervención, se someterá a la aprobación del Pleno de la corporación, con sujeción a los mi</w:t>
      </w:r>
      <w:r>
        <w:rPr>
          <w:rFonts w:ascii="Arial" w:eastAsia="Lucida Sans Unicode" w:hAnsi="Arial" w:cs="Times New Roman"/>
          <w:sz w:val="22"/>
          <w:lang w:bidi="ar-SA"/>
        </w:rPr>
        <w:t xml:space="preserve">smos trámites y requisitos que los presupuestos. Serán, asimismo, de aplicación, las normas sobre información, reclamación y publicidad de los presupuestos a que se refiere el artículo 169 de esta ley. </w:t>
      </w:r>
    </w:p>
    <w:p w:rsidR="00061CF1" w:rsidRDefault="004E6D5A">
      <w:pPr>
        <w:widowControl/>
        <w:numPr>
          <w:ilvl w:val="0"/>
          <w:numId w:val="13"/>
        </w:numPr>
        <w:tabs>
          <w:tab w:val="left" w:pos="-4320"/>
        </w:tabs>
        <w:suppressAutoHyphens w:val="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 xml:space="preserve">El expediente deberá especificar la concreta partida </w:t>
      </w:r>
      <w:r>
        <w:rPr>
          <w:rFonts w:ascii="Arial" w:eastAsia="Lucida Sans Unicode" w:hAnsi="Arial" w:cs="Times New Roman"/>
          <w:sz w:val="22"/>
          <w:lang w:bidi="ar-SA"/>
        </w:rPr>
        <w:t>presupuestaria a incrementar y el medio o recurso que ha de financiar el aumento que se propone.</w:t>
      </w:r>
    </w:p>
    <w:p w:rsidR="00061CF1" w:rsidRDefault="004E6D5A">
      <w:pPr>
        <w:widowControl/>
        <w:numPr>
          <w:ilvl w:val="0"/>
          <w:numId w:val="13"/>
        </w:numPr>
        <w:tabs>
          <w:tab w:val="left" w:pos="-4320"/>
        </w:tabs>
        <w:suppressAutoHyphens w:val="0"/>
        <w:jc w:val="both"/>
        <w:textAlignment w:val="auto"/>
      </w:pPr>
      <w:r>
        <w:rPr>
          <w:rFonts w:ascii="Arial" w:eastAsia="Lucida Sans Unicode" w:hAnsi="Arial" w:cs="Times New Roman"/>
          <w:sz w:val="22"/>
          <w:lang w:bidi="ar-SA"/>
        </w:rPr>
        <w:t>Dicho aumento se financiará con cargo al remanente líquido de tesorería, con nuevos o mayores ingresos recaudados sobre los totales previstos en el presupuesto</w:t>
      </w:r>
      <w:r>
        <w:rPr>
          <w:rFonts w:ascii="Arial" w:eastAsia="Lucida Sans Unicode" w:hAnsi="Arial" w:cs="Times New Roman"/>
          <w:sz w:val="22"/>
          <w:lang w:bidi="ar-SA"/>
        </w:rPr>
        <w:t xml:space="preserve"> corriente, y mediante anulaciones o bajas de créditos de gastos de otras partidas del presupuesto vigente no comprometidos, cuyas dotaciones se estimen reducibles sin perturbación del respectivo servicio. En el expediente se acreditará que los ingresos pr</w:t>
      </w:r>
      <w:r>
        <w:rPr>
          <w:rFonts w:ascii="Arial" w:eastAsia="Lucida Sans Unicode" w:hAnsi="Arial" w:cs="Times New Roman"/>
          <w:sz w:val="22"/>
          <w:lang w:bidi="ar-SA"/>
        </w:rPr>
        <w:t>evistos en el presupuesto vengan efectuándose con normalidad, salvo que aquéllos tengan carácter finalista.</w:t>
      </w:r>
    </w:p>
    <w:p w:rsidR="00061CF1" w:rsidRDefault="00061CF1">
      <w:pPr>
        <w:widowControl/>
        <w:tabs>
          <w:tab w:val="left" w:pos="0"/>
        </w:tabs>
        <w:suppressAutoHyphens w:val="0"/>
        <w:jc w:val="both"/>
        <w:textAlignment w:val="auto"/>
        <w:rPr>
          <w:rFonts w:ascii="Arial" w:eastAsia="Lucida Sans Unicode" w:hAnsi="Arial" w:cs="Times New Roman"/>
          <w:b/>
          <w:sz w:val="22"/>
          <w:lang w:bidi="ar-SA"/>
        </w:rPr>
      </w:pPr>
    </w:p>
    <w:p w:rsidR="00061CF1" w:rsidRDefault="004E6D5A">
      <w:pPr>
        <w:widowControl/>
        <w:tabs>
          <w:tab w:val="left" w:pos="0"/>
        </w:tabs>
        <w:suppressAutoHyphens w:val="0"/>
        <w:jc w:val="both"/>
        <w:textAlignment w:val="auto"/>
      </w:pPr>
      <w:r>
        <w:rPr>
          <w:rFonts w:ascii="Arial" w:eastAsia="Lucida Sans Unicode" w:hAnsi="Arial" w:cs="Times New Roman"/>
          <w:b/>
          <w:sz w:val="22"/>
          <w:lang w:bidi="ar-SA"/>
        </w:rPr>
        <w:t>TERCERO:</w:t>
      </w:r>
      <w:r>
        <w:rPr>
          <w:rFonts w:ascii="Arial" w:eastAsia="Lucida Sans Unicode" w:hAnsi="Arial" w:cs="Times New Roman"/>
          <w:sz w:val="22"/>
          <w:lang w:bidi="ar-SA"/>
        </w:rPr>
        <w:t xml:space="preserve"> Vista la Liquidación del Presupuesto general 2024, aprobada por </w:t>
      </w:r>
      <w:r>
        <w:rPr>
          <w:rFonts w:ascii="Arial" w:eastAsia="Lucida Sans Unicode" w:hAnsi="Arial" w:cs="Times New Roman"/>
          <w:b/>
          <w:sz w:val="22"/>
          <w:lang w:bidi="ar-SA"/>
        </w:rPr>
        <w:t xml:space="preserve">decreto 2017/2025 </w:t>
      </w:r>
      <w:r>
        <w:rPr>
          <w:rFonts w:ascii="Arial" w:eastAsia="Lucida Sans Unicode" w:hAnsi="Arial" w:cs="Times New Roman"/>
          <w:sz w:val="22"/>
          <w:lang w:bidi="ar-SA"/>
        </w:rPr>
        <w:t>de 26/06/2025, donde se aprueba un Remanente de Tesorerí</w:t>
      </w:r>
      <w:r>
        <w:rPr>
          <w:rFonts w:ascii="Arial" w:eastAsia="Lucida Sans Unicode" w:hAnsi="Arial" w:cs="Times New Roman"/>
          <w:sz w:val="22"/>
          <w:lang w:bidi="ar-SA"/>
        </w:rPr>
        <w:t xml:space="preserve">a para gastos Generales (RTGG) por un importe de </w:t>
      </w:r>
      <w:r>
        <w:rPr>
          <w:rFonts w:ascii="Arial" w:eastAsia="Lucida Sans Unicode" w:hAnsi="Arial" w:cs="Times New Roman"/>
          <w:b/>
          <w:sz w:val="22"/>
          <w:lang w:bidi="ar-SA"/>
        </w:rPr>
        <w:t>30.666.333,16€</w:t>
      </w:r>
      <w:r>
        <w:rPr>
          <w:rFonts w:ascii="Arial" w:eastAsia="Lucida Sans Unicode" w:hAnsi="Arial" w:cs="Times New Roman"/>
          <w:sz w:val="22"/>
          <w:lang w:bidi="ar-SA"/>
        </w:rPr>
        <w:t>.</w:t>
      </w:r>
    </w:p>
    <w:p w:rsidR="00061CF1" w:rsidRDefault="004E6D5A">
      <w:pPr>
        <w:widowControl/>
        <w:tabs>
          <w:tab w:val="left" w:pos="0"/>
        </w:tabs>
        <w:suppressAutoHyphens w:val="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ab/>
      </w:r>
    </w:p>
    <w:p w:rsidR="00061CF1" w:rsidRDefault="004E6D5A">
      <w:pPr>
        <w:widowControl/>
        <w:tabs>
          <w:tab w:val="left" w:pos="0"/>
        </w:tabs>
        <w:suppressAutoHyphens w:val="0"/>
        <w:jc w:val="both"/>
        <w:textAlignment w:val="auto"/>
      </w:pPr>
      <w:r>
        <w:rPr>
          <w:rFonts w:ascii="Arial" w:eastAsia="Lucida Sans Unicode" w:hAnsi="Arial" w:cs="Times New Roman"/>
          <w:sz w:val="22"/>
          <w:lang w:bidi="ar-SA"/>
        </w:rPr>
        <w:tab/>
        <w:t>Visto Expediente 6629/2025 de Incorporación de Créditos financiados con RTGG, por un importe total de 8.095.399,23€</w:t>
      </w:r>
    </w:p>
    <w:p w:rsidR="00061CF1" w:rsidRDefault="004E6D5A">
      <w:pPr>
        <w:widowControl/>
        <w:tabs>
          <w:tab w:val="left" w:pos="0"/>
        </w:tabs>
        <w:suppressAutoHyphens w:val="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ab/>
        <w:t>Visto Expediente 7148/2025 de Créditos Extraordinarios RTGG, por un imp</w:t>
      </w:r>
      <w:r>
        <w:rPr>
          <w:rFonts w:ascii="Arial" w:eastAsia="Lucida Sans Unicode" w:hAnsi="Arial" w:cs="Times New Roman"/>
          <w:sz w:val="22"/>
          <w:lang w:bidi="ar-SA"/>
        </w:rPr>
        <w:t>orte total de 7.285.320,99€.</w:t>
      </w:r>
    </w:p>
    <w:p w:rsidR="00061CF1" w:rsidRDefault="004E6D5A">
      <w:pPr>
        <w:widowControl/>
        <w:tabs>
          <w:tab w:val="left" w:pos="0"/>
        </w:tabs>
        <w:suppressAutoHyphens w:val="0"/>
        <w:jc w:val="both"/>
        <w:textAlignment w:val="auto"/>
        <w:rPr>
          <w:rFonts w:ascii="Arial" w:eastAsia="Lucida Sans Unicode" w:hAnsi="Arial" w:cs="Times New Roman"/>
          <w:sz w:val="22"/>
          <w:lang w:bidi="ar-SA"/>
        </w:rPr>
      </w:pPr>
      <w:r>
        <w:rPr>
          <w:rFonts w:ascii="Arial" w:eastAsia="Lucida Sans Unicode" w:hAnsi="Arial" w:cs="Times New Roman"/>
          <w:sz w:val="22"/>
          <w:lang w:bidi="ar-SA"/>
        </w:rPr>
        <w:tab/>
        <w:t>Visto Expediente 7161/2025 de Suplementos de Créditos RTGG, por un importe total de 4.538.386,50€.</w:t>
      </w:r>
    </w:p>
    <w:p w:rsidR="00061CF1" w:rsidRDefault="004E6D5A">
      <w:pPr>
        <w:widowControl/>
        <w:tabs>
          <w:tab w:val="left" w:pos="0"/>
        </w:tabs>
        <w:suppressAutoHyphens w:val="0"/>
        <w:jc w:val="both"/>
        <w:textAlignment w:val="auto"/>
      </w:pPr>
      <w:r>
        <w:rPr>
          <w:rFonts w:ascii="Arial" w:eastAsia="Lucida Sans Unicode" w:hAnsi="Arial" w:cs="Times New Roman"/>
          <w:sz w:val="22"/>
          <w:lang w:bidi="ar-SA"/>
        </w:rPr>
        <w:tab/>
        <w:t>Visto Expediente 9614/2025 de Incorporación de Créditos financiados con RTGG, por un importe total de 10.699,20€.</w:t>
      </w:r>
    </w:p>
    <w:p w:rsidR="00061CF1" w:rsidRDefault="004E6D5A">
      <w:pPr>
        <w:widowControl/>
        <w:tabs>
          <w:tab w:val="left" w:pos="0"/>
        </w:tabs>
        <w:suppressAutoHyphens w:val="0"/>
        <w:jc w:val="both"/>
        <w:textAlignment w:val="auto"/>
        <w:rPr>
          <w:rFonts w:ascii="Arial" w:eastAsia="Lucida Sans Unicode" w:hAnsi="Arial" w:cs="Times New Roman"/>
          <w:b/>
          <w:sz w:val="22"/>
          <w:lang w:bidi="ar-SA"/>
        </w:rPr>
      </w:pPr>
      <w:r>
        <w:rPr>
          <w:rFonts w:ascii="Arial" w:eastAsia="Lucida Sans Unicode" w:hAnsi="Arial" w:cs="Times New Roman"/>
          <w:b/>
          <w:sz w:val="22"/>
          <w:lang w:bidi="ar-SA"/>
        </w:rPr>
        <w:tab/>
      </w:r>
    </w:p>
    <w:p w:rsidR="00061CF1" w:rsidRDefault="004E6D5A">
      <w:pPr>
        <w:widowControl/>
        <w:tabs>
          <w:tab w:val="left" w:pos="0"/>
        </w:tabs>
        <w:suppressAutoHyphens w:val="0"/>
        <w:jc w:val="both"/>
        <w:textAlignment w:val="auto"/>
      </w:pPr>
      <w:r>
        <w:rPr>
          <w:rFonts w:ascii="Arial" w:eastAsia="Lucida Sans Unicode" w:hAnsi="Arial" w:cs="Times New Roman"/>
          <w:sz w:val="22"/>
          <w:lang w:bidi="ar-SA"/>
        </w:rPr>
        <w:tab/>
      </w:r>
      <w:r>
        <w:rPr>
          <w:rFonts w:ascii="Arial" w:eastAsia="Lucida Sans Unicode" w:hAnsi="Arial" w:cs="Arial"/>
          <w:sz w:val="22"/>
          <w:szCs w:val="22"/>
          <w:lang w:bidi="ar-SA"/>
        </w:rPr>
        <w:t xml:space="preserve">Queda un </w:t>
      </w:r>
      <w:r>
        <w:rPr>
          <w:rFonts w:ascii="Arial" w:eastAsia="Lucida Sans Unicode" w:hAnsi="Arial" w:cs="Arial"/>
          <w:sz w:val="22"/>
          <w:szCs w:val="22"/>
          <w:lang w:bidi="ar-SA"/>
        </w:rPr>
        <w:t xml:space="preserve">disponible de Remanente de Tesorería para gastos Generales (RTGG) de </w:t>
      </w:r>
      <w:r>
        <w:rPr>
          <w:rFonts w:ascii="Arial" w:eastAsia="Lucida Sans Unicode" w:hAnsi="Arial" w:cs="Arial"/>
          <w:b/>
          <w:sz w:val="22"/>
          <w:szCs w:val="22"/>
          <w:lang w:bidi="ar-SA"/>
        </w:rPr>
        <w:t>10.736.527,24€.</w:t>
      </w:r>
    </w:p>
    <w:p w:rsidR="00061CF1" w:rsidRDefault="004E6D5A">
      <w:pPr>
        <w:widowControl/>
        <w:tabs>
          <w:tab w:val="left" w:pos="0"/>
        </w:tabs>
        <w:suppressAutoHyphens w:val="0"/>
        <w:jc w:val="both"/>
        <w:textAlignment w:val="auto"/>
      </w:pPr>
      <w:r>
        <w:rPr>
          <w:rFonts w:ascii="Arial" w:eastAsia="Lucida Sans Unicode" w:hAnsi="Arial" w:cs="Times New Roman"/>
          <w:b/>
          <w:sz w:val="22"/>
          <w:lang w:bidi="ar-SA"/>
        </w:rPr>
        <w:tab/>
      </w:r>
    </w:p>
    <w:p w:rsidR="00061CF1" w:rsidRDefault="004E6D5A">
      <w:pPr>
        <w:tabs>
          <w:tab w:val="left" w:pos="1289"/>
        </w:tabs>
        <w:spacing w:after="120"/>
        <w:jc w:val="both"/>
        <w:textAlignment w:val="auto"/>
      </w:pPr>
      <w:r>
        <w:rPr>
          <w:rFonts w:ascii="Arial" w:eastAsia="Lucida Sans Unicode" w:hAnsi="Arial" w:cs="Times New Roman"/>
          <w:b/>
          <w:sz w:val="22"/>
          <w:lang w:bidi="ar-SA"/>
        </w:rPr>
        <w:t>CUARTO:</w:t>
      </w:r>
      <w:r>
        <w:rPr>
          <w:rFonts w:ascii="Arial" w:eastAsia="Lucida Sans Unicode" w:hAnsi="Arial" w:cs="Times New Roman"/>
          <w:sz w:val="22"/>
          <w:lang w:bidi="ar-SA"/>
        </w:rPr>
        <w:t xml:space="preserve"> Que el expediente de modificación presupuestaria </w:t>
      </w:r>
      <w:r>
        <w:rPr>
          <w:rFonts w:ascii="Arial" w:eastAsia="Lucida Sans Unicode" w:hAnsi="Arial" w:cs="Times New Roman"/>
          <w:b/>
          <w:sz w:val="22"/>
          <w:lang w:bidi="ar-SA"/>
        </w:rPr>
        <w:t>nº 10.000/2025</w:t>
      </w:r>
      <w:r>
        <w:rPr>
          <w:rFonts w:ascii="Arial" w:eastAsia="Lucida Sans Unicode" w:hAnsi="Arial" w:cs="Arial"/>
          <w:sz w:val="22"/>
          <w:szCs w:val="22"/>
          <w:lang w:bidi="ar-SA"/>
        </w:rPr>
        <w:t xml:space="preserve"> de modificación presupuestaria por</w:t>
      </w:r>
      <w:r>
        <w:rPr>
          <w:rFonts w:ascii="Arial" w:eastAsia="Lucida Sans Unicode" w:hAnsi="Arial" w:cs="Arial"/>
          <w:b/>
          <w:sz w:val="22"/>
          <w:szCs w:val="22"/>
          <w:lang w:bidi="ar-SA"/>
        </w:rPr>
        <w:t xml:space="preserve"> Suplementos de Créditos </w:t>
      </w:r>
      <w:r>
        <w:rPr>
          <w:rFonts w:ascii="Arial" w:eastAsia="Lucida Sans Unicode" w:hAnsi="Arial" w:cs="Arial"/>
          <w:sz w:val="22"/>
          <w:szCs w:val="22"/>
          <w:lang w:bidi="ar-SA"/>
        </w:rPr>
        <w:t xml:space="preserve">financiado con Remanente de Tesorería </w:t>
      </w:r>
      <w:r>
        <w:rPr>
          <w:rFonts w:ascii="Arial" w:eastAsia="Lucida Sans Unicode" w:hAnsi="Arial" w:cs="Arial"/>
          <w:sz w:val="22"/>
          <w:szCs w:val="22"/>
          <w:lang w:bidi="ar-SA"/>
        </w:rPr>
        <w:t>para gastos generales, por una cantidad total de</w:t>
      </w:r>
      <w:r>
        <w:rPr>
          <w:rFonts w:ascii="Arial" w:eastAsia="Lucida Sans Unicode" w:hAnsi="Arial" w:cs="Arial"/>
          <w:b/>
          <w:sz w:val="22"/>
          <w:szCs w:val="22"/>
          <w:lang w:bidi="ar-SA"/>
        </w:rPr>
        <w:t xml:space="preserve"> 522.523,17</w:t>
      </w:r>
      <w:r>
        <w:rPr>
          <w:rFonts w:ascii="Arial" w:eastAsia="Times New Roman" w:hAnsi="Arial" w:cs="Arial"/>
          <w:b/>
          <w:bCs/>
          <w:color w:val="000000"/>
          <w:kern w:val="0"/>
          <w:sz w:val="22"/>
          <w:szCs w:val="22"/>
          <w:lang w:eastAsia="es-ES" w:bidi="ar-SA"/>
        </w:rPr>
        <w:t xml:space="preserve"> </w:t>
      </w:r>
      <w:r>
        <w:rPr>
          <w:rFonts w:ascii="Arial" w:eastAsia="Lucida Sans Unicode" w:hAnsi="Arial" w:cs="Arial"/>
          <w:b/>
          <w:sz w:val="22"/>
          <w:szCs w:val="22"/>
          <w:lang w:bidi="ar-SA"/>
        </w:rPr>
        <w:t>euros</w:t>
      </w:r>
      <w:r>
        <w:rPr>
          <w:rFonts w:ascii="Arial" w:eastAsia="Lucida Sans Unicode" w:hAnsi="Arial" w:cs="Arial"/>
          <w:sz w:val="22"/>
          <w:szCs w:val="22"/>
          <w:lang w:bidi="ar-SA"/>
        </w:rPr>
        <w:t xml:space="preserve">, de acuerdo al siguiente detalle: </w:t>
      </w:r>
    </w:p>
    <w:p w:rsidR="00061CF1" w:rsidRDefault="004E6D5A">
      <w:pPr>
        <w:spacing w:after="120"/>
        <w:jc w:val="center"/>
        <w:textAlignment w:val="auto"/>
        <w:rPr>
          <w:rFonts w:ascii="Arial" w:eastAsia="Lucida Sans Unicode" w:hAnsi="Arial" w:cs="Times New Roman"/>
          <w:b/>
          <w:sz w:val="16"/>
          <w:szCs w:val="16"/>
          <w:lang w:bidi="ar-SA"/>
        </w:rPr>
      </w:pPr>
      <w:r>
        <w:rPr>
          <w:rFonts w:ascii="Arial" w:eastAsia="Lucida Sans Unicode" w:hAnsi="Arial" w:cs="Times New Roman"/>
          <w:b/>
          <w:sz w:val="16"/>
          <w:szCs w:val="16"/>
          <w:lang w:bidi="ar-SA"/>
        </w:rPr>
        <w:t>Estado de Gastos</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Proyecto de Gasto P.25.2.38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Aplicación</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Descripción</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Calibri" w:eastAsia="Times New Roman" w:hAnsi="Calibri" w:cs="Calibri"/>
                <w:b/>
                <w:bCs/>
                <w:color w:val="000000"/>
                <w:kern w:val="0"/>
                <w:sz w:val="16"/>
                <w:szCs w:val="16"/>
                <w:lang w:eastAsia="es-ES" w:bidi="ar-SA"/>
              </w:rPr>
            </w:pPr>
            <w:r>
              <w:rPr>
                <w:rFonts w:ascii="Calibri" w:eastAsia="Times New Roman" w:hAnsi="Calibri" w:cs="Calibri"/>
                <w:b/>
                <w:bCs/>
                <w:color w:val="000000"/>
                <w:kern w:val="0"/>
                <w:sz w:val="16"/>
                <w:szCs w:val="16"/>
                <w:lang w:eastAsia="es-ES" w:bidi="ar-SA"/>
              </w:rPr>
              <w:t>Importe</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32300.21200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caps/>
                <w:kern w:val="0"/>
                <w:sz w:val="16"/>
                <w:szCs w:val="16"/>
                <w:lang w:eastAsia="es-ES" w:bidi="ar-SA"/>
              </w:rPr>
              <w:t>R.M.C Edificios y otras construcciones</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380.258,25</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49200.62600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Arial" w:eastAsia="Times New Roman" w:hAnsi="Arial" w:cs="Arial"/>
                <w:caps/>
                <w:color w:val="000000"/>
                <w:kern w:val="0"/>
                <w:sz w:val="16"/>
                <w:szCs w:val="16"/>
                <w:lang w:eastAsia="es-ES" w:bidi="ar-SA"/>
              </w:rPr>
            </w:pPr>
            <w:r>
              <w:rPr>
                <w:rFonts w:ascii="Arial" w:eastAsia="Times New Roman" w:hAnsi="Arial" w:cs="Arial"/>
                <w:caps/>
                <w:color w:val="000000"/>
                <w:kern w:val="0"/>
                <w:sz w:val="16"/>
                <w:szCs w:val="16"/>
                <w:lang w:eastAsia="es-ES" w:bidi="ar-SA"/>
              </w:rPr>
              <w:t>Equipos procesos de Información</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71.945,94</w:t>
            </w:r>
          </w:p>
        </w:tc>
      </w:tr>
      <w:tr w:rsidR="00061CF1">
        <w:tblPrEx>
          <w:tblCellMar>
            <w:top w:w="0" w:type="dxa"/>
            <w:bottom w:w="0" w:type="dxa"/>
          </w:tblCellMar>
        </w:tblPrEx>
        <w:trPr>
          <w:trHeight w:val="380"/>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15320.61910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pPr>
            <w:r>
              <w:rPr>
                <w:rFonts w:ascii="Arial" w:eastAsia="Times New Roman" w:hAnsi="Arial" w:cs="Arial"/>
                <w:caps/>
                <w:kern w:val="0"/>
                <w:sz w:val="16"/>
                <w:szCs w:val="16"/>
                <w:lang w:eastAsia="es-ES" w:bidi="ar-SA"/>
              </w:rPr>
              <w:t>Acondicionamiento Calle Amance y Manuel Sabina Coello</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70.318,98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 </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Total</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522.523,17</w:t>
            </w:r>
          </w:p>
        </w:tc>
      </w:tr>
    </w:tbl>
    <w:p w:rsidR="00061CF1" w:rsidRDefault="00061CF1">
      <w:pPr>
        <w:spacing w:after="120"/>
        <w:jc w:val="center"/>
        <w:textAlignment w:val="auto"/>
        <w:rPr>
          <w:rFonts w:ascii="Arial" w:eastAsia="Lucida Sans Unicode" w:hAnsi="Arial" w:cs="Times New Roman"/>
          <w:b/>
          <w:bCs/>
          <w:sz w:val="16"/>
          <w:szCs w:val="16"/>
          <w:lang w:bidi="ar-SA"/>
        </w:rPr>
      </w:pPr>
    </w:p>
    <w:p w:rsidR="00061CF1" w:rsidRDefault="00061CF1">
      <w:pPr>
        <w:spacing w:after="120"/>
        <w:jc w:val="center"/>
        <w:textAlignment w:val="auto"/>
        <w:rPr>
          <w:rFonts w:ascii="Arial" w:eastAsia="Lucida Sans Unicode" w:hAnsi="Arial" w:cs="Times New Roman"/>
          <w:b/>
          <w:bCs/>
          <w:sz w:val="16"/>
          <w:szCs w:val="16"/>
          <w:lang w:bidi="ar-SA"/>
        </w:rPr>
      </w:pPr>
    </w:p>
    <w:tbl>
      <w:tblPr>
        <w:tblW w:w="8694" w:type="dxa"/>
        <w:tblInd w:w="70" w:type="dxa"/>
        <w:tblCellMar>
          <w:left w:w="10" w:type="dxa"/>
          <w:right w:w="10" w:type="dxa"/>
        </w:tblCellMar>
        <w:tblLook w:val="0000" w:firstRow="0" w:lastRow="0" w:firstColumn="0" w:lastColumn="0" w:noHBand="0" w:noVBand="0"/>
      </w:tblPr>
      <w:tblGrid>
        <w:gridCol w:w="1435"/>
        <w:gridCol w:w="6047"/>
        <w:gridCol w:w="1212"/>
      </w:tblGrid>
      <w:tr w:rsidR="00061CF1">
        <w:tblPrEx>
          <w:tblCellMar>
            <w:top w:w="0" w:type="dxa"/>
            <w:bottom w:w="0" w:type="dxa"/>
          </w:tblCellMar>
        </w:tblPrEx>
        <w:trPr>
          <w:trHeight w:val="273"/>
        </w:trPr>
        <w:tc>
          <w:tcPr>
            <w:tcW w:w="1435"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kern w:val="0"/>
                <w:sz w:val="16"/>
                <w:szCs w:val="16"/>
                <w:lang w:eastAsia="es-ES" w:bidi="ar-SA"/>
              </w:rPr>
            </w:pPr>
          </w:p>
        </w:tc>
        <w:tc>
          <w:tcPr>
            <w:tcW w:w="6047" w:type="dxa"/>
            <w:shd w:val="clear" w:color="auto" w:fill="auto"/>
            <w:noWrap/>
            <w:tcMar>
              <w:top w:w="0" w:type="dxa"/>
              <w:left w:w="70" w:type="dxa"/>
              <w:bottom w:w="0" w:type="dxa"/>
              <w:right w:w="70" w:type="dxa"/>
            </w:tcMar>
            <w:vAlign w:val="bottom"/>
          </w:tcPr>
          <w:p w:rsidR="00061CF1" w:rsidRDefault="004E6D5A">
            <w:pPr>
              <w:spacing w:after="120"/>
              <w:jc w:val="center"/>
              <w:textAlignment w:val="auto"/>
            </w:pPr>
            <w:r>
              <w:rPr>
                <w:rFonts w:ascii="Arial" w:eastAsia="Lucida Sans Unicode" w:hAnsi="Arial" w:cs="Arial"/>
                <w:b/>
                <w:sz w:val="16"/>
                <w:szCs w:val="16"/>
                <w:lang w:bidi="ar-SA"/>
              </w:rPr>
              <w:t>Estado de Ingresos</w:t>
            </w:r>
          </w:p>
        </w:tc>
        <w:tc>
          <w:tcPr>
            <w:tcW w:w="1212" w:type="dxa"/>
            <w:shd w:val="clear" w:color="auto" w:fill="auto"/>
            <w:noWrap/>
            <w:tcMar>
              <w:top w:w="0" w:type="dxa"/>
              <w:left w:w="70" w:type="dxa"/>
              <w:bottom w:w="0" w:type="dxa"/>
              <w:right w:w="70" w:type="dxa"/>
            </w:tcMar>
            <w:vAlign w:val="bottom"/>
          </w:tcPr>
          <w:p w:rsidR="00061CF1" w:rsidRDefault="00061CF1">
            <w:pPr>
              <w:widowControl/>
              <w:suppressAutoHyphens w:val="0"/>
              <w:textAlignment w:val="auto"/>
              <w:rPr>
                <w:rFonts w:ascii="Arial" w:eastAsia="Times New Roman" w:hAnsi="Arial" w:cs="Arial"/>
                <w:kern w:val="0"/>
                <w:sz w:val="16"/>
                <w:szCs w:val="16"/>
                <w:lang w:eastAsia="es-ES" w:bidi="ar-SA"/>
              </w:rPr>
            </w:pPr>
          </w:p>
        </w:tc>
      </w:tr>
      <w:tr w:rsidR="00061CF1">
        <w:tblPrEx>
          <w:tblCellMar>
            <w:top w:w="0" w:type="dxa"/>
            <w:bottom w:w="0" w:type="dxa"/>
          </w:tblCellMar>
        </w:tblPrEx>
        <w:trPr>
          <w:trHeight w:val="273"/>
        </w:trPr>
        <w:tc>
          <w:tcPr>
            <w:tcW w:w="143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Aplicación</w:t>
            </w:r>
          </w:p>
        </w:tc>
        <w:tc>
          <w:tcPr>
            <w:tcW w:w="604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Descripción</w:t>
            </w:r>
          </w:p>
        </w:tc>
        <w:tc>
          <w:tcPr>
            <w:tcW w:w="1212"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Importe</w:t>
            </w:r>
          </w:p>
        </w:tc>
      </w:tr>
      <w:tr w:rsidR="00061CF1">
        <w:tblPrEx>
          <w:tblCellMar>
            <w:top w:w="0" w:type="dxa"/>
            <w:bottom w:w="0" w:type="dxa"/>
          </w:tblCellMar>
        </w:tblPrEx>
        <w:trPr>
          <w:trHeight w:val="302"/>
        </w:trPr>
        <w:tc>
          <w:tcPr>
            <w:tcW w:w="14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870.00</w:t>
            </w:r>
          </w:p>
        </w:tc>
        <w:tc>
          <w:tcPr>
            <w:tcW w:w="60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 xml:space="preserve">REMANENTE DE TESORERIA PARA GASTOS GENERALES </w:t>
            </w:r>
          </w:p>
        </w:tc>
        <w:tc>
          <w:tcPr>
            <w:tcW w:w="121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widowControl/>
              <w:suppressAutoHyphens w:val="0"/>
              <w:jc w:val="right"/>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522.523,17</w:t>
            </w:r>
          </w:p>
        </w:tc>
      </w:tr>
      <w:tr w:rsidR="00061CF1">
        <w:tblPrEx>
          <w:tblCellMar>
            <w:top w:w="0" w:type="dxa"/>
            <w:bottom w:w="0" w:type="dxa"/>
          </w:tblCellMar>
        </w:tblPrEx>
        <w:trPr>
          <w:trHeight w:val="273"/>
        </w:trPr>
        <w:tc>
          <w:tcPr>
            <w:tcW w:w="143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color w:val="000000"/>
                <w:kern w:val="0"/>
                <w:sz w:val="16"/>
                <w:szCs w:val="16"/>
                <w:lang w:eastAsia="es-ES" w:bidi="ar-SA"/>
              </w:rPr>
            </w:pPr>
            <w:r>
              <w:rPr>
                <w:rFonts w:ascii="Arial" w:eastAsia="Times New Roman" w:hAnsi="Arial" w:cs="Arial"/>
                <w:color w:val="000000"/>
                <w:kern w:val="0"/>
                <w:sz w:val="16"/>
                <w:szCs w:val="16"/>
                <w:lang w:eastAsia="es-ES" w:bidi="ar-SA"/>
              </w:rPr>
              <w:t> </w:t>
            </w:r>
          </w:p>
        </w:tc>
        <w:tc>
          <w:tcPr>
            <w:tcW w:w="604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center"/>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TOTAL</w:t>
            </w:r>
          </w:p>
        </w:tc>
        <w:tc>
          <w:tcPr>
            <w:tcW w:w="121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widowControl/>
              <w:suppressAutoHyphens w:val="0"/>
              <w:jc w:val="right"/>
              <w:textAlignment w:val="auto"/>
              <w:rPr>
                <w:rFonts w:ascii="Arial" w:eastAsia="Times New Roman" w:hAnsi="Arial" w:cs="Arial"/>
                <w:b/>
                <w:bCs/>
                <w:color w:val="000000"/>
                <w:kern w:val="0"/>
                <w:sz w:val="16"/>
                <w:szCs w:val="16"/>
                <w:lang w:eastAsia="es-ES" w:bidi="ar-SA"/>
              </w:rPr>
            </w:pPr>
            <w:r>
              <w:rPr>
                <w:rFonts w:ascii="Arial" w:eastAsia="Times New Roman" w:hAnsi="Arial" w:cs="Arial"/>
                <w:b/>
                <w:bCs/>
                <w:color w:val="000000"/>
                <w:kern w:val="0"/>
                <w:sz w:val="16"/>
                <w:szCs w:val="16"/>
                <w:lang w:eastAsia="es-ES" w:bidi="ar-SA"/>
              </w:rPr>
              <w:t>522.523,17</w:t>
            </w:r>
          </w:p>
        </w:tc>
      </w:tr>
    </w:tbl>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4E6D5A">
      <w:pPr>
        <w:spacing w:after="120"/>
        <w:jc w:val="both"/>
        <w:textAlignment w:val="auto"/>
        <w:rPr>
          <w:rFonts w:ascii="Arial" w:eastAsia="Lucida Sans Unicode" w:hAnsi="Arial" w:cs="Arial"/>
          <w:b/>
          <w:color w:val="000000"/>
          <w:shd w:val="clear" w:color="auto" w:fill="F5F7F9"/>
          <w:lang w:bidi="ar-SA"/>
        </w:rPr>
      </w:pPr>
      <w:r>
        <w:rPr>
          <w:rFonts w:ascii="Arial" w:eastAsia="Lucida Sans Unicode" w:hAnsi="Arial" w:cs="Arial"/>
          <w:b/>
          <w:color w:val="000000"/>
          <w:shd w:val="clear" w:color="auto" w:fill="F5F7F9"/>
          <w:lang w:bidi="ar-SA"/>
        </w:rPr>
        <w:t>Consta en el expediente propuesta del Concejal delegado de Hacienda de 28 de octubre de 2025 que transcrito literalmente dice:</w:t>
      </w:r>
    </w:p>
    <w:p w:rsidR="00061CF1" w:rsidRDefault="004E6D5A">
      <w:pPr>
        <w:autoSpaceDE w:val="0"/>
        <w:spacing w:before="144" w:after="144"/>
        <w:ind w:firstLine="708"/>
        <w:jc w:val="both"/>
        <w:textAlignment w:val="auto"/>
      </w:pPr>
      <w:r>
        <w:rPr>
          <w:rFonts w:ascii="Arial" w:eastAsia="Lucida Sans Unicode" w:hAnsi="Arial" w:cs="Arial"/>
          <w:color w:val="000000"/>
          <w:sz w:val="22"/>
          <w:szCs w:val="22"/>
          <w:lang w:bidi="ar-SA"/>
        </w:rPr>
        <w:t xml:space="preserve">Dado expediente </w:t>
      </w:r>
      <w:r>
        <w:rPr>
          <w:rFonts w:ascii="Arial" w:eastAsia="Lucida Sans Unicode" w:hAnsi="Arial" w:cs="Arial"/>
          <w:b/>
          <w:color w:val="000000"/>
          <w:sz w:val="22"/>
          <w:szCs w:val="22"/>
          <w:lang w:bidi="ar-SA"/>
        </w:rPr>
        <w:t>10.000/2025 de Suplementos de Créditos</w:t>
      </w:r>
      <w:r>
        <w:rPr>
          <w:rFonts w:ascii="Arial" w:eastAsia="Lucida Sans Unicode" w:hAnsi="Arial" w:cs="Arial"/>
          <w:color w:val="000000"/>
          <w:sz w:val="22"/>
          <w:szCs w:val="22"/>
          <w:lang w:bidi="ar-SA"/>
        </w:rPr>
        <w:t xml:space="preserve">, y visto informe de la Intervención </w:t>
      </w:r>
      <w:r>
        <w:rPr>
          <w:rFonts w:ascii="Arial" w:eastAsia="Lucida Sans Unicode" w:hAnsi="Arial" w:cs="Arial"/>
          <w:color w:val="000000"/>
          <w:sz w:val="22"/>
          <w:szCs w:val="22"/>
          <w:lang w:bidi="ar-SA"/>
        </w:rPr>
        <w:t>General que se transcribe a continuación:</w:t>
      </w:r>
    </w:p>
    <w:p w:rsidR="00061CF1" w:rsidRDefault="004E6D5A">
      <w:pPr>
        <w:suppressAutoHyphens w:val="0"/>
        <w:spacing w:before="60" w:after="60" w:line="244" w:lineRule="auto"/>
        <w:ind w:firstLine="709"/>
        <w:jc w:val="both"/>
        <w:textAlignment w:val="auto"/>
      </w:pPr>
      <w:r>
        <w:rPr>
          <w:rFonts w:ascii="Arial" w:eastAsia="Lucida Sans Unicode" w:hAnsi="Arial" w:cs="Arial"/>
          <w:color w:val="000000"/>
          <w:sz w:val="22"/>
          <w:szCs w:val="22"/>
          <w:lang w:bidi="ar-SA"/>
        </w:rPr>
        <w:t>“</w:t>
      </w:r>
      <w:r>
        <w:rPr>
          <w:rFonts w:ascii="Arial" w:eastAsia="Lucida Sans Unicode" w:hAnsi="Arial" w:cs="Arial"/>
          <w:spacing w:val="-2"/>
          <w:sz w:val="22"/>
          <w:szCs w:val="22"/>
          <w:lang w:eastAsia="es-ES" w:bidi="ar-SA"/>
        </w:rPr>
        <w:t>Vista la propuesta de la Alcaldesa</w:t>
      </w:r>
      <w:r>
        <w:rPr>
          <w:rFonts w:ascii="Arial" w:eastAsia="Lucida Sans Unicode" w:hAnsi="Arial" w:cs="Arial"/>
          <w:sz w:val="22"/>
          <w:szCs w:val="22"/>
          <w:lang w:bidi="ar-SA"/>
        </w:rPr>
        <w:t xml:space="preserve">, </w:t>
      </w:r>
      <w:r>
        <w:rPr>
          <w:rFonts w:ascii="Arial" w:eastAsia="Lucida Sans Unicode" w:hAnsi="Arial" w:cs="Arial"/>
          <w:spacing w:val="-2"/>
          <w:sz w:val="22"/>
          <w:szCs w:val="22"/>
          <w:lang w:eastAsia="es-ES" w:bidi="ar-SA"/>
        </w:rPr>
        <w:t>de tramitación de modificación presupuestaria por Suplemento de Créditos financiados con remanantes de Tesorería para Gastos Generales, que dice:</w:t>
      </w:r>
    </w:p>
    <w:p w:rsidR="00061CF1" w:rsidRDefault="004E6D5A">
      <w:pPr>
        <w:suppressAutoHyphens w:val="0"/>
        <w:autoSpaceDE w:val="0"/>
        <w:spacing w:after="240"/>
        <w:ind w:firstLine="709"/>
        <w:jc w:val="both"/>
        <w:textAlignment w:val="auto"/>
      </w:pPr>
      <w:r>
        <w:rPr>
          <w:rFonts w:ascii="Arial" w:eastAsia="Lucida Sans Unicode" w:hAnsi="Arial" w:cs="Arial"/>
          <w:sz w:val="22"/>
          <w:szCs w:val="22"/>
          <w:lang w:eastAsia="es-ES" w:bidi="ar-SA"/>
        </w:rPr>
        <w:t xml:space="preserve">“El Ayuntamiento de Candelaria </w:t>
      </w:r>
      <w:r>
        <w:rPr>
          <w:rFonts w:ascii="Arial" w:eastAsia="Lucida Sans Unicode" w:hAnsi="Arial" w:cs="Arial"/>
          <w:sz w:val="22"/>
          <w:szCs w:val="22"/>
          <w:lang w:eastAsia="es-ES" w:bidi="ar-SA"/>
        </w:rPr>
        <w:t xml:space="preserve">necesita suplementar créditos a los consignados en el Presupuesto vigente </w:t>
      </w:r>
      <w:r>
        <w:rPr>
          <w:rFonts w:ascii="Arial" w:eastAsia="Lucida Sans Unicode" w:hAnsi="Arial" w:cs="Arial"/>
          <w:color w:val="000000"/>
          <w:sz w:val="22"/>
          <w:szCs w:val="22"/>
          <w:lang w:eastAsia="es-ES" w:bidi="ar-SA"/>
        </w:rPr>
        <w:t>para llevar a cabo actuaciones de mejora de instalaciones e infraestructuras municipales, adquisición de equipos informático y modificado calle Amance, según memorias-propuestas pres</w:t>
      </w:r>
      <w:r>
        <w:rPr>
          <w:rFonts w:ascii="Arial" w:eastAsia="Lucida Sans Unicode" w:hAnsi="Arial" w:cs="Arial"/>
          <w:color w:val="000000"/>
          <w:sz w:val="22"/>
          <w:szCs w:val="22"/>
          <w:lang w:eastAsia="es-ES" w:bidi="ar-SA"/>
        </w:rPr>
        <w:t>entadas</w:t>
      </w:r>
      <w:r>
        <w:rPr>
          <w:rFonts w:ascii="Arial" w:eastAsia="Lucida Sans Unicode" w:hAnsi="Arial" w:cs="Arial"/>
          <w:sz w:val="22"/>
          <w:szCs w:val="22"/>
          <w:lang w:eastAsia="es-ES" w:bidi="ar-SA"/>
        </w:rPr>
        <w:t>:</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Concejalía</w:t>
            </w:r>
          </w:p>
        </w:tc>
        <w:tc>
          <w:tcPr>
            <w:tcW w:w="6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3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Educación</w:t>
            </w:r>
          </w:p>
        </w:tc>
        <w:tc>
          <w:tcPr>
            <w:tcW w:w="6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sz w:val="18"/>
                <w:szCs w:val="18"/>
                <w:lang w:eastAsia="es-ES" w:bidi="ar-SA"/>
              </w:rPr>
              <w:t>Reformas y Mantenimiento Colegios Igueste, Príncipe Felipe, Carmen Álvarez de la Rosa, Araya, Ciclo Formativo Restaurante-Bar</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380.258,25</w:t>
            </w:r>
          </w:p>
        </w:tc>
      </w:tr>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Nuevas Tecnologías</w:t>
            </w:r>
          </w:p>
        </w:tc>
        <w:tc>
          <w:tcPr>
            <w:tcW w:w="6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sz w:val="18"/>
                <w:szCs w:val="18"/>
                <w:lang w:eastAsia="es-ES" w:bidi="ar-SA"/>
              </w:rPr>
              <w:t>Adquisición 80 Ordenadores</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71.945,94</w:t>
            </w:r>
          </w:p>
        </w:tc>
      </w:tr>
      <w:tr w:rsidR="00061CF1">
        <w:tblPrEx>
          <w:tblCellMar>
            <w:top w:w="0" w:type="dxa"/>
            <w:bottom w:w="0" w:type="dxa"/>
          </w:tblCellMar>
        </w:tblPrEx>
        <w:trPr>
          <w:trHeight w:val="380"/>
        </w:trPr>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Urbanismo</w:t>
            </w:r>
          </w:p>
        </w:tc>
        <w:tc>
          <w:tcPr>
            <w:tcW w:w="6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sz w:val="18"/>
                <w:szCs w:val="18"/>
                <w:lang w:eastAsia="es-ES" w:bidi="ar-SA"/>
              </w:rPr>
              <w:t>Modificado obra Acondicionamiento Calle Amance y Manuel Sabina Coello</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70.318,98</w:t>
            </w:r>
          </w:p>
        </w:tc>
      </w:tr>
      <w:tr w:rsidR="00061CF1">
        <w:tblPrEx>
          <w:tblCellMar>
            <w:top w:w="0" w:type="dxa"/>
            <w:bottom w:w="0" w:type="dxa"/>
          </w:tblCellMar>
        </w:tblPrEx>
        <w:trPr>
          <w:trHeight w:val="316"/>
        </w:trPr>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3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061CF1">
      <w:pPr>
        <w:suppressAutoHyphens w:val="0"/>
        <w:autoSpaceDE w:val="0"/>
        <w:spacing w:after="240"/>
        <w:ind w:firstLine="709"/>
        <w:jc w:val="both"/>
        <w:textAlignment w:val="auto"/>
        <w:rPr>
          <w:rFonts w:ascii="Arial" w:eastAsia="Lucida Sans Unicode" w:hAnsi="Arial" w:cs="Arial"/>
          <w:sz w:val="22"/>
          <w:szCs w:val="22"/>
          <w:lang w:eastAsia="es-ES" w:bidi="ar-SA"/>
        </w:rPr>
      </w:pPr>
    </w:p>
    <w:p w:rsidR="00061CF1" w:rsidRDefault="004E6D5A">
      <w:pPr>
        <w:suppressAutoHyphens w:val="0"/>
        <w:autoSpaceDE w:val="0"/>
        <w:spacing w:after="240"/>
        <w:ind w:firstLine="709"/>
        <w:jc w:val="both"/>
        <w:textAlignment w:val="auto"/>
        <w:rPr>
          <w:rFonts w:ascii="Arial" w:eastAsia="Lucida Sans Unicode" w:hAnsi="Arial" w:cs="Arial"/>
          <w:sz w:val="22"/>
          <w:szCs w:val="22"/>
          <w:lang w:eastAsia="es-ES" w:bidi="ar-SA"/>
        </w:rPr>
      </w:pPr>
      <w:r>
        <w:rPr>
          <w:rFonts w:ascii="Arial" w:eastAsia="Lucida Sans Unicode" w:hAnsi="Arial" w:cs="Arial"/>
          <w:sz w:val="22"/>
          <w:szCs w:val="22"/>
          <w:lang w:eastAsia="es-ES" w:bidi="ar-SA"/>
        </w:rPr>
        <w:t>Siendo un gasto específico y determinado ante la imposibilidad de demorarlo a ejercicios posteriores, y no habiendo crédito suficiente en las aplicaciones</w:t>
      </w:r>
      <w:r>
        <w:rPr>
          <w:rFonts w:ascii="Arial" w:eastAsia="Lucida Sans Unicode" w:hAnsi="Arial" w:cs="Arial"/>
          <w:sz w:val="22"/>
          <w:szCs w:val="22"/>
          <w:lang w:eastAsia="es-ES" w:bidi="ar-SA"/>
        </w:rPr>
        <w:t xml:space="preserve"> presupuestarias.</w:t>
      </w:r>
    </w:p>
    <w:p w:rsidR="00061CF1" w:rsidRDefault="004E6D5A">
      <w:pPr>
        <w:suppressAutoHyphens w:val="0"/>
        <w:autoSpaceDE w:val="0"/>
        <w:spacing w:after="240"/>
        <w:ind w:firstLine="709"/>
        <w:jc w:val="both"/>
        <w:textAlignment w:val="auto"/>
      </w:pPr>
      <w:r>
        <w:rPr>
          <w:rFonts w:ascii="Arial" w:eastAsia="Lucida Sans Unicode" w:hAnsi="Arial" w:cs="Arial"/>
          <w:b/>
          <w:bCs/>
          <w:sz w:val="22"/>
          <w:szCs w:val="22"/>
          <w:lang w:eastAsia="es-ES" w:bidi="ar-SA"/>
        </w:rPr>
        <w:t>SE PROPONE:</w:t>
      </w:r>
    </w:p>
    <w:p w:rsidR="00061CF1" w:rsidRDefault="004E6D5A">
      <w:pPr>
        <w:suppressAutoHyphens w:val="0"/>
        <w:autoSpaceDE w:val="0"/>
        <w:spacing w:after="240"/>
        <w:ind w:firstLine="709"/>
        <w:jc w:val="both"/>
        <w:textAlignment w:val="auto"/>
      </w:pPr>
      <w:r>
        <w:rPr>
          <w:rFonts w:ascii="Arial" w:eastAsia="Lucida Sans Unicode" w:hAnsi="Arial" w:cs="Arial"/>
          <w:sz w:val="22"/>
          <w:szCs w:val="22"/>
          <w:lang w:eastAsia="es-ES" w:bidi="ar-SA"/>
        </w:rPr>
        <w:t xml:space="preserve">Único: Tramitar expediente </w:t>
      </w:r>
      <w:r>
        <w:rPr>
          <w:rFonts w:ascii="Arial" w:eastAsia="Lucida Sans Unicode" w:hAnsi="Arial" w:cs="Arial"/>
          <w:b/>
          <w:sz w:val="22"/>
          <w:szCs w:val="22"/>
          <w:lang w:eastAsia="es-ES" w:bidi="ar-SA"/>
        </w:rPr>
        <w:t>10.000/2025</w:t>
      </w:r>
      <w:r>
        <w:rPr>
          <w:rFonts w:ascii="Arial" w:eastAsia="Lucida Sans Unicode" w:hAnsi="Arial" w:cs="Arial"/>
          <w:sz w:val="22"/>
          <w:szCs w:val="22"/>
          <w:lang w:eastAsia="es-ES" w:bidi="ar-SA"/>
        </w:rPr>
        <w:t xml:space="preserve"> de modificación presupuestaria por </w:t>
      </w:r>
      <w:r>
        <w:rPr>
          <w:rFonts w:ascii="Arial" w:eastAsia="Lucida Sans Unicode" w:hAnsi="Arial" w:cs="Arial"/>
          <w:b/>
          <w:sz w:val="22"/>
          <w:szCs w:val="22"/>
          <w:lang w:eastAsia="es-ES" w:bidi="ar-SA"/>
        </w:rPr>
        <w:t xml:space="preserve">Suplementos de Créditos </w:t>
      </w:r>
      <w:r>
        <w:rPr>
          <w:rFonts w:ascii="Arial" w:eastAsia="Lucida Sans Unicode" w:hAnsi="Arial" w:cs="Arial"/>
          <w:sz w:val="22"/>
          <w:szCs w:val="22"/>
          <w:lang w:eastAsia="es-ES" w:bidi="ar-SA"/>
        </w:rPr>
        <w:t>financiado con Remanente de Tesorería para gastos generales, por una cantidad total de</w:t>
      </w:r>
      <w:r>
        <w:rPr>
          <w:rFonts w:ascii="Arial" w:eastAsia="Lucida Sans Unicode" w:hAnsi="Arial" w:cs="Arial"/>
          <w:b/>
          <w:sz w:val="22"/>
          <w:szCs w:val="22"/>
          <w:lang w:eastAsia="es-ES" w:bidi="ar-SA"/>
        </w:rPr>
        <w:t xml:space="preserve"> 522.523,17 euros</w:t>
      </w:r>
      <w:r>
        <w:rPr>
          <w:rFonts w:ascii="Arial" w:eastAsia="Lucida Sans Unicode" w:hAnsi="Arial" w:cs="Arial"/>
          <w:sz w:val="22"/>
          <w:szCs w:val="22"/>
          <w:lang w:eastAsia="es-ES" w:bidi="ar-SA"/>
        </w:rPr>
        <w:t>, de acuerdo al siguiente</w:t>
      </w:r>
      <w:r>
        <w:rPr>
          <w:rFonts w:ascii="Arial" w:eastAsia="Lucida Sans Unicode" w:hAnsi="Arial" w:cs="Arial"/>
          <w:sz w:val="22"/>
          <w:szCs w:val="22"/>
          <w:lang w:eastAsia="es-ES" w:bidi="ar-SA"/>
        </w:rPr>
        <w:t xml:space="preserve"> detalle:</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Proyecto de Gasto P.25.2.38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32300.21200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R.M.C Edificios y otras construcciones</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380.258,25</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49200.62600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aps/>
                <w:color w:val="000000"/>
                <w:sz w:val="18"/>
                <w:szCs w:val="18"/>
                <w:lang w:eastAsia="es-ES" w:bidi="ar-SA"/>
              </w:rPr>
            </w:pPr>
            <w:r>
              <w:rPr>
                <w:rFonts w:ascii="Arial" w:eastAsia="Lucida Sans Unicode" w:hAnsi="Arial" w:cs="Arial"/>
                <w:caps/>
                <w:color w:val="000000"/>
                <w:sz w:val="18"/>
                <w:szCs w:val="18"/>
                <w:lang w:eastAsia="es-ES" w:bidi="ar-SA"/>
              </w:rPr>
              <w:t>EQUIPOS PROCESO DE INFORMACIÓN</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71.945,94</w:t>
            </w:r>
          </w:p>
        </w:tc>
      </w:tr>
      <w:tr w:rsidR="00061CF1">
        <w:tblPrEx>
          <w:tblCellMar>
            <w:top w:w="0" w:type="dxa"/>
            <w:bottom w:w="0" w:type="dxa"/>
          </w:tblCellMar>
        </w:tblPrEx>
        <w:trPr>
          <w:trHeight w:val="380"/>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15320.61910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Acondicionamiento Calle Amance y Manuel Sabina Coello</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70.318,98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4E6D5A">
      <w:pPr>
        <w:suppressAutoHyphens w:val="0"/>
        <w:autoSpaceDE w:val="0"/>
        <w:spacing w:after="240"/>
        <w:jc w:val="both"/>
        <w:textAlignment w:val="auto"/>
        <w:rPr>
          <w:rFonts w:ascii="Arial" w:eastAsia="Lucida Sans Unicode" w:hAnsi="Arial" w:cs="Arial"/>
          <w:color w:val="000000"/>
          <w:sz w:val="22"/>
          <w:szCs w:val="22"/>
          <w:lang w:eastAsia="es-ES" w:bidi="ar-SA"/>
        </w:rPr>
      </w:pPr>
      <w:r>
        <w:rPr>
          <w:rFonts w:ascii="Arial" w:eastAsia="Lucida Sans Unicode" w:hAnsi="Arial" w:cs="Arial"/>
          <w:color w:val="000000"/>
          <w:sz w:val="22"/>
          <w:szCs w:val="22"/>
          <w:lang w:eastAsia="es-ES" w:bidi="ar-SA"/>
        </w:rPr>
        <w:t>.“</w:t>
      </w:r>
    </w:p>
    <w:p w:rsidR="00061CF1" w:rsidRDefault="00061CF1">
      <w:pPr>
        <w:suppressAutoHyphens w:val="0"/>
        <w:autoSpaceDE w:val="0"/>
        <w:spacing w:after="240"/>
        <w:jc w:val="both"/>
        <w:textAlignment w:val="auto"/>
        <w:rPr>
          <w:rFonts w:ascii="Arial" w:eastAsia="Lucida Sans Unicode" w:hAnsi="Arial" w:cs="Arial"/>
          <w:color w:val="000000"/>
          <w:sz w:val="22"/>
          <w:szCs w:val="22"/>
          <w:lang w:eastAsia="es-ES" w:bidi="ar-SA"/>
        </w:rPr>
      </w:pPr>
    </w:p>
    <w:p w:rsidR="00061CF1" w:rsidRDefault="004E6D5A">
      <w:pPr>
        <w:suppressAutoHyphens w:val="0"/>
        <w:spacing w:after="160" w:line="244" w:lineRule="auto"/>
        <w:ind w:firstLine="708"/>
        <w:jc w:val="both"/>
        <w:textAlignment w:val="auto"/>
        <w:rPr>
          <w:rFonts w:ascii="Arial" w:eastAsia="Lucida Sans Unicode" w:hAnsi="Arial" w:cs="Arial"/>
          <w:spacing w:val="-2"/>
          <w:sz w:val="22"/>
          <w:szCs w:val="22"/>
          <w:lang w:eastAsia="es-ES" w:bidi="ar-SA"/>
        </w:rPr>
      </w:pPr>
      <w:r>
        <w:rPr>
          <w:rFonts w:ascii="Arial" w:eastAsia="Lucida Sans Unicode" w:hAnsi="Arial" w:cs="Arial"/>
          <w:spacing w:val="-2"/>
          <w:sz w:val="22"/>
          <w:szCs w:val="22"/>
          <w:lang w:eastAsia="es-ES" w:bidi="ar-SA"/>
        </w:rPr>
        <w:t>Vista las Memorias, informes técnicos, proyectos de obra y presupuestos, de las actuaciones que se quieren llevar a cabo, en la que se justifican la necesidad y urgencia de la modificación presupuestaria, requisito que se</w:t>
      </w:r>
      <w:r>
        <w:rPr>
          <w:rFonts w:ascii="Arial" w:eastAsia="Lucida Sans Unicode" w:hAnsi="Arial" w:cs="Arial"/>
          <w:spacing w:val="-2"/>
          <w:sz w:val="22"/>
          <w:szCs w:val="22"/>
          <w:lang w:eastAsia="es-ES" w:bidi="ar-SA"/>
        </w:rPr>
        <w:t xml:space="preserve"> establece en la base 9ª del Presupuesto General,  y siendo un gasto específico y determinado, ante la imposibilidad de demorarlo a ejercicios posteriores, y no habiendo crédito suficiente en las aplicaciones presupuestarias.</w:t>
      </w:r>
    </w:p>
    <w:p w:rsidR="00061CF1" w:rsidRDefault="00061CF1">
      <w:pPr>
        <w:tabs>
          <w:tab w:val="left" w:pos="0"/>
        </w:tabs>
        <w:suppressAutoHyphens w:val="0"/>
        <w:jc w:val="both"/>
        <w:textAlignment w:val="auto"/>
        <w:rPr>
          <w:rFonts w:ascii="Arial" w:eastAsia="Lucida Sans Unicode" w:hAnsi="Arial" w:cs="Arial"/>
          <w:sz w:val="22"/>
          <w:szCs w:val="22"/>
          <w:lang w:val="es-ES_tradnl" w:eastAsia="es-ES" w:bidi="ar-SA"/>
        </w:rPr>
      </w:pPr>
    </w:p>
    <w:p w:rsidR="00061CF1" w:rsidRDefault="004E6D5A">
      <w:pPr>
        <w:tabs>
          <w:tab w:val="left" w:pos="0"/>
        </w:tabs>
        <w:suppressAutoHyphens w:val="0"/>
        <w:spacing w:before="60" w:after="60"/>
        <w:jc w:val="both"/>
        <w:textAlignment w:val="auto"/>
      </w:pPr>
      <w:r>
        <w:rPr>
          <w:rFonts w:ascii="Arial" w:eastAsia="Lucida Sans Unicode" w:hAnsi="Arial" w:cs="Arial"/>
          <w:b/>
          <w:sz w:val="22"/>
          <w:szCs w:val="22"/>
          <w:lang w:bidi="ar-SA"/>
        </w:rPr>
        <w:t>PRIMERO</w:t>
      </w:r>
      <w:r>
        <w:rPr>
          <w:rFonts w:ascii="Arial" w:eastAsia="Lucida Sans Unicode" w:hAnsi="Arial" w:cs="Arial"/>
          <w:sz w:val="22"/>
          <w:szCs w:val="22"/>
          <w:lang w:bidi="ar-SA"/>
        </w:rPr>
        <w:t>. La legislación aplic</w:t>
      </w:r>
      <w:r>
        <w:rPr>
          <w:rFonts w:ascii="Arial" w:eastAsia="Lucida Sans Unicode" w:hAnsi="Arial" w:cs="Arial"/>
          <w:sz w:val="22"/>
          <w:szCs w:val="22"/>
          <w:lang w:bidi="ar-SA"/>
        </w:rPr>
        <w:t>able es la siguiente:</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Los artículos 169, 170 y 172 a 177 del Real Decreto Legislativo 2/2004, de 5 de marzo, por el que se aprueba el Texto Refundido de la Ley Reguladora de las Haciendas Locales. </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Los artículos 34 a 38 del Real Decreto 500/1990, de 20 de </w:t>
      </w:r>
      <w:r>
        <w:rPr>
          <w:rFonts w:ascii="Arial" w:eastAsia="Lucida Sans Unicode" w:hAnsi="Arial" w:cs="Arial"/>
          <w:sz w:val="22"/>
          <w:szCs w:val="22"/>
          <w:lang w:bidi="ar-SA"/>
        </w:rPr>
        <w:t>abril, por el que se desarrolla el Capítulo I, del Título VI, de la Ley 39/1988, de 28 de diciembre, Reguladora de las Haciendas Locales, en materia de presupuestos.</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Los artículos 3, 4, 11, 12, 13, 21, 23 y 32 de la Ley Orgánica 2/2012, de 27 de abril, de </w:t>
      </w:r>
      <w:r>
        <w:rPr>
          <w:rFonts w:ascii="Arial" w:eastAsia="Lucida Sans Unicode" w:hAnsi="Arial" w:cs="Arial"/>
          <w:sz w:val="22"/>
          <w:szCs w:val="22"/>
          <w:lang w:bidi="ar-SA"/>
        </w:rPr>
        <w:t xml:space="preserve">Estabilidad Presupuestaria y Sostenibilidad Financiera. </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El artículo 16.2 del Real Decreto 1463/2007, de 2 de noviembre, por el que se aprueba el Reglamento de Desarrollo de la Ley 18/2001, de 12 de noviembre, de Estabilidad Presupuestaria, en su Aplicació</w:t>
      </w:r>
      <w:r>
        <w:rPr>
          <w:rFonts w:ascii="Arial" w:eastAsia="Lucida Sans Unicode" w:hAnsi="Arial" w:cs="Arial"/>
          <w:sz w:val="22"/>
          <w:szCs w:val="22"/>
          <w:lang w:bidi="ar-SA"/>
        </w:rPr>
        <w:t>n a las Entidades Locales.</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El artículo 22.2.e) de la Ley 7/1985, de 2 de abril, Reguladora de las Bases del Régimen Local.</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La Disposición Adicional 6.ª de la Ley Orgánica 2/2012, de 27 de abril, de Estabilidad Presupuestaria y Sostenibilidad Financiera.</w:t>
      </w:r>
    </w:p>
    <w:p w:rsidR="00061CF1" w:rsidRDefault="004E6D5A">
      <w:pPr>
        <w:widowControl/>
        <w:numPr>
          <w:ilvl w:val="0"/>
          <w:numId w:val="12"/>
        </w:numPr>
        <w:tabs>
          <w:tab w:val="left" w:pos="-4320"/>
        </w:tabs>
        <w:suppressAutoHyphens w:val="0"/>
        <w:spacing w:before="60" w:after="60"/>
        <w:jc w:val="both"/>
        <w:textAlignment w:val="auto"/>
      </w:pPr>
      <w:r>
        <w:rPr>
          <w:rFonts w:ascii="Arial" w:eastAsia="Lucida Sans Unicode" w:hAnsi="Arial" w:cs="Arial"/>
          <w:sz w:val="22"/>
          <w:szCs w:val="22"/>
          <w:lang w:bidi="ar-SA"/>
        </w:rPr>
        <w:t xml:space="preserve"> L</w:t>
      </w:r>
      <w:r>
        <w:rPr>
          <w:rFonts w:ascii="Arial" w:eastAsia="Lucida Sans Unicode" w:hAnsi="Arial" w:cs="Arial"/>
          <w:sz w:val="22"/>
          <w:szCs w:val="22"/>
          <w:lang w:bidi="ar-SA"/>
        </w:rPr>
        <w:t>a Orden EHA/3565/2008, de 3 de diciembre, por la que se aprueba la estructura de presupuestos de las entidades locales. - Resolución de 14 de septiembre de 2009, de la Dirección General de Coordinación Financiera con las Comunidades Autónomas y con las Ent</w:t>
      </w:r>
      <w:r>
        <w:rPr>
          <w:rFonts w:ascii="Arial" w:eastAsia="Lucida Sans Unicode" w:hAnsi="Arial" w:cs="Arial"/>
          <w:sz w:val="22"/>
          <w:szCs w:val="22"/>
          <w:lang w:bidi="ar-SA"/>
        </w:rPr>
        <w:t>idades Locales, por la que se Dictan Medidas para el Desarrollo de la Orden EHA/3565/2008, de 3 de diciembre, por la que se Aprueba la Estructura de los Presupuestos de las Entidades Locales</w:t>
      </w:r>
      <w:r>
        <w:rPr>
          <w:rFonts w:ascii="Arial" w:eastAsia="Lucida Sans Unicode" w:hAnsi="Arial" w:cs="Arial"/>
          <w:b/>
          <w:sz w:val="22"/>
          <w:szCs w:val="22"/>
          <w:lang w:bidi="ar-SA"/>
        </w:rPr>
        <w:t>.</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La Disposición Adicional 16.ª del Texto Refundido de la Ley Regu</w:t>
      </w:r>
      <w:r>
        <w:rPr>
          <w:rFonts w:ascii="Arial" w:eastAsia="Lucida Sans Unicode" w:hAnsi="Arial" w:cs="Arial"/>
          <w:sz w:val="22"/>
          <w:szCs w:val="22"/>
          <w:lang w:bidi="ar-SA"/>
        </w:rPr>
        <w:t xml:space="preserve">ladora de las Haciendas Locales. </w:t>
      </w:r>
    </w:p>
    <w:p w:rsidR="00061CF1" w:rsidRDefault="004E6D5A">
      <w:pPr>
        <w:widowControl/>
        <w:numPr>
          <w:ilvl w:val="0"/>
          <w:numId w:val="12"/>
        </w:numPr>
        <w:tabs>
          <w:tab w:val="left" w:pos="-4320"/>
        </w:tabs>
        <w:suppressAutoHyphens w:val="0"/>
        <w:spacing w:before="60" w:after="6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Acuerdo del Congreso de los Diputados del 13 de octubre de 2020, relativo al Objetivo de Estabilidad Presupuestaria, según acuerdo del Consejo de Ministros de 6 de octubre de 2020 de “Someter a la deliberación del Pleno, a</w:t>
      </w:r>
      <w:r>
        <w:rPr>
          <w:rFonts w:ascii="Arial" w:eastAsia="Lucida Sans Unicode" w:hAnsi="Arial" w:cs="Arial"/>
          <w:sz w:val="22"/>
          <w:szCs w:val="22"/>
          <w:lang w:bidi="ar-SA"/>
        </w:rPr>
        <w:t xml:space="preserve"> los efectos previstos en los artículos 135.4 de la Constitución y 11.3 de la Ley Orgánica 2/2012, de 27 de abril, de Estabilidad Presupuestaria y Sostenibilidad Financiera y publicar en el Boletín Oficial de las Cortes Generales.”</w:t>
      </w:r>
    </w:p>
    <w:p w:rsidR="00061CF1" w:rsidRDefault="00061CF1">
      <w:pPr>
        <w:tabs>
          <w:tab w:val="left" w:pos="0"/>
        </w:tabs>
        <w:suppressAutoHyphens w:val="0"/>
        <w:jc w:val="both"/>
        <w:textAlignment w:val="auto"/>
        <w:rPr>
          <w:rFonts w:ascii="Arial" w:eastAsia="Lucida Sans Unicode" w:hAnsi="Arial" w:cs="Arial"/>
          <w:sz w:val="22"/>
          <w:szCs w:val="22"/>
          <w:lang w:bidi="ar-SA"/>
        </w:rPr>
      </w:pPr>
    </w:p>
    <w:p w:rsidR="00061CF1" w:rsidRDefault="004E6D5A">
      <w:pPr>
        <w:tabs>
          <w:tab w:val="left" w:pos="0"/>
        </w:tabs>
        <w:suppressAutoHyphens w:val="0"/>
        <w:jc w:val="both"/>
        <w:textAlignment w:val="auto"/>
      </w:pPr>
      <w:r>
        <w:rPr>
          <w:rFonts w:ascii="Arial" w:eastAsia="Lucida Sans Unicode" w:hAnsi="Arial" w:cs="Arial"/>
          <w:b/>
          <w:sz w:val="22"/>
          <w:szCs w:val="22"/>
          <w:lang w:bidi="ar-SA"/>
        </w:rPr>
        <w:t>SEGUNDO</w:t>
      </w:r>
      <w:r>
        <w:rPr>
          <w:rFonts w:ascii="Arial" w:eastAsia="Lucida Sans Unicode" w:hAnsi="Arial" w:cs="Arial"/>
          <w:sz w:val="22"/>
          <w:szCs w:val="22"/>
          <w:lang w:bidi="ar-SA"/>
        </w:rPr>
        <w:t xml:space="preserve">: Considerando </w:t>
      </w:r>
      <w:r>
        <w:rPr>
          <w:rFonts w:ascii="Arial" w:eastAsia="Lucida Sans Unicode" w:hAnsi="Arial" w:cs="Arial"/>
          <w:sz w:val="22"/>
          <w:szCs w:val="22"/>
          <w:lang w:bidi="ar-SA"/>
        </w:rPr>
        <w:t>que el artículo 177 del Real Decreto Legislativo 2/2004, de 5 de marzo, por el que se aprueba el texto refundido de la Ley Reguladora de las Haciendas Locales, regula los expedientes de modificación presupuestaria mediante créditos extraordinarios y suplem</w:t>
      </w:r>
      <w:r>
        <w:rPr>
          <w:rFonts w:ascii="Arial" w:eastAsia="Lucida Sans Unicode" w:hAnsi="Arial" w:cs="Arial"/>
          <w:sz w:val="22"/>
          <w:szCs w:val="22"/>
          <w:lang w:bidi="ar-SA"/>
        </w:rPr>
        <w:t>entos de crédito, al señalar que:</w:t>
      </w:r>
    </w:p>
    <w:p w:rsidR="00061CF1" w:rsidRDefault="004E6D5A">
      <w:pPr>
        <w:widowControl/>
        <w:numPr>
          <w:ilvl w:val="0"/>
          <w:numId w:val="13"/>
        </w:numPr>
        <w:tabs>
          <w:tab w:val="left" w:pos="-432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Cuando haya de realizarse algún gasto que no pueda demorarse hasta el ejercicio siguiente, y sea insuficiente en el presupuesto de la corporación el crédito consignado, el presidente de la corporación ordenará la incoación</w:t>
      </w:r>
      <w:r>
        <w:rPr>
          <w:rFonts w:ascii="Arial" w:eastAsia="Lucida Sans Unicode" w:hAnsi="Arial" w:cs="Arial"/>
          <w:sz w:val="22"/>
          <w:szCs w:val="22"/>
          <w:lang w:bidi="ar-SA"/>
        </w:rPr>
        <w:t xml:space="preserve"> del expediente de suplemento de crédito. </w:t>
      </w:r>
    </w:p>
    <w:p w:rsidR="00061CF1" w:rsidRDefault="00061CF1">
      <w:pPr>
        <w:widowControl/>
        <w:tabs>
          <w:tab w:val="left" w:pos="0"/>
        </w:tabs>
        <w:suppressAutoHyphens w:val="0"/>
        <w:ind w:left="720"/>
        <w:jc w:val="both"/>
        <w:textAlignment w:val="auto"/>
        <w:rPr>
          <w:rFonts w:ascii="Arial" w:eastAsia="Lucida Sans Unicode" w:hAnsi="Arial" w:cs="Arial"/>
          <w:sz w:val="22"/>
          <w:szCs w:val="22"/>
          <w:lang w:bidi="ar-SA"/>
        </w:rPr>
      </w:pPr>
    </w:p>
    <w:p w:rsidR="00061CF1" w:rsidRDefault="00061CF1">
      <w:pPr>
        <w:widowControl/>
        <w:tabs>
          <w:tab w:val="left" w:pos="0"/>
        </w:tabs>
        <w:suppressAutoHyphens w:val="0"/>
        <w:ind w:left="720"/>
        <w:jc w:val="both"/>
        <w:textAlignment w:val="auto"/>
        <w:rPr>
          <w:rFonts w:ascii="Arial" w:eastAsia="Lucida Sans Unicode" w:hAnsi="Arial" w:cs="Arial"/>
          <w:sz w:val="22"/>
          <w:szCs w:val="22"/>
          <w:lang w:bidi="ar-SA"/>
        </w:rPr>
      </w:pPr>
    </w:p>
    <w:p w:rsidR="00061CF1" w:rsidRDefault="00061CF1">
      <w:pPr>
        <w:widowControl/>
        <w:tabs>
          <w:tab w:val="left" w:pos="0"/>
        </w:tabs>
        <w:suppressAutoHyphens w:val="0"/>
        <w:ind w:left="720"/>
        <w:jc w:val="both"/>
        <w:textAlignment w:val="auto"/>
        <w:rPr>
          <w:rFonts w:ascii="Arial" w:eastAsia="Lucida Sans Unicode" w:hAnsi="Arial" w:cs="Arial"/>
          <w:sz w:val="22"/>
          <w:szCs w:val="22"/>
          <w:lang w:bidi="ar-SA"/>
        </w:rPr>
      </w:pPr>
    </w:p>
    <w:p w:rsidR="00061CF1" w:rsidRDefault="004E6D5A">
      <w:pPr>
        <w:widowControl/>
        <w:numPr>
          <w:ilvl w:val="0"/>
          <w:numId w:val="13"/>
        </w:numPr>
        <w:tabs>
          <w:tab w:val="left" w:pos="-432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El expediente, que habrá de ser previamente informado por la Intervención, se someterá a la aprobación del Pleno de la corporación, con sujeción a los mismos trámites y requisitos que los presupuestos. Serán, a</w:t>
      </w:r>
      <w:r>
        <w:rPr>
          <w:rFonts w:ascii="Arial" w:eastAsia="Lucida Sans Unicode" w:hAnsi="Arial" w:cs="Arial"/>
          <w:sz w:val="22"/>
          <w:szCs w:val="22"/>
          <w:lang w:bidi="ar-SA"/>
        </w:rPr>
        <w:t xml:space="preserve">simismo, de aplicación, las normas sobre información, reclamación y publicidad de los presupuestos a que se refiere el artículo 169 de esta ley. </w:t>
      </w:r>
    </w:p>
    <w:p w:rsidR="00061CF1" w:rsidRDefault="004E6D5A">
      <w:pPr>
        <w:widowControl/>
        <w:numPr>
          <w:ilvl w:val="0"/>
          <w:numId w:val="13"/>
        </w:numPr>
        <w:tabs>
          <w:tab w:val="left" w:pos="-432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El expediente deberá especificar la concreta partida presupuestaria a incrementar y el medio o recurso que ha </w:t>
      </w:r>
      <w:r>
        <w:rPr>
          <w:rFonts w:ascii="Arial" w:eastAsia="Lucida Sans Unicode" w:hAnsi="Arial" w:cs="Arial"/>
          <w:sz w:val="22"/>
          <w:szCs w:val="22"/>
          <w:lang w:bidi="ar-SA"/>
        </w:rPr>
        <w:t>de financiar el aumento que se propone.</w:t>
      </w:r>
    </w:p>
    <w:p w:rsidR="00061CF1" w:rsidRDefault="004E6D5A">
      <w:pPr>
        <w:widowControl/>
        <w:numPr>
          <w:ilvl w:val="0"/>
          <w:numId w:val="13"/>
        </w:numPr>
        <w:tabs>
          <w:tab w:val="left" w:pos="-4320"/>
        </w:tabs>
        <w:suppressAutoHyphens w:val="0"/>
        <w:jc w:val="both"/>
        <w:textAlignment w:val="auto"/>
      </w:pPr>
      <w:r>
        <w:rPr>
          <w:rFonts w:ascii="Arial" w:eastAsia="Lucida Sans Unicode" w:hAnsi="Arial" w:cs="Arial"/>
          <w:sz w:val="22"/>
          <w:szCs w:val="22"/>
          <w:lang w:bidi="ar-SA"/>
        </w:rPr>
        <w:t>Dicho aumento se financiará con cargo al remanente líquido de tesorería, con nuevos o mayores ingresos recaudados sobre los totales previstos en el presupuesto corriente, y mediante anulaciones o bajas de créditos de</w:t>
      </w:r>
      <w:r>
        <w:rPr>
          <w:rFonts w:ascii="Arial" w:eastAsia="Lucida Sans Unicode" w:hAnsi="Arial" w:cs="Arial"/>
          <w:sz w:val="22"/>
          <w:szCs w:val="22"/>
          <w:lang w:bidi="ar-SA"/>
        </w:rPr>
        <w:t xml:space="preserve"> gastos de otras partidas del presupuesto vigente no comprometidos, cuyas dotaciones se estimen reducibles sin perturbación del respectivo servicio. En el expediente se acreditará que los ingresos previstos en el presupuesto vengan efectuándose con normali</w:t>
      </w:r>
      <w:r>
        <w:rPr>
          <w:rFonts w:ascii="Arial" w:eastAsia="Lucida Sans Unicode" w:hAnsi="Arial" w:cs="Arial"/>
          <w:sz w:val="22"/>
          <w:szCs w:val="22"/>
          <w:lang w:bidi="ar-SA"/>
        </w:rPr>
        <w:t>dad, salvo que aquéllos tengan carácter finalista.</w:t>
      </w: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4E6D5A">
      <w:pPr>
        <w:tabs>
          <w:tab w:val="left" w:pos="0"/>
        </w:tabs>
        <w:suppressAutoHyphens w:val="0"/>
        <w:jc w:val="both"/>
        <w:textAlignment w:val="auto"/>
      </w:pPr>
      <w:r>
        <w:rPr>
          <w:rFonts w:ascii="Arial" w:eastAsia="Lucida Sans Unicode" w:hAnsi="Arial" w:cs="Arial"/>
          <w:b/>
          <w:sz w:val="22"/>
          <w:szCs w:val="22"/>
          <w:lang w:bidi="ar-SA"/>
        </w:rPr>
        <w:t>TERCERO:</w:t>
      </w:r>
      <w:r>
        <w:rPr>
          <w:rFonts w:ascii="Arial" w:eastAsia="Lucida Sans Unicode" w:hAnsi="Arial" w:cs="Arial"/>
          <w:sz w:val="22"/>
          <w:szCs w:val="22"/>
          <w:lang w:bidi="ar-SA"/>
        </w:rPr>
        <w:t xml:space="preserve"> Vista la Liquidación del Presupuesto general 2024, aprobada por </w:t>
      </w:r>
      <w:r>
        <w:rPr>
          <w:rFonts w:ascii="Arial" w:eastAsia="Lucida Sans Unicode" w:hAnsi="Arial" w:cs="Arial"/>
          <w:b/>
          <w:sz w:val="22"/>
          <w:szCs w:val="22"/>
          <w:lang w:bidi="ar-SA"/>
        </w:rPr>
        <w:t xml:space="preserve">decreto 2017/2025 </w:t>
      </w:r>
      <w:r>
        <w:rPr>
          <w:rFonts w:ascii="Arial" w:eastAsia="Lucida Sans Unicode" w:hAnsi="Arial" w:cs="Arial"/>
          <w:sz w:val="22"/>
          <w:szCs w:val="22"/>
          <w:lang w:bidi="ar-SA"/>
        </w:rPr>
        <w:t xml:space="preserve">de 26/06/2025, donde se aprueba un Remanente de Tesorería para gastos Generales (RTGG) por un importe de </w:t>
      </w:r>
      <w:r>
        <w:rPr>
          <w:rFonts w:ascii="Arial" w:eastAsia="Lucida Sans Unicode" w:hAnsi="Arial" w:cs="Arial"/>
          <w:b/>
          <w:sz w:val="22"/>
          <w:szCs w:val="22"/>
          <w:lang w:bidi="ar-SA"/>
        </w:rPr>
        <w:t>30.666.3</w:t>
      </w:r>
      <w:r>
        <w:rPr>
          <w:rFonts w:ascii="Arial" w:eastAsia="Lucida Sans Unicode" w:hAnsi="Arial" w:cs="Arial"/>
          <w:b/>
          <w:sz w:val="22"/>
          <w:szCs w:val="22"/>
          <w:lang w:bidi="ar-SA"/>
        </w:rPr>
        <w:t>33,16€</w:t>
      </w:r>
      <w:r>
        <w:rPr>
          <w:rFonts w:ascii="Arial" w:eastAsia="Lucida Sans Unicode" w:hAnsi="Arial" w:cs="Arial"/>
          <w:sz w:val="22"/>
          <w:szCs w:val="22"/>
          <w:lang w:bidi="ar-SA"/>
        </w:rPr>
        <w:t>.</w:t>
      </w:r>
    </w:p>
    <w:p w:rsidR="00061CF1" w:rsidRDefault="004E6D5A">
      <w:pPr>
        <w:tabs>
          <w:tab w:val="left" w:pos="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
      </w:r>
    </w:p>
    <w:p w:rsidR="00061CF1" w:rsidRDefault="004E6D5A">
      <w:pPr>
        <w:tabs>
          <w:tab w:val="left" w:pos="0"/>
        </w:tabs>
        <w:suppressAutoHyphens w:val="0"/>
        <w:jc w:val="both"/>
        <w:textAlignment w:val="auto"/>
      </w:pPr>
      <w:r>
        <w:rPr>
          <w:rFonts w:ascii="Arial" w:eastAsia="Lucida Sans Unicode" w:hAnsi="Arial" w:cs="Arial"/>
          <w:sz w:val="22"/>
          <w:szCs w:val="22"/>
          <w:lang w:bidi="ar-SA"/>
        </w:rPr>
        <w:tab/>
        <w:t>Visto Expediente 6629/2025 de Incorporación de Créditos financiados con RTGG, por un importe total de 8.095.399,23€</w:t>
      </w:r>
    </w:p>
    <w:p w:rsidR="00061CF1" w:rsidRDefault="004E6D5A">
      <w:pPr>
        <w:tabs>
          <w:tab w:val="left" w:pos="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
        <w:t>Visto Expediente 7148/2025 de Créditos Extraordinarios RTGG, por un importe total de 7.285.320,99€.</w:t>
      </w:r>
    </w:p>
    <w:p w:rsidR="00061CF1" w:rsidRDefault="004E6D5A">
      <w:pPr>
        <w:tabs>
          <w:tab w:val="left" w:pos="0"/>
        </w:tabs>
        <w:suppressAutoHyphens w:val="0"/>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
        <w:t xml:space="preserve">Visto Expediente 7161/2025 </w:t>
      </w:r>
      <w:r>
        <w:rPr>
          <w:rFonts w:ascii="Arial" w:eastAsia="Lucida Sans Unicode" w:hAnsi="Arial" w:cs="Arial"/>
          <w:sz w:val="22"/>
          <w:szCs w:val="22"/>
          <w:lang w:bidi="ar-SA"/>
        </w:rPr>
        <w:t>de Suplementos de Créditos RTGG, por un importe total de 4.538.386,50€.</w:t>
      </w:r>
    </w:p>
    <w:p w:rsidR="00061CF1" w:rsidRDefault="004E6D5A">
      <w:pPr>
        <w:tabs>
          <w:tab w:val="left" w:pos="0"/>
        </w:tabs>
        <w:suppressAutoHyphens w:val="0"/>
        <w:jc w:val="both"/>
        <w:textAlignment w:val="auto"/>
      </w:pPr>
      <w:r>
        <w:rPr>
          <w:rFonts w:ascii="Arial" w:eastAsia="Lucida Sans Unicode" w:hAnsi="Arial" w:cs="Arial"/>
          <w:sz w:val="22"/>
          <w:szCs w:val="22"/>
          <w:lang w:bidi="ar-SA"/>
        </w:rPr>
        <w:tab/>
        <w:t>Visto Expediente 9614/2025 de Incorporación de Créditos financiados con RTGG, por un importe total de 10.699,20€.</w:t>
      </w:r>
    </w:p>
    <w:p w:rsidR="00061CF1" w:rsidRDefault="004E6D5A">
      <w:pPr>
        <w:tabs>
          <w:tab w:val="left" w:pos="0"/>
        </w:tabs>
        <w:suppressAutoHyphens w:val="0"/>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b/>
      </w:r>
    </w:p>
    <w:p w:rsidR="00061CF1" w:rsidRDefault="004E6D5A">
      <w:pPr>
        <w:tabs>
          <w:tab w:val="left" w:pos="0"/>
        </w:tabs>
        <w:suppressAutoHyphens w:val="0"/>
        <w:jc w:val="both"/>
        <w:textAlignment w:val="auto"/>
      </w:pPr>
      <w:r>
        <w:rPr>
          <w:rFonts w:ascii="Arial" w:eastAsia="Lucida Sans Unicode" w:hAnsi="Arial" w:cs="Arial"/>
          <w:sz w:val="22"/>
          <w:szCs w:val="22"/>
          <w:lang w:bidi="ar-SA"/>
        </w:rPr>
        <w:tab/>
        <w:t>Queda un disponible de Remanente de Tesorería para gastos Generale</w:t>
      </w:r>
      <w:r>
        <w:rPr>
          <w:rFonts w:ascii="Arial" w:eastAsia="Lucida Sans Unicode" w:hAnsi="Arial" w:cs="Arial"/>
          <w:sz w:val="22"/>
          <w:szCs w:val="22"/>
          <w:lang w:bidi="ar-SA"/>
        </w:rPr>
        <w:t xml:space="preserve">s (RTGG) de </w:t>
      </w:r>
      <w:r>
        <w:rPr>
          <w:rFonts w:ascii="Arial" w:eastAsia="Lucida Sans Unicode" w:hAnsi="Arial" w:cs="Arial"/>
          <w:b/>
          <w:sz w:val="22"/>
          <w:szCs w:val="22"/>
          <w:lang w:bidi="ar-SA"/>
        </w:rPr>
        <w:t>10.736.527,24€.</w:t>
      </w:r>
    </w:p>
    <w:p w:rsidR="00061CF1" w:rsidRDefault="004E6D5A">
      <w:pPr>
        <w:tabs>
          <w:tab w:val="left" w:pos="0"/>
        </w:tabs>
        <w:suppressAutoHyphens w:val="0"/>
        <w:jc w:val="both"/>
        <w:textAlignment w:val="auto"/>
      </w:pPr>
      <w:r>
        <w:rPr>
          <w:rFonts w:ascii="Arial" w:eastAsia="Lucida Sans Unicode" w:hAnsi="Arial" w:cs="Arial"/>
          <w:b/>
          <w:sz w:val="22"/>
          <w:szCs w:val="22"/>
          <w:lang w:bidi="ar-SA"/>
        </w:rPr>
        <w:tab/>
      </w:r>
    </w:p>
    <w:p w:rsidR="00061CF1" w:rsidRDefault="004E6D5A">
      <w:pPr>
        <w:tabs>
          <w:tab w:val="left" w:pos="1289"/>
        </w:tabs>
        <w:spacing w:after="120"/>
        <w:textAlignment w:val="auto"/>
      </w:pPr>
      <w:r>
        <w:rPr>
          <w:rFonts w:ascii="Arial" w:eastAsia="Lucida Sans Unicode" w:hAnsi="Arial" w:cs="Arial"/>
          <w:b/>
          <w:sz w:val="22"/>
          <w:szCs w:val="22"/>
          <w:lang w:bidi="ar-SA"/>
        </w:rPr>
        <w:t>CUARTO:</w:t>
      </w:r>
      <w:r>
        <w:rPr>
          <w:rFonts w:ascii="Arial" w:eastAsia="Lucida Sans Unicode" w:hAnsi="Arial" w:cs="Arial"/>
          <w:sz w:val="22"/>
          <w:szCs w:val="22"/>
          <w:lang w:bidi="ar-SA"/>
        </w:rPr>
        <w:t xml:space="preserve"> Que el expediente de modificación presupuestaria </w:t>
      </w:r>
      <w:r>
        <w:rPr>
          <w:rFonts w:ascii="Arial" w:eastAsia="Lucida Sans Unicode" w:hAnsi="Arial" w:cs="Arial"/>
          <w:b/>
          <w:sz w:val="22"/>
          <w:szCs w:val="22"/>
          <w:lang w:bidi="ar-SA"/>
        </w:rPr>
        <w:t>nº 10.000/2025</w:t>
      </w:r>
      <w:r>
        <w:rPr>
          <w:rFonts w:ascii="Arial" w:eastAsia="Lucida Sans Unicode" w:hAnsi="Arial" w:cs="Arial"/>
          <w:sz w:val="22"/>
          <w:szCs w:val="22"/>
          <w:lang w:bidi="ar-SA"/>
        </w:rPr>
        <w:t xml:space="preserve"> de modificación presupuestaria por</w:t>
      </w:r>
      <w:r>
        <w:rPr>
          <w:rFonts w:ascii="Arial" w:eastAsia="Lucida Sans Unicode" w:hAnsi="Arial" w:cs="Arial"/>
          <w:b/>
          <w:sz w:val="22"/>
          <w:szCs w:val="22"/>
          <w:lang w:bidi="ar-SA"/>
        </w:rPr>
        <w:t xml:space="preserve"> Suplementos de Créditos </w:t>
      </w:r>
      <w:r>
        <w:rPr>
          <w:rFonts w:ascii="Arial" w:eastAsia="Lucida Sans Unicode" w:hAnsi="Arial" w:cs="Arial"/>
          <w:sz w:val="22"/>
          <w:szCs w:val="22"/>
          <w:lang w:bidi="ar-SA"/>
        </w:rPr>
        <w:t>financiado con Remanente de Tesorería para gastos generales, por una cantidad total de</w:t>
      </w:r>
      <w:r>
        <w:rPr>
          <w:rFonts w:ascii="Arial" w:eastAsia="Lucida Sans Unicode" w:hAnsi="Arial" w:cs="Arial"/>
          <w:b/>
          <w:sz w:val="22"/>
          <w:szCs w:val="22"/>
          <w:lang w:bidi="ar-SA"/>
        </w:rPr>
        <w:t xml:space="preserve"> 522.523,</w:t>
      </w:r>
      <w:r>
        <w:rPr>
          <w:rFonts w:ascii="Arial" w:eastAsia="Lucida Sans Unicode" w:hAnsi="Arial" w:cs="Arial"/>
          <w:b/>
          <w:sz w:val="22"/>
          <w:szCs w:val="22"/>
          <w:lang w:bidi="ar-SA"/>
        </w:rPr>
        <w:t>17</w:t>
      </w:r>
      <w:r>
        <w:rPr>
          <w:rFonts w:ascii="Arial" w:eastAsia="Lucida Sans Unicode" w:hAnsi="Arial" w:cs="Arial"/>
          <w:b/>
          <w:bCs/>
          <w:color w:val="000000"/>
          <w:sz w:val="22"/>
          <w:szCs w:val="22"/>
          <w:lang w:eastAsia="es-ES" w:bidi="ar-SA"/>
        </w:rPr>
        <w:t xml:space="preserve"> </w:t>
      </w:r>
      <w:r>
        <w:rPr>
          <w:rFonts w:ascii="Arial" w:eastAsia="Lucida Sans Unicode" w:hAnsi="Arial" w:cs="Arial"/>
          <w:b/>
          <w:sz w:val="22"/>
          <w:szCs w:val="22"/>
          <w:lang w:bidi="ar-SA"/>
        </w:rPr>
        <w:t>euros</w:t>
      </w:r>
      <w:r>
        <w:rPr>
          <w:rFonts w:ascii="Arial" w:eastAsia="Lucida Sans Unicode" w:hAnsi="Arial" w:cs="Arial"/>
          <w:sz w:val="22"/>
          <w:szCs w:val="22"/>
          <w:lang w:bidi="ar-SA"/>
        </w:rPr>
        <w:t xml:space="preserve">, de acuerdo al siguiente detalle: </w:t>
      </w: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4E6D5A">
      <w:pPr>
        <w:spacing w:after="120"/>
        <w:jc w:val="center"/>
        <w:textAlignment w:val="auto"/>
        <w:rPr>
          <w:rFonts w:ascii="Arial" w:eastAsia="Lucida Sans Unicode" w:hAnsi="Arial" w:cs="Arial"/>
          <w:b/>
          <w:sz w:val="18"/>
          <w:szCs w:val="18"/>
          <w:lang w:bidi="ar-SA"/>
        </w:rPr>
      </w:pPr>
      <w:r>
        <w:rPr>
          <w:rFonts w:ascii="Arial" w:eastAsia="Lucida Sans Unicode" w:hAnsi="Arial" w:cs="Arial"/>
          <w:b/>
          <w:sz w:val="18"/>
          <w:szCs w:val="18"/>
          <w:lang w:bidi="ar-SA"/>
        </w:rPr>
        <w:t>Estado de Gastos</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Proyecto de Gasto P.25.2.38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32300.21200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R.M.C Edificios y otras construcciones</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380.258,25</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49200.62600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aps/>
                <w:color w:val="000000"/>
                <w:sz w:val="18"/>
                <w:szCs w:val="18"/>
                <w:lang w:eastAsia="es-ES" w:bidi="ar-SA"/>
              </w:rPr>
            </w:pPr>
            <w:r>
              <w:rPr>
                <w:rFonts w:ascii="Arial" w:eastAsia="Lucida Sans Unicode" w:hAnsi="Arial" w:cs="Arial"/>
                <w:caps/>
                <w:color w:val="000000"/>
                <w:sz w:val="18"/>
                <w:szCs w:val="18"/>
                <w:lang w:eastAsia="es-ES" w:bidi="ar-SA"/>
              </w:rPr>
              <w:t>EQUIPOS PROCESO DE INFORMACIÓN</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71.945,94</w:t>
            </w:r>
          </w:p>
        </w:tc>
      </w:tr>
      <w:tr w:rsidR="00061CF1">
        <w:tblPrEx>
          <w:tblCellMar>
            <w:top w:w="0" w:type="dxa"/>
            <w:bottom w:w="0" w:type="dxa"/>
          </w:tblCellMar>
        </w:tblPrEx>
        <w:trPr>
          <w:trHeight w:val="380"/>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15320.61910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Acondicionamiento Calle Amance y Manuel Sabina Coello</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70.318,98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061CF1">
      <w:pPr>
        <w:spacing w:after="120"/>
        <w:jc w:val="center"/>
        <w:textAlignment w:val="auto"/>
        <w:rPr>
          <w:rFonts w:ascii="Arial" w:eastAsia="Lucida Sans Unicode" w:hAnsi="Arial" w:cs="Arial"/>
          <w:b/>
          <w:bCs/>
          <w:sz w:val="22"/>
          <w:szCs w:val="22"/>
          <w:lang w:bidi="ar-SA"/>
        </w:rPr>
      </w:pPr>
    </w:p>
    <w:tbl>
      <w:tblPr>
        <w:tblW w:w="8694" w:type="dxa"/>
        <w:tblInd w:w="70" w:type="dxa"/>
        <w:tblCellMar>
          <w:left w:w="10" w:type="dxa"/>
          <w:right w:w="10" w:type="dxa"/>
        </w:tblCellMar>
        <w:tblLook w:val="0000" w:firstRow="0" w:lastRow="0" w:firstColumn="0" w:lastColumn="0" w:noHBand="0" w:noVBand="0"/>
      </w:tblPr>
      <w:tblGrid>
        <w:gridCol w:w="1435"/>
        <w:gridCol w:w="6047"/>
        <w:gridCol w:w="1212"/>
      </w:tblGrid>
      <w:tr w:rsidR="00061CF1">
        <w:tblPrEx>
          <w:tblCellMar>
            <w:top w:w="0" w:type="dxa"/>
            <w:bottom w:w="0" w:type="dxa"/>
          </w:tblCellMar>
        </w:tblPrEx>
        <w:trPr>
          <w:trHeight w:val="273"/>
        </w:trPr>
        <w:tc>
          <w:tcPr>
            <w:tcW w:w="1435"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sz w:val="18"/>
                <w:szCs w:val="18"/>
                <w:lang w:eastAsia="es-ES" w:bidi="ar-SA"/>
              </w:rPr>
            </w:pPr>
          </w:p>
        </w:tc>
        <w:tc>
          <w:tcPr>
            <w:tcW w:w="6047" w:type="dxa"/>
            <w:shd w:val="clear" w:color="auto" w:fill="auto"/>
            <w:noWrap/>
            <w:tcMar>
              <w:top w:w="0" w:type="dxa"/>
              <w:left w:w="70" w:type="dxa"/>
              <w:bottom w:w="0" w:type="dxa"/>
              <w:right w:w="70" w:type="dxa"/>
            </w:tcMar>
            <w:vAlign w:val="bottom"/>
          </w:tcPr>
          <w:p w:rsidR="00061CF1" w:rsidRDefault="004E6D5A">
            <w:pPr>
              <w:spacing w:after="120"/>
              <w:jc w:val="center"/>
              <w:textAlignment w:val="auto"/>
            </w:pPr>
            <w:r>
              <w:rPr>
                <w:rFonts w:ascii="Arial" w:eastAsia="Lucida Sans Unicode" w:hAnsi="Arial" w:cs="Arial"/>
                <w:b/>
                <w:sz w:val="18"/>
                <w:szCs w:val="18"/>
                <w:lang w:bidi="ar-SA"/>
              </w:rPr>
              <w:t>Estado de Ingresos</w:t>
            </w:r>
          </w:p>
        </w:tc>
        <w:tc>
          <w:tcPr>
            <w:tcW w:w="1212"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sz w:val="18"/>
                <w:szCs w:val="18"/>
                <w:lang w:eastAsia="es-ES" w:bidi="ar-SA"/>
              </w:rPr>
            </w:pPr>
          </w:p>
        </w:tc>
      </w:tr>
      <w:tr w:rsidR="00061CF1">
        <w:tblPrEx>
          <w:tblCellMar>
            <w:top w:w="0" w:type="dxa"/>
            <w:bottom w:w="0" w:type="dxa"/>
          </w:tblCellMar>
        </w:tblPrEx>
        <w:trPr>
          <w:trHeight w:val="273"/>
        </w:trPr>
        <w:tc>
          <w:tcPr>
            <w:tcW w:w="143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04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12"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02"/>
        </w:trPr>
        <w:tc>
          <w:tcPr>
            <w:tcW w:w="14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870.00</w:t>
            </w:r>
          </w:p>
        </w:tc>
        <w:tc>
          <w:tcPr>
            <w:tcW w:w="60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xml:space="preserve">REMANENTE DE TESORERIA PARA GASTOS GENERALES </w:t>
            </w:r>
          </w:p>
        </w:tc>
        <w:tc>
          <w:tcPr>
            <w:tcW w:w="121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522.523,17</w:t>
            </w:r>
          </w:p>
        </w:tc>
      </w:tr>
      <w:tr w:rsidR="00061CF1">
        <w:tblPrEx>
          <w:tblCellMar>
            <w:top w:w="0" w:type="dxa"/>
            <w:bottom w:w="0" w:type="dxa"/>
          </w:tblCellMar>
        </w:tblPrEx>
        <w:trPr>
          <w:trHeight w:val="273"/>
        </w:trPr>
        <w:tc>
          <w:tcPr>
            <w:tcW w:w="143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04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1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4E6D5A">
      <w:pPr>
        <w:suppressAutoHyphens w:val="0"/>
        <w:spacing w:before="60" w:after="60" w:line="244" w:lineRule="auto"/>
        <w:jc w:val="both"/>
        <w:textAlignment w:val="auto"/>
        <w:rPr>
          <w:rFonts w:ascii="Arial" w:eastAsia="Lucida Sans Unicode" w:hAnsi="Arial" w:cs="Arial"/>
          <w:iCs/>
          <w:sz w:val="22"/>
          <w:szCs w:val="22"/>
          <w:lang w:bidi="ar-SA"/>
        </w:rPr>
      </w:pPr>
      <w:r>
        <w:rPr>
          <w:rFonts w:ascii="Arial" w:eastAsia="Lucida Sans Unicode" w:hAnsi="Arial" w:cs="Arial"/>
          <w:iCs/>
          <w:sz w:val="22"/>
          <w:szCs w:val="22"/>
          <w:lang w:bidi="ar-SA"/>
        </w:rPr>
        <w:t>…/…”</w:t>
      </w: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4E6D5A">
      <w:pPr>
        <w:tabs>
          <w:tab w:val="left" w:pos="0"/>
        </w:tabs>
        <w:suppressAutoHyphens w:val="0"/>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Este Concejal Delegado </w:t>
      </w:r>
      <w:r>
        <w:rPr>
          <w:rFonts w:ascii="Arial" w:eastAsia="Lucida Sans Unicode" w:hAnsi="Arial" w:cs="Arial"/>
          <w:b/>
          <w:sz w:val="22"/>
          <w:szCs w:val="22"/>
          <w:lang w:bidi="ar-SA"/>
        </w:rPr>
        <w:t>de Hacienda, PROPONE al Pleno la adopción del siguiente ACUERDO:</w:t>
      </w:r>
    </w:p>
    <w:p w:rsidR="00061CF1" w:rsidRDefault="00061CF1">
      <w:pPr>
        <w:tabs>
          <w:tab w:val="left" w:pos="0"/>
        </w:tabs>
        <w:suppressAutoHyphens w:val="0"/>
        <w:jc w:val="both"/>
        <w:textAlignment w:val="auto"/>
        <w:rPr>
          <w:rFonts w:ascii="Arial" w:eastAsia="Lucida Sans Unicode" w:hAnsi="Arial" w:cs="Arial"/>
          <w:b/>
          <w:sz w:val="22"/>
          <w:szCs w:val="22"/>
          <w:lang w:bidi="ar-SA"/>
        </w:rPr>
      </w:pPr>
    </w:p>
    <w:p w:rsidR="00061CF1" w:rsidRDefault="004E6D5A">
      <w:pPr>
        <w:tabs>
          <w:tab w:val="left" w:pos="1289"/>
        </w:tabs>
        <w:spacing w:after="120"/>
        <w:jc w:val="both"/>
        <w:textAlignment w:val="auto"/>
      </w:pPr>
      <w:r>
        <w:rPr>
          <w:rFonts w:ascii="Arial" w:eastAsia="Lucida Sans Unicode" w:hAnsi="Arial" w:cs="Arial"/>
          <w:b/>
          <w:sz w:val="22"/>
          <w:szCs w:val="22"/>
          <w:lang w:bidi="ar-SA"/>
        </w:rPr>
        <w:t>PRIMERO:</w:t>
      </w:r>
      <w:r>
        <w:rPr>
          <w:rFonts w:ascii="Arial" w:eastAsia="Lucida Sans Unicode" w:hAnsi="Arial" w:cs="Arial"/>
          <w:sz w:val="22"/>
          <w:szCs w:val="22"/>
          <w:lang w:bidi="ar-SA"/>
        </w:rPr>
        <w:t xml:space="preserve"> Aprobar el expediente de modificación presupuestaria </w:t>
      </w:r>
      <w:r>
        <w:rPr>
          <w:rFonts w:ascii="Arial" w:eastAsia="Lucida Sans Unicode" w:hAnsi="Arial" w:cs="Arial"/>
          <w:b/>
          <w:sz w:val="22"/>
          <w:szCs w:val="22"/>
          <w:lang w:bidi="ar-SA"/>
        </w:rPr>
        <w:t>10.000/2025</w:t>
      </w:r>
      <w:r>
        <w:rPr>
          <w:rFonts w:ascii="Arial" w:eastAsia="Lucida Sans Unicode" w:hAnsi="Arial" w:cs="Arial"/>
          <w:sz w:val="22"/>
          <w:szCs w:val="22"/>
          <w:lang w:bidi="ar-SA"/>
        </w:rPr>
        <w:t xml:space="preserve"> de modificación presupuestaria por</w:t>
      </w:r>
      <w:r>
        <w:rPr>
          <w:rFonts w:ascii="Arial" w:eastAsia="Lucida Sans Unicode" w:hAnsi="Arial" w:cs="Arial"/>
          <w:b/>
          <w:sz w:val="22"/>
          <w:szCs w:val="22"/>
          <w:lang w:bidi="ar-SA"/>
        </w:rPr>
        <w:t xml:space="preserve"> Suplementos de Créditos </w:t>
      </w:r>
      <w:r>
        <w:rPr>
          <w:rFonts w:ascii="Arial" w:eastAsia="Lucida Sans Unicode" w:hAnsi="Arial" w:cs="Arial"/>
          <w:sz w:val="22"/>
          <w:szCs w:val="22"/>
          <w:lang w:bidi="ar-SA"/>
        </w:rPr>
        <w:t>financiado con Remanente de Tesorería para gastos general</w:t>
      </w:r>
      <w:r>
        <w:rPr>
          <w:rFonts w:ascii="Arial" w:eastAsia="Lucida Sans Unicode" w:hAnsi="Arial" w:cs="Arial"/>
          <w:sz w:val="22"/>
          <w:szCs w:val="22"/>
          <w:lang w:bidi="ar-SA"/>
        </w:rPr>
        <w:t>es, por una cantidad total de</w:t>
      </w:r>
      <w:r>
        <w:rPr>
          <w:rFonts w:ascii="Arial" w:eastAsia="Lucida Sans Unicode" w:hAnsi="Arial" w:cs="Arial"/>
          <w:b/>
          <w:sz w:val="22"/>
          <w:szCs w:val="22"/>
          <w:lang w:bidi="ar-SA"/>
        </w:rPr>
        <w:t xml:space="preserve"> </w:t>
      </w:r>
      <w:r>
        <w:rPr>
          <w:rFonts w:ascii="Arial" w:eastAsia="Lucida Sans Unicode" w:hAnsi="Arial" w:cs="Arial"/>
          <w:b/>
          <w:bCs/>
          <w:color w:val="000000"/>
          <w:sz w:val="22"/>
          <w:szCs w:val="22"/>
          <w:lang w:eastAsia="es-ES" w:bidi="ar-SA"/>
        </w:rPr>
        <w:t>522.523,17</w:t>
      </w:r>
      <w:r>
        <w:rPr>
          <w:rFonts w:ascii="Arial" w:eastAsia="Lucida Sans Unicode" w:hAnsi="Arial" w:cs="Arial"/>
          <w:b/>
          <w:sz w:val="22"/>
          <w:szCs w:val="22"/>
          <w:lang w:bidi="ar-SA"/>
        </w:rPr>
        <w:t xml:space="preserve"> euros</w:t>
      </w:r>
      <w:r>
        <w:rPr>
          <w:rFonts w:ascii="Arial" w:eastAsia="Lucida Sans Unicode" w:hAnsi="Arial" w:cs="Arial"/>
          <w:sz w:val="22"/>
          <w:szCs w:val="22"/>
          <w:lang w:bidi="ar-SA"/>
        </w:rPr>
        <w:t xml:space="preserve">, de acuerdo al siguiente detalle: </w:t>
      </w:r>
    </w:p>
    <w:p w:rsidR="00061CF1" w:rsidRDefault="00061CF1">
      <w:pPr>
        <w:spacing w:after="120"/>
        <w:jc w:val="center"/>
        <w:textAlignment w:val="auto"/>
        <w:rPr>
          <w:rFonts w:ascii="Arial" w:eastAsia="Lucida Sans Unicode" w:hAnsi="Arial" w:cs="Arial"/>
          <w:b/>
          <w:sz w:val="22"/>
          <w:szCs w:val="22"/>
          <w:lang w:bidi="ar-SA"/>
        </w:rPr>
      </w:pPr>
    </w:p>
    <w:p w:rsidR="00061CF1" w:rsidRDefault="004E6D5A">
      <w:pPr>
        <w:spacing w:after="120"/>
        <w:jc w:val="center"/>
        <w:textAlignment w:val="auto"/>
        <w:rPr>
          <w:rFonts w:ascii="Arial" w:eastAsia="Lucida Sans Unicode" w:hAnsi="Arial" w:cs="Arial"/>
          <w:b/>
          <w:sz w:val="18"/>
          <w:szCs w:val="18"/>
          <w:lang w:bidi="ar-SA"/>
        </w:rPr>
      </w:pPr>
      <w:r>
        <w:rPr>
          <w:rFonts w:ascii="Arial" w:eastAsia="Lucida Sans Unicode" w:hAnsi="Arial" w:cs="Arial"/>
          <w:b/>
          <w:sz w:val="18"/>
          <w:szCs w:val="18"/>
          <w:lang w:bidi="ar-SA"/>
        </w:rPr>
        <w:t>Estado de Gastos</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Proyecto de Gasto P.25.2.38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32300.21200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R.M.C Edificios y otras construcciones</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380.258,25</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49200.62600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aps/>
                <w:color w:val="000000"/>
                <w:sz w:val="18"/>
                <w:szCs w:val="18"/>
                <w:lang w:eastAsia="es-ES" w:bidi="ar-SA"/>
              </w:rPr>
            </w:pPr>
            <w:r>
              <w:rPr>
                <w:rFonts w:ascii="Arial" w:eastAsia="Lucida Sans Unicode" w:hAnsi="Arial" w:cs="Arial"/>
                <w:caps/>
                <w:color w:val="000000"/>
                <w:sz w:val="18"/>
                <w:szCs w:val="18"/>
                <w:lang w:eastAsia="es-ES" w:bidi="ar-SA"/>
              </w:rPr>
              <w:t xml:space="preserve">EQUIPOS PROCESO DE </w:t>
            </w:r>
            <w:r>
              <w:rPr>
                <w:rFonts w:ascii="Arial" w:eastAsia="Lucida Sans Unicode" w:hAnsi="Arial" w:cs="Arial"/>
                <w:caps/>
                <w:color w:val="000000"/>
                <w:sz w:val="18"/>
                <w:szCs w:val="18"/>
                <w:lang w:eastAsia="es-ES" w:bidi="ar-SA"/>
              </w:rPr>
              <w:t>INFORMACIÓN</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71.945,94</w:t>
            </w:r>
          </w:p>
        </w:tc>
      </w:tr>
      <w:tr w:rsidR="00061CF1">
        <w:tblPrEx>
          <w:tblCellMar>
            <w:top w:w="0" w:type="dxa"/>
            <w:bottom w:w="0" w:type="dxa"/>
          </w:tblCellMar>
        </w:tblPrEx>
        <w:trPr>
          <w:trHeight w:val="380"/>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15320.61910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Acondicionamiento Calle Amance y Manuel Sabina Coello</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70.318,98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061CF1">
      <w:pPr>
        <w:spacing w:after="120"/>
        <w:jc w:val="center"/>
        <w:textAlignment w:val="auto"/>
        <w:rPr>
          <w:rFonts w:ascii="Arial" w:eastAsia="Lucida Sans Unicode" w:hAnsi="Arial" w:cs="Arial"/>
          <w:b/>
          <w:bCs/>
          <w:sz w:val="22"/>
          <w:szCs w:val="22"/>
          <w:lang w:bidi="ar-SA"/>
        </w:rPr>
      </w:pPr>
    </w:p>
    <w:tbl>
      <w:tblPr>
        <w:tblW w:w="8694" w:type="dxa"/>
        <w:tblInd w:w="70" w:type="dxa"/>
        <w:tblCellMar>
          <w:left w:w="10" w:type="dxa"/>
          <w:right w:w="10" w:type="dxa"/>
        </w:tblCellMar>
        <w:tblLook w:val="0000" w:firstRow="0" w:lastRow="0" w:firstColumn="0" w:lastColumn="0" w:noHBand="0" w:noVBand="0"/>
      </w:tblPr>
      <w:tblGrid>
        <w:gridCol w:w="1435"/>
        <w:gridCol w:w="6047"/>
        <w:gridCol w:w="1212"/>
      </w:tblGrid>
      <w:tr w:rsidR="00061CF1">
        <w:tblPrEx>
          <w:tblCellMar>
            <w:top w:w="0" w:type="dxa"/>
            <w:bottom w:w="0" w:type="dxa"/>
          </w:tblCellMar>
        </w:tblPrEx>
        <w:trPr>
          <w:trHeight w:val="273"/>
        </w:trPr>
        <w:tc>
          <w:tcPr>
            <w:tcW w:w="1435"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sz w:val="18"/>
                <w:szCs w:val="18"/>
                <w:lang w:eastAsia="es-ES" w:bidi="ar-SA"/>
              </w:rPr>
            </w:pPr>
          </w:p>
        </w:tc>
        <w:tc>
          <w:tcPr>
            <w:tcW w:w="6047" w:type="dxa"/>
            <w:shd w:val="clear" w:color="auto" w:fill="auto"/>
            <w:noWrap/>
            <w:tcMar>
              <w:top w:w="0" w:type="dxa"/>
              <w:left w:w="70" w:type="dxa"/>
              <w:bottom w:w="0" w:type="dxa"/>
              <w:right w:w="70" w:type="dxa"/>
            </w:tcMar>
            <w:vAlign w:val="bottom"/>
          </w:tcPr>
          <w:p w:rsidR="00061CF1" w:rsidRDefault="004E6D5A">
            <w:pPr>
              <w:spacing w:after="120"/>
              <w:jc w:val="center"/>
              <w:textAlignment w:val="auto"/>
            </w:pPr>
            <w:r>
              <w:rPr>
                <w:rFonts w:ascii="Arial" w:eastAsia="Lucida Sans Unicode" w:hAnsi="Arial" w:cs="Arial"/>
                <w:b/>
                <w:sz w:val="18"/>
                <w:szCs w:val="18"/>
                <w:lang w:bidi="ar-SA"/>
              </w:rPr>
              <w:t>Estado de Ingresos</w:t>
            </w:r>
          </w:p>
        </w:tc>
        <w:tc>
          <w:tcPr>
            <w:tcW w:w="1212"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sz w:val="18"/>
                <w:szCs w:val="18"/>
                <w:lang w:eastAsia="es-ES" w:bidi="ar-SA"/>
              </w:rPr>
            </w:pPr>
          </w:p>
        </w:tc>
      </w:tr>
      <w:tr w:rsidR="00061CF1">
        <w:tblPrEx>
          <w:tblCellMar>
            <w:top w:w="0" w:type="dxa"/>
            <w:bottom w:w="0" w:type="dxa"/>
          </w:tblCellMar>
        </w:tblPrEx>
        <w:trPr>
          <w:trHeight w:val="273"/>
        </w:trPr>
        <w:tc>
          <w:tcPr>
            <w:tcW w:w="143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04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12"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02"/>
        </w:trPr>
        <w:tc>
          <w:tcPr>
            <w:tcW w:w="14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870.00</w:t>
            </w:r>
          </w:p>
        </w:tc>
        <w:tc>
          <w:tcPr>
            <w:tcW w:w="60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xml:space="preserve">REMANENTE DE TESORERIA PARA GASTOS GENERALES </w:t>
            </w:r>
          </w:p>
        </w:tc>
        <w:tc>
          <w:tcPr>
            <w:tcW w:w="121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522.523,17</w:t>
            </w:r>
          </w:p>
        </w:tc>
      </w:tr>
      <w:tr w:rsidR="00061CF1">
        <w:tblPrEx>
          <w:tblCellMar>
            <w:top w:w="0" w:type="dxa"/>
            <w:bottom w:w="0" w:type="dxa"/>
          </w:tblCellMar>
        </w:tblPrEx>
        <w:trPr>
          <w:trHeight w:val="273"/>
        </w:trPr>
        <w:tc>
          <w:tcPr>
            <w:tcW w:w="143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04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1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061CF1">
      <w:pPr>
        <w:tabs>
          <w:tab w:val="left" w:pos="0"/>
        </w:tabs>
        <w:suppressAutoHyphens w:val="0"/>
        <w:jc w:val="both"/>
        <w:textAlignment w:val="auto"/>
        <w:rPr>
          <w:rFonts w:ascii="Arial" w:eastAsia="Lucida Sans Unicode" w:hAnsi="Arial" w:cs="Arial"/>
          <w:b/>
          <w:color w:val="000000"/>
          <w:sz w:val="22"/>
          <w:szCs w:val="22"/>
          <w:lang w:bidi="ar-SA"/>
        </w:rPr>
      </w:pPr>
    </w:p>
    <w:p w:rsidR="00061CF1" w:rsidRDefault="004E6D5A">
      <w:pPr>
        <w:tabs>
          <w:tab w:val="left" w:pos="0"/>
        </w:tabs>
        <w:suppressAutoHyphens w:val="0"/>
        <w:jc w:val="both"/>
        <w:textAlignment w:val="auto"/>
      </w:pPr>
      <w:r>
        <w:rPr>
          <w:rFonts w:ascii="Arial" w:eastAsia="Lucida Sans Unicode" w:hAnsi="Arial" w:cs="Arial"/>
          <w:b/>
          <w:color w:val="000000"/>
          <w:sz w:val="22"/>
          <w:szCs w:val="22"/>
          <w:lang w:bidi="ar-SA"/>
        </w:rPr>
        <w:t>SEGUNDO.-</w:t>
      </w:r>
      <w:r>
        <w:rPr>
          <w:rFonts w:ascii="Arial" w:eastAsia="Lucida Sans Unicode" w:hAnsi="Arial" w:cs="Arial"/>
          <w:sz w:val="22"/>
          <w:szCs w:val="22"/>
          <w:lang w:bidi="ar-SA"/>
        </w:rPr>
        <w:t xml:space="preserve"> </w:t>
      </w:r>
      <w:r>
        <w:rPr>
          <w:rFonts w:ascii="Arial" w:eastAsia="Lucida Sans Unicode" w:hAnsi="Arial" w:cs="Arial"/>
          <w:color w:val="000000"/>
          <w:sz w:val="22"/>
          <w:szCs w:val="22"/>
          <w:lang w:bidi="ar-SA"/>
        </w:rPr>
        <w:t>Exponer este expediente al público mediante anuncio publicado en el Boletín Oficial de la Provincia, por 15 días, durante los cuales los interesados podrán examinarlo y presentar reclamaciones ante el Pleno.</w:t>
      </w:r>
    </w:p>
    <w:p w:rsidR="00061CF1" w:rsidRDefault="004E6D5A">
      <w:pPr>
        <w:tabs>
          <w:tab w:val="left" w:pos="0"/>
        </w:tabs>
        <w:suppressAutoHyphens w:val="0"/>
        <w:jc w:val="both"/>
        <w:textAlignment w:val="auto"/>
        <w:rPr>
          <w:rFonts w:ascii="Arial" w:eastAsia="Lucida Sans Unicode" w:hAnsi="Arial" w:cs="Arial"/>
          <w:color w:val="000000"/>
          <w:sz w:val="22"/>
          <w:szCs w:val="22"/>
          <w:lang w:bidi="ar-SA"/>
        </w:rPr>
      </w:pPr>
      <w:r>
        <w:rPr>
          <w:rFonts w:ascii="Arial" w:eastAsia="Lucida Sans Unicode" w:hAnsi="Arial" w:cs="Arial"/>
          <w:color w:val="000000"/>
          <w:sz w:val="22"/>
          <w:szCs w:val="22"/>
          <w:lang w:bidi="ar-SA"/>
        </w:rPr>
        <w:tab/>
      </w:r>
    </w:p>
    <w:p w:rsidR="00061CF1" w:rsidRDefault="004E6D5A">
      <w:pPr>
        <w:tabs>
          <w:tab w:val="left" w:pos="0"/>
        </w:tabs>
        <w:suppressAutoHyphens w:val="0"/>
        <w:jc w:val="both"/>
        <w:textAlignment w:val="auto"/>
      </w:pPr>
      <w:r>
        <w:rPr>
          <w:rFonts w:ascii="Arial" w:eastAsia="Lucida Sans Unicode" w:hAnsi="Arial" w:cs="Arial"/>
          <w:b/>
          <w:color w:val="000000"/>
          <w:sz w:val="22"/>
          <w:szCs w:val="22"/>
          <w:lang w:bidi="ar-SA"/>
        </w:rPr>
        <w:t xml:space="preserve">TERCERO.- </w:t>
      </w:r>
      <w:r>
        <w:rPr>
          <w:rFonts w:ascii="Arial" w:eastAsia="Lucida Sans Unicode" w:hAnsi="Arial" w:cs="Arial"/>
          <w:color w:val="000000"/>
          <w:sz w:val="22"/>
          <w:szCs w:val="22"/>
          <w:lang w:bidi="ar-SA"/>
        </w:rPr>
        <w:t>El expediente</w:t>
      </w:r>
      <w:r>
        <w:rPr>
          <w:rFonts w:ascii="Arial" w:eastAsia="Lucida Sans Unicode" w:hAnsi="Arial" w:cs="Arial"/>
          <w:color w:val="000000"/>
          <w:sz w:val="22"/>
          <w:szCs w:val="22"/>
          <w:lang w:bidi="ar-SA"/>
        </w:rPr>
        <w:t xml:space="preserve"> se considerará definitivamente aprobado si durante el citado plazo no se hubiesen presentado reclamaciones, en caso contrario el Pleno dispondrá de un mes para resolverlas. El expediente definitivamente aprobado, será insertado en el boletín oficial de la</w:t>
      </w:r>
      <w:r>
        <w:rPr>
          <w:rFonts w:ascii="Arial" w:eastAsia="Lucida Sans Unicode" w:hAnsi="Arial" w:cs="Arial"/>
          <w:color w:val="000000"/>
          <w:sz w:val="22"/>
          <w:szCs w:val="22"/>
          <w:lang w:bidi="ar-SA"/>
        </w:rPr>
        <w:t xml:space="preserve"> provincia.</w:t>
      </w:r>
    </w:p>
    <w:p w:rsidR="00061CF1" w:rsidRDefault="00061CF1">
      <w:pPr>
        <w:autoSpaceDE w:val="0"/>
        <w:jc w:val="both"/>
        <w:textAlignment w:val="auto"/>
        <w:rPr>
          <w:rFonts w:ascii="Arial" w:eastAsia="Lucida Sans Unicode" w:hAnsi="Arial" w:cs="Arial"/>
          <w:color w:val="000000"/>
          <w:sz w:val="22"/>
          <w:szCs w:val="22"/>
          <w:lang w:bidi="ar-SA"/>
        </w:rPr>
      </w:pPr>
    </w:p>
    <w:p w:rsidR="00061CF1" w:rsidRDefault="00061CF1">
      <w:pPr>
        <w:jc w:val="both"/>
        <w:textAlignment w:val="auto"/>
        <w:rPr>
          <w:rFonts w:ascii="Arial" w:eastAsia="Lucida Sans Unicode" w:hAnsi="Arial" w:cs="Arial"/>
          <w:b/>
          <w:color w:val="000000"/>
          <w:shd w:val="clear" w:color="auto" w:fill="F5F7F9"/>
          <w:lang w:bidi="ar-SA"/>
        </w:rPr>
      </w:pPr>
    </w:p>
    <w:p w:rsidR="00061CF1" w:rsidRDefault="00061CF1">
      <w:pPr>
        <w:jc w:val="both"/>
        <w:textAlignment w:val="auto"/>
        <w:rPr>
          <w:rFonts w:ascii="Arial" w:eastAsia="Lucida Sans Unicode" w:hAnsi="Arial" w:cs="Arial"/>
          <w:b/>
          <w:color w:val="000000"/>
          <w:shd w:val="clear" w:color="auto" w:fill="F5F7F9"/>
          <w:lang w:bidi="ar-SA"/>
        </w:rPr>
      </w:pPr>
    </w:p>
    <w:p w:rsidR="00061CF1" w:rsidRDefault="00061CF1">
      <w:pPr>
        <w:jc w:val="both"/>
        <w:textAlignment w:val="auto"/>
        <w:rPr>
          <w:rFonts w:ascii="Arial" w:eastAsia="Lucida Sans Unicode" w:hAnsi="Arial" w:cs="Arial"/>
          <w:b/>
          <w:color w:val="000000"/>
          <w:shd w:val="clear" w:color="auto" w:fill="F5F7F9"/>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FAVORABLE DE LA COMISIÓN INFORMATIVA DE HACIENDA, RECURSOS HUMANOS Y SERVICIOS GENERALES DE 28 DE OCTUBRE DE 2025 QUE SE TUVO QUE REPETIR POR EL FALLO INFORMÁTICO EL LUNES 27 DE OCTUBRE, DEL SISTEMA “CLAVE” DE ACCESO A </w:t>
      </w:r>
      <w:r>
        <w:rPr>
          <w:rFonts w:ascii="Arial" w:eastAsia="Lucida Sans Unicode" w:hAnsi="Arial" w:cs="Arial"/>
          <w:b/>
          <w:sz w:val="22"/>
          <w:szCs w:val="22"/>
          <w:lang w:bidi="ar-SA"/>
        </w:rPr>
        <w:t>LA SEDE ELECTRÓNICA Y DE ESTA FORMA QUEDÓ SUBSANADA LA COMISIÓN CON SU CELEBRACIÓN EL 28 DE OCTUBRE.</w:t>
      </w:r>
    </w:p>
    <w:p w:rsidR="00061CF1" w:rsidRDefault="00061CF1">
      <w:pPr>
        <w:ind w:firstLine="709"/>
        <w:jc w:val="both"/>
        <w:textAlignment w:val="auto"/>
        <w:rPr>
          <w:rFonts w:ascii="Arial" w:eastAsia="Lucida Sans Unicode" w:hAnsi="Arial" w:cs="Arial"/>
          <w:b/>
          <w:sz w:val="22"/>
          <w:szCs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Previa ratificación de la urgencia por la unanimidad de los concejales presentes se pasó al debate y votación sobre el fondo del asunto con el siguiente r</w:t>
      </w:r>
      <w:r>
        <w:rPr>
          <w:rFonts w:ascii="Arial" w:eastAsia="Lucida Sans Unicode" w:hAnsi="Arial" w:cs="Arial"/>
          <w:b/>
          <w:sz w:val="22"/>
          <w:szCs w:val="22"/>
          <w:lang w:bidi="ar-SA"/>
        </w:rPr>
        <w:t>esultado:</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4.</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 Don José 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0.</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JUNTA DE PORTAVOCES PREVISTA </w:t>
      </w:r>
      <w:r>
        <w:rPr>
          <w:rFonts w:ascii="Arial" w:eastAsia="Lucida Sans Unicode" w:hAnsi="Arial" w:cs="Arial"/>
          <w:b/>
          <w:sz w:val="22"/>
          <w:szCs w:val="22"/>
          <w:lang w:bidi="ar-SA"/>
        </w:rPr>
        <w:t>PARA EL DÍA 27 DE OCTUBRE Y QUE FUE APLAZADA AL 28 DE OCTUBRE DE 2025 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sz w:val="22"/>
          <w:szCs w:val="22"/>
          <w:lang w:bidi="ar-SA"/>
        </w:rPr>
      </w:pPr>
    </w:p>
    <w:p w:rsidR="00061CF1" w:rsidRDefault="00061CF1">
      <w:pPr>
        <w:textAlignment w:val="auto"/>
        <w:rPr>
          <w:rFonts w:ascii="Arial" w:eastAsia="Lucida Sans Unicode" w:hAnsi="Arial" w:cs="Arial"/>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La unanimidad de los 18 concejales presentes.</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11 concejales del </w:t>
      </w:r>
      <w:r>
        <w:rPr>
          <w:rFonts w:ascii="Arial" w:eastAsia="Lucida Sans Unicode" w:hAnsi="Arial" w:cs="Arial"/>
          <w:sz w:val="22"/>
          <w:szCs w:val="22"/>
          <w:lang w:bidi="ar-SA"/>
        </w:rPr>
        <w:t xml:space="preserve">Grupo Socialista: Doña María Concepción Brito Núñez, Don Jorge Baute Delgado, Don José Francisco Pinto Ramos, Doña Olivia Concepción Pérez Díaz, Don Reinaldo José Triviño Blanco, Don Manuel Alberto González Pestano, Doña Margarita Eva Tendero Barroso, Don </w:t>
      </w:r>
      <w:r>
        <w:rPr>
          <w:rFonts w:ascii="Arial" w:eastAsia="Lucida Sans Unicode" w:hAnsi="Arial" w:cs="Arial"/>
          <w:sz w:val="22"/>
          <w:szCs w:val="22"/>
          <w:lang w:bidi="ar-SA"/>
        </w:rPr>
        <w:t xml:space="preserve">Airam Pérez Chinea, Doña María del Carmen Clemente Díaz, Don Olegario Francisco Alonso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5 concejales del Grupo Popular: Don Jacobo López Fariña, Doña Raquel Martín Castro, Don Miguel Eduardo Hernández Chitty, Do</w:t>
      </w:r>
      <w:r>
        <w:rPr>
          <w:rFonts w:ascii="Arial" w:eastAsia="Lucida Sans Unicode" w:hAnsi="Arial" w:cs="Arial"/>
          <w:sz w:val="22"/>
          <w:szCs w:val="22"/>
          <w:lang w:bidi="ar-SA"/>
        </w:rPr>
        <w:t xml:space="preserve">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2 concejales del Grupo Mixto: Don José 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0.</w:t>
      </w:r>
    </w:p>
    <w:p w:rsidR="00061CF1" w:rsidRDefault="00061CF1">
      <w:pPr>
        <w:jc w:val="both"/>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b/>
          <w:sz w:val="22"/>
          <w:szCs w:val="22"/>
          <w:lang w:bidi="ar-SA"/>
        </w:rPr>
      </w:pPr>
    </w:p>
    <w:p w:rsidR="00061CF1" w:rsidRDefault="004E6D5A">
      <w:pPr>
        <w:tabs>
          <w:tab w:val="left" w:pos="1289"/>
        </w:tabs>
        <w:spacing w:after="120"/>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b/>
      </w:r>
      <w:r>
        <w:rPr>
          <w:rFonts w:ascii="Arial" w:eastAsia="Lucida Sans Unicode" w:hAnsi="Arial" w:cs="Arial"/>
          <w:b/>
          <w:sz w:val="22"/>
          <w:szCs w:val="22"/>
          <w:lang w:bidi="ar-SA"/>
        </w:rPr>
        <w:tab/>
      </w:r>
      <w:r>
        <w:rPr>
          <w:rFonts w:ascii="Arial" w:eastAsia="Lucida Sans Unicode" w:hAnsi="Arial" w:cs="Arial"/>
          <w:b/>
          <w:sz w:val="22"/>
          <w:szCs w:val="22"/>
          <w:lang w:bidi="ar-SA"/>
        </w:rPr>
        <w:tab/>
      </w:r>
    </w:p>
    <w:p w:rsidR="00061CF1" w:rsidRDefault="004E6D5A">
      <w:pPr>
        <w:tabs>
          <w:tab w:val="left" w:pos="1289"/>
        </w:tabs>
        <w:spacing w:after="120"/>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ab/>
      </w:r>
      <w:r>
        <w:rPr>
          <w:rFonts w:ascii="Arial" w:eastAsia="Lucida Sans Unicode" w:hAnsi="Arial" w:cs="Arial"/>
          <w:b/>
          <w:sz w:val="22"/>
          <w:szCs w:val="22"/>
          <w:lang w:bidi="ar-SA"/>
        </w:rPr>
        <w:tab/>
      </w:r>
      <w:r>
        <w:rPr>
          <w:rFonts w:ascii="Arial" w:eastAsia="Lucida Sans Unicode" w:hAnsi="Arial" w:cs="Arial"/>
          <w:b/>
          <w:sz w:val="22"/>
          <w:szCs w:val="22"/>
          <w:lang w:bidi="ar-SA"/>
        </w:rPr>
        <w:tab/>
      </w:r>
      <w:r>
        <w:rPr>
          <w:rFonts w:ascii="Arial" w:eastAsia="Lucida Sans Unicode" w:hAnsi="Arial" w:cs="Arial"/>
          <w:b/>
          <w:sz w:val="22"/>
          <w:szCs w:val="22"/>
          <w:lang w:bidi="ar-SA"/>
        </w:rPr>
        <w:tab/>
        <w:t>ACUERDO DEL PLENO</w:t>
      </w:r>
    </w:p>
    <w:p w:rsidR="00061CF1" w:rsidRDefault="004E6D5A">
      <w:pPr>
        <w:tabs>
          <w:tab w:val="left" w:pos="1289"/>
        </w:tabs>
        <w:spacing w:after="120"/>
        <w:jc w:val="both"/>
        <w:textAlignment w:val="auto"/>
      </w:pPr>
      <w:r>
        <w:rPr>
          <w:rFonts w:ascii="Arial" w:eastAsia="Lucida Sans Unicode" w:hAnsi="Arial" w:cs="Arial"/>
          <w:b/>
          <w:sz w:val="22"/>
          <w:szCs w:val="22"/>
          <w:lang w:bidi="ar-SA"/>
        </w:rPr>
        <w:tab/>
        <w:t>PRIMERO: Aprobar el expedi</w:t>
      </w:r>
      <w:r>
        <w:rPr>
          <w:rFonts w:ascii="Arial" w:eastAsia="Lucida Sans Unicode" w:hAnsi="Arial" w:cs="Arial"/>
          <w:b/>
          <w:sz w:val="22"/>
          <w:szCs w:val="22"/>
          <w:lang w:bidi="ar-SA"/>
        </w:rPr>
        <w:t xml:space="preserve">ente de modificación presupuestaria 10.000/2025 por Suplementos de Créditos financiado con Remanente de Tesorería para gastos generales, por una cantidad total de </w:t>
      </w:r>
      <w:r>
        <w:rPr>
          <w:rFonts w:ascii="Arial" w:eastAsia="Lucida Sans Unicode" w:hAnsi="Arial" w:cs="Arial"/>
          <w:b/>
          <w:bCs/>
          <w:color w:val="000000"/>
          <w:sz w:val="22"/>
          <w:szCs w:val="22"/>
          <w:lang w:eastAsia="es-ES" w:bidi="ar-SA"/>
        </w:rPr>
        <w:t>522.523,17</w:t>
      </w:r>
      <w:r>
        <w:rPr>
          <w:rFonts w:ascii="Arial" w:eastAsia="Lucida Sans Unicode" w:hAnsi="Arial" w:cs="Arial"/>
          <w:b/>
          <w:sz w:val="22"/>
          <w:szCs w:val="22"/>
          <w:lang w:bidi="ar-SA"/>
        </w:rPr>
        <w:t xml:space="preserve"> euros, de acuerdo al siguiente detalle: </w:t>
      </w:r>
    </w:p>
    <w:p w:rsidR="00061CF1" w:rsidRDefault="004E6D5A">
      <w:pPr>
        <w:spacing w:after="120"/>
        <w:ind w:left="2836" w:firstLine="709"/>
        <w:textAlignment w:val="auto"/>
        <w:rPr>
          <w:rFonts w:ascii="Arial" w:eastAsia="Lucida Sans Unicode" w:hAnsi="Arial" w:cs="Arial"/>
          <w:b/>
          <w:sz w:val="18"/>
          <w:szCs w:val="18"/>
          <w:lang w:bidi="ar-SA"/>
        </w:rPr>
      </w:pPr>
      <w:r>
        <w:rPr>
          <w:rFonts w:ascii="Arial" w:eastAsia="Lucida Sans Unicode" w:hAnsi="Arial" w:cs="Arial"/>
          <w:b/>
          <w:sz w:val="18"/>
          <w:szCs w:val="18"/>
          <w:lang w:bidi="ar-SA"/>
        </w:rPr>
        <w:t>Estado de Gastos</w:t>
      </w:r>
    </w:p>
    <w:tbl>
      <w:tblPr>
        <w:tblW w:w="8647" w:type="dxa"/>
        <w:tblInd w:w="70" w:type="dxa"/>
        <w:tblCellMar>
          <w:left w:w="10" w:type="dxa"/>
          <w:right w:w="10" w:type="dxa"/>
        </w:tblCellMar>
        <w:tblLook w:val="0000" w:firstRow="0" w:lastRow="0" w:firstColumn="0" w:lastColumn="0" w:noHBand="0" w:noVBand="0"/>
      </w:tblPr>
      <w:tblGrid>
        <w:gridCol w:w="1282"/>
        <w:gridCol w:w="6126"/>
        <w:gridCol w:w="1239"/>
      </w:tblGrid>
      <w:tr w:rsidR="00061CF1">
        <w:tblPrEx>
          <w:tblCellMar>
            <w:top w:w="0" w:type="dxa"/>
            <w:bottom w:w="0" w:type="dxa"/>
          </w:tblCellMar>
        </w:tblPrEx>
        <w:trPr>
          <w:trHeight w:val="316"/>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 xml:space="preserve">Proyecto de Gasto </w:t>
            </w:r>
            <w:r>
              <w:rPr>
                <w:rFonts w:ascii="Arial" w:eastAsia="Lucida Sans Unicode" w:hAnsi="Arial" w:cs="Arial"/>
                <w:b/>
                <w:bCs/>
                <w:color w:val="000000"/>
                <w:sz w:val="18"/>
                <w:szCs w:val="18"/>
                <w:lang w:eastAsia="es-ES" w:bidi="ar-SA"/>
              </w:rPr>
              <w:t>P.25.2.38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32300.21200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R.M.C Edificios y otras construcciones</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380.258,25</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49200.62600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aps/>
                <w:color w:val="000000"/>
                <w:sz w:val="18"/>
                <w:szCs w:val="18"/>
                <w:lang w:eastAsia="es-ES" w:bidi="ar-SA"/>
              </w:rPr>
            </w:pPr>
            <w:r>
              <w:rPr>
                <w:rFonts w:ascii="Arial" w:eastAsia="Lucida Sans Unicode" w:hAnsi="Arial" w:cs="Arial"/>
                <w:caps/>
                <w:color w:val="000000"/>
                <w:sz w:val="18"/>
                <w:szCs w:val="18"/>
                <w:lang w:eastAsia="es-ES" w:bidi="ar-SA"/>
              </w:rPr>
              <w:t>EQUIPOS PROCESO DE INFORMACIÓN</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71.945,94</w:t>
            </w:r>
          </w:p>
        </w:tc>
      </w:tr>
      <w:tr w:rsidR="00061CF1">
        <w:tblPrEx>
          <w:tblCellMar>
            <w:top w:w="0" w:type="dxa"/>
            <w:bottom w:w="0" w:type="dxa"/>
          </w:tblCellMar>
        </w:tblPrEx>
        <w:trPr>
          <w:trHeight w:val="380"/>
        </w:trPr>
        <w:tc>
          <w:tcPr>
            <w:tcW w:w="128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15320.61910</w:t>
            </w:r>
          </w:p>
        </w:tc>
        <w:tc>
          <w:tcPr>
            <w:tcW w:w="6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pPr>
            <w:r>
              <w:rPr>
                <w:rFonts w:ascii="Arial" w:eastAsia="Lucida Sans Unicode" w:hAnsi="Arial" w:cs="Arial"/>
                <w:caps/>
                <w:sz w:val="18"/>
                <w:szCs w:val="18"/>
                <w:lang w:eastAsia="es-ES" w:bidi="ar-SA"/>
              </w:rPr>
              <w:t>Acondicionamiento Calle Amance y Manuel Sabina Coello</w:t>
            </w:r>
          </w:p>
        </w:tc>
        <w:tc>
          <w:tcPr>
            <w:tcW w:w="123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70.318,98</w:t>
            </w:r>
          </w:p>
        </w:tc>
      </w:tr>
      <w:tr w:rsidR="00061CF1">
        <w:tblPrEx>
          <w:tblCellMar>
            <w:top w:w="0" w:type="dxa"/>
            <w:bottom w:w="0" w:type="dxa"/>
          </w:tblCellMar>
        </w:tblPrEx>
        <w:trPr>
          <w:trHeight w:val="316"/>
        </w:trPr>
        <w:tc>
          <w:tcPr>
            <w:tcW w:w="1282"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126"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39"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061CF1">
      <w:pPr>
        <w:spacing w:after="120"/>
        <w:jc w:val="center"/>
        <w:textAlignment w:val="auto"/>
        <w:rPr>
          <w:rFonts w:ascii="Arial" w:eastAsia="Lucida Sans Unicode" w:hAnsi="Arial" w:cs="Arial"/>
          <w:b/>
          <w:bCs/>
          <w:sz w:val="22"/>
          <w:szCs w:val="22"/>
          <w:lang w:bidi="ar-SA"/>
        </w:rPr>
      </w:pPr>
    </w:p>
    <w:p w:rsidR="00061CF1" w:rsidRDefault="00061CF1">
      <w:pPr>
        <w:spacing w:after="120"/>
        <w:jc w:val="center"/>
        <w:textAlignment w:val="auto"/>
        <w:rPr>
          <w:rFonts w:ascii="Arial" w:eastAsia="Lucida Sans Unicode" w:hAnsi="Arial" w:cs="Arial"/>
          <w:b/>
          <w:bCs/>
          <w:sz w:val="22"/>
          <w:szCs w:val="22"/>
          <w:lang w:bidi="ar-SA"/>
        </w:rPr>
      </w:pPr>
    </w:p>
    <w:tbl>
      <w:tblPr>
        <w:tblW w:w="8694" w:type="dxa"/>
        <w:tblInd w:w="70" w:type="dxa"/>
        <w:tblCellMar>
          <w:left w:w="10" w:type="dxa"/>
          <w:right w:w="10" w:type="dxa"/>
        </w:tblCellMar>
        <w:tblLook w:val="0000" w:firstRow="0" w:lastRow="0" w:firstColumn="0" w:lastColumn="0" w:noHBand="0" w:noVBand="0"/>
      </w:tblPr>
      <w:tblGrid>
        <w:gridCol w:w="1435"/>
        <w:gridCol w:w="6047"/>
        <w:gridCol w:w="1212"/>
      </w:tblGrid>
      <w:tr w:rsidR="00061CF1">
        <w:tblPrEx>
          <w:tblCellMar>
            <w:top w:w="0" w:type="dxa"/>
            <w:bottom w:w="0" w:type="dxa"/>
          </w:tblCellMar>
        </w:tblPrEx>
        <w:trPr>
          <w:trHeight w:val="273"/>
        </w:trPr>
        <w:tc>
          <w:tcPr>
            <w:tcW w:w="1435"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sz w:val="18"/>
                <w:szCs w:val="18"/>
                <w:lang w:eastAsia="es-ES" w:bidi="ar-SA"/>
              </w:rPr>
            </w:pPr>
          </w:p>
        </w:tc>
        <w:tc>
          <w:tcPr>
            <w:tcW w:w="6047" w:type="dxa"/>
            <w:shd w:val="clear" w:color="auto" w:fill="auto"/>
            <w:noWrap/>
            <w:tcMar>
              <w:top w:w="0" w:type="dxa"/>
              <w:left w:w="70" w:type="dxa"/>
              <w:bottom w:w="0" w:type="dxa"/>
              <w:right w:w="70" w:type="dxa"/>
            </w:tcMar>
            <w:vAlign w:val="bottom"/>
          </w:tcPr>
          <w:p w:rsidR="00061CF1" w:rsidRDefault="004E6D5A">
            <w:pPr>
              <w:spacing w:after="120"/>
              <w:jc w:val="center"/>
              <w:textAlignment w:val="auto"/>
            </w:pPr>
            <w:r>
              <w:rPr>
                <w:rFonts w:ascii="Arial" w:eastAsia="Lucida Sans Unicode" w:hAnsi="Arial" w:cs="Arial"/>
                <w:b/>
                <w:sz w:val="18"/>
                <w:szCs w:val="18"/>
                <w:lang w:bidi="ar-SA"/>
              </w:rPr>
              <w:t>Estado de Ingresos</w:t>
            </w:r>
          </w:p>
        </w:tc>
        <w:tc>
          <w:tcPr>
            <w:tcW w:w="1212" w:type="dxa"/>
            <w:shd w:val="clear" w:color="auto" w:fill="auto"/>
            <w:noWrap/>
            <w:tcMar>
              <w:top w:w="0" w:type="dxa"/>
              <w:left w:w="70" w:type="dxa"/>
              <w:bottom w:w="0" w:type="dxa"/>
              <w:right w:w="70" w:type="dxa"/>
            </w:tcMar>
            <w:vAlign w:val="bottom"/>
          </w:tcPr>
          <w:p w:rsidR="00061CF1" w:rsidRDefault="00061CF1">
            <w:pPr>
              <w:suppressAutoHyphens w:val="0"/>
              <w:textAlignment w:val="auto"/>
              <w:rPr>
                <w:rFonts w:ascii="Arial" w:eastAsia="Lucida Sans Unicode" w:hAnsi="Arial" w:cs="Arial"/>
                <w:sz w:val="18"/>
                <w:szCs w:val="18"/>
                <w:lang w:eastAsia="es-ES" w:bidi="ar-SA"/>
              </w:rPr>
            </w:pPr>
          </w:p>
        </w:tc>
      </w:tr>
      <w:tr w:rsidR="00061CF1">
        <w:tblPrEx>
          <w:tblCellMar>
            <w:top w:w="0" w:type="dxa"/>
            <w:bottom w:w="0" w:type="dxa"/>
          </w:tblCellMar>
        </w:tblPrEx>
        <w:trPr>
          <w:trHeight w:val="273"/>
        </w:trPr>
        <w:tc>
          <w:tcPr>
            <w:tcW w:w="1435"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Aplicación</w:t>
            </w:r>
          </w:p>
        </w:tc>
        <w:tc>
          <w:tcPr>
            <w:tcW w:w="6047"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Descripción</w:t>
            </w:r>
          </w:p>
        </w:tc>
        <w:tc>
          <w:tcPr>
            <w:tcW w:w="1212" w:type="dxa"/>
            <w:tcBorders>
              <w:top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Importe</w:t>
            </w:r>
          </w:p>
        </w:tc>
      </w:tr>
      <w:tr w:rsidR="00061CF1">
        <w:tblPrEx>
          <w:tblCellMar>
            <w:top w:w="0" w:type="dxa"/>
            <w:bottom w:w="0" w:type="dxa"/>
          </w:tblCellMar>
        </w:tblPrEx>
        <w:trPr>
          <w:trHeight w:val="302"/>
        </w:trPr>
        <w:tc>
          <w:tcPr>
            <w:tcW w:w="143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870.00</w:t>
            </w:r>
          </w:p>
        </w:tc>
        <w:tc>
          <w:tcPr>
            <w:tcW w:w="6047"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xml:space="preserve">REMANENTE DE TESORERIA PARA GASTOS GENERALES </w:t>
            </w:r>
          </w:p>
        </w:tc>
        <w:tc>
          <w:tcPr>
            <w:tcW w:w="121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522.523,17</w:t>
            </w:r>
          </w:p>
        </w:tc>
      </w:tr>
      <w:tr w:rsidR="00061CF1">
        <w:tblPrEx>
          <w:tblCellMar>
            <w:top w:w="0" w:type="dxa"/>
            <w:bottom w:w="0" w:type="dxa"/>
          </w:tblCellMar>
        </w:tblPrEx>
        <w:trPr>
          <w:trHeight w:val="273"/>
        </w:trPr>
        <w:tc>
          <w:tcPr>
            <w:tcW w:w="143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color w:val="000000"/>
                <w:sz w:val="18"/>
                <w:szCs w:val="18"/>
                <w:lang w:eastAsia="es-ES" w:bidi="ar-SA"/>
              </w:rPr>
            </w:pPr>
            <w:r>
              <w:rPr>
                <w:rFonts w:ascii="Arial" w:eastAsia="Lucida Sans Unicode" w:hAnsi="Arial" w:cs="Arial"/>
                <w:color w:val="000000"/>
                <w:sz w:val="18"/>
                <w:szCs w:val="18"/>
                <w:lang w:eastAsia="es-ES" w:bidi="ar-SA"/>
              </w:rPr>
              <w:t> </w:t>
            </w:r>
          </w:p>
        </w:tc>
        <w:tc>
          <w:tcPr>
            <w:tcW w:w="6047"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center"/>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TOTAL</w:t>
            </w:r>
          </w:p>
        </w:tc>
        <w:tc>
          <w:tcPr>
            <w:tcW w:w="1212" w:type="dxa"/>
            <w:tcBorders>
              <w:bottom w:val="single" w:sz="4" w:space="0" w:color="000000"/>
              <w:right w:val="single" w:sz="4" w:space="0" w:color="000000"/>
            </w:tcBorders>
            <w:shd w:val="clear" w:color="auto" w:fill="D9D9D9"/>
            <w:tcMar>
              <w:top w:w="0" w:type="dxa"/>
              <w:left w:w="70" w:type="dxa"/>
              <w:bottom w:w="0" w:type="dxa"/>
              <w:right w:w="70" w:type="dxa"/>
            </w:tcMar>
            <w:vAlign w:val="center"/>
          </w:tcPr>
          <w:p w:rsidR="00061CF1" w:rsidRDefault="004E6D5A">
            <w:pPr>
              <w:suppressAutoHyphens w:val="0"/>
              <w:jc w:val="right"/>
              <w:textAlignment w:val="auto"/>
              <w:rPr>
                <w:rFonts w:ascii="Arial" w:eastAsia="Lucida Sans Unicode" w:hAnsi="Arial" w:cs="Arial"/>
                <w:b/>
                <w:bCs/>
                <w:color w:val="000000"/>
                <w:sz w:val="18"/>
                <w:szCs w:val="18"/>
                <w:lang w:eastAsia="es-ES" w:bidi="ar-SA"/>
              </w:rPr>
            </w:pPr>
            <w:r>
              <w:rPr>
                <w:rFonts w:ascii="Arial" w:eastAsia="Lucida Sans Unicode" w:hAnsi="Arial" w:cs="Arial"/>
                <w:b/>
                <w:bCs/>
                <w:color w:val="000000"/>
                <w:sz w:val="18"/>
                <w:szCs w:val="18"/>
                <w:lang w:eastAsia="es-ES" w:bidi="ar-SA"/>
              </w:rPr>
              <w:t>522.523,17</w:t>
            </w:r>
          </w:p>
        </w:tc>
      </w:tr>
    </w:tbl>
    <w:p w:rsidR="00061CF1" w:rsidRDefault="00061CF1">
      <w:pPr>
        <w:tabs>
          <w:tab w:val="left" w:pos="0"/>
        </w:tabs>
        <w:suppressAutoHyphens w:val="0"/>
        <w:jc w:val="both"/>
        <w:textAlignment w:val="auto"/>
        <w:rPr>
          <w:rFonts w:ascii="Arial" w:eastAsia="Lucida Sans Unicode" w:hAnsi="Arial" w:cs="Arial"/>
          <w:b/>
          <w:color w:val="000000"/>
          <w:sz w:val="22"/>
          <w:szCs w:val="22"/>
          <w:lang w:bidi="ar-SA"/>
        </w:rPr>
      </w:pPr>
    </w:p>
    <w:p w:rsidR="00061CF1" w:rsidRDefault="00061CF1">
      <w:pPr>
        <w:tabs>
          <w:tab w:val="left" w:pos="0"/>
        </w:tabs>
        <w:suppressAutoHyphens w:val="0"/>
        <w:jc w:val="both"/>
        <w:textAlignment w:val="auto"/>
        <w:rPr>
          <w:rFonts w:ascii="Arial" w:eastAsia="Lucida Sans Unicode" w:hAnsi="Arial" w:cs="Arial"/>
          <w:b/>
          <w:color w:val="000000"/>
          <w:sz w:val="22"/>
          <w:szCs w:val="22"/>
          <w:lang w:bidi="ar-SA"/>
        </w:rPr>
      </w:pPr>
    </w:p>
    <w:p w:rsidR="00061CF1" w:rsidRDefault="004E6D5A">
      <w:pPr>
        <w:tabs>
          <w:tab w:val="left" w:pos="0"/>
        </w:tabs>
        <w:suppressAutoHyphens w:val="0"/>
        <w:jc w:val="both"/>
        <w:textAlignment w:val="auto"/>
      </w:pPr>
      <w:r>
        <w:rPr>
          <w:rFonts w:ascii="Arial" w:eastAsia="Lucida Sans Unicode" w:hAnsi="Arial" w:cs="Arial"/>
          <w:b/>
          <w:color w:val="000000"/>
          <w:sz w:val="22"/>
          <w:szCs w:val="22"/>
          <w:lang w:bidi="ar-SA"/>
        </w:rPr>
        <w:tab/>
        <w:t>SEGUNDO.-</w:t>
      </w:r>
      <w:r>
        <w:rPr>
          <w:rFonts w:ascii="Arial" w:eastAsia="Lucida Sans Unicode" w:hAnsi="Arial" w:cs="Arial"/>
          <w:b/>
          <w:sz w:val="22"/>
          <w:szCs w:val="22"/>
          <w:lang w:bidi="ar-SA"/>
        </w:rPr>
        <w:t xml:space="preserve"> </w:t>
      </w:r>
      <w:r>
        <w:rPr>
          <w:rFonts w:ascii="Arial" w:eastAsia="Lucida Sans Unicode" w:hAnsi="Arial" w:cs="Arial"/>
          <w:b/>
          <w:color w:val="000000"/>
          <w:sz w:val="22"/>
          <w:szCs w:val="22"/>
          <w:lang w:bidi="ar-SA"/>
        </w:rPr>
        <w:t xml:space="preserve">Exponer este expediente al público mediante anuncio publicado en el Boletín Oficial de la Provincia, </w:t>
      </w:r>
      <w:r>
        <w:rPr>
          <w:rFonts w:ascii="Arial" w:eastAsia="Lucida Sans Unicode" w:hAnsi="Arial" w:cs="Arial"/>
          <w:b/>
          <w:color w:val="000000"/>
          <w:sz w:val="22"/>
          <w:szCs w:val="22"/>
          <w:lang w:bidi="ar-SA"/>
        </w:rPr>
        <w:t>por 15 días, durante los cuales los interesados podrán examinarlo y presentar reclamaciones ante el Pleno.</w:t>
      </w:r>
    </w:p>
    <w:p w:rsidR="00061CF1" w:rsidRDefault="004E6D5A">
      <w:pPr>
        <w:tabs>
          <w:tab w:val="left" w:pos="0"/>
        </w:tabs>
        <w:suppressAutoHyphens w:val="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ab/>
      </w:r>
    </w:p>
    <w:p w:rsidR="00061CF1" w:rsidRDefault="004E6D5A">
      <w:pPr>
        <w:tabs>
          <w:tab w:val="left" w:pos="0"/>
        </w:tabs>
        <w:suppressAutoHyphens w:val="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ab/>
        <w:t>TERCERO.- El expediente se considerará definitivamente aprobado si durante el citado plazo no se hubiesen presentado reclamaciones, en caso contra</w:t>
      </w:r>
      <w:r>
        <w:rPr>
          <w:rFonts w:ascii="Arial" w:eastAsia="Lucida Sans Unicode" w:hAnsi="Arial" w:cs="Arial"/>
          <w:b/>
          <w:color w:val="000000"/>
          <w:sz w:val="22"/>
          <w:szCs w:val="22"/>
          <w:lang w:bidi="ar-SA"/>
        </w:rPr>
        <w:t>rio el Pleno dispondrá de un mes para resolverlas. El expediente definitivamente aprobado, será insertado en el boletín oficial de la provincia.</w:t>
      </w:r>
    </w:p>
    <w:p w:rsidR="00061CF1" w:rsidRDefault="00061CF1">
      <w:pPr>
        <w:widowControl/>
        <w:ind w:firstLine="709"/>
        <w:jc w:val="both"/>
        <w:rPr>
          <w:rFonts w:ascii="Arial" w:eastAsia="Times New Roman" w:hAnsi="Arial" w:cs="Arial"/>
          <w:b/>
          <w:sz w:val="22"/>
          <w:szCs w:val="22"/>
          <w:lang w:bidi="ar-SA"/>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061CF1">
      <w:pPr>
        <w:pStyle w:val="Textoindependiente"/>
        <w:jc w:val="both"/>
        <w:rPr>
          <w:rFonts w:cs="Arial"/>
          <w:b/>
        </w:rPr>
      </w:pPr>
    </w:p>
    <w:p w:rsidR="00061CF1" w:rsidRDefault="004E6D5A">
      <w:pPr>
        <w:pStyle w:val="Textoindependiente"/>
        <w:jc w:val="both"/>
      </w:pPr>
      <w:r>
        <w:rPr>
          <w:rFonts w:cs="Arial"/>
          <w:b/>
        </w:rPr>
        <w:t xml:space="preserve">7.- </w:t>
      </w:r>
      <w:r>
        <w:rPr>
          <w:rFonts w:cs="Arial"/>
          <w:b/>
          <w:color w:val="000000"/>
          <w:sz w:val="24"/>
          <w:u w:val="single"/>
          <w:shd w:val="clear" w:color="auto" w:fill="F5F7F9"/>
        </w:rPr>
        <w:t>Expediente 6370/2025</w:t>
      </w:r>
      <w:r>
        <w:rPr>
          <w:rFonts w:cs="Arial"/>
          <w:b/>
          <w:color w:val="000000"/>
          <w:sz w:val="24"/>
          <w:shd w:val="clear" w:color="auto" w:fill="F5F7F9"/>
        </w:rPr>
        <w:t xml:space="preserve">. Propuesta de la Alcaldesa-Presidenta al Pleno de aprobación inicial de </w:t>
      </w:r>
      <w:r>
        <w:rPr>
          <w:rFonts w:cs="Arial"/>
          <w:b/>
          <w:color w:val="000000"/>
          <w:sz w:val="24"/>
          <w:shd w:val="clear" w:color="auto" w:fill="F5F7F9"/>
        </w:rPr>
        <w:t>los estatutos para la constitución de la entidad urbanística de conservación (EUC) del Polígono Industrial del Valle de Güimar.</w:t>
      </w:r>
    </w:p>
    <w:p w:rsidR="00061CF1" w:rsidRDefault="00061CF1">
      <w:pPr>
        <w:spacing w:after="120"/>
        <w:jc w:val="both"/>
        <w:textAlignment w:val="auto"/>
        <w:rPr>
          <w:rFonts w:ascii="Arial" w:eastAsia="Lucida Sans Unicode" w:hAnsi="Arial" w:cs="Arial"/>
          <w:b/>
          <w:color w:val="000000"/>
          <w:sz w:val="22"/>
          <w:szCs w:val="22"/>
          <w:lang w:bidi="ar-SA"/>
        </w:rPr>
      </w:pPr>
    </w:p>
    <w:p w:rsidR="00061CF1" w:rsidRDefault="004E6D5A">
      <w:pPr>
        <w:spacing w:after="12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Consta en el expediente informe del Secretario General de la Corporación de fecha 20 de octubre de 2025 que transcrito literalm</w:t>
      </w:r>
      <w:r>
        <w:rPr>
          <w:rFonts w:ascii="Arial" w:eastAsia="Lucida Sans Unicode" w:hAnsi="Arial" w:cs="Arial"/>
          <w:b/>
          <w:color w:val="000000"/>
          <w:sz w:val="22"/>
          <w:szCs w:val="22"/>
          <w:lang w:bidi="ar-SA"/>
        </w:rPr>
        <w:t>ente dice:</w:t>
      </w:r>
    </w:p>
    <w:p w:rsidR="00061CF1" w:rsidRDefault="00061CF1">
      <w:pPr>
        <w:spacing w:after="120"/>
        <w:ind w:left="425" w:firstLine="709"/>
        <w:textAlignment w:val="auto"/>
        <w:rPr>
          <w:rFonts w:ascii="Arial" w:eastAsia="Lucida Sans Unicode" w:hAnsi="Arial" w:cs="Times New Roman"/>
          <w:b/>
          <w:lang w:bidi="ar-SA"/>
        </w:rPr>
      </w:pPr>
    </w:p>
    <w:p w:rsidR="00061CF1" w:rsidRDefault="004E6D5A">
      <w:pPr>
        <w:spacing w:after="120"/>
        <w:ind w:left="425" w:firstLine="284"/>
        <w:textAlignment w:val="auto"/>
      </w:pPr>
      <w:r>
        <w:rPr>
          <w:rFonts w:ascii="Arial" w:eastAsia="Lucida Sans Unicode" w:hAnsi="Arial" w:cs="Times New Roman"/>
          <w:b/>
          <w:i/>
          <w:lang w:bidi="ar-SA"/>
        </w:rPr>
        <w:t xml:space="preserve">“INFORME JURÍDICO DE LA SECRETARÍA GENERAL                          </w:t>
      </w:r>
    </w:p>
    <w:p w:rsidR="00061CF1" w:rsidRDefault="004E6D5A">
      <w:pPr>
        <w:widowControl/>
        <w:suppressAutoHyphens w:val="0"/>
        <w:autoSpaceDE w:val="0"/>
        <w:ind w:firstLine="1134"/>
        <w:jc w:val="both"/>
        <w:textAlignment w:val="auto"/>
      </w:pPr>
      <w:r>
        <w:rPr>
          <w:rFonts w:ascii="Arial" w:eastAsia="Lucida Sans Unicode" w:hAnsi="Arial" w:cs="Arial"/>
          <w:b/>
          <w:i/>
          <w:sz w:val="22"/>
          <w:szCs w:val="22"/>
          <w:lang w:bidi="ar-SA"/>
        </w:rPr>
        <w:t>Visto los</w:t>
      </w:r>
      <w:r>
        <w:rPr>
          <w:rFonts w:ascii="Arial" w:eastAsia="Times New Roman" w:hAnsi="Arial" w:cs="Arial"/>
          <w:b/>
          <w:i/>
          <w:sz w:val="22"/>
          <w:szCs w:val="22"/>
          <w:lang w:eastAsia="es-ES" w:bidi="ar-SA"/>
        </w:rPr>
        <w:t xml:space="preserve"> documentos remitidos por el Cabildo Insular de Tenerife por registro de entrada del día 16 de septiembre de 2025 al Ayuntamiento de Candelaria sobre propuesta de </w:t>
      </w:r>
      <w:r>
        <w:rPr>
          <w:rFonts w:ascii="Arial" w:eastAsia="Times New Roman" w:hAnsi="Arial" w:cs="Arial"/>
          <w:b/>
          <w:i/>
          <w:sz w:val="22"/>
          <w:szCs w:val="22"/>
          <w:lang w:eastAsia="es-ES" w:bidi="ar-SA"/>
        </w:rPr>
        <w:t>estatutos para la constitución de una entidad urbanística de conservación del Polígono Industrial del Valle de Güimar (E.U.C. Polígono de Güimar) con fecha de firma por la Jefa de Servicio de 15 de septiembre de 2025 (E.U.C. Polígono de Güimar):</w:t>
      </w:r>
    </w:p>
    <w:p w:rsidR="00061CF1" w:rsidRDefault="00061CF1">
      <w:pPr>
        <w:widowControl/>
        <w:suppressAutoHyphens w:val="0"/>
        <w:autoSpaceDE w:val="0"/>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ind w:left="709" w:firstLine="709"/>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 xml:space="preserve">SE EMITE </w:t>
      </w:r>
      <w:r>
        <w:rPr>
          <w:rFonts w:ascii="Arial" w:eastAsia="Times New Roman" w:hAnsi="Arial" w:cs="Arial"/>
          <w:b/>
          <w:i/>
          <w:sz w:val="22"/>
          <w:szCs w:val="22"/>
          <w:lang w:eastAsia="es-ES" w:bidi="ar-SA"/>
        </w:rPr>
        <w:t>EL SIGUIENTE INFORME JURÍDICO:</w:t>
      </w:r>
    </w:p>
    <w:p w:rsidR="00061CF1" w:rsidRDefault="00061CF1">
      <w:pPr>
        <w:widowControl/>
        <w:suppressAutoHyphens w:val="0"/>
        <w:autoSpaceDE w:val="0"/>
        <w:textAlignment w:val="auto"/>
        <w:rPr>
          <w:rFonts w:ascii="ArialMT" w:eastAsia="Times New Roman" w:hAnsi="ArialMT" w:cs="ArialMT"/>
          <w:b/>
          <w:i/>
          <w:sz w:val="20"/>
          <w:szCs w:val="20"/>
          <w:lang w:eastAsia="es-ES" w:bidi="ar-SA"/>
        </w:rPr>
      </w:pPr>
    </w:p>
    <w:p w:rsidR="00061CF1" w:rsidRDefault="004E6D5A">
      <w:pPr>
        <w:spacing w:after="120"/>
        <w:jc w:val="both"/>
        <w:textAlignment w:val="auto"/>
      </w:pPr>
      <w:r>
        <w:rPr>
          <w:rFonts w:ascii="Arial" w:eastAsia="Lucida Sans Unicode" w:hAnsi="Arial" w:cs="Times New Roman"/>
          <w:i/>
          <w:sz w:val="22"/>
          <w:lang w:bidi="ar-SA"/>
        </w:rPr>
        <w:t> </w:t>
      </w:r>
      <w:r>
        <w:rPr>
          <w:rFonts w:ascii="Arial" w:eastAsia="Lucida Sans Unicode" w:hAnsi="Arial" w:cs="Times New Roman"/>
          <w:i/>
          <w:sz w:val="22"/>
          <w:lang w:bidi="ar-SA"/>
        </w:rPr>
        <w:tab/>
      </w:r>
      <w:r>
        <w:rPr>
          <w:rFonts w:ascii="Arial" w:eastAsia="Lucida Sans Unicode" w:hAnsi="Arial" w:cs="Times New Roman"/>
          <w:i/>
          <w:sz w:val="22"/>
          <w:lang w:bidi="ar-SA"/>
        </w:rPr>
        <w:tab/>
      </w:r>
      <w:r>
        <w:rPr>
          <w:rFonts w:ascii="Arial" w:eastAsia="Lucida Sans Unicode" w:hAnsi="Arial" w:cs="Times New Roman"/>
          <w:b/>
          <w:i/>
          <w:lang w:bidi="ar-SA"/>
        </w:rPr>
        <w:t>ANTECEDENTES DE HECHO</w:t>
      </w:r>
    </w:p>
    <w:p w:rsidR="00061CF1" w:rsidRDefault="004E6D5A">
      <w:pPr>
        <w:spacing w:after="120"/>
        <w:ind w:firstLine="1134"/>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Primero.- Recepción por los Ayuntamientos de Arafo, Candelaria y Güimar, el 23 de julio de 2013, como Administraciones urbanísticas actuantes, de los bienes públicos del Polígono Industrial del Valle</w:t>
      </w:r>
      <w:r>
        <w:rPr>
          <w:rFonts w:ascii="Arial" w:eastAsia="Lucida Sans Unicode" w:hAnsi="Arial" w:cs="Times New Roman"/>
          <w:b/>
          <w:i/>
          <w:sz w:val="22"/>
          <w:lang w:bidi="ar-SA"/>
        </w:rPr>
        <w:t xml:space="preserve"> de Güimar y compromisos vinculados a la constitución de la entidad que se cree para su conservación, ya sea Entidad urbanística de conservación (EUC) o Consorcio inter-administrativo y la no constitución o creación finalmente de entidad alguna (PERÍODO 20</w:t>
      </w:r>
      <w:r>
        <w:rPr>
          <w:rFonts w:ascii="Arial" w:eastAsia="Lucida Sans Unicode" w:hAnsi="Arial" w:cs="Times New Roman"/>
          <w:b/>
          <w:i/>
          <w:sz w:val="22"/>
          <w:lang w:bidi="ar-SA"/>
        </w:rPr>
        <w:t>13-2016).</w:t>
      </w: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En la escritura pública de 23 de julio de 2013, ante el notario de Güimar DON FRANCISCO JAVIER JUAN RICO, denominada “ESCRITURA DE SEGREGACIÓN Y CESIÓN OBLIGATORIA GRATUITA DE TERRENOS Y OTROS BIENES POR OBLIGACIONES URBANÍSTICAS” sobre la cesión</w:t>
      </w:r>
      <w:r>
        <w:rPr>
          <w:rFonts w:ascii="Arial" w:eastAsia="Lucida Sans Unicode" w:hAnsi="Arial" w:cs="Times New Roman"/>
          <w:i/>
          <w:sz w:val="22"/>
          <w:lang w:bidi="ar-SA"/>
        </w:rPr>
        <w:t xml:space="preserve"> de los bienes de la Asociación Mixta de Compensación a los Ayuntamientos de Arafo, Candelaria y Güimar a la que me remito y que obra en los expedientes municipales y en la notaría consta lo siguiente:</w:t>
      </w: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Al respecto sobre la cesión del denominado POZO CHIGUE</w:t>
      </w:r>
      <w:r>
        <w:rPr>
          <w:rFonts w:ascii="Arial" w:eastAsia="Lucida Sans Unicode" w:hAnsi="Arial" w:cs="Times New Roman"/>
          <w:i/>
          <w:sz w:val="22"/>
          <w:lang w:bidi="ar-SA"/>
        </w:rPr>
        <w:t>NGUE, descrito en la página 37, en cuanto a la efectividad de la transmisión del dominio a los Ayuntamientos suscribientes la página 40 y 41 dicen textualmente, que lo transcribo mediante fotografía digital que yo, como fedatario público municipal, de la e</w:t>
      </w:r>
      <w:r>
        <w:rPr>
          <w:rFonts w:ascii="Arial" w:eastAsia="Lucida Sans Unicode" w:hAnsi="Arial" w:cs="Times New Roman"/>
          <w:i/>
          <w:sz w:val="22"/>
          <w:lang w:bidi="ar-SA"/>
        </w:rPr>
        <w:t>scritura matriz, la certifico:</w:t>
      </w:r>
    </w:p>
    <w:p w:rsidR="00061CF1" w:rsidRDefault="00061CF1">
      <w:pPr>
        <w:spacing w:after="120"/>
        <w:ind w:firstLine="1134"/>
        <w:jc w:val="both"/>
        <w:textAlignment w:val="auto"/>
        <w:rPr>
          <w:rFonts w:ascii="Arial" w:eastAsia="Lucida Sans Unicode" w:hAnsi="Arial" w:cs="Times New Roman"/>
          <w:i/>
          <w:sz w:val="22"/>
          <w:lang w:bidi="ar-SA"/>
        </w:rPr>
      </w:pP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PÁGINAS 40 Y 41 DE LA ESCRITURA PÚBLICA</w:t>
      </w: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w:t>
      </w:r>
    </w:p>
    <w:p w:rsidR="00061CF1" w:rsidRDefault="00061CF1">
      <w:pPr>
        <w:spacing w:after="120"/>
        <w:ind w:firstLine="1134"/>
        <w:jc w:val="both"/>
        <w:textAlignment w:val="auto"/>
        <w:rPr>
          <w:rFonts w:ascii="Arial" w:eastAsia="Lucida Sans Unicode" w:hAnsi="Arial" w:cs="Times New Roman"/>
          <w:b/>
          <w:i/>
          <w:sz w:val="22"/>
          <w:lang w:bidi="ar-SA"/>
        </w:rPr>
      </w:pPr>
    </w:p>
    <w:p w:rsidR="00061CF1" w:rsidRDefault="004E6D5A">
      <w:pPr>
        <w:spacing w:after="120"/>
        <w:ind w:firstLine="1134"/>
        <w:jc w:val="both"/>
        <w:textAlignment w:val="auto"/>
      </w:pPr>
      <w:r>
        <w:rPr>
          <w:rFonts w:ascii="Arial" w:eastAsia="Lucida Sans Unicode" w:hAnsi="Arial" w:cs="Times New Roman"/>
          <w:i/>
          <w:noProof/>
          <w:sz w:val="22"/>
          <w:lang w:eastAsia="es-ES" w:bidi="ar-SA"/>
        </w:rPr>
        <w:drawing>
          <wp:inline distT="0" distB="0" distL="0" distR="0">
            <wp:extent cx="5762621" cy="6229349"/>
            <wp:effectExtent l="0" t="0" r="0" b="1"/>
            <wp:docPr id="16" name="Imagen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762621" cy="6229349"/>
                    </a:xfrm>
                    <a:prstGeom prst="rect">
                      <a:avLst/>
                    </a:prstGeom>
                    <a:noFill/>
                    <a:ln>
                      <a:noFill/>
                      <a:prstDash/>
                    </a:ln>
                  </pic:spPr>
                </pic:pic>
              </a:graphicData>
            </a:graphic>
          </wp:inline>
        </w:drawing>
      </w:r>
    </w:p>
    <w:p w:rsidR="00061CF1" w:rsidRDefault="00061CF1">
      <w:pPr>
        <w:spacing w:after="120"/>
        <w:ind w:firstLine="1134"/>
        <w:jc w:val="both"/>
        <w:textAlignment w:val="auto"/>
        <w:rPr>
          <w:rFonts w:ascii="Arial" w:eastAsia="Lucida Sans Unicode" w:hAnsi="Arial" w:cs="Times New Roman"/>
          <w:b/>
          <w:i/>
          <w:sz w:val="22"/>
          <w:lang w:bidi="ar-SA"/>
        </w:rPr>
      </w:pPr>
    </w:p>
    <w:p w:rsidR="00061CF1" w:rsidRDefault="00061CF1">
      <w:pPr>
        <w:spacing w:after="120"/>
        <w:ind w:firstLine="1134"/>
        <w:jc w:val="both"/>
        <w:textAlignment w:val="auto"/>
        <w:rPr>
          <w:rFonts w:ascii="Arial" w:eastAsia="Lucida Sans Unicode" w:hAnsi="Arial" w:cs="Times New Roman"/>
          <w:b/>
          <w:i/>
          <w:sz w:val="22"/>
          <w:lang w:bidi="ar-SA"/>
        </w:rPr>
      </w:pPr>
    </w:p>
    <w:p w:rsidR="00061CF1" w:rsidRDefault="00061CF1">
      <w:pPr>
        <w:spacing w:after="120"/>
        <w:ind w:firstLine="1134"/>
        <w:jc w:val="both"/>
        <w:textAlignment w:val="auto"/>
        <w:rPr>
          <w:rFonts w:ascii="Arial" w:eastAsia="Lucida Sans Unicode" w:hAnsi="Arial" w:cs="Times New Roman"/>
          <w:b/>
          <w:i/>
          <w:sz w:val="22"/>
          <w:lang w:bidi="ar-SA"/>
        </w:rPr>
      </w:pPr>
    </w:p>
    <w:p w:rsidR="00061CF1" w:rsidRDefault="004E6D5A">
      <w:pPr>
        <w:spacing w:after="120"/>
        <w:ind w:firstLine="1134"/>
        <w:jc w:val="both"/>
        <w:textAlignment w:val="auto"/>
      </w:pPr>
      <w:r>
        <w:rPr>
          <w:rFonts w:ascii="Arial" w:eastAsia="Lucida Sans Unicode" w:hAnsi="Arial" w:cs="Times New Roman"/>
          <w:i/>
          <w:noProof/>
          <w:sz w:val="22"/>
          <w:lang w:eastAsia="es-ES" w:bidi="ar-SA"/>
        </w:rPr>
        <w:drawing>
          <wp:inline distT="0" distB="0" distL="0" distR="0">
            <wp:extent cx="5762621" cy="2438403"/>
            <wp:effectExtent l="0" t="0" r="0" b="0"/>
            <wp:docPr id="17" name="Imagen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62621" cy="2438403"/>
                    </a:xfrm>
                    <a:prstGeom prst="rect">
                      <a:avLst/>
                    </a:prstGeom>
                    <a:noFill/>
                    <a:ln>
                      <a:noFill/>
                      <a:prstDash/>
                    </a:ln>
                  </pic:spPr>
                </pic:pic>
              </a:graphicData>
            </a:graphic>
          </wp:inline>
        </w:drawing>
      </w:r>
    </w:p>
    <w:p w:rsidR="00061CF1" w:rsidRDefault="004E6D5A">
      <w:pPr>
        <w:spacing w:after="120"/>
        <w:ind w:firstLine="1134"/>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w:t>
      </w:r>
    </w:p>
    <w:p w:rsidR="00061CF1" w:rsidRDefault="00061CF1">
      <w:pPr>
        <w:spacing w:after="120"/>
        <w:ind w:firstLine="1134"/>
        <w:jc w:val="both"/>
        <w:textAlignment w:val="auto"/>
        <w:rPr>
          <w:rFonts w:ascii="Arial" w:eastAsia="Lucida Sans Unicode" w:hAnsi="Arial" w:cs="Times New Roman"/>
          <w:b/>
          <w:i/>
          <w:sz w:val="22"/>
          <w:lang w:bidi="ar-SA"/>
        </w:rPr>
      </w:pPr>
    </w:p>
    <w:p w:rsidR="00061CF1" w:rsidRDefault="004E6D5A">
      <w:pPr>
        <w:spacing w:after="120"/>
        <w:ind w:firstLine="1134"/>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 xml:space="preserve">Por tanto, es requisito sine qua non, que se debe constituir la entidad urbanística de conservación, para que el pleno dominio. libre de cargas pase a los </w:t>
      </w:r>
      <w:r>
        <w:rPr>
          <w:rFonts w:ascii="Arial" w:eastAsia="Lucida Sans Unicode" w:hAnsi="Arial" w:cs="Times New Roman"/>
          <w:b/>
          <w:i/>
          <w:sz w:val="22"/>
          <w:lang w:bidi="ar-SA"/>
        </w:rPr>
        <w:t xml:space="preserve">Ayuntamientos. </w:t>
      </w:r>
    </w:p>
    <w:p w:rsidR="00061CF1" w:rsidRDefault="004E6D5A">
      <w:pPr>
        <w:spacing w:after="120"/>
        <w:ind w:firstLine="1134"/>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En la escritura se rebajó el plazo de dos años a la efectiva constitución de la entidad ya que se entendía que en menos de dos años se iba a constituir la entidad.</w:t>
      </w: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 Pero todo lo contrario, ese cambio de condiciones  (en el convenio urbaníst</w:t>
      </w:r>
      <w:r>
        <w:rPr>
          <w:rFonts w:ascii="Arial" w:eastAsia="Lucida Sans Unicode" w:hAnsi="Arial" w:cs="Times New Roman"/>
          <w:i/>
          <w:sz w:val="22"/>
          <w:lang w:bidi="ar-SA"/>
        </w:rPr>
        <w:t>ico previo se estableció dos años desde la recepción, el pleno dominio del pozo pasaba a los Ayuntamientos) a lo formalizado en la escritura (cuando se constituya la entidad y sólo en ese momento el dominio del pozo pasa a los Ayuntamientos) ha hecho que 1</w:t>
      </w:r>
      <w:r>
        <w:rPr>
          <w:rFonts w:ascii="Arial" w:eastAsia="Lucida Sans Unicode" w:hAnsi="Arial" w:cs="Times New Roman"/>
          <w:i/>
          <w:sz w:val="22"/>
          <w:lang w:bidi="ar-SA"/>
        </w:rPr>
        <w:t>2 años después, a la fecha del presente informe, la Asociación Mixta de Compensación del Polígono Industrial del Valle de Güimar (disuelta por sentencia judicial firme de 25 de junio de 2020 de la Sala de lo Contencioso-Administrativo del Tribunal Superior</w:t>
      </w:r>
      <w:r>
        <w:rPr>
          <w:rFonts w:ascii="Arial" w:eastAsia="Lucida Sans Unicode" w:hAnsi="Arial" w:cs="Times New Roman"/>
          <w:i/>
          <w:sz w:val="22"/>
          <w:lang w:bidi="ar-SA"/>
        </w:rPr>
        <w:t xml:space="preserve"> de Justicia de Canarias rec. 60/2020) siga teniendo formalmente, según lo escriturado que permanece inamovible, la posesión, gestión y explotación del pozo, teniendo los Ayuntamientos aún hoy la nuda propiedad del mismo, al no tener su plena propiedad por</w:t>
      </w:r>
      <w:r>
        <w:rPr>
          <w:rFonts w:ascii="Arial" w:eastAsia="Lucida Sans Unicode" w:hAnsi="Arial" w:cs="Times New Roman"/>
          <w:i/>
          <w:sz w:val="22"/>
          <w:lang w:bidi="ar-SA"/>
        </w:rPr>
        <w:t xml:space="preserve"> no haber constituido la EUC.</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w:t>
      </w:r>
      <w:r>
        <w:rPr>
          <w:rFonts w:ascii="Arial" w:eastAsia="Lucida Sans Unicode" w:hAnsi="Arial" w:cs="Times New Roman"/>
          <w:i/>
          <w:sz w:val="22"/>
          <w:lang w:bidi="ar-SA"/>
        </w:rPr>
        <w:tab/>
      </w:r>
      <w:r>
        <w:rPr>
          <w:rFonts w:ascii="Arial" w:eastAsia="Lucida Sans Unicode" w:hAnsi="Arial" w:cs="Times New Roman"/>
          <w:i/>
          <w:sz w:val="22"/>
          <w:lang w:bidi="ar-SA"/>
        </w:rPr>
        <w:tab/>
      </w:r>
      <w:r>
        <w:rPr>
          <w:rFonts w:ascii="Arial" w:eastAsia="Lucida Sans Unicode" w:hAnsi="Arial" w:cs="Times New Roman"/>
          <w:i/>
          <w:sz w:val="22"/>
          <w:lang w:bidi="ar-SA"/>
        </w:rPr>
        <w:tab/>
      </w:r>
    </w:p>
    <w:p w:rsidR="00061CF1" w:rsidRDefault="004E6D5A">
      <w:pPr>
        <w:spacing w:after="120"/>
        <w:ind w:firstLine="1134"/>
        <w:jc w:val="both"/>
        <w:textAlignment w:val="auto"/>
        <w:rPr>
          <w:rFonts w:ascii="Arial" w:eastAsia="Lucida Sans Unicode" w:hAnsi="Arial" w:cs="Times New Roman"/>
          <w:b/>
          <w:i/>
          <w:lang w:bidi="ar-SA"/>
        </w:rPr>
      </w:pPr>
      <w:r>
        <w:rPr>
          <w:rFonts w:ascii="Arial" w:eastAsia="Lucida Sans Unicode" w:hAnsi="Arial" w:cs="Times New Roman"/>
          <w:b/>
          <w:i/>
          <w:lang w:bidi="ar-SA"/>
        </w:rPr>
        <w:t>SEGUNDO.- Sobre la no aprobación definitiva de la entidad urbanística de conservación en el período 2013-2027.</w:t>
      </w:r>
    </w:p>
    <w:p w:rsidR="00061CF1" w:rsidRDefault="004E6D5A">
      <w:pPr>
        <w:spacing w:after="120"/>
        <w:ind w:firstLine="1134"/>
        <w:jc w:val="both"/>
        <w:textAlignment w:val="auto"/>
        <w:rPr>
          <w:rFonts w:ascii="Arial" w:eastAsia="Lucida Sans Unicode" w:hAnsi="Arial" w:cs="Times New Roman"/>
          <w:i/>
          <w:sz w:val="22"/>
          <w:szCs w:val="22"/>
          <w:lang w:bidi="ar-SA"/>
        </w:rPr>
      </w:pPr>
      <w:r>
        <w:rPr>
          <w:rFonts w:ascii="Arial" w:eastAsia="Lucida Sans Unicode" w:hAnsi="Arial" w:cs="Times New Roman"/>
          <w:i/>
          <w:sz w:val="22"/>
          <w:szCs w:val="22"/>
          <w:lang w:bidi="ar-SA"/>
        </w:rPr>
        <w:t>Durante los cuatro años después de la recepción de la urbanización, se celebraron reuniones en el Cabildo Insu</w:t>
      </w:r>
      <w:r>
        <w:rPr>
          <w:rFonts w:ascii="Arial" w:eastAsia="Lucida Sans Unicode" w:hAnsi="Arial" w:cs="Times New Roman"/>
          <w:i/>
          <w:sz w:val="22"/>
          <w:szCs w:val="22"/>
          <w:lang w:bidi="ar-SA"/>
        </w:rPr>
        <w:t>lar de Tenerife entre los Ayuntamientos de Arafo, Candelaria y Güimar y los representantes de los propietarios, celebradas en el Cabildo Insular de Tenerife para llegar a un acuerdo sobre los estatutos de la entidad urbanística de conservación, que las par</w:t>
      </w:r>
      <w:r>
        <w:rPr>
          <w:rFonts w:ascii="Arial" w:eastAsia="Lucida Sans Unicode" w:hAnsi="Arial" w:cs="Times New Roman"/>
          <w:i/>
          <w:sz w:val="22"/>
          <w:szCs w:val="22"/>
          <w:lang w:bidi="ar-SA"/>
        </w:rPr>
        <w:t>tes se comprometieron a crear en los convenios y en la escritura de recepción formalizada mencionada en el punto primero.</w:t>
      </w:r>
    </w:p>
    <w:p w:rsidR="00061CF1" w:rsidRDefault="004E6D5A">
      <w:pPr>
        <w:spacing w:after="120"/>
        <w:ind w:firstLine="1134"/>
        <w:jc w:val="both"/>
        <w:textAlignment w:val="auto"/>
        <w:rPr>
          <w:rFonts w:ascii="Arial" w:eastAsia="Lucida Sans Unicode" w:hAnsi="Arial" w:cs="Times New Roman"/>
          <w:i/>
          <w:sz w:val="22"/>
          <w:szCs w:val="22"/>
          <w:lang w:bidi="ar-SA"/>
        </w:rPr>
      </w:pPr>
      <w:r>
        <w:rPr>
          <w:rFonts w:ascii="Arial" w:eastAsia="Lucida Sans Unicode" w:hAnsi="Arial" w:cs="Times New Roman"/>
          <w:i/>
          <w:sz w:val="22"/>
          <w:szCs w:val="22"/>
          <w:lang w:bidi="ar-SA"/>
        </w:rPr>
        <w:t>Sin embargo, si bien se aprobaron los estatutos de forma inicial por los plenos de los Ayuntamientos, y se sometieron los mismos a inf</w:t>
      </w:r>
      <w:r>
        <w:rPr>
          <w:rFonts w:ascii="Arial" w:eastAsia="Lucida Sans Unicode" w:hAnsi="Arial" w:cs="Times New Roman"/>
          <w:i/>
          <w:sz w:val="22"/>
          <w:szCs w:val="22"/>
          <w:lang w:bidi="ar-SA"/>
        </w:rPr>
        <w:t>ormación pública y se presentaron numerosas alegaciones por los propietarios de parcelas, nunca se llegó a aprobar definitivamente por el Cabildo Insular y los Ayuntamientos porque no hubo un acuerdo político entre las cuatro administraciones sobre el text</w:t>
      </w:r>
      <w:r>
        <w:rPr>
          <w:rFonts w:ascii="Arial" w:eastAsia="Lucida Sans Unicode" w:hAnsi="Arial" w:cs="Times New Roman"/>
          <w:i/>
          <w:sz w:val="22"/>
          <w:szCs w:val="22"/>
          <w:lang w:bidi="ar-SA"/>
        </w:rPr>
        <w:t xml:space="preserve">o a acordar después de las alegaciones, sobre las que se estimaban y las que se desestimaban. </w:t>
      </w:r>
    </w:p>
    <w:p w:rsidR="00061CF1" w:rsidRDefault="00061CF1">
      <w:pPr>
        <w:spacing w:after="120"/>
        <w:ind w:firstLine="1134"/>
        <w:jc w:val="both"/>
        <w:textAlignment w:val="auto"/>
        <w:rPr>
          <w:rFonts w:ascii="Arial" w:eastAsia="Lucida Sans Unicode" w:hAnsi="Arial" w:cs="Times New Roman"/>
          <w:b/>
          <w:i/>
          <w:sz w:val="22"/>
          <w:szCs w:val="22"/>
          <w:u w:val="single"/>
          <w:lang w:bidi="ar-SA"/>
        </w:rPr>
      </w:pPr>
    </w:p>
    <w:p w:rsidR="00061CF1" w:rsidRDefault="004E6D5A">
      <w:pPr>
        <w:spacing w:after="120"/>
        <w:ind w:firstLine="1134"/>
        <w:jc w:val="both"/>
        <w:textAlignment w:val="auto"/>
      </w:pPr>
      <w:r>
        <w:rPr>
          <w:rFonts w:ascii="Arial" w:eastAsia="Lucida Sans Unicode" w:hAnsi="Arial" w:cs="Times New Roman"/>
          <w:b/>
          <w:i/>
          <w:sz w:val="22"/>
          <w:szCs w:val="22"/>
          <w:u w:val="single"/>
          <w:lang w:bidi="ar-SA"/>
        </w:rPr>
        <w:t>En definitiva la EUC que llegó a aprobar sus estatutos inicialmente por los tres Ayuntamientos, como nunca se aprobaron definitivamente, se convirtió en un “nas</w:t>
      </w:r>
      <w:r>
        <w:rPr>
          <w:rFonts w:ascii="Arial" w:eastAsia="Lucida Sans Unicode" w:hAnsi="Arial" w:cs="Times New Roman"/>
          <w:b/>
          <w:i/>
          <w:sz w:val="22"/>
          <w:szCs w:val="22"/>
          <w:u w:val="single"/>
          <w:lang w:bidi="ar-SA"/>
        </w:rPr>
        <w:t>citurus jurídico” ,que nunca llego nacer para el derecho</w:t>
      </w:r>
      <w:r>
        <w:rPr>
          <w:rFonts w:ascii="Arial" w:eastAsia="Lucida Sans Unicode" w:hAnsi="Arial" w:cs="Times New Roman"/>
          <w:b/>
          <w:i/>
          <w:sz w:val="22"/>
          <w:szCs w:val="22"/>
          <w:lang w:bidi="ar-SA"/>
        </w:rPr>
        <w:t>, a pesar de que era necesario para la gestión y conservación del Polígono Industrial del Valle de Güimar, lastrando de esta forma la posibilidad de que los Ayuntamientos tuvieran el pleno dominio del</w:t>
      </w:r>
      <w:r>
        <w:rPr>
          <w:rFonts w:ascii="Arial" w:eastAsia="Lucida Sans Unicode" w:hAnsi="Arial" w:cs="Times New Roman"/>
          <w:b/>
          <w:i/>
          <w:sz w:val="22"/>
          <w:szCs w:val="22"/>
          <w:lang w:bidi="ar-SA"/>
        </w:rPr>
        <w:t xml:space="preserve"> Pozo Chiguengue, ya que la transmisión de la titularidad del pozo estaba indisolublemente vinculada a la creación de la entidad, non nata.</w:t>
      </w:r>
    </w:p>
    <w:p w:rsidR="00061CF1" w:rsidRDefault="00061CF1">
      <w:pPr>
        <w:spacing w:after="120"/>
        <w:ind w:firstLine="1134"/>
        <w:jc w:val="both"/>
        <w:textAlignment w:val="auto"/>
        <w:rPr>
          <w:rFonts w:ascii="Arial" w:eastAsia="Lucida Sans Unicode" w:hAnsi="Arial" w:cs="Times New Roman"/>
          <w:b/>
          <w:i/>
          <w:sz w:val="22"/>
          <w:szCs w:val="22"/>
          <w:lang w:bidi="ar-SA"/>
        </w:rPr>
      </w:pPr>
    </w:p>
    <w:p w:rsidR="00061CF1" w:rsidRDefault="004E6D5A">
      <w:pPr>
        <w:spacing w:after="120"/>
        <w:ind w:firstLine="1134"/>
        <w:jc w:val="both"/>
        <w:textAlignment w:val="auto"/>
        <w:rPr>
          <w:rFonts w:ascii="Arial" w:eastAsia="Lucida Sans Unicode" w:hAnsi="Arial" w:cs="Times New Roman"/>
          <w:b/>
          <w:i/>
          <w:lang w:bidi="ar-SA"/>
        </w:rPr>
      </w:pPr>
      <w:r>
        <w:rPr>
          <w:rFonts w:ascii="Arial" w:eastAsia="Lucida Sans Unicode" w:hAnsi="Arial" w:cs="Times New Roman"/>
          <w:b/>
          <w:i/>
          <w:lang w:bidi="ar-SA"/>
        </w:rPr>
        <w:t>TERCERO.- Sobre los trámites para la creación de un Consorcio interadministrativo (2019-2023)</w:t>
      </w:r>
    </w:p>
    <w:p w:rsidR="00061CF1" w:rsidRDefault="004E6D5A">
      <w:pPr>
        <w:spacing w:after="120"/>
        <w:ind w:firstLine="1134"/>
        <w:jc w:val="both"/>
        <w:textAlignment w:val="auto"/>
        <w:rPr>
          <w:rFonts w:ascii="Arial" w:eastAsia="Lucida Sans Unicode" w:hAnsi="Arial" w:cs="Times New Roman"/>
          <w:b/>
          <w:i/>
          <w:sz w:val="22"/>
          <w:szCs w:val="22"/>
          <w:lang w:bidi="ar-SA"/>
        </w:rPr>
      </w:pPr>
      <w:r>
        <w:rPr>
          <w:rFonts w:ascii="Arial" w:eastAsia="Lucida Sans Unicode" w:hAnsi="Arial" w:cs="Times New Roman"/>
          <w:b/>
          <w:i/>
          <w:sz w:val="22"/>
          <w:szCs w:val="22"/>
          <w:lang w:bidi="ar-SA"/>
        </w:rPr>
        <w:t xml:space="preserve">Entre el año 2019 al </w:t>
      </w:r>
      <w:r>
        <w:rPr>
          <w:rFonts w:ascii="Arial" w:eastAsia="Lucida Sans Unicode" w:hAnsi="Arial" w:cs="Times New Roman"/>
          <w:b/>
          <w:i/>
          <w:sz w:val="22"/>
          <w:szCs w:val="22"/>
          <w:lang w:bidi="ar-SA"/>
        </w:rPr>
        <w:t>2023 el Cabildo Insular de Tenerife tramitó un expediente para la creación de un Consorcio interadministrativo como permite la ley 40/2015, de 1 de octubre (LRJSP) para la gestión integral del Polígono Industrial del Valle de Güímar con reuniones políticas</w:t>
      </w:r>
      <w:r>
        <w:rPr>
          <w:rFonts w:ascii="Arial" w:eastAsia="Lucida Sans Unicode" w:hAnsi="Arial" w:cs="Times New Roman"/>
          <w:b/>
          <w:i/>
          <w:sz w:val="22"/>
          <w:szCs w:val="22"/>
          <w:lang w:bidi="ar-SA"/>
        </w:rPr>
        <w:t xml:space="preserve"> y técnicas entre el Área de Desarrollo Económico del Cabildo Insular de Tenerife asesorados por la consultoría Montero Aramburu que fueron  los encargados de redactar los estatutos habiendo celebrado varias reuniones de los técnicos del Cabildo y la Aboga</w:t>
      </w:r>
      <w:r>
        <w:rPr>
          <w:rFonts w:ascii="Arial" w:eastAsia="Lucida Sans Unicode" w:hAnsi="Arial" w:cs="Times New Roman"/>
          <w:b/>
          <w:i/>
          <w:sz w:val="22"/>
          <w:szCs w:val="22"/>
          <w:lang w:bidi="ar-SA"/>
        </w:rPr>
        <w:t>da de dicho despacho con los Secretarios de los Ayuntamientos para cerrar un texto acordado por el Cabildo de Tenerife y los Ayuntamientos de Arafo, Candelaria y Güimar, siendo los hitos temporales de dicho Consorcio interadministrativo, en ciernes, los si</w:t>
      </w:r>
      <w:r>
        <w:rPr>
          <w:rFonts w:ascii="Arial" w:eastAsia="Lucida Sans Unicode" w:hAnsi="Arial" w:cs="Times New Roman"/>
          <w:b/>
          <w:i/>
          <w:sz w:val="22"/>
          <w:szCs w:val="22"/>
          <w:lang w:bidi="ar-SA"/>
        </w:rPr>
        <w:t>guientes que constan en nuestro gestor de expedientes GESTIONA ( expediente 5061/2022)</w:t>
      </w:r>
    </w:p>
    <w:p w:rsidR="00061CF1" w:rsidRDefault="00061CF1">
      <w:pPr>
        <w:spacing w:after="120" w:line="248" w:lineRule="atLeast"/>
        <w:jc w:val="both"/>
        <w:rPr>
          <w:rFonts w:ascii="Arial" w:eastAsia="Lucida Sans Unicode" w:hAnsi="Arial" w:cs="Times New Roman"/>
          <w:i/>
          <w:sz w:val="22"/>
          <w:szCs w:val="22"/>
          <w:lang w:bidi="ar-SA"/>
        </w:rPr>
      </w:pPr>
    </w:p>
    <w:p w:rsidR="00061CF1" w:rsidRDefault="004E6D5A">
      <w:pPr>
        <w:spacing w:after="120" w:line="248" w:lineRule="atLeast"/>
        <w:ind w:firstLine="1134"/>
        <w:jc w:val="both"/>
      </w:pPr>
      <w:r>
        <w:rPr>
          <w:rFonts w:ascii="Arial" w:eastAsia="Lucida Sans Unicode" w:hAnsi="Arial" w:cs="Times New Roman"/>
          <w:b/>
          <w:i/>
          <w:sz w:val="22"/>
          <w:szCs w:val="22"/>
          <w:lang w:bidi="ar-SA"/>
        </w:rPr>
        <w:t xml:space="preserve">1.- </w:t>
      </w:r>
      <w:r>
        <w:rPr>
          <w:rFonts w:ascii="Arial" w:eastAsia="Lucida Sans Unicode" w:hAnsi="Arial" w:cs="Arial"/>
          <w:b/>
          <w:bCs/>
          <w:i/>
          <w:sz w:val="22"/>
          <w:szCs w:val="22"/>
          <w:lang w:bidi="ar-SA"/>
        </w:rPr>
        <w:t>Reunión mantenida el 14 de noviembre de 2019</w:t>
      </w:r>
      <w:r>
        <w:rPr>
          <w:rFonts w:ascii="Arial" w:eastAsia="Lucida Sans Unicode" w:hAnsi="Arial" w:cs="Arial"/>
          <w:bCs/>
          <w:i/>
          <w:sz w:val="22"/>
          <w:szCs w:val="22"/>
          <w:lang w:bidi="ar-SA"/>
        </w:rPr>
        <w:t xml:space="preserve"> en el Centro Tecnológico de Candelaria entre los representantes </w:t>
      </w:r>
      <w:r>
        <w:rPr>
          <w:rFonts w:ascii="Arial" w:eastAsia="Lucida Sans Unicode" w:hAnsi="Arial" w:cs="Times New Roman"/>
          <w:i/>
          <w:sz w:val="22"/>
          <w:szCs w:val="22"/>
          <w:lang w:bidi="ar-SA"/>
        </w:rPr>
        <w:t xml:space="preserve">políticos, jurídicos y técnicos del Consejo Insular de </w:t>
      </w:r>
      <w:r>
        <w:rPr>
          <w:rFonts w:ascii="Arial" w:eastAsia="Lucida Sans Unicode" w:hAnsi="Arial" w:cs="Times New Roman"/>
          <w:i/>
          <w:sz w:val="22"/>
          <w:szCs w:val="22"/>
          <w:lang w:bidi="ar-SA"/>
        </w:rPr>
        <w:t>Aguas de Tenerife y los Ayuntamientos de Arafo, Candelaria y Güimar.</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Vista la reunión mantenida el día 14 de noviembre de 2019 en el Centro Tecnológico de Candelaria entre los representantes políticos, jurídicos y técnicos del Consejo Insular de Aguas de T</w:t>
      </w:r>
      <w:r>
        <w:rPr>
          <w:rFonts w:ascii="Arial" w:eastAsia="Lucida Sans Unicode" w:hAnsi="Arial" w:cs="Times New Roman"/>
          <w:i/>
          <w:sz w:val="22"/>
          <w:lang w:bidi="ar-SA"/>
        </w:rPr>
        <w:t xml:space="preserve">enerife y los Ayuntamientos de Arafo, Candelaria y Güimar.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En dicha reunión se concluyó en la propuesta de realizar las actuaciones administrativas necesarias para constituir un Consorcio para la gestión del Polígono Industrial del Valle de Güimar dada la</w:t>
      </w:r>
      <w:r>
        <w:rPr>
          <w:rFonts w:ascii="Arial" w:eastAsia="Lucida Sans Unicode" w:hAnsi="Arial" w:cs="Times New Roman"/>
          <w:i/>
          <w:sz w:val="22"/>
          <w:lang w:bidi="ar-SA"/>
        </w:rPr>
        <w:t xml:space="preserve"> dificultad actual de gestionar por cuatro administraciones diferentes los asuntos administrativos, urbanísticos, tributarios y medioambientales de dicha zona industrial por lo que la creación de una administración superior con personalidad jurídica propia</w:t>
      </w:r>
      <w:r>
        <w:rPr>
          <w:rFonts w:ascii="Arial" w:eastAsia="Lucida Sans Unicode" w:hAnsi="Arial" w:cs="Times New Roman"/>
          <w:i/>
          <w:sz w:val="22"/>
          <w:lang w:bidi="ar-SA"/>
        </w:rPr>
        <w:t xml:space="preserve"> contribuirá a la mejora de la eficacia y la gestión de dicho polígono industrial radicado en tres términos municipales diferentes y sobre el que tienen cuatro administraciones competencias concurrentes.</w:t>
      </w:r>
    </w:p>
    <w:p w:rsidR="00061CF1" w:rsidRDefault="00061CF1">
      <w:pPr>
        <w:spacing w:after="120" w:line="248" w:lineRule="atLeast"/>
        <w:ind w:firstLine="1134"/>
        <w:jc w:val="both"/>
        <w:rPr>
          <w:rFonts w:ascii="Arial" w:eastAsia="Lucida Sans Unicode" w:hAnsi="Arial" w:cs="Times New Roman"/>
          <w:b/>
          <w:i/>
          <w:sz w:val="22"/>
          <w:szCs w:val="22"/>
          <w:lang w:bidi="ar-SA"/>
        </w:rPr>
      </w:pPr>
    </w:p>
    <w:p w:rsidR="00061CF1" w:rsidRDefault="004E6D5A">
      <w:pPr>
        <w:spacing w:after="120" w:line="248" w:lineRule="atLeast"/>
        <w:ind w:firstLine="1134"/>
        <w:jc w:val="both"/>
      </w:pPr>
      <w:r>
        <w:rPr>
          <w:rFonts w:ascii="Arial" w:eastAsia="Lucida Sans Unicode" w:hAnsi="Arial" w:cs="Times New Roman"/>
          <w:b/>
          <w:i/>
          <w:sz w:val="22"/>
          <w:szCs w:val="22"/>
          <w:lang w:bidi="ar-SA"/>
        </w:rPr>
        <w:t xml:space="preserve">2.- Que según reunión celebrada en el mes de junio </w:t>
      </w:r>
      <w:r>
        <w:rPr>
          <w:rFonts w:ascii="Arial" w:eastAsia="Lucida Sans Unicode" w:hAnsi="Arial" w:cs="Times New Roman"/>
          <w:b/>
          <w:i/>
          <w:sz w:val="22"/>
          <w:szCs w:val="22"/>
          <w:lang w:bidi="ar-SA"/>
        </w:rPr>
        <w:t>del año 2020</w:t>
      </w:r>
      <w:r>
        <w:rPr>
          <w:rFonts w:ascii="Arial" w:eastAsia="Lucida Sans Unicode" w:hAnsi="Arial" w:cs="Times New Roman"/>
          <w:i/>
          <w:sz w:val="22"/>
          <w:szCs w:val="22"/>
          <w:lang w:bidi="ar-SA"/>
        </w:rPr>
        <w:t xml:space="preserve"> en el Cabildo Insular de Tenerife con los Ayuntamientos de Arafo, Candelaria y Güimar en el salón de plenos de la institución insular se anunció por el Cabildo de Tenerife que se iba a encargar a un despacho de abogados externo la redacción de</w:t>
      </w:r>
      <w:r>
        <w:rPr>
          <w:rFonts w:ascii="Arial" w:eastAsia="Lucida Sans Unicode" w:hAnsi="Arial" w:cs="Times New Roman"/>
          <w:i/>
          <w:sz w:val="22"/>
          <w:szCs w:val="22"/>
          <w:lang w:bidi="ar-SA"/>
        </w:rPr>
        <w:t xml:space="preserve"> unos estatutos para la constitución de un Consorcio del Polígono Industrial del Valle de Güimar.</w:t>
      </w:r>
    </w:p>
    <w:p w:rsidR="00061CF1" w:rsidRDefault="00061CF1">
      <w:pPr>
        <w:spacing w:after="120" w:line="248" w:lineRule="atLeast"/>
        <w:ind w:firstLine="1134"/>
        <w:jc w:val="both"/>
        <w:rPr>
          <w:rFonts w:ascii="Arial" w:eastAsia="Lucida Sans Unicode" w:hAnsi="Arial" w:cs="Times New Roman"/>
          <w:b/>
          <w:i/>
          <w:sz w:val="22"/>
          <w:szCs w:val="22"/>
          <w:lang w:bidi="ar-SA"/>
        </w:rPr>
      </w:pPr>
    </w:p>
    <w:p w:rsidR="00061CF1" w:rsidRDefault="004E6D5A">
      <w:pPr>
        <w:spacing w:after="120" w:line="248" w:lineRule="atLeast"/>
        <w:ind w:firstLine="1134"/>
        <w:jc w:val="both"/>
      </w:pPr>
      <w:r>
        <w:rPr>
          <w:rFonts w:ascii="Arial" w:eastAsia="Lucida Sans Unicode" w:hAnsi="Arial" w:cs="Times New Roman"/>
          <w:b/>
          <w:i/>
          <w:sz w:val="22"/>
          <w:szCs w:val="22"/>
          <w:lang w:bidi="ar-SA"/>
        </w:rPr>
        <w:t xml:space="preserve">3.- Que en el año 2021 se remitió a los Ayuntamientos de Arafo, Candelaria y Güimar una propuesta de Estatutos </w:t>
      </w:r>
      <w:r>
        <w:rPr>
          <w:rFonts w:ascii="Arial" w:eastAsia="Lucida Sans Unicode" w:hAnsi="Arial" w:cs="Times New Roman"/>
          <w:i/>
          <w:sz w:val="22"/>
          <w:szCs w:val="22"/>
          <w:lang w:bidi="ar-SA"/>
        </w:rPr>
        <w:t>de Mancomunidad de los Ayuntamientos de Arafo,</w:t>
      </w:r>
      <w:r>
        <w:rPr>
          <w:rFonts w:ascii="Arial" w:eastAsia="Lucida Sans Unicode" w:hAnsi="Arial" w:cs="Times New Roman"/>
          <w:i/>
          <w:sz w:val="22"/>
          <w:szCs w:val="22"/>
          <w:lang w:bidi="ar-SA"/>
        </w:rPr>
        <w:t xml:space="preserve"> Candelaria y Güimar.</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En dicha propuesta de Estatutos se dejaba al Cabildo Insular de Tenerife fuera de dicha Mancomunidad, aunque la propia memoria de redacción de aquel documento recomendaba que el Cabildo Insular de Tenerife formara parte de la misma.</w:t>
      </w:r>
    </w:p>
    <w:p w:rsidR="00061CF1" w:rsidRDefault="00061CF1">
      <w:pPr>
        <w:spacing w:after="120" w:line="248" w:lineRule="atLeast"/>
        <w:ind w:firstLine="1134"/>
        <w:jc w:val="both"/>
        <w:rPr>
          <w:rFonts w:ascii="Arial" w:eastAsia="Lucida Sans Unicode" w:hAnsi="Arial" w:cs="Times New Roman"/>
          <w:b/>
          <w:i/>
          <w:sz w:val="22"/>
          <w:lang w:bidi="ar-SA"/>
        </w:rPr>
      </w:pPr>
    </w:p>
    <w:p w:rsidR="00061CF1" w:rsidRDefault="004E6D5A">
      <w:pPr>
        <w:spacing w:after="120" w:line="248" w:lineRule="atLeast"/>
        <w:ind w:firstLine="1134"/>
        <w:jc w:val="both"/>
      </w:pPr>
      <w:r>
        <w:rPr>
          <w:rFonts w:ascii="Arial" w:eastAsia="Lucida Sans Unicode" w:hAnsi="Arial" w:cs="Times New Roman"/>
          <w:b/>
          <w:i/>
          <w:sz w:val="22"/>
          <w:szCs w:val="22"/>
          <w:lang w:bidi="ar-SA"/>
        </w:rPr>
        <w:t>4.- En el presente año 2022 se ha remitido a los Ayuntamientos de Arafo, Candelaria y Güimar una nueva propuesta de Estatutos</w:t>
      </w:r>
      <w:r>
        <w:rPr>
          <w:rFonts w:ascii="Arial" w:eastAsia="Lucida Sans Unicode" w:hAnsi="Arial" w:cs="Times New Roman"/>
          <w:i/>
          <w:sz w:val="22"/>
          <w:szCs w:val="22"/>
          <w:lang w:bidi="ar-SA"/>
        </w:rPr>
        <w:t>, ahora de Consorcio Administrativo, compuesta por los siguientes documentos elaborados por el despacho de abogados externo “Monter</w:t>
      </w:r>
      <w:r>
        <w:rPr>
          <w:rFonts w:ascii="Arial" w:eastAsia="Lucida Sans Unicode" w:hAnsi="Arial" w:cs="Times New Roman"/>
          <w:i/>
          <w:sz w:val="22"/>
          <w:szCs w:val="22"/>
          <w:lang w:bidi="ar-SA"/>
        </w:rPr>
        <w:t>o Aramburu Abogados” compuesto por dos documentos:</w:t>
      </w: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1.- Memoria Justificativa sobre la constitución del Consorcio Público para la Gestión, Conservación y Mantenimiento del Polígono Industrial de Güimar.</w:t>
      </w:r>
    </w:p>
    <w:p w:rsidR="00061CF1" w:rsidRDefault="004E6D5A">
      <w:pPr>
        <w:spacing w:after="12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2.- Estatutos del Consorcio Público para la Gestión, C</w:t>
      </w:r>
      <w:r>
        <w:rPr>
          <w:rFonts w:ascii="Arial" w:eastAsia="Lucida Sans Unicode" w:hAnsi="Arial" w:cs="Times New Roman"/>
          <w:i/>
          <w:sz w:val="22"/>
          <w:lang w:bidi="ar-SA"/>
        </w:rPr>
        <w:t>onservación y Mantenimiento del Polígono Industrial del Valle de Güimar.</w:t>
      </w:r>
    </w:p>
    <w:p w:rsidR="00061CF1" w:rsidRDefault="00061CF1">
      <w:pPr>
        <w:spacing w:after="120"/>
        <w:ind w:firstLine="1134"/>
        <w:jc w:val="both"/>
        <w:textAlignment w:val="auto"/>
        <w:rPr>
          <w:rFonts w:ascii="Arial" w:eastAsia="Lucida Sans Unicode" w:hAnsi="Arial" w:cs="Times New Roman"/>
          <w:b/>
          <w:i/>
          <w:sz w:val="22"/>
          <w:lang w:bidi="ar-SA"/>
        </w:rPr>
      </w:pPr>
    </w:p>
    <w:p w:rsidR="00061CF1" w:rsidRDefault="004E6D5A">
      <w:pPr>
        <w:spacing w:after="120"/>
        <w:ind w:firstLine="1134"/>
        <w:jc w:val="both"/>
        <w:textAlignment w:val="auto"/>
      </w:pPr>
      <w:r>
        <w:rPr>
          <w:rFonts w:ascii="Arial" w:eastAsia="Lucida Sans Unicode" w:hAnsi="Arial" w:cs="Times New Roman"/>
          <w:b/>
          <w:i/>
          <w:sz w:val="22"/>
          <w:szCs w:val="22"/>
          <w:lang w:bidi="ar-SA"/>
        </w:rPr>
        <w:t xml:space="preserve">5.- Que el Ayuntamiento de Candelaria ha procedido a emitir informe </w:t>
      </w:r>
      <w:r>
        <w:rPr>
          <w:rFonts w:ascii="Arial" w:eastAsia="Lucida Sans Unicode" w:hAnsi="Arial" w:cs="Times New Roman"/>
          <w:i/>
          <w:sz w:val="22"/>
          <w:szCs w:val="22"/>
          <w:lang w:bidi="ar-SA"/>
        </w:rPr>
        <w:t>jurídico de Secretaría General de 24 de mayo de 2022 que consta en el expediente y cuyos fundamentos de derecho se</w:t>
      </w:r>
      <w:r>
        <w:rPr>
          <w:rFonts w:ascii="Arial" w:eastAsia="Lucida Sans Unicode" w:hAnsi="Arial" w:cs="Times New Roman"/>
          <w:i/>
          <w:sz w:val="22"/>
          <w:szCs w:val="22"/>
          <w:lang w:bidi="ar-SA"/>
        </w:rPr>
        <w:t xml:space="preserve"> reproducen en este informe.</w:t>
      </w:r>
    </w:p>
    <w:p w:rsidR="00061CF1" w:rsidRDefault="00061CF1">
      <w:pPr>
        <w:spacing w:after="120"/>
        <w:ind w:firstLine="1134"/>
        <w:jc w:val="both"/>
        <w:textAlignment w:val="auto"/>
        <w:rPr>
          <w:rFonts w:ascii="Arial" w:eastAsia="Lucida Sans Unicode" w:hAnsi="Arial" w:cs="Times New Roman"/>
          <w:i/>
          <w:sz w:val="22"/>
          <w:lang w:bidi="ar-SA"/>
        </w:rPr>
      </w:pPr>
    </w:p>
    <w:p w:rsidR="00061CF1" w:rsidRDefault="004E6D5A">
      <w:pPr>
        <w:spacing w:after="120"/>
        <w:ind w:firstLine="1134"/>
        <w:jc w:val="both"/>
        <w:textAlignment w:val="auto"/>
      </w:pPr>
      <w:r>
        <w:rPr>
          <w:rFonts w:ascii="Arial" w:eastAsia="Lucida Sans Unicode" w:hAnsi="Arial" w:cs="Times New Roman"/>
          <w:b/>
          <w:i/>
          <w:sz w:val="22"/>
          <w:szCs w:val="22"/>
          <w:lang w:bidi="ar-SA"/>
        </w:rPr>
        <w:t xml:space="preserve">6.- Que se ha recibido en el Ayuntamiento de Candelaria informe </w:t>
      </w:r>
      <w:r>
        <w:rPr>
          <w:rFonts w:ascii="Arial" w:eastAsia="Lucida Sans Unicode" w:hAnsi="Arial" w:cs="Times New Roman"/>
          <w:i/>
          <w:sz w:val="22"/>
          <w:szCs w:val="22"/>
          <w:lang w:bidi="ar-SA"/>
        </w:rPr>
        <w:t>de la Secretaria General del Ayuntamiento de Güimar de fecha 4 de agosto de 2022.</w:t>
      </w:r>
    </w:p>
    <w:p w:rsidR="00061CF1" w:rsidRDefault="00061CF1">
      <w:pPr>
        <w:spacing w:after="120" w:line="248" w:lineRule="atLeast"/>
        <w:ind w:firstLine="1134"/>
        <w:jc w:val="both"/>
        <w:rPr>
          <w:rFonts w:ascii="Arial" w:eastAsia="Lucida Sans Unicode" w:hAnsi="Arial" w:cs="Times New Roman"/>
          <w:i/>
          <w:sz w:val="22"/>
          <w:lang w:bidi="ar-SA"/>
        </w:rPr>
      </w:pPr>
    </w:p>
    <w:p w:rsidR="00061CF1" w:rsidRDefault="004E6D5A">
      <w:pPr>
        <w:spacing w:after="120" w:line="248" w:lineRule="atLeast"/>
        <w:ind w:firstLine="1134"/>
        <w:jc w:val="both"/>
      </w:pPr>
      <w:r>
        <w:rPr>
          <w:rFonts w:ascii="Arial" w:eastAsia="Lucida Sans Unicode" w:hAnsi="Arial" w:cs="Times New Roman"/>
          <w:b/>
          <w:i/>
          <w:sz w:val="22"/>
          <w:lang w:bidi="ar-SA"/>
        </w:rPr>
        <w:t xml:space="preserve">7.- </w:t>
      </w:r>
      <w:r>
        <w:rPr>
          <w:rFonts w:ascii="Arial" w:eastAsia="Lucida Sans Unicode" w:hAnsi="Arial" w:cs="Times New Roman"/>
          <w:b/>
          <w:i/>
          <w:sz w:val="22"/>
          <w:szCs w:val="22"/>
          <w:lang w:bidi="ar-SA"/>
        </w:rPr>
        <w:t>Consta en el expediente oficio del Cabildo Insular de Tenerife de fecha 3 d</w:t>
      </w:r>
      <w:r>
        <w:rPr>
          <w:rFonts w:ascii="Arial" w:eastAsia="Lucida Sans Unicode" w:hAnsi="Arial" w:cs="Times New Roman"/>
          <w:b/>
          <w:i/>
          <w:sz w:val="22"/>
          <w:szCs w:val="22"/>
          <w:lang w:bidi="ar-SA"/>
        </w:rPr>
        <w:t>e marzo de 2023 por el que literalmente se dispone en relación al BORRADOR DE CONVENIO DE COLABORACIÓN A SUSCRIBIR POR EL CABILDO INSULAR DE TENERIFE Y LOS AYUNTAMIENTOS DE ARAFO, CANDELARIA Y GÜIMAR:</w:t>
      </w:r>
    </w:p>
    <w:p w:rsidR="00061CF1" w:rsidRDefault="004E6D5A">
      <w:pPr>
        <w:spacing w:after="120" w:line="248" w:lineRule="atLeast"/>
        <w:jc w:val="both"/>
        <w:rPr>
          <w:rFonts w:ascii="Arial" w:eastAsia="Lucida Sans Unicode" w:hAnsi="Arial" w:cs="Arial"/>
          <w:i/>
          <w:sz w:val="22"/>
          <w:szCs w:val="22"/>
          <w:lang w:bidi="ar-SA"/>
        </w:rPr>
      </w:pPr>
      <w:r>
        <w:rPr>
          <w:rFonts w:ascii="Arial" w:eastAsia="Lucida Sans Unicode" w:hAnsi="Arial" w:cs="Arial"/>
          <w:i/>
          <w:sz w:val="22"/>
          <w:szCs w:val="22"/>
          <w:lang w:bidi="ar-SA"/>
        </w:rPr>
        <w:t xml:space="preserve">“Tras las sucesivas reuniones mantenidas a los efectos </w:t>
      </w:r>
      <w:r>
        <w:rPr>
          <w:rFonts w:ascii="Arial" w:eastAsia="Lucida Sans Unicode" w:hAnsi="Arial" w:cs="Arial"/>
          <w:i/>
          <w:sz w:val="22"/>
          <w:szCs w:val="22"/>
          <w:lang w:bidi="ar-SA"/>
        </w:rPr>
        <w:t xml:space="preserve">de promover la constitución de un Consorcio para su gestión, conservación y mantenimiento del Polígono Industrial del </w:t>
      </w:r>
      <w:r>
        <w:rPr>
          <w:rFonts w:ascii="Arial" w:eastAsia="Lucida Sans Unicode" w:hAnsi="Arial" w:cs="Arial"/>
          <w:i/>
          <w:sz w:val="22"/>
          <w:szCs w:val="22"/>
          <w:lang w:bidi="ar-SA"/>
        </w:rPr>
        <w:br/>
      </w:r>
      <w:r>
        <w:rPr>
          <w:rFonts w:ascii="Arial" w:eastAsia="Lucida Sans Unicode" w:hAnsi="Arial" w:cs="Arial"/>
          <w:i/>
          <w:sz w:val="22"/>
          <w:szCs w:val="22"/>
          <w:lang w:bidi="ar-SA"/>
        </w:rPr>
        <w:t>Valle de Güimar se pone en su conocimiento que por esta Corporación Insular se ha procedido a redactar –en los términos que a continuació</w:t>
      </w:r>
      <w:r>
        <w:rPr>
          <w:rFonts w:ascii="Arial" w:eastAsia="Lucida Sans Unicode" w:hAnsi="Arial" w:cs="Arial"/>
          <w:i/>
          <w:sz w:val="22"/>
          <w:szCs w:val="22"/>
          <w:lang w:bidi="ar-SA"/>
        </w:rPr>
        <w:t>n se reproducen como Anexo- el borrador del Convenio de colaboración a suscribir por la misma y los Ayuntamientos de Arafo, Candelaria y Güimar a los efectos de impulsar la creación de tal entidad asociativa.</w:t>
      </w:r>
    </w:p>
    <w:p w:rsidR="00061CF1" w:rsidRDefault="004E6D5A">
      <w:pPr>
        <w:spacing w:after="120" w:line="248" w:lineRule="atLeast"/>
        <w:jc w:val="both"/>
        <w:rPr>
          <w:rFonts w:ascii="Arial" w:eastAsia="Lucida Sans Unicode" w:hAnsi="Arial" w:cs="Arial"/>
          <w:i/>
          <w:sz w:val="22"/>
          <w:szCs w:val="22"/>
          <w:lang w:bidi="ar-SA"/>
        </w:rPr>
      </w:pPr>
      <w:r>
        <w:rPr>
          <w:rFonts w:ascii="Arial" w:eastAsia="Lucida Sans Unicode" w:hAnsi="Arial" w:cs="Arial"/>
          <w:i/>
          <w:sz w:val="22"/>
          <w:szCs w:val="22"/>
          <w:lang w:bidi="ar-SA"/>
        </w:rPr>
        <w:t xml:space="preserve">Por medio del presente se da traslado de la </w:t>
      </w:r>
      <w:r>
        <w:rPr>
          <w:rFonts w:ascii="Arial" w:eastAsia="Lucida Sans Unicode" w:hAnsi="Arial" w:cs="Arial"/>
          <w:i/>
          <w:sz w:val="22"/>
          <w:szCs w:val="22"/>
          <w:lang w:bidi="ar-SA"/>
        </w:rPr>
        <w:t>redacción propuesta a los efectos de que por ese Ayuntamiento formule, en el plazo de DIEZ DÍAS HÁBILES a computar a partir del día siguiente de la notificación del presente escrito, las alegaciones que estime oportunas.</w:t>
      </w:r>
    </w:p>
    <w:p w:rsidR="00061CF1" w:rsidRDefault="004E6D5A">
      <w:pPr>
        <w:spacing w:after="120" w:line="248" w:lineRule="atLeast"/>
        <w:jc w:val="both"/>
        <w:rPr>
          <w:rFonts w:ascii="Arial" w:eastAsia="Lucida Sans Unicode" w:hAnsi="Arial" w:cs="Arial"/>
          <w:i/>
          <w:sz w:val="22"/>
          <w:szCs w:val="22"/>
          <w:lang w:bidi="ar-SA"/>
        </w:rPr>
      </w:pPr>
      <w:r>
        <w:rPr>
          <w:rFonts w:ascii="Arial" w:eastAsia="Lucida Sans Unicode" w:hAnsi="Arial" w:cs="Arial"/>
          <w:i/>
          <w:sz w:val="22"/>
          <w:szCs w:val="22"/>
          <w:lang w:bidi="ar-SA"/>
        </w:rPr>
        <w:t>Significándole, asimismo, que trans</w:t>
      </w:r>
      <w:r>
        <w:rPr>
          <w:rFonts w:ascii="Arial" w:eastAsia="Lucida Sans Unicode" w:hAnsi="Arial" w:cs="Arial"/>
          <w:i/>
          <w:sz w:val="22"/>
          <w:szCs w:val="22"/>
          <w:lang w:bidi="ar-SA"/>
        </w:rPr>
        <w:t>currido el mismo, sin recibir respuesta, se considerará que muestra conformidad con la misma; elevándose en consecuencia la correspondiente propuesta al Consejo de Gobierno Insular a los efectos de la aprobación del Convenio en los términos inicialmente re</w:t>
      </w:r>
      <w:r>
        <w:rPr>
          <w:rFonts w:ascii="Arial" w:eastAsia="Lucida Sans Unicode" w:hAnsi="Arial" w:cs="Arial"/>
          <w:i/>
          <w:sz w:val="22"/>
          <w:szCs w:val="22"/>
          <w:lang w:bidi="ar-SA"/>
        </w:rPr>
        <w:t>dactados.</w:t>
      </w:r>
    </w:p>
    <w:p w:rsidR="00061CF1" w:rsidRDefault="004E6D5A">
      <w:pPr>
        <w:spacing w:after="120" w:line="248" w:lineRule="atLeast"/>
        <w:jc w:val="both"/>
        <w:rPr>
          <w:rFonts w:ascii="Arial" w:eastAsia="Lucida Sans Unicode" w:hAnsi="Arial" w:cs="Arial"/>
          <w:i/>
          <w:sz w:val="22"/>
          <w:szCs w:val="22"/>
          <w:lang w:bidi="ar-SA"/>
        </w:rPr>
      </w:pPr>
      <w:r>
        <w:rPr>
          <w:rFonts w:ascii="Arial" w:eastAsia="Lucida Sans Unicode" w:hAnsi="Arial" w:cs="Arial"/>
          <w:i/>
          <w:sz w:val="22"/>
          <w:szCs w:val="22"/>
          <w:lang w:bidi="ar-SA"/>
        </w:rPr>
        <w:tab/>
      </w:r>
    </w:p>
    <w:p w:rsidR="00061CF1" w:rsidRDefault="004E6D5A">
      <w:pPr>
        <w:spacing w:after="120" w:line="248" w:lineRule="atLeast"/>
        <w:ind w:firstLine="1134"/>
        <w:jc w:val="both"/>
        <w:rPr>
          <w:rFonts w:ascii="Arial" w:eastAsia="Lucida Sans Unicode" w:hAnsi="Arial" w:cs="Arial"/>
          <w:b/>
          <w:i/>
          <w:sz w:val="22"/>
          <w:szCs w:val="22"/>
          <w:lang w:bidi="ar-SA"/>
        </w:rPr>
      </w:pPr>
      <w:r>
        <w:rPr>
          <w:rFonts w:ascii="Arial" w:eastAsia="Lucida Sans Unicode" w:hAnsi="Arial" w:cs="Arial"/>
          <w:b/>
          <w:i/>
          <w:sz w:val="22"/>
          <w:szCs w:val="22"/>
          <w:lang w:bidi="ar-SA"/>
        </w:rPr>
        <w:t>8.- Informe jurídico de la Secretaría General de 14 de marzo de 2023 sobre dichos estatutos de consorcio y los artículos a modificar.</w:t>
      </w:r>
    </w:p>
    <w:p w:rsidR="00061CF1" w:rsidRDefault="00061CF1">
      <w:pPr>
        <w:widowControl/>
        <w:suppressAutoHyphens w:val="0"/>
        <w:autoSpaceDE w:val="0"/>
        <w:ind w:firstLine="1134"/>
        <w:jc w:val="both"/>
        <w:textAlignment w:val="auto"/>
        <w:rPr>
          <w:rFonts w:ascii="Arial" w:eastAsia="Times New Roman" w:hAnsi="Arial" w:cs="Arial"/>
          <w:b/>
          <w:i/>
          <w:color w:val="000000"/>
          <w:kern w:val="0"/>
          <w:sz w:val="22"/>
          <w:szCs w:val="22"/>
          <w:lang w:eastAsia="es-ES" w:bidi="ar-SA"/>
        </w:rPr>
      </w:pPr>
    </w:p>
    <w:p w:rsidR="00061CF1" w:rsidRDefault="004E6D5A">
      <w:pPr>
        <w:widowControl/>
        <w:suppressAutoHyphens w:val="0"/>
        <w:autoSpaceDE w:val="0"/>
        <w:ind w:firstLine="1134"/>
        <w:jc w:val="both"/>
        <w:textAlignment w:val="auto"/>
      </w:pPr>
      <w:r>
        <w:rPr>
          <w:rFonts w:ascii="Arial" w:eastAsia="Times New Roman" w:hAnsi="Arial" w:cs="Arial"/>
          <w:b/>
          <w:i/>
          <w:color w:val="000000"/>
          <w:kern w:val="0"/>
          <w:sz w:val="22"/>
          <w:szCs w:val="22"/>
          <w:lang w:eastAsia="es-ES" w:bidi="ar-SA"/>
        </w:rPr>
        <w:t xml:space="preserve">9.- Certificado de acuerdo del pleno del Ayuntamiento de Candelaria de 28 de septiembre de 2023 aprobando el </w:t>
      </w:r>
      <w:r>
        <w:rPr>
          <w:rFonts w:ascii="Arial" w:eastAsia="Times New Roman" w:hAnsi="Arial" w:cs="Arial"/>
          <w:b/>
          <w:i/>
          <w:color w:val="000000"/>
          <w:kern w:val="0"/>
          <w:sz w:val="22"/>
          <w:szCs w:val="22"/>
          <w:lang w:eastAsia="es-ES" w:bidi="ar-SA"/>
        </w:rPr>
        <w:t xml:space="preserve">convenio </w:t>
      </w:r>
      <w:r>
        <w:rPr>
          <w:rFonts w:ascii="Arial" w:eastAsia="Times New Roman" w:hAnsi="Arial" w:cs="Arial"/>
          <w:b/>
          <w:bCs/>
          <w:i/>
          <w:color w:val="000000"/>
          <w:kern w:val="0"/>
          <w:sz w:val="22"/>
          <w:szCs w:val="22"/>
          <w:lang w:eastAsia="es-ES" w:bidi="ar-SA"/>
        </w:rPr>
        <w:t>de cooperación entre el Cabildo de Tenerife y los Ayuntamientos de Arafo, Candelaria y Güimar para impulsar la aprobación del Consorcio del P.I. del Valle de Güimar.</w:t>
      </w:r>
    </w:p>
    <w:p w:rsidR="00061CF1" w:rsidRDefault="00061CF1">
      <w:pPr>
        <w:spacing w:after="120" w:line="248" w:lineRule="atLeast"/>
        <w:ind w:firstLine="1134"/>
        <w:jc w:val="both"/>
        <w:rPr>
          <w:rFonts w:ascii="Arial" w:eastAsia="Lucida Sans Unicode" w:hAnsi="Arial" w:cs="Arial"/>
          <w:i/>
          <w:sz w:val="22"/>
          <w:szCs w:val="22"/>
          <w:lang w:bidi="ar-SA"/>
        </w:rPr>
      </w:pPr>
    </w:p>
    <w:p w:rsidR="00061CF1" w:rsidRDefault="004E6D5A">
      <w:pPr>
        <w:spacing w:after="120" w:line="248" w:lineRule="atLeast"/>
        <w:ind w:firstLine="1134"/>
        <w:jc w:val="both"/>
        <w:rPr>
          <w:rFonts w:ascii="Arial" w:eastAsia="Lucida Sans Unicode" w:hAnsi="Arial" w:cs="Arial"/>
          <w:i/>
          <w:sz w:val="22"/>
          <w:szCs w:val="22"/>
          <w:lang w:bidi="ar-SA"/>
        </w:rPr>
      </w:pPr>
      <w:r>
        <w:rPr>
          <w:rFonts w:ascii="Arial" w:eastAsia="Lucida Sans Unicode" w:hAnsi="Arial" w:cs="Arial"/>
          <w:i/>
          <w:sz w:val="22"/>
          <w:szCs w:val="22"/>
          <w:lang w:bidi="ar-SA"/>
        </w:rPr>
        <w:t>En dicho convenio cuyo texto fue remitido por el Cabildo Insular de Tenerife a l</w:t>
      </w:r>
      <w:r>
        <w:rPr>
          <w:rFonts w:ascii="Arial" w:eastAsia="Lucida Sans Unicode" w:hAnsi="Arial" w:cs="Arial"/>
          <w:i/>
          <w:sz w:val="22"/>
          <w:szCs w:val="22"/>
          <w:lang w:bidi="ar-SA"/>
        </w:rPr>
        <w:t>os Ayuntamientos de Arafo, Candelaria y Güimar para la aprobación por los plenos también fue aprobado por el Ayuntamiento de Arafo según consta en el expediente.</w:t>
      </w:r>
    </w:p>
    <w:p w:rsidR="00061CF1" w:rsidRDefault="004E6D5A">
      <w:pPr>
        <w:spacing w:after="120" w:line="248" w:lineRule="atLeast"/>
        <w:ind w:firstLine="1134"/>
        <w:jc w:val="both"/>
        <w:rPr>
          <w:rFonts w:ascii="Arial" w:eastAsia="Lucida Sans Unicode" w:hAnsi="Arial" w:cs="Arial"/>
          <w:i/>
          <w:sz w:val="22"/>
          <w:szCs w:val="22"/>
          <w:lang w:bidi="ar-SA"/>
        </w:rPr>
      </w:pPr>
      <w:r>
        <w:rPr>
          <w:rFonts w:ascii="Arial" w:eastAsia="Lucida Sans Unicode" w:hAnsi="Arial" w:cs="Arial"/>
          <w:i/>
          <w:sz w:val="22"/>
          <w:szCs w:val="22"/>
          <w:lang w:bidi="ar-SA"/>
        </w:rPr>
        <w:t>En dicho convenio de impulso se establecen las siguientes obligaciones para el Cabildo Insular</w:t>
      </w:r>
      <w:r>
        <w:rPr>
          <w:rFonts w:ascii="Arial" w:eastAsia="Lucida Sans Unicode" w:hAnsi="Arial" w:cs="Arial"/>
          <w:i/>
          <w:sz w:val="22"/>
          <w:szCs w:val="22"/>
          <w:lang w:bidi="ar-SA"/>
        </w:rPr>
        <w:t xml:space="preserve"> y los Ayuntamientos:</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Quinta.- Compromisos que asumen las partes.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En el desarrollo del presente Convenio, las partes que lo suscriben se comprometen a impulsar los siguientes trámites: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Redacción de la versión definitiva de los Estatutos que han de regi</w:t>
      </w:r>
      <w:r>
        <w:rPr>
          <w:rFonts w:ascii="Arial" w:eastAsia="Lucida Sans Unicode" w:hAnsi="Arial" w:cs="Times New Roman"/>
          <w:i/>
          <w:sz w:val="22"/>
          <w:lang w:bidi="ar-SA"/>
        </w:rPr>
        <w:t xml:space="preserve">r el funcionamiento del Consorcio, para su posterior aprobación y sometimiento a información pública.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 Redacción del texto del Convenio fundacional por el que se cree el Consorcio, en el que habrán de concretarse, en lo que a su proporción y cuantías se </w:t>
      </w:r>
      <w:r>
        <w:rPr>
          <w:rFonts w:ascii="Arial" w:eastAsia="Lucida Sans Unicode" w:hAnsi="Arial" w:cs="Times New Roman"/>
          <w:i/>
          <w:sz w:val="22"/>
          <w:lang w:bidi="ar-SA"/>
        </w:rPr>
        <w:t xml:space="preserve">refiere, las aportaciones iniciales a realizar por los Ayuntamientos consorciados.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Tramitación por cada una de las Administraciones intervinientes del procedimiento administrativo tendente a la aprobación del Convenio fundacional y de los correspondient</w:t>
      </w:r>
      <w:r>
        <w:rPr>
          <w:rFonts w:ascii="Arial" w:eastAsia="Lucida Sans Unicode" w:hAnsi="Arial" w:cs="Times New Roman"/>
          <w:i/>
          <w:sz w:val="22"/>
          <w:lang w:bidi="ar-SA"/>
        </w:rPr>
        <w:t xml:space="preserve">es Estatutos.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 Sometimiento a información pública mediante su publicación en el Boletín Oficial de la Provincia, de los Estatutos aprobados inicialmente mediante Acuerdo del Pleno del Excmo. Cabildo Insular de Tenerife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al ser la Administración a la qu</w:t>
      </w:r>
      <w:r>
        <w:rPr>
          <w:rFonts w:ascii="Arial" w:eastAsia="Lucida Sans Unicode" w:hAnsi="Arial" w:cs="Times New Roman"/>
          <w:i/>
          <w:sz w:val="22"/>
          <w:lang w:bidi="ar-SA"/>
        </w:rPr>
        <w:t xml:space="preserve">e se pretende quede adscrito el Consorcio a constituir-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 Análisis de las alegaciones en su caso presentadas y toma en consideración por los distintos órganos plenarios. </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 Formalización del Convenio Fundacional. </w:t>
      </w:r>
    </w:p>
    <w:p w:rsidR="00061CF1" w:rsidRDefault="004E6D5A">
      <w:pPr>
        <w:spacing w:after="120" w:line="248" w:lineRule="atLeast"/>
        <w:ind w:firstLine="1134"/>
        <w:jc w:val="both"/>
      </w:pPr>
      <w:r>
        <w:rPr>
          <w:rFonts w:ascii="Arial" w:eastAsia="Lucida Sans Unicode" w:hAnsi="Arial" w:cs="Times New Roman"/>
          <w:i/>
          <w:sz w:val="22"/>
          <w:lang w:bidi="ar-SA"/>
        </w:rPr>
        <w:t>- Publicación en el Boletín Oficial de la</w:t>
      </w:r>
      <w:r>
        <w:rPr>
          <w:rFonts w:ascii="Arial" w:eastAsia="Lucida Sans Unicode" w:hAnsi="Arial" w:cs="Times New Roman"/>
          <w:i/>
          <w:sz w:val="22"/>
          <w:lang w:bidi="ar-SA"/>
        </w:rPr>
        <w:t xml:space="preserve"> Provincia tanto del texto del Convenio Fundacional como de los Estatutos del Consorcio. Los gastos de publicación que pudieren generarse serán por cuenta del propio Consorcio, sin perjuicio de que puedan ser satisfechos inicialmente por el Excmo. Cabildo </w:t>
      </w:r>
      <w:r>
        <w:rPr>
          <w:rFonts w:ascii="Arial" w:eastAsia="Lucida Sans Unicode" w:hAnsi="Arial" w:cs="Times New Roman"/>
          <w:i/>
          <w:sz w:val="22"/>
          <w:lang w:bidi="ar-SA"/>
        </w:rPr>
        <w:t>Insular de Tenerife.</w:t>
      </w:r>
    </w:p>
    <w:p w:rsidR="00061CF1" w:rsidRDefault="00061CF1">
      <w:pPr>
        <w:widowControl/>
        <w:suppressAutoHyphens w:val="0"/>
        <w:autoSpaceDE w:val="0"/>
        <w:textAlignment w:val="auto"/>
        <w:rPr>
          <w:rFonts w:ascii="Arial" w:eastAsia="Times New Roman" w:hAnsi="Arial" w:cs="Arial"/>
          <w:i/>
          <w:sz w:val="20"/>
          <w:szCs w:val="20"/>
          <w:lang w:eastAsia="es-ES" w:bidi="ar-SA"/>
        </w:rPr>
      </w:pPr>
    </w:p>
    <w:p w:rsidR="00061CF1" w:rsidRDefault="004E6D5A">
      <w:pPr>
        <w:widowControl/>
        <w:suppressAutoHyphens w:val="0"/>
        <w:autoSpaceDE w:val="0"/>
        <w:jc w:val="both"/>
        <w:textAlignment w:val="auto"/>
      </w:pPr>
      <w:r>
        <w:rPr>
          <w:rFonts w:ascii="Arial" w:eastAsia="Times New Roman" w:hAnsi="Arial" w:cs="Arial"/>
          <w:i/>
          <w:sz w:val="20"/>
          <w:szCs w:val="20"/>
          <w:lang w:eastAsia="es-ES" w:bidi="ar-SA"/>
        </w:rPr>
        <w:tab/>
      </w:r>
      <w:r>
        <w:rPr>
          <w:rFonts w:ascii="Arial" w:eastAsia="Times New Roman" w:hAnsi="Arial" w:cs="Arial"/>
          <w:b/>
          <w:i/>
          <w:sz w:val="22"/>
          <w:szCs w:val="22"/>
          <w:lang w:eastAsia="es-ES" w:bidi="ar-SA"/>
        </w:rPr>
        <w:t xml:space="preserve">Sin embargo, entre septiembre de 2023 hasta julio de 2024 no se volvió a convocar por el Cabildo Insular de Tenerife a los Secretarios de los Ayuntamientos para ninguna reunión más en la que se pudiera consensuar administrativamente </w:t>
      </w:r>
      <w:r>
        <w:rPr>
          <w:rFonts w:ascii="Arial" w:eastAsia="Times New Roman" w:hAnsi="Arial" w:cs="Arial"/>
          <w:b/>
          <w:i/>
          <w:sz w:val="22"/>
          <w:szCs w:val="22"/>
          <w:lang w:eastAsia="es-ES" w:bidi="ar-SA"/>
        </w:rPr>
        <w:t>un texto de consorcio administrativo del Polígono Industrial del Valle de Güimar, por lo que dicho convenio aprobado por los Ayuntamientos no se ha llegado a aplicar hasta la fecha.</w:t>
      </w:r>
    </w:p>
    <w:p w:rsidR="00061CF1" w:rsidRDefault="00061CF1">
      <w:pPr>
        <w:widowControl/>
        <w:suppressAutoHyphens w:val="0"/>
        <w:autoSpaceDE w:val="0"/>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ab/>
      </w:r>
    </w:p>
    <w:p w:rsidR="00061CF1" w:rsidRDefault="004E6D5A">
      <w:pPr>
        <w:widowControl/>
        <w:suppressAutoHyphens w:val="0"/>
        <w:autoSpaceDE w:val="0"/>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 xml:space="preserve">     CUARTO.- Sobre la reunión de julio de 2024 entre el Consejero de I</w:t>
      </w:r>
      <w:r>
        <w:rPr>
          <w:rFonts w:ascii="Arial" w:eastAsia="Times New Roman" w:hAnsi="Arial" w:cs="Arial"/>
          <w:b/>
          <w:i/>
          <w:sz w:val="22"/>
          <w:szCs w:val="22"/>
          <w:lang w:eastAsia="es-ES" w:bidi="ar-SA"/>
        </w:rPr>
        <w:t>ndustria del Cabildo Insular de Tenerife, su Jefa de Servicio u otros técnicos de dicha Administración insular así como los Alcaldes de Arafo, Candelaria y Güimar y la Secretaria de Arafo y Candelaria.</w:t>
      </w:r>
    </w:p>
    <w:p w:rsidR="00061CF1" w:rsidRDefault="004E6D5A">
      <w:pPr>
        <w:widowControl/>
        <w:suppressAutoHyphens w:val="0"/>
        <w:autoSpaceDE w:val="0"/>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ab/>
      </w:r>
    </w:p>
    <w:p w:rsidR="00061CF1" w:rsidRDefault="004E6D5A">
      <w:pPr>
        <w:widowControl/>
        <w:suppressAutoHyphens w:val="0"/>
        <w:autoSpaceDE w:val="0"/>
        <w:ind w:firstLine="1134"/>
        <w:jc w:val="both"/>
        <w:textAlignment w:val="auto"/>
      </w:pPr>
      <w:r>
        <w:rPr>
          <w:rFonts w:ascii="Arial" w:eastAsia="Times New Roman" w:hAnsi="Arial" w:cs="Arial"/>
          <w:i/>
          <w:sz w:val="22"/>
          <w:szCs w:val="22"/>
          <w:lang w:eastAsia="es-ES" w:bidi="ar-SA"/>
        </w:rPr>
        <w:t>En dicha reunión los representantes del Cabildo de T</w:t>
      </w:r>
      <w:r>
        <w:rPr>
          <w:rFonts w:ascii="Arial" w:eastAsia="Times New Roman" w:hAnsi="Arial" w:cs="Arial"/>
          <w:i/>
          <w:sz w:val="22"/>
          <w:szCs w:val="22"/>
          <w:lang w:eastAsia="es-ES" w:bidi="ar-SA"/>
        </w:rPr>
        <w:t xml:space="preserve">enerife afirmaron que habían retomado la posibilidad como existe en otros polígonos industriales, </w:t>
      </w:r>
      <w:r>
        <w:rPr>
          <w:rFonts w:ascii="Arial" w:eastAsia="Times New Roman" w:hAnsi="Arial" w:cs="Arial"/>
          <w:b/>
          <w:i/>
          <w:sz w:val="22"/>
          <w:szCs w:val="22"/>
          <w:lang w:eastAsia="es-ES" w:bidi="ar-SA"/>
        </w:rPr>
        <w:t>de constituir una entidad urbanística de conservación y que no le constaba que el expediente de consorcio obrara en el Cabildo Insular de Tenerife.</w:t>
      </w:r>
    </w:p>
    <w:p w:rsidR="00061CF1" w:rsidRDefault="004E6D5A">
      <w:pPr>
        <w:widowControl/>
        <w:suppressAutoHyphens w:val="0"/>
        <w:autoSpaceDE w:val="0"/>
        <w:ind w:firstLine="1134"/>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 xml:space="preserve">El </w:t>
      </w:r>
      <w:r>
        <w:rPr>
          <w:rFonts w:ascii="Arial" w:eastAsia="Times New Roman" w:hAnsi="Arial" w:cs="Arial"/>
          <w:i/>
          <w:sz w:val="22"/>
          <w:szCs w:val="22"/>
          <w:lang w:eastAsia="es-ES" w:bidi="ar-SA"/>
        </w:rPr>
        <w:t xml:space="preserve">Secretario del Ayuntamiento de Candelaria relato en esa reunión todos los esfuerzos que se habían hecho durante los últimos cuatro años para constituir el consorcio que ahora con ese cambio de idea quedaban infructuosos. </w:t>
      </w:r>
    </w:p>
    <w:p w:rsidR="00061CF1" w:rsidRDefault="004E6D5A">
      <w:pPr>
        <w:widowControl/>
        <w:suppressAutoHyphens w:val="0"/>
        <w:autoSpaceDE w:val="0"/>
        <w:ind w:firstLine="1134"/>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Los tres Alcaldes manifestaron que</w:t>
      </w:r>
      <w:r>
        <w:rPr>
          <w:rFonts w:ascii="Arial" w:eastAsia="Times New Roman" w:hAnsi="Arial" w:cs="Arial"/>
          <w:i/>
          <w:sz w:val="22"/>
          <w:szCs w:val="22"/>
          <w:lang w:eastAsia="es-ES" w:bidi="ar-SA"/>
        </w:rPr>
        <w:t xml:space="preserve"> sea cual sea la entidad, ya sea EUC o Consocio que sea cuanto antes.</w:t>
      </w:r>
    </w:p>
    <w:p w:rsidR="00061CF1" w:rsidRDefault="004E6D5A">
      <w:pPr>
        <w:widowControl/>
        <w:suppressAutoHyphens w:val="0"/>
        <w:autoSpaceDE w:val="0"/>
        <w:ind w:firstLine="1134"/>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 xml:space="preserve">A preguntas del Consejero de Industria si era posible constituir o un consorcio o una entidad tanto la Secretaria municipal de Arafo o como el Secretario municipal de Candelaria </w:t>
      </w:r>
      <w:r>
        <w:rPr>
          <w:rFonts w:ascii="Arial" w:eastAsia="Times New Roman" w:hAnsi="Arial" w:cs="Arial"/>
          <w:i/>
          <w:sz w:val="22"/>
          <w:szCs w:val="22"/>
          <w:lang w:eastAsia="es-ES" w:bidi="ar-SA"/>
        </w:rPr>
        <w:t>manifestaron que ambas entidades era jurídicamente posible constituir.</w:t>
      </w: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ind w:firstLine="1134"/>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El Consejero de Industria emplazó a los comparecientes a una próxima reunión en septiembre de 2024 después de las vacaciones.</w:t>
      </w: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ind w:firstLine="1134"/>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Sin embargo, pasaron 10 MESES y no se volvió a llamar a l</w:t>
      </w:r>
      <w:r>
        <w:rPr>
          <w:rFonts w:ascii="Arial" w:eastAsia="Times New Roman" w:hAnsi="Arial" w:cs="Arial"/>
          <w:b/>
          <w:i/>
          <w:sz w:val="22"/>
          <w:szCs w:val="22"/>
          <w:lang w:eastAsia="es-ES" w:bidi="ar-SA"/>
        </w:rPr>
        <w:t>os Secretarios, entre septiembre de 2024 hasta junio de 2024, fecha en la cual felizmente se han retomado las reuniones.</w:t>
      </w: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ind w:firstLine="1134"/>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QUINTO.- Por registro de entrada del día 10 de junio de 2025  el Cabildo Insular de Tenerife remitió a los Ayuntamiento de Candelaria</w:t>
      </w:r>
      <w:r>
        <w:rPr>
          <w:rFonts w:ascii="Arial" w:eastAsia="Times New Roman" w:hAnsi="Arial" w:cs="Arial"/>
          <w:b/>
          <w:i/>
          <w:sz w:val="22"/>
          <w:szCs w:val="22"/>
          <w:lang w:eastAsia="es-ES" w:bidi="ar-SA"/>
        </w:rPr>
        <w:t>, Arafo y Güimar sobre propuesta de estatutos para la constitución de una entidad urbanística de conservación del Polígono Industrial del Valle de Güimar, así como informe técnico y listado de referencias catastrales con el ámbito de actuación de dicha Ent</w:t>
      </w:r>
      <w:r>
        <w:rPr>
          <w:rFonts w:ascii="Arial" w:eastAsia="Times New Roman" w:hAnsi="Arial" w:cs="Arial"/>
          <w:b/>
          <w:i/>
          <w:sz w:val="22"/>
          <w:szCs w:val="22"/>
          <w:lang w:eastAsia="es-ES" w:bidi="ar-SA"/>
        </w:rPr>
        <w:t>idad, así como propuesta de convenio de delegación de competencias entre los Ayuntamientos de Arafo, Candelaria y Güimar y el Cabildo Insular de Tenerife para la tramitación administrativa de la aprobación de los Estatutos y Constitución de la Entidad Urba</w:t>
      </w:r>
      <w:r>
        <w:rPr>
          <w:rFonts w:ascii="Arial" w:eastAsia="Times New Roman" w:hAnsi="Arial" w:cs="Arial"/>
          <w:b/>
          <w:i/>
          <w:sz w:val="22"/>
          <w:szCs w:val="22"/>
          <w:lang w:eastAsia="es-ES" w:bidi="ar-SA"/>
        </w:rPr>
        <w:t>nística de Conservación del Polígono Industrial del “Valle de Güimar” (E.U.C. Polígono de Güimar) que procedemos a analizar jurídicamente.</w:t>
      </w: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ind w:firstLine="1134"/>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SEXTO.- Que se han celebrado reuniones entre el Cabildo Insular de Tenerife y los Ayuntamientos de Arafo, Candelaria</w:t>
      </w:r>
      <w:r>
        <w:rPr>
          <w:rFonts w:ascii="Arial" w:eastAsia="Times New Roman" w:hAnsi="Arial" w:cs="Arial"/>
          <w:b/>
          <w:i/>
          <w:sz w:val="22"/>
          <w:szCs w:val="22"/>
          <w:lang w:eastAsia="es-ES" w:bidi="ar-SA"/>
        </w:rPr>
        <w:t xml:space="preserve"> y Güimar en los meses de junio y julio y finalmente el día 10 de septiembre de 2025, que cristalizó en acuerdo por dichas cuarto partes:</w:t>
      </w:r>
    </w:p>
    <w:p w:rsidR="00061CF1" w:rsidRDefault="00061CF1">
      <w:pPr>
        <w:widowControl/>
        <w:suppressAutoHyphens w:val="0"/>
        <w:autoSpaceDE w:val="0"/>
        <w:ind w:firstLine="1134"/>
        <w:jc w:val="both"/>
        <w:textAlignment w:val="auto"/>
        <w:rPr>
          <w:rFonts w:ascii="Arial" w:eastAsia="Lucida Sans Unicode" w:hAnsi="Arial" w:cs="Times New Roman"/>
          <w:i/>
          <w:sz w:val="22"/>
          <w:lang w:bidi="ar-SA"/>
        </w:rPr>
      </w:pPr>
    </w:p>
    <w:p w:rsidR="00061CF1" w:rsidRDefault="004E6D5A">
      <w:pPr>
        <w:widowControl/>
        <w:suppressAutoHyphens w:val="0"/>
        <w:autoSpaceDE w:val="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En la última reunión celebrada el día 10 de septiembre de 2025, se llegó a un acuerdo del contenido del cuerpo del te</w:t>
      </w:r>
      <w:r>
        <w:rPr>
          <w:rFonts w:ascii="Arial" w:eastAsia="Lucida Sans Unicode" w:hAnsi="Arial" w:cs="Times New Roman"/>
          <w:i/>
          <w:sz w:val="22"/>
          <w:lang w:bidi="ar-SA"/>
        </w:rPr>
        <w:t xml:space="preserve">xto estando presentes en la reunión celebrada en la </w:t>
      </w:r>
      <w:r>
        <w:rPr>
          <w:rFonts w:ascii="Arial" w:eastAsia="Lucida Sans Unicode" w:hAnsi="Arial" w:cs="Times New Roman"/>
          <w:i/>
          <w:sz w:val="22"/>
          <w:lang w:bidi="ar-SA"/>
        </w:rPr>
        <w:br/>
      </w:r>
      <w:r>
        <w:rPr>
          <w:rFonts w:ascii="Arial" w:eastAsia="Lucida Sans Unicode" w:hAnsi="Arial" w:cs="Times New Roman"/>
          <w:i/>
          <w:sz w:val="22"/>
          <w:lang w:bidi="ar-SA"/>
        </w:rPr>
        <w:t>Sala Miami del Cabildo Insular de Tenerife, el Consejero de Industria y la Jefa de Servicio, el Alcalde de Arafo, la Alcaldesa de Candelaria y y la Alcaldesa de Gúimar y los Secretarios de los Ayuntamien</w:t>
      </w:r>
      <w:r>
        <w:rPr>
          <w:rFonts w:ascii="Arial" w:eastAsia="Lucida Sans Unicode" w:hAnsi="Arial" w:cs="Times New Roman"/>
          <w:i/>
          <w:sz w:val="22"/>
          <w:lang w:bidi="ar-SA"/>
        </w:rPr>
        <w:t>tos de Arafo y Candelaria así como el representante de los empresarios y propietarios asistido de su Abogado experto en Urbanismo.</w:t>
      </w:r>
    </w:p>
    <w:p w:rsidR="00061CF1" w:rsidRDefault="00061CF1">
      <w:pPr>
        <w:widowControl/>
        <w:suppressAutoHyphens w:val="0"/>
        <w:autoSpaceDE w:val="0"/>
        <w:ind w:firstLine="1134"/>
        <w:jc w:val="both"/>
        <w:textAlignment w:val="auto"/>
        <w:rPr>
          <w:rFonts w:ascii="Arial" w:eastAsia="Lucida Sans Unicode" w:hAnsi="Arial" w:cs="Times New Roman"/>
          <w:i/>
          <w:sz w:val="22"/>
          <w:lang w:bidi="ar-SA"/>
        </w:rPr>
      </w:pPr>
    </w:p>
    <w:p w:rsidR="00061CF1" w:rsidRDefault="004E6D5A">
      <w:pPr>
        <w:widowControl/>
        <w:suppressAutoHyphens w:val="0"/>
        <w:autoSpaceDE w:val="0"/>
        <w:ind w:firstLine="1134"/>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Fruto de esa reunión, el Cabildo de Tenerife, remitió la propuesta de Estatutos mediante oficio de 15 de septiembre de 2025 </w:t>
      </w:r>
      <w:r>
        <w:rPr>
          <w:rFonts w:ascii="Arial" w:eastAsia="Lucida Sans Unicode" w:hAnsi="Arial" w:cs="Times New Roman"/>
          <w:i/>
          <w:sz w:val="22"/>
          <w:lang w:bidi="ar-SA"/>
        </w:rPr>
        <w:t>que son los estatutos que deben aprobarse por los plenos de los Ayuntamientos.</w:t>
      </w:r>
    </w:p>
    <w:p w:rsidR="00061CF1" w:rsidRDefault="00061CF1">
      <w:pPr>
        <w:widowControl/>
        <w:suppressAutoHyphens w:val="0"/>
        <w:autoSpaceDE w:val="0"/>
        <w:ind w:firstLine="1134"/>
        <w:jc w:val="both"/>
        <w:textAlignment w:val="auto"/>
        <w:rPr>
          <w:rFonts w:ascii="Arial" w:eastAsia="Lucida Sans Unicode" w:hAnsi="Arial" w:cs="Times New Roman"/>
          <w:i/>
          <w:sz w:val="22"/>
          <w:lang w:bidi="ar-SA"/>
        </w:rPr>
      </w:pPr>
    </w:p>
    <w:p w:rsidR="00061CF1" w:rsidRDefault="00061CF1">
      <w:pPr>
        <w:widowControl/>
        <w:suppressAutoHyphens w:val="0"/>
        <w:autoSpaceDE w:val="0"/>
        <w:ind w:firstLine="1134"/>
        <w:jc w:val="both"/>
        <w:textAlignment w:val="auto"/>
        <w:rPr>
          <w:rFonts w:ascii="Arial" w:eastAsia="Lucida Sans Unicode" w:hAnsi="Arial" w:cs="Times New Roman"/>
          <w:b/>
          <w:i/>
          <w:sz w:val="22"/>
          <w:lang w:bidi="ar-SA"/>
        </w:rPr>
      </w:pPr>
    </w:p>
    <w:p w:rsidR="00061CF1" w:rsidRDefault="004E6D5A">
      <w:pPr>
        <w:widowControl/>
        <w:suppressAutoHyphens w:val="0"/>
        <w:autoSpaceDE w:val="0"/>
        <w:ind w:firstLine="1134"/>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En cuanto a las consideraciones que hace en el oficio en el último párrafo que dice expresamente:</w:t>
      </w:r>
    </w:p>
    <w:p w:rsidR="00061CF1" w:rsidRDefault="00061CF1">
      <w:pPr>
        <w:widowControl/>
        <w:suppressAutoHyphens w:val="0"/>
        <w:autoSpaceDE w:val="0"/>
        <w:textAlignment w:val="auto"/>
        <w:rPr>
          <w:rFonts w:ascii="Arial" w:eastAsia="Times New Roman" w:hAnsi="Arial" w:cs="Arial"/>
          <w:i/>
          <w:sz w:val="20"/>
          <w:szCs w:val="20"/>
          <w:lang w:eastAsia="es-ES" w:bidi="ar-SA"/>
        </w:rPr>
      </w:pPr>
    </w:p>
    <w:p w:rsidR="00061CF1" w:rsidRDefault="004E6D5A">
      <w:pPr>
        <w:widowControl/>
        <w:suppressAutoHyphens w:val="0"/>
        <w:autoSpaceDE w:val="0"/>
        <w:ind w:firstLine="1134"/>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“Se le comunica además que, transcurrido dicho plazo, se elaborará el corres</w:t>
      </w:r>
      <w:r>
        <w:rPr>
          <w:rFonts w:ascii="Arial" w:eastAsia="Times New Roman" w:hAnsi="Arial" w:cs="Arial"/>
          <w:i/>
          <w:sz w:val="22"/>
          <w:szCs w:val="22"/>
          <w:lang w:eastAsia="es-ES" w:bidi="ar-SA"/>
        </w:rPr>
        <w:t xml:space="preserve">pondiente informe propuesta en relación a la aprobación inicial del texto de Estatutos de la Entidad Urbanística de Conservación del Polígono Industrial Valle de Güímar, y se elevará para su aprobación al órgano competente del Cabildo de Tenerife. </w:t>
      </w:r>
    </w:p>
    <w:p w:rsidR="00061CF1" w:rsidRDefault="00061CF1">
      <w:pPr>
        <w:widowControl/>
        <w:suppressAutoHyphens w:val="0"/>
        <w:autoSpaceDE w:val="0"/>
        <w:jc w:val="both"/>
        <w:textAlignment w:val="auto"/>
        <w:rPr>
          <w:rFonts w:ascii="Arial" w:eastAsia="Times New Roman" w:hAnsi="Arial" w:cs="Arial"/>
          <w:i/>
          <w:sz w:val="22"/>
          <w:szCs w:val="22"/>
          <w:lang w:eastAsia="es-ES" w:bidi="ar-SA"/>
        </w:rPr>
      </w:pPr>
    </w:p>
    <w:p w:rsidR="00061CF1" w:rsidRDefault="004E6D5A">
      <w:pPr>
        <w:widowControl/>
        <w:suppressAutoHyphens w:val="0"/>
        <w:autoSpaceDE w:val="0"/>
        <w:ind w:firstLine="1134"/>
        <w:jc w:val="both"/>
        <w:textAlignment w:val="auto"/>
      </w:pPr>
      <w:r>
        <w:rPr>
          <w:rFonts w:ascii="Arial" w:eastAsia="Times New Roman" w:hAnsi="Arial" w:cs="Arial"/>
          <w:i/>
          <w:sz w:val="22"/>
          <w:szCs w:val="22"/>
          <w:lang w:eastAsia="es-ES" w:bidi="ar-SA"/>
        </w:rPr>
        <w:t>Una ve</w:t>
      </w:r>
      <w:r>
        <w:rPr>
          <w:rFonts w:ascii="Arial" w:eastAsia="Times New Roman" w:hAnsi="Arial" w:cs="Arial"/>
          <w:i/>
          <w:sz w:val="22"/>
          <w:szCs w:val="22"/>
          <w:lang w:eastAsia="es-ES" w:bidi="ar-SA"/>
        </w:rPr>
        <w:t>z aprobado por el Cabildo, se le remitirá el documento a los tres Ayuntamientos de Arafo, Candelaria y Güímar para su aprobación por su órgano correspondiente, que además autorizará al Cabildo de Tenerife, como entidad supramunicipal e impulsora de la crea</w:t>
      </w:r>
      <w:r>
        <w:rPr>
          <w:rFonts w:ascii="Arial" w:eastAsia="Times New Roman" w:hAnsi="Arial" w:cs="Arial"/>
          <w:i/>
          <w:sz w:val="22"/>
          <w:szCs w:val="22"/>
          <w:lang w:eastAsia="es-ES" w:bidi="ar-SA"/>
        </w:rPr>
        <w:t xml:space="preserve">ción de este ente, </w:t>
      </w:r>
      <w:r>
        <w:rPr>
          <w:rFonts w:ascii="Arial" w:eastAsia="Lucida Sans Unicode" w:hAnsi="Arial" w:cs="Arial"/>
          <w:i/>
          <w:sz w:val="22"/>
          <w:lang w:bidi="ar-SA"/>
        </w:rPr>
        <w:t>el ejercicio de todos los trámites administrativos y de gestión necesarios para la total tramitación del presente expediente”.</w:t>
      </w:r>
    </w:p>
    <w:p w:rsidR="00061CF1" w:rsidRDefault="00061CF1">
      <w:pPr>
        <w:widowControl/>
        <w:suppressAutoHyphens w:val="0"/>
        <w:autoSpaceDE w:val="0"/>
        <w:ind w:firstLine="1134"/>
        <w:jc w:val="both"/>
        <w:textAlignment w:val="auto"/>
        <w:rPr>
          <w:rFonts w:ascii="Arial" w:eastAsia="Lucida Sans Unicode" w:hAnsi="Arial" w:cs="Arial"/>
          <w:i/>
          <w:sz w:val="22"/>
          <w:lang w:bidi="ar-SA"/>
        </w:rPr>
      </w:pPr>
    </w:p>
    <w:p w:rsidR="00061CF1" w:rsidRDefault="004E6D5A">
      <w:pPr>
        <w:widowControl/>
        <w:suppressAutoHyphens w:val="0"/>
        <w:autoSpaceDE w:val="0"/>
        <w:ind w:firstLine="1134"/>
        <w:jc w:val="both"/>
        <w:textAlignment w:val="auto"/>
      </w:pPr>
      <w:r>
        <w:rPr>
          <w:rFonts w:ascii="Arial" w:eastAsia="Lucida Sans Unicode" w:hAnsi="Arial" w:cs="Arial"/>
          <w:i/>
          <w:sz w:val="22"/>
          <w:lang w:bidi="ar-SA"/>
        </w:rPr>
        <w:t>Con independencia de los trámites que realice el Cabildo de Tenerife con sus órganos correspondientes para la</w:t>
      </w:r>
      <w:r>
        <w:rPr>
          <w:rFonts w:ascii="Arial" w:eastAsia="Lucida Sans Unicode" w:hAnsi="Arial" w:cs="Arial"/>
          <w:i/>
          <w:sz w:val="22"/>
          <w:lang w:bidi="ar-SA"/>
        </w:rPr>
        <w:t xml:space="preserve"> aprobación de los estatutos que al tratarse de una disposición de carácter general o norma o reglamento que innova el ordenamiento jurídico, </w:t>
      </w:r>
      <w:r>
        <w:rPr>
          <w:rFonts w:ascii="Arial" w:eastAsia="Lucida Sans Unicode" w:hAnsi="Arial" w:cs="Arial"/>
          <w:b/>
          <w:i/>
          <w:sz w:val="22"/>
          <w:lang w:bidi="ar-SA"/>
        </w:rPr>
        <w:t>debe ser aprobado por el PLENO DEL CABILDO DE TENERIFE conforme las competencias plenarias del artículo 22 de la L</w:t>
      </w:r>
      <w:r>
        <w:rPr>
          <w:rFonts w:ascii="Arial" w:eastAsia="Lucida Sans Unicode" w:hAnsi="Arial" w:cs="Arial"/>
          <w:b/>
          <w:i/>
          <w:sz w:val="22"/>
          <w:lang w:bidi="ar-SA"/>
        </w:rPr>
        <w:t>BRL y el procedimiento del artículo 49 de la Ley de Bases del Régimen local</w:t>
      </w:r>
      <w:r>
        <w:rPr>
          <w:rFonts w:ascii="Arial" w:eastAsia="Lucida Sans Unicode" w:hAnsi="Arial" w:cs="Arial"/>
          <w:i/>
          <w:sz w:val="22"/>
          <w:lang w:bidi="ar-SA"/>
        </w:rPr>
        <w:t>, en el Ayuntamiento de Candelaria se seguirá dicha tramitación reglamentaria, con arreglo a los siguientes trámites:</w:t>
      </w:r>
    </w:p>
    <w:p w:rsidR="00061CF1" w:rsidRDefault="00061CF1">
      <w:pPr>
        <w:widowControl/>
        <w:suppressAutoHyphens w:val="0"/>
        <w:autoSpaceDE w:val="0"/>
        <w:ind w:firstLine="1134"/>
        <w:jc w:val="both"/>
        <w:textAlignment w:val="auto"/>
        <w:rPr>
          <w:rFonts w:ascii="Arial" w:eastAsia="Lucida Sans Unicode" w:hAnsi="Arial" w:cs="Arial"/>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1.- Consulta pública previa en la página web municipal y en el</w:t>
      </w:r>
      <w:r>
        <w:rPr>
          <w:rFonts w:ascii="Arial" w:eastAsia="Lucida Sans Unicode" w:hAnsi="Arial" w:cs="Arial"/>
          <w:b/>
          <w:i/>
          <w:sz w:val="22"/>
          <w:lang w:bidi="ar-SA"/>
        </w:rPr>
        <w:t xml:space="preserve"> tablón de anuncios por 10 días hábiles en los que no se presentaron alegaciones o reclamaciones.</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 xml:space="preserve">2.- Informe jurídico de Secretaría General al tratarse de un reglamento en el que se traspasan funciones a una entidad supramunicipal (art. 47.1 h) de la </w:t>
      </w:r>
      <w:r>
        <w:rPr>
          <w:rFonts w:ascii="Arial" w:eastAsia="Lucida Sans Unicode" w:hAnsi="Arial" w:cs="Arial"/>
          <w:b/>
          <w:i/>
          <w:sz w:val="22"/>
          <w:lang w:bidi="ar-SA"/>
        </w:rPr>
        <w:t>LBRL).</w:t>
      </w:r>
    </w:p>
    <w:p w:rsidR="00061CF1" w:rsidRDefault="00061CF1">
      <w:pPr>
        <w:widowControl/>
        <w:suppressAutoHyphens w:val="0"/>
        <w:autoSpaceDE w:val="0"/>
        <w:ind w:firstLine="1134"/>
        <w:jc w:val="both"/>
        <w:textAlignment w:val="auto"/>
        <w:rPr>
          <w:rFonts w:ascii="Arial" w:eastAsia="Lucida Sans Unicode" w:hAnsi="Arial" w:cs="Arial"/>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3.- Dictamen de la Comisión Informativa.</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4.- Acuerdo del pleno de la Corporación de aprobación inicial.</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5.- Publicación de inserción de anuncio en el BOP para alegaciones por 30 días hábiles.</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6.- Acuerdo del pleno de la aprobación definitiva.</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7</w:t>
      </w:r>
      <w:r>
        <w:rPr>
          <w:rFonts w:ascii="Arial" w:eastAsia="Lucida Sans Unicode" w:hAnsi="Arial" w:cs="Arial"/>
          <w:b/>
          <w:i/>
          <w:sz w:val="22"/>
          <w:lang w:bidi="ar-SA"/>
        </w:rPr>
        <w:t>.- Publicación del texto íntegro aprobado en el Boletín Oficial de la Provincia.</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8.- Remisión del acuerdo plenario de aprobación definitiva a la Administración General del Estado y a la Comunidad Autónoma.</w:t>
      </w:r>
    </w:p>
    <w:p w:rsidR="00061CF1" w:rsidRDefault="00061CF1">
      <w:pPr>
        <w:widowControl/>
        <w:suppressAutoHyphens w:val="0"/>
        <w:autoSpaceDE w:val="0"/>
        <w:ind w:firstLine="1134"/>
        <w:jc w:val="both"/>
        <w:textAlignment w:val="auto"/>
        <w:rPr>
          <w:rFonts w:ascii="Arial" w:eastAsia="Lucida Sans Unicode" w:hAnsi="Arial" w:cs="Arial"/>
          <w:b/>
          <w:i/>
          <w:sz w:val="22"/>
          <w:lang w:bidi="ar-SA"/>
        </w:rPr>
      </w:pPr>
    </w:p>
    <w:p w:rsidR="00061CF1" w:rsidRDefault="004E6D5A">
      <w:pPr>
        <w:widowControl/>
        <w:suppressAutoHyphens w:val="0"/>
        <w:autoSpaceDE w:val="0"/>
        <w:ind w:firstLine="1134"/>
        <w:jc w:val="both"/>
        <w:textAlignment w:val="auto"/>
        <w:rPr>
          <w:rFonts w:ascii="Arial" w:eastAsia="Lucida Sans Unicode" w:hAnsi="Arial" w:cs="Arial"/>
          <w:b/>
          <w:i/>
          <w:sz w:val="22"/>
          <w:lang w:bidi="ar-SA"/>
        </w:rPr>
      </w:pPr>
      <w:r>
        <w:rPr>
          <w:rFonts w:ascii="Arial" w:eastAsia="Lucida Sans Unicode" w:hAnsi="Arial" w:cs="Arial"/>
          <w:b/>
          <w:i/>
          <w:sz w:val="22"/>
          <w:lang w:bidi="ar-SA"/>
        </w:rPr>
        <w:t>9.- Constitución de la entidad urbanística de co</w:t>
      </w:r>
      <w:r>
        <w:rPr>
          <w:rFonts w:ascii="Arial" w:eastAsia="Lucida Sans Unicode" w:hAnsi="Arial" w:cs="Arial"/>
          <w:b/>
          <w:i/>
          <w:sz w:val="22"/>
          <w:lang w:bidi="ar-SA"/>
        </w:rPr>
        <w:t>nservación mediante la correspondiente Asamblea General y registro de la entidad en el registro del Gobierno de Canarias de entidades urbanísticas colaboradoras.</w:t>
      </w:r>
    </w:p>
    <w:p w:rsidR="00061CF1" w:rsidRDefault="00061CF1">
      <w:pPr>
        <w:widowControl/>
        <w:suppressAutoHyphens w:val="0"/>
        <w:autoSpaceDE w:val="0"/>
        <w:ind w:firstLine="1134"/>
        <w:jc w:val="both"/>
        <w:textAlignment w:val="auto"/>
        <w:rPr>
          <w:rFonts w:ascii="Arial" w:eastAsia="Lucida Sans Unicode" w:hAnsi="Arial" w:cs="Arial"/>
          <w:i/>
          <w:sz w:val="22"/>
          <w:lang w:bidi="ar-SA"/>
        </w:rPr>
      </w:pPr>
    </w:p>
    <w:p w:rsidR="00061CF1" w:rsidRDefault="00061CF1">
      <w:pPr>
        <w:widowControl/>
        <w:suppressAutoHyphens w:val="0"/>
        <w:autoSpaceDE w:val="0"/>
        <w:jc w:val="both"/>
        <w:textAlignment w:val="auto"/>
        <w:rPr>
          <w:rFonts w:ascii="Arial" w:eastAsia="Times New Roman" w:hAnsi="Arial" w:cs="Arial"/>
          <w:i/>
          <w:sz w:val="22"/>
          <w:szCs w:val="22"/>
          <w:lang w:eastAsia="es-ES" w:bidi="ar-SA"/>
        </w:rPr>
      </w:pPr>
    </w:p>
    <w:p w:rsidR="00061CF1" w:rsidRDefault="004E6D5A">
      <w:pPr>
        <w:spacing w:after="120" w:line="248" w:lineRule="atLeast"/>
        <w:ind w:left="1418" w:firstLine="709"/>
        <w:jc w:val="both"/>
        <w:rPr>
          <w:rFonts w:ascii="Arial" w:eastAsia="Lucida Sans Unicode" w:hAnsi="Arial" w:cs="Times New Roman"/>
          <w:b/>
          <w:i/>
          <w:lang w:bidi="ar-SA"/>
        </w:rPr>
      </w:pPr>
      <w:r>
        <w:rPr>
          <w:rFonts w:ascii="Arial" w:eastAsia="Lucida Sans Unicode" w:hAnsi="Arial" w:cs="Times New Roman"/>
          <w:b/>
          <w:i/>
          <w:lang w:bidi="ar-SA"/>
        </w:rPr>
        <w:t xml:space="preserve">FUNDAMENTOS DE DERECHO </w:t>
      </w:r>
    </w:p>
    <w:p w:rsidR="00061CF1" w:rsidRDefault="004E6D5A">
      <w:pPr>
        <w:spacing w:after="120" w:line="248" w:lineRule="atLeast"/>
        <w:ind w:firstLine="1134"/>
        <w:jc w:val="both"/>
      </w:pPr>
      <w:r>
        <w:rPr>
          <w:rFonts w:ascii="Arial" w:eastAsia="Lucida Sans Unicode" w:hAnsi="Arial" w:cs="Times New Roman"/>
          <w:b/>
          <w:i/>
          <w:lang w:bidi="ar-SA"/>
        </w:rPr>
        <w:t xml:space="preserve">PRIMERO.- </w:t>
      </w:r>
      <w:r>
        <w:rPr>
          <w:rFonts w:ascii="Arial" w:eastAsia="Times New Roman" w:hAnsi="Arial" w:cs="Arial"/>
          <w:b/>
          <w:i/>
          <w:lang w:eastAsia="es-ES" w:bidi="ar-SA"/>
        </w:rPr>
        <w:t>Propuesta de estatutos para la constitución de una entidad</w:t>
      </w:r>
      <w:r>
        <w:rPr>
          <w:rFonts w:ascii="Arial" w:eastAsia="Times New Roman" w:hAnsi="Arial" w:cs="Arial"/>
          <w:b/>
          <w:i/>
          <w:lang w:eastAsia="es-ES" w:bidi="ar-SA"/>
        </w:rPr>
        <w:t xml:space="preserve"> urbanística de conservación del Polígono Industrial del Valle de Güimar.</w:t>
      </w:r>
    </w:p>
    <w:p w:rsidR="00061CF1" w:rsidRDefault="00061CF1">
      <w:pPr>
        <w:spacing w:after="120" w:line="248" w:lineRule="atLeast"/>
        <w:ind w:firstLine="1134"/>
        <w:jc w:val="both"/>
        <w:rPr>
          <w:rFonts w:ascii="Arial" w:eastAsia="Times New Roman" w:hAnsi="Arial" w:cs="Arial"/>
          <w:b/>
          <w:i/>
          <w:lang w:eastAsia="es-ES" w:bidi="ar-SA"/>
        </w:rPr>
      </w:pPr>
    </w:p>
    <w:p w:rsidR="00061CF1" w:rsidRDefault="004E6D5A">
      <w:pPr>
        <w:spacing w:after="120" w:line="248" w:lineRule="atLeast"/>
        <w:jc w:val="both"/>
        <w:rPr>
          <w:rFonts w:ascii="Arial" w:eastAsia="Times New Roman" w:hAnsi="Arial" w:cs="Arial"/>
          <w:b/>
          <w:i/>
          <w:lang w:eastAsia="es-ES" w:bidi="ar-SA"/>
        </w:rPr>
      </w:pPr>
      <w:r>
        <w:rPr>
          <w:rFonts w:ascii="Arial" w:eastAsia="Times New Roman" w:hAnsi="Arial" w:cs="Arial"/>
          <w:b/>
          <w:i/>
          <w:lang w:eastAsia="es-ES" w:bidi="ar-SA"/>
        </w:rPr>
        <w:tab/>
      </w:r>
      <w:r>
        <w:rPr>
          <w:rFonts w:ascii="Arial" w:eastAsia="Times New Roman" w:hAnsi="Arial" w:cs="Arial"/>
          <w:b/>
          <w:i/>
          <w:lang w:eastAsia="es-ES" w:bidi="ar-SA"/>
        </w:rPr>
        <w:tab/>
        <w:t>Análisis jurídico del texto del articulado:</w:t>
      </w: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ARTÍCULO 1. CONSTITUCIÓN Y DENOMINACIÓN.</w:t>
      </w: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Sobre la obligatoriedad de pertenencia a la EUC estoy de acuerdo:</w:t>
      </w:r>
    </w:p>
    <w:p w:rsidR="00061CF1" w:rsidRDefault="004E6D5A">
      <w:pPr>
        <w:spacing w:after="120" w:line="248" w:lineRule="atLeast"/>
        <w:jc w:val="both"/>
        <w:rPr>
          <w:rFonts w:ascii="Arial" w:eastAsia="Times New Roman" w:hAnsi="Arial" w:cs="Arial"/>
          <w:b/>
          <w:i/>
          <w:lang w:eastAsia="es-ES" w:bidi="ar-SA"/>
        </w:rPr>
      </w:pPr>
      <w:r>
        <w:rPr>
          <w:rFonts w:ascii="Arial" w:eastAsia="Times New Roman" w:hAnsi="Arial" w:cs="Arial"/>
          <w:b/>
          <w:i/>
          <w:lang w:eastAsia="es-ES" w:bidi="ar-SA"/>
        </w:rPr>
        <w:t xml:space="preserve">Tenemos que transcribir los </w:t>
      </w:r>
      <w:r>
        <w:rPr>
          <w:rFonts w:ascii="Arial" w:eastAsia="Times New Roman" w:hAnsi="Arial" w:cs="Arial"/>
          <w:b/>
          <w:i/>
          <w:lang w:eastAsia="es-ES" w:bidi="ar-SA"/>
        </w:rPr>
        <w:t>fundamentos de derechos del informe del Secretario General que obran en el acta del pleno ordinario de 30 de septiembre de 2015 donde se defendía por el Ayuntamiento, frente a las alegaciones de los propietarios del Polígono, de la obligatoriedad de la per</w:t>
      </w:r>
      <w:r>
        <w:rPr>
          <w:rFonts w:ascii="Arial" w:eastAsia="Times New Roman" w:hAnsi="Arial" w:cs="Arial"/>
          <w:b/>
          <w:i/>
          <w:lang w:eastAsia="es-ES" w:bidi="ar-SA"/>
        </w:rPr>
        <w:t>tenencia a la misma de los propietarios:</w:t>
      </w:r>
    </w:p>
    <w:p w:rsidR="00061CF1" w:rsidRDefault="004E6D5A">
      <w:pPr>
        <w:widowControl/>
        <w:spacing w:before="113"/>
        <w:jc w:val="both"/>
        <w:textAlignment w:val="auto"/>
      </w:pPr>
      <w:r>
        <w:rPr>
          <w:rFonts w:ascii="Arial" w:eastAsia="Times New Roman" w:hAnsi="Arial" w:cs="Arial"/>
          <w:i/>
          <w:sz w:val="20"/>
          <w:u w:val="single"/>
          <w:lang w:eastAsia="ar-SA" w:bidi="ar-SA"/>
        </w:rPr>
        <w:t>TERCERO.-</w:t>
      </w:r>
      <w:r>
        <w:rPr>
          <w:rFonts w:ascii="Arial" w:eastAsia="Times New Roman" w:hAnsi="Arial" w:cs="Arial"/>
          <w:i/>
          <w:sz w:val="20"/>
          <w:lang w:eastAsia="ar-SA" w:bidi="ar-SA"/>
        </w:rPr>
        <w:t xml:space="preserve"> </w:t>
      </w:r>
      <w:r>
        <w:rPr>
          <w:rFonts w:ascii="Arial" w:eastAsia="Times New Roman" w:hAnsi="Arial" w:cs="Arial"/>
          <w:i/>
          <w:sz w:val="20"/>
          <w:u w:val="single"/>
          <w:lang w:eastAsia="ar-SA" w:bidi="ar-SA"/>
        </w:rPr>
        <w:t>Obligaciones de los propietarios de constituirse en entidad urbanística de conservación: régimen jurídico en la jurisprudencia.</w:t>
      </w:r>
    </w:p>
    <w:p w:rsidR="00061CF1" w:rsidRDefault="004E6D5A">
      <w:pPr>
        <w:widowControl/>
        <w:spacing w:before="113"/>
        <w:jc w:val="both"/>
        <w:textAlignment w:val="auto"/>
      </w:pPr>
      <w:r>
        <w:rPr>
          <w:rFonts w:ascii="Arial" w:eastAsia="Times New Roman" w:hAnsi="Arial" w:cs="Arial"/>
          <w:i/>
          <w:iCs/>
          <w:color w:val="000000"/>
          <w:sz w:val="20"/>
          <w:lang w:eastAsia="ar-SA" w:bidi="ar-SA"/>
        </w:rPr>
        <w:t>Tribunal Superior de Justicia de Madrid, Sala de lo Contencioso-administrativ</w:t>
      </w:r>
      <w:r>
        <w:rPr>
          <w:rFonts w:ascii="Arial" w:eastAsia="Times New Roman" w:hAnsi="Arial" w:cs="Arial"/>
          <w:i/>
          <w:iCs/>
          <w:color w:val="000000"/>
          <w:sz w:val="20"/>
          <w:lang w:eastAsia="ar-SA" w:bidi="ar-SA"/>
        </w:rPr>
        <w:t>o, Sección 1ª, Sentencia de 12 Mar. 2001, rec. 2565/1996</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Ponente: Vegas Torres, María Jesús.</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Nº de Sentencia: 386/2001</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Nº de Recurso: 2565/1996</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Jurisdicción: CONTENCIOSO-ADMINISTRATIVA</w:t>
      </w:r>
    </w:p>
    <w:p w:rsidR="00061CF1" w:rsidRDefault="004E6D5A">
      <w:pPr>
        <w:spacing w:after="120" w:line="270" w:lineRule="atLeast"/>
        <w:textAlignment w:val="auto"/>
      </w:pPr>
      <w:bookmarkStart w:id="3" w:name="idU"/>
      <w:bookmarkEnd w:id="3"/>
      <w:r>
        <w:rPr>
          <w:rFonts w:ascii="Arial" w:eastAsia="Lucida Sans Unicode" w:hAnsi="Arial" w:cs="Arial"/>
          <w:i/>
          <w:color w:val="000000"/>
          <w:sz w:val="20"/>
          <w:lang w:bidi="ar-SA"/>
        </w:rPr>
        <w:t>LA LEY </w:t>
      </w:r>
      <w:r>
        <w:rPr>
          <w:rFonts w:ascii="Arial" w:eastAsia="Lucida Sans Unicode" w:hAnsi="Arial" w:cs="Arial"/>
          <w:i/>
          <w:iCs/>
          <w:color w:val="000000"/>
          <w:sz w:val="20"/>
          <w:lang w:bidi="ar-SA"/>
        </w:rPr>
        <w:t>54985/2001</w:t>
      </w:r>
    </w:p>
    <w:p w:rsidR="00061CF1" w:rsidRDefault="00061CF1">
      <w:pPr>
        <w:spacing w:after="120"/>
        <w:textAlignment w:val="auto"/>
        <w:rPr>
          <w:rFonts w:ascii="Arial" w:eastAsia="Lucida Sans Unicode" w:hAnsi="Arial" w:cs="Arial"/>
          <w:i/>
          <w:sz w:val="20"/>
          <w:lang w:bidi="ar-SA"/>
        </w:rPr>
      </w:pPr>
    </w:p>
    <w:p w:rsidR="00061CF1" w:rsidRDefault="004E6D5A">
      <w:pPr>
        <w:spacing w:after="120"/>
        <w:jc w:val="both"/>
        <w:textAlignment w:val="auto"/>
      </w:pPr>
      <w:r>
        <w:rPr>
          <w:rFonts w:ascii="Arial" w:eastAsia="Lucida Sans Unicode" w:hAnsi="Arial" w:cs="Arial"/>
          <w:i/>
          <w:iCs/>
          <w:color w:val="333333"/>
          <w:sz w:val="20"/>
          <w:shd w:val="clear" w:color="auto" w:fill="FFFFFF"/>
          <w:lang w:bidi="ar-SA"/>
        </w:rPr>
        <w:tab/>
        <w:t>F. J. SÉPTIMO. </w:t>
      </w:r>
      <w:r>
        <w:rPr>
          <w:rFonts w:ascii="Arial" w:eastAsia="Lucida Sans Unicode" w:hAnsi="Arial" w:cs="Arial"/>
          <w:i/>
          <w:iCs/>
          <w:color w:val="1C1C1C"/>
          <w:sz w:val="20"/>
          <w:shd w:val="clear" w:color="auto" w:fill="FFFFFF"/>
          <w:lang w:bidi="ar-SA"/>
        </w:rPr>
        <w:t xml:space="preserve">Las Entidades de Conservación son </w:t>
      </w:r>
      <w:r>
        <w:rPr>
          <w:rFonts w:ascii="Arial" w:eastAsia="Lucida Sans Unicode" w:hAnsi="Arial" w:cs="Arial"/>
          <w:i/>
          <w:iCs/>
          <w:color w:val="1C1C1C"/>
          <w:sz w:val="20"/>
          <w:shd w:val="clear" w:color="auto" w:fill="FFFFFF"/>
          <w:lang w:bidi="ar-SA"/>
        </w:rPr>
        <w:t>Entidades de derecho Público que aunque compuestas por particulares tienen establecidas para colaborar con un fin específicamente urbanístico, como es el de la gestión de conservación de obras públicas. Reguladas por la normativa urbanística, se condiciona</w:t>
      </w:r>
      <w:r>
        <w:rPr>
          <w:rFonts w:ascii="Arial" w:eastAsia="Lucida Sans Unicode" w:hAnsi="Arial" w:cs="Arial"/>
          <w:i/>
          <w:iCs/>
          <w:color w:val="1C1C1C"/>
          <w:sz w:val="20"/>
          <w:shd w:val="clear" w:color="auto" w:fill="FFFFFF"/>
          <w:lang w:bidi="ar-SA"/>
        </w:rPr>
        <w:t xml:space="preserve"> su personalidad jurídica a la inscripción del acuerdo aprobatorio administrativo en el Registro de Entidades Urbanísticas Colaboradoras y como señala la STS Sala Tercera, Sección 5º de 15 Abr. 1992 «La personalidad jurídica de estas Entidades nace mas que</w:t>
      </w:r>
      <w:r>
        <w:rPr>
          <w:rFonts w:ascii="Arial" w:eastAsia="Lucida Sans Unicode" w:hAnsi="Arial" w:cs="Arial"/>
          <w:i/>
          <w:iCs/>
          <w:color w:val="1C1C1C"/>
          <w:sz w:val="20"/>
          <w:shd w:val="clear" w:color="auto" w:fill="FFFFFF"/>
          <w:lang w:bidi="ar-SA"/>
        </w:rPr>
        <w:t xml:space="preserve"> por la simple voluntad de las individualidades que las integran, por la voluntad preponderante del ordenamiento jurídico - voluntad normativa, o voluntad legal: art. 35.1 del Código Civil.»</w:t>
      </w:r>
    </w:p>
    <w:p w:rsidR="00061CF1" w:rsidRDefault="004E6D5A">
      <w:pPr>
        <w:spacing w:after="120" w:line="300" w:lineRule="atLeast"/>
        <w:jc w:val="both"/>
        <w:textAlignment w:val="auto"/>
      </w:pPr>
      <w:r>
        <w:rPr>
          <w:rFonts w:ascii="Arial" w:eastAsia="Lucida Sans Unicode" w:hAnsi="Arial" w:cs="Arial"/>
          <w:i/>
          <w:iCs/>
          <w:color w:val="1C1C1C"/>
          <w:sz w:val="20"/>
          <w:shd w:val="clear" w:color="auto" w:fill="FFFFFF"/>
          <w:lang w:bidi="ar-SA"/>
        </w:rPr>
        <w:tab/>
        <w:t>Tales Entidades de Conservación tienen como finalidad la conserv</w:t>
      </w:r>
      <w:r>
        <w:rPr>
          <w:rFonts w:ascii="Arial" w:eastAsia="Lucida Sans Unicode" w:hAnsi="Arial" w:cs="Arial"/>
          <w:i/>
          <w:iCs/>
          <w:color w:val="1C1C1C"/>
          <w:sz w:val="20"/>
          <w:shd w:val="clear" w:color="auto" w:fill="FFFFFF"/>
          <w:lang w:bidi="ar-SA"/>
        </w:rPr>
        <w:t>ación y mantenimiento de las obras de urbanización, dotaciones e instalaciones de los servicios públicos. Su constitución - bien ex novo, bien como transformación de una entidad urbanística colaboradora preexistente-- solo será obligatoria, según dispone e</w:t>
      </w:r>
      <w:r>
        <w:rPr>
          <w:rFonts w:ascii="Arial" w:eastAsia="Lucida Sans Unicode" w:hAnsi="Arial" w:cs="Arial"/>
          <w:i/>
          <w:iCs/>
          <w:color w:val="1C1C1C"/>
          <w:sz w:val="20"/>
          <w:shd w:val="clear" w:color="auto" w:fill="FFFFFF"/>
          <w:lang w:bidi="ar-SA"/>
        </w:rPr>
        <w:t>l art. 25.3 del Reglamento de Gestión cuando «...</w:t>
      </w:r>
      <w:r>
        <w:rPr>
          <w:rFonts w:ascii="Arial" w:eastAsia="Lucida Sans Unicode" w:hAnsi="Arial" w:cs="Arial"/>
          <w:i/>
          <w:iCs/>
          <w:color w:val="1C1C1C"/>
          <w:sz w:val="20"/>
          <w:u w:val="single"/>
          <w:shd w:val="clear" w:color="auto" w:fill="FFFFFF"/>
          <w:lang w:bidi="ar-SA"/>
        </w:rPr>
        <w:t xml:space="preserve"> el deber de conservación de las obras de urbanización recaiga sobre los propietarios comprendidos en un polígono o unidad de actuación en virtud de las determinaciones del Plan de ordenación o bases del Pro</w:t>
      </w:r>
      <w:r>
        <w:rPr>
          <w:rFonts w:ascii="Arial" w:eastAsia="Lucida Sans Unicode" w:hAnsi="Arial" w:cs="Arial"/>
          <w:i/>
          <w:iCs/>
          <w:color w:val="1C1C1C"/>
          <w:sz w:val="20"/>
          <w:u w:val="single"/>
          <w:shd w:val="clear" w:color="auto" w:fill="FFFFFF"/>
          <w:lang w:bidi="ar-SA"/>
        </w:rPr>
        <w:t xml:space="preserve">grama e Actuación urbanística o resulte expresamente de disposiciones legales». y solo en tales supuestos de constitución obligatoria </w:t>
      </w:r>
      <w:r>
        <w:rPr>
          <w:rFonts w:ascii="Arial" w:eastAsia="Lucida Sans Unicode" w:hAnsi="Arial" w:cs="Arial"/>
          <w:i/>
          <w:iCs/>
          <w:color w:val="1C1C1C"/>
          <w:sz w:val="20"/>
          <w:shd w:val="clear" w:color="auto" w:fill="FFFFFF"/>
          <w:lang w:bidi="ar-SA"/>
        </w:rPr>
        <w:t>« l</w:t>
      </w:r>
      <w:r>
        <w:rPr>
          <w:rFonts w:ascii="Arial" w:eastAsia="Lucida Sans Unicode" w:hAnsi="Arial" w:cs="Arial"/>
          <w:i/>
          <w:iCs/>
          <w:color w:val="1C1C1C"/>
          <w:sz w:val="20"/>
          <w:u w:val="single"/>
          <w:shd w:val="clear" w:color="auto" w:fill="FFFFFF"/>
          <w:lang w:bidi="ar-SA"/>
        </w:rPr>
        <w:t xml:space="preserve">a pertenencia a la Entidad de </w:t>
      </w:r>
      <w:r>
        <w:rPr>
          <w:rFonts w:ascii="Arial" w:eastAsia="Lucida Sans Unicode" w:hAnsi="Arial" w:cs="Arial"/>
          <w:i/>
          <w:iCs/>
          <w:color w:val="333333"/>
          <w:sz w:val="20"/>
          <w:u w:val="single"/>
          <w:shd w:val="clear" w:color="auto" w:fill="FFFFFF"/>
          <w:lang w:bidi="ar-SA"/>
        </w:rPr>
        <w:t>conservación será obligatoria para todos los propietarios comprendidos en su ámbito terri</w:t>
      </w:r>
      <w:r>
        <w:rPr>
          <w:rFonts w:ascii="Arial" w:eastAsia="Lucida Sans Unicode" w:hAnsi="Arial" w:cs="Arial"/>
          <w:i/>
          <w:iCs/>
          <w:color w:val="333333"/>
          <w:sz w:val="20"/>
          <w:u w:val="single"/>
          <w:shd w:val="clear" w:color="auto" w:fill="FFFFFF"/>
          <w:lang w:bidi="ar-SA"/>
        </w:rPr>
        <w:t>torial.»</w:t>
      </w:r>
    </w:p>
    <w:p w:rsidR="00061CF1" w:rsidRDefault="004E6D5A">
      <w:pPr>
        <w:keepNext/>
        <w:widowControl/>
        <w:numPr>
          <w:ilvl w:val="1"/>
          <w:numId w:val="14"/>
        </w:numPr>
        <w:ind w:right="120"/>
        <w:jc w:val="center"/>
        <w:textAlignment w:val="auto"/>
        <w:rPr>
          <w:rFonts w:ascii="Arial" w:eastAsia="Times New Roman" w:hAnsi="Arial" w:cs="Arial"/>
          <w:i/>
          <w:iCs/>
          <w:color w:val="000000"/>
          <w:kern w:val="0"/>
          <w:sz w:val="20"/>
        </w:rPr>
      </w:pPr>
      <w:r>
        <w:rPr>
          <w:rFonts w:ascii="Arial" w:eastAsia="Times New Roman" w:hAnsi="Arial" w:cs="Arial"/>
          <w:i/>
          <w:iCs/>
          <w:color w:val="000000"/>
          <w:kern w:val="0"/>
          <w:sz w:val="20"/>
        </w:rPr>
        <w:t>Sentencia del Tribunal Supremo, Sala Tercera, de lo Contencioso-administrativo. Sección 5ª, Sentencia de 23 Feb. 2005, rec. 2327/2002</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Ponente: Peces Morate, Jesús Ernesto.</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Nº de Recurso: 2327/2002</w:t>
      </w:r>
    </w:p>
    <w:p w:rsidR="00061CF1" w:rsidRDefault="004E6D5A">
      <w:pPr>
        <w:spacing w:after="120" w:line="270" w:lineRule="atLeast"/>
        <w:textAlignment w:val="auto"/>
        <w:rPr>
          <w:rFonts w:ascii="Arial" w:eastAsia="Lucida Sans Unicode" w:hAnsi="Arial" w:cs="Arial"/>
          <w:i/>
          <w:color w:val="000000"/>
          <w:sz w:val="20"/>
          <w:lang w:bidi="ar-SA"/>
        </w:rPr>
      </w:pPr>
      <w:r>
        <w:rPr>
          <w:rFonts w:ascii="Arial" w:eastAsia="Lucida Sans Unicode" w:hAnsi="Arial" w:cs="Arial"/>
          <w:i/>
          <w:color w:val="000000"/>
          <w:sz w:val="20"/>
          <w:lang w:bidi="ar-SA"/>
        </w:rPr>
        <w:t>Jurisdicción: CONTENCIOSO-ADMINISTRATIVA</w:t>
      </w:r>
    </w:p>
    <w:p w:rsidR="00061CF1" w:rsidRDefault="004E6D5A">
      <w:pPr>
        <w:spacing w:after="120" w:line="270" w:lineRule="atLeast"/>
        <w:textAlignment w:val="auto"/>
      </w:pPr>
      <w:bookmarkStart w:id="4" w:name="idU1"/>
      <w:bookmarkEnd w:id="4"/>
      <w:r>
        <w:rPr>
          <w:rFonts w:ascii="Arial" w:eastAsia="Lucida Sans Unicode" w:hAnsi="Arial" w:cs="Arial"/>
          <w:i/>
          <w:color w:val="000000"/>
          <w:sz w:val="20"/>
          <w:lang w:bidi="ar-SA"/>
        </w:rPr>
        <w:t>LA LEY </w:t>
      </w:r>
      <w:r>
        <w:rPr>
          <w:rFonts w:ascii="Arial" w:eastAsia="Lucida Sans Unicode" w:hAnsi="Arial" w:cs="Arial"/>
          <w:i/>
          <w:iCs/>
          <w:color w:val="000000"/>
          <w:sz w:val="20"/>
          <w:lang w:bidi="ar-SA"/>
        </w:rPr>
        <w:t>44148/2005</w:t>
      </w:r>
    </w:p>
    <w:p w:rsidR="00061CF1" w:rsidRDefault="00061CF1">
      <w:pPr>
        <w:spacing w:after="120" w:line="270" w:lineRule="atLeast"/>
        <w:textAlignment w:val="auto"/>
        <w:rPr>
          <w:rFonts w:ascii="Arial" w:eastAsia="Lucida Sans Unicode" w:hAnsi="Arial" w:cs="Arial"/>
          <w:i/>
          <w:iCs/>
          <w:color w:val="000000"/>
          <w:sz w:val="20"/>
          <w:lang w:bidi="ar-SA"/>
        </w:rPr>
      </w:pPr>
    </w:p>
    <w:p w:rsidR="00061CF1" w:rsidRDefault="004E6D5A">
      <w:pPr>
        <w:widowControl/>
        <w:spacing w:before="280" w:after="280"/>
        <w:ind w:right="120"/>
        <w:jc w:val="both"/>
        <w:textAlignment w:val="auto"/>
        <w:rPr>
          <w:rFonts w:ascii="Arial" w:eastAsia="Arial Unicode MS" w:hAnsi="Arial" w:cs="Arial"/>
          <w:i/>
          <w:iCs/>
          <w:color w:val="000000"/>
          <w:sz w:val="20"/>
          <w:szCs w:val="17"/>
          <w:lang w:eastAsia="ar-SA" w:bidi="ar-SA"/>
        </w:rPr>
      </w:pPr>
      <w:r>
        <w:rPr>
          <w:rFonts w:ascii="Arial" w:eastAsia="Arial Unicode MS" w:hAnsi="Arial" w:cs="Arial"/>
          <w:i/>
          <w:iCs/>
          <w:color w:val="000000"/>
          <w:sz w:val="20"/>
          <w:szCs w:val="17"/>
          <w:lang w:eastAsia="ar-SA" w:bidi="ar-SA"/>
        </w:rPr>
        <w:t>FJ 2º:</w:t>
      </w:r>
    </w:p>
    <w:p w:rsidR="00061CF1" w:rsidRDefault="004E6D5A">
      <w:pPr>
        <w:widowControl/>
        <w:spacing w:before="280" w:after="280"/>
        <w:ind w:right="120"/>
        <w:jc w:val="both"/>
        <w:textAlignment w:val="auto"/>
        <w:rPr>
          <w:rFonts w:ascii="Arial" w:eastAsia="Arial Unicode MS" w:hAnsi="Arial" w:cs="Arial"/>
          <w:i/>
          <w:iCs/>
          <w:color w:val="000000"/>
          <w:sz w:val="20"/>
          <w:szCs w:val="17"/>
          <w:lang w:eastAsia="ar-SA" w:bidi="ar-SA"/>
        </w:rPr>
      </w:pPr>
      <w:r>
        <w:rPr>
          <w:rFonts w:ascii="Arial" w:eastAsia="Arial Unicode MS" w:hAnsi="Arial" w:cs="Arial"/>
          <w:i/>
          <w:iCs/>
          <w:color w:val="000000"/>
          <w:sz w:val="20"/>
          <w:szCs w:val="17"/>
          <w:lang w:eastAsia="ar-SA" w:bidi="ar-SA"/>
        </w:rPr>
        <w:t xml:space="preserve">(...)Dentro de los motivos que confusamente se aducen en la demanda como fundamento de la pretensión cabe señalar una serie de alegaciones referidas a la improcedencia de que deba constituirse la Junta de Conservación de autos, en </w:t>
      </w:r>
      <w:r>
        <w:rPr>
          <w:rFonts w:ascii="Arial" w:eastAsia="Arial Unicode MS" w:hAnsi="Arial" w:cs="Arial"/>
          <w:i/>
          <w:iCs/>
          <w:color w:val="000000"/>
          <w:sz w:val="20"/>
          <w:szCs w:val="17"/>
          <w:lang w:eastAsia="ar-SA" w:bidi="ar-SA"/>
        </w:rPr>
        <w:t xml:space="preserve">realidad el argumento se refiere a la exclusión de que el coste de la conservación de la urbanización recaiga sobre los propietarios debiendo asumirla la misma Corporación Local. </w:t>
      </w:r>
    </w:p>
    <w:p w:rsidR="00061CF1" w:rsidRDefault="004E6D5A">
      <w:pPr>
        <w:widowControl/>
        <w:spacing w:before="280" w:after="280"/>
        <w:ind w:right="120"/>
        <w:jc w:val="both"/>
        <w:textAlignment w:val="auto"/>
      </w:pPr>
      <w:r>
        <w:rPr>
          <w:rFonts w:ascii="Arial" w:eastAsia="Arial Unicode MS" w:hAnsi="Arial" w:cs="Arial"/>
          <w:i/>
          <w:iCs/>
          <w:color w:val="000000"/>
          <w:sz w:val="20"/>
          <w:szCs w:val="17"/>
          <w:lang w:eastAsia="ar-SA" w:bidi="ar-SA"/>
        </w:rPr>
        <w:tab/>
        <w:t>No podemos aceptar ese argumento porque en la misma demanda se reconoce que</w:t>
      </w:r>
      <w:r>
        <w:rPr>
          <w:rFonts w:ascii="Arial" w:eastAsia="Arial Unicode MS" w:hAnsi="Arial" w:cs="Arial"/>
          <w:i/>
          <w:iCs/>
          <w:color w:val="000000"/>
          <w:sz w:val="20"/>
          <w:szCs w:val="17"/>
          <w:lang w:eastAsia="ar-SA" w:bidi="ar-SA"/>
        </w:rPr>
        <w:t xml:space="preserve"> la necesidad de que la conservación de la urbanización fuese asumida por los propietarios era una de las determinaciones contenidas tanto en el Programa de Actuación Urbanística como el Plan Parcial subsiguiente; por lo que se imponía como una condición a</w:t>
      </w:r>
      <w:r>
        <w:rPr>
          <w:rFonts w:ascii="Arial" w:eastAsia="Arial Unicode MS" w:hAnsi="Arial" w:cs="Arial"/>
          <w:i/>
          <w:iCs/>
          <w:color w:val="000000"/>
          <w:sz w:val="20"/>
          <w:szCs w:val="17"/>
          <w:lang w:eastAsia="ar-SA" w:bidi="ar-SA"/>
        </w:rPr>
        <w:t>l proceso urbanizador que no podía ser desconocido en tanto no se procediese a la modificación de esos instrumentos del planeamiento. En este mismo sentido se opone por la parte actora que esa obligación de costear el mantenimiento de la urbanización era p</w:t>
      </w:r>
      <w:r>
        <w:rPr>
          <w:rFonts w:ascii="Arial" w:eastAsia="Arial Unicode MS" w:hAnsi="Arial" w:cs="Arial"/>
          <w:i/>
          <w:iCs/>
          <w:color w:val="000000"/>
          <w:sz w:val="20"/>
          <w:szCs w:val="17"/>
          <w:lang w:eastAsia="ar-SA" w:bidi="ar-SA"/>
        </w:rPr>
        <w:t>receptivo hacerlo constar en los actos de transmisión de la propiedad del terreno y que en su caso -y el de otros propietarios no se hizo constar en la escritura pública de compraventa haciendo imposible la aplicación de esa obligación.</w:t>
      </w:r>
      <w:r>
        <w:rPr>
          <w:rFonts w:ascii="Arial" w:eastAsia="Arial Unicode MS" w:hAnsi="Arial" w:cs="Arial"/>
          <w:i/>
          <w:iCs/>
          <w:color w:val="FFFFFF"/>
          <w:sz w:val="20"/>
          <w:szCs w:val="17"/>
          <w:lang w:eastAsia="ar-SA" w:bidi="ar-SA"/>
        </w:rPr>
        <w:t xml:space="preserve"> </w:t>
      </w:r>
    </w:p>
    <w:p w:rsidR="00061CF1" w:rsidRDefault="004E6D5A">
      <w:pPr>
        <w:widowControl/>
        <w:spacing w:before="280" w:after="280"/>
        <w:ind w:right="120"/>
        <w:jc w:val="both"/>
        <w:textAlignment w:val="auto"/>
      </w:pPr>
      <w:r>
        <w:rPr>
          <w:rFonts w:ascii="Arial" w:eastAsia="Arial Unicode MS" w:hAnsi="Arial" w:cs="Arial"/>
          <w:i/>
          <w:iCs/>
          <w:color w:val="FFFFFF"/>
          <w:sz w:val="20"/>
          <w:szCs w:val="17"/>
          <w:lang w:eastAsia="ar-SA" w:bidi="ar-SA"/>
        </w:rPr>
        <w:tab/>
      </w:r>
      <w:r>
        <w:rPr>
          <w:rFonts w:ascii="Arial" w:eastAsia="Arial Unicode MS" w:hAnsi="Arial" w:cs="Arial"/>
          <w:i/>
          <w:iCs/>
          <w:color w:val="000000"/>
          <w:sz w:val="20"/>
          <w:szCs w:val="17"/>
          <w:lang w:eastAsia="ar-SA" w:bidi="ar-SA"/>
        </w:rPr>
        <w:t xml:space="preserve">No puede este </w:t>
      </w:r>
      <w:r>
        <w:rPr>
          <w:rFonts w:ascii="Arial" w:eastAsia="Arial Unicode MS" w:hAnsi="Arial" w:cs="Arial"/>
          <w:i/>
          <w:iCs/>
          <w:color w:val="000000"/>
          <w:sz w:val="20"/>
          <w:szCs w:val="17"/>
          <w:lang w:eastAsia="ar-SA" w:bidi="ar-SA"/>
        </w:rPr>
        <w:t>alegato ser admitido desde el mismo momento que, como dijimos, esa obligación estaba impuesta por el planeamiento y es éste, por remisión legal, el que configura la propiedad urbana de tal forma que se impone a la voluntad de los particulares que no podrán</w:t>
      </w:r>
      <w:r>
        <w:rPr>
          <w:rFonts w:ascii="Arial" w:eastAsia="Arial Unicode MS" w:hAnsi="Arial" w:cs="Arial"/>
          <w:i/>
          <w:iCs/>
          <w:color w:val="000000"/>
          <w:sz w:val="20"/>
          <w:szCs w:val="17"/>
          <w:lang w:eastAsia="ar-SA" w:bidi="ar-SA"/>
        </w:rPr>
        <w:t xml:space="preserve"> desconocerlo; así pues, si al actor se le omitió esa "carga" que existía sobre los terrenos por disposición legal, no por ello ha de quedar condicionado el planeamiento y sus determinaciones sino que podrá ejercitar, en su caso y ante quien corresponda, l</w:t>
      </w:r>
      <w:r>
        <w:rPr>
          <w:rFonts w:ascii="Arial" w:eastAsia="Arial Unicode MS" w:hAnsi="Arial" w:cs="Arial"/>
          <w:i/>
          <w:iCs/>
          <w:color w:val="000000"/>
          <w:sz w:val="20"/>
          <w:szCs w:val="17"/>
          <w:lang w:eastAsia="ar-SA" w:bidi="ar-SA"/>
        </w:rPr>
        <w:t>as acciones de las que se crea asistido. En suma, no puede olvidarse que estas entidades se establecen con un específico carácter urbanístico y sometidas, por ello, a la disciplina urbanística con exclusión de la voluntad de las personas que las integran”</w:t>
      </w:r>
    </w:p>
    <w:p w:rsidR="00061CF1" w:rsidRDefault="00061CF1">
      <w:pPr>
        <w:widowControl/>
        <w:spacing w:before="280" w:after="280"/>
        <w:ind w:right="120"/>
        <w:jc w:val="both"/>
        <w:textAlignment w:val="auto"/>
        <w:rPr>
          <w:rFonts w:ascii="Arial" w:eastAsia="Arial Unicode MS" w:hAnsi="Arial" w:cs="Arial"/>
          <w:i/>
          <w:sz w:val="20"/>
          <w:szCs w:val="17"/>
          <w:u w:val="single"/>
          <w:lang w:eastAsia="ar-SA" w:bidi="ar-SA"/>
        </w:rPr>
      </w:pPr>
    </w:p>
    <w:p w:rsidR="00061CF1" w:rsidRDefault="004E6D5A">
      <w:pPr>
        <w:widowControl/>
        <w:spacing w:before="280" w:after="280"/>
        <w:ind w:right="120"/>
        <w:jc w:val="both"/>
        <w:textAlignment w:val="auto"/>
      </w:pPr>
      <w:r>
        <w:rPr>
          <w:rFonts w:ascii="Arial" w:eastAsia="Arial Unicode MS" w:hAnsi="Arial" w:cs="Arial"/>
          <w:i/>
          <w:sz w:val="20"/>
          <w:szCs w:val="17"/>
          <w:u w:val="single"/>
          <w:lang w:eastAsia="ar-SA" w:bidi="ar-SA"/>
        </w:rPr>
        <w:t>CUARTO.- EL PLAN GENERAL DE ORDENACIÓN DE CANDELARIA NO HA DEROGADO EL ARTÍCULO 11 DEL PLAN PARCIAL DEL P.I. DEL VALLE DE GÜIMAR QUE ESTABLECE COMO SISTEMA DE CONVERSACIÓN EL DE EUC Y QUE SIGUE VIGENTE Y ES DE OBLIGADO CUMPLIMIENTO.</w:t>
      </w:r>
    </w:p>
    <w:p w:rsidR="00061CF1" w:rsidRDefault="004E6D5A">
      <w:pPr>
        <w:widowControl/>
        <w:spacing w:before="280" w:after="280"/>
        <w:ind w:right="120"/>
        <w:jc w:val="both"/>
        <w:textAlignment w:val="auto"/>
        <w:rPr>
          <w:rFonts w:ascii="Arial" w:eastAsia="Arial Unicode MS" w:hAnsi="Arial" w:cs="Arial"/>
          <w:i/>
          <w:sz w:val="20"/>
          <w:szCs w:val="17"/>
          <w:lang w:eastAsia="ar-SA" w:bidi="ar-SA"/>
        </w:rPr>
      </w:pPr>
      <w:r>
        <w:rPr>
          <w:rFonts w:ascii="Arial" w:eastAsia="Arial Unicode MS" w:hAnsi="Arial" w:cs="Arial"/>
          <w:i/>
          <w:sz w:val="20"/>
          <w:szCs w:val="17"/>
          <w:lang w:eastAsia="ar-SA" w:bidi="ar-SA"/>
        </w:rPr>
        <w:tab/>
        <w:t>El Plan Parcial del P</w:t>
      </w:r>
      <w:r>
        <w:rPr>
          <w:rFonts w:ascii="Arial" w:eastAsia="Arial Unicode MS" w:hAnsi="Arial" w:cs="Arial"/>
          <w:i/>
          <w:sz w:val="20"/>
          <w:szCs w:val="17"/>
          <w:lang w:eastAsia="ar-SA" w:bidi="ar-SA"/>
        </w:rPr>
        <w:t>olígono Industrial del Valle de Güimar ha establecido en el artículo 11 que el sistema de conservación es el de entidad urbanística de conservación. Dicho Plan Parcial no ha sido derogado ni expresa ni tácitamente por ningún instrumento de planeamiento pos</w:t>
      </w:r>
      <w:r>
        <w:rPr>
          <w:rFonts w:ascii="Arial" w:eastAsia="Arial Unicode MS" w:hAnsi="Arial" w:cs="Arial"/>
          <w:i/>
          <w:sz w:val="20"/>
          <w:szCs w:val="17"/>
          <w:lang w:eastAsia="ar-SA" w:bidi="ar-SA"/>
        </w:rPr>
        <w:t>terior ni tampoco por los Planes Generales de Ordenación de los 3 Ayuntamientos por lo que tiene plena vigencia y tiene que ser cumplido.</w:t>
      </w:r>
    </w:p>
    <w:p w:rsidR="00061CF1" w:rsidRDefault="004E6D5A">
      <w:pPr>
        <w:widowControl/>
        <w:spacing w:before="280" w:after="280"/>
        <w:ind w:right="120"/>
        <w:jc w:val="both"/>
        <w:textAlignment w:val="auto"/>
        <w:rPr>
          <w:rFonts w:ascii="Arial" w:eastAsia="Arial Unicode MS" w:hAnsi="Arial" w:cs="Arial"/>
          <w:i/>
          <w:sz w:val="20"/>
          <w:szCs w:val="17"/>
          <w:lang w:eastAsia="ar-SA" w:bidi="ar-SA"/>
        </w:rPr>
      </w:pPr>
      <w:r>
        <w:rPr>
          <w:rFonts w:ascii="Arial" w:eastAsia="Arial Unicode MS" w:hAnsi="Arial" w:cs="Arial"/>
          <w:i/>
          <w:sz w:val="20"/>
          <w:szCs w:val="17"/>
          <w:lang w:eastAsia="ar-SA" w:bidi="ar-SA"/>
        </w:rPr>
        <w:tab/>
        <w:t>Así en el caso concreto del PGO de Candelaria realizamos la siguiente explicación que fundamenta que no está derogada</w:t>
      </w:r>
      <w:r>
        <w:rPr>
          <w:rFonts w:ascii="Arial" w:eastAsia="Arial Unicode MS" w:hAnsi="Arial" w:cs="Arial"/>
          <w:i/>
          <w:sz w:val="20"/>
          <w:szCs w:val="17"/>
          <w:lang w:eastAsia="ar-SA" w:bidi="ar-SA"/>
        </w:rPr>
        <w:t xml:space="preserve"> el sistema de conservación por EUC:</w:t>
      </w:r>
    </w:p>
    <w:p w:rsidR="00061CF1" w:rsidRDefault="004E6D5A">
      <w:pPr>
        <w:widowControl/>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El Plan General del Ordenación vigente del municipio de Candelaria del 2007 no contiene una derogación expresa del artículo 11 del Plan Parcial 2001 por tanto el sistema de conservación de la urbanización sigue siendo e</w:t>
      </w:r>
      <w:r>
        <w:rPr>
          <w:rFonts w:ascii="Arial" w:eastAsia="Times New Roman" w:hAnsi="Arial" w:cs="Arial"/>
          <w:i/>
          <w:sz w:val="20"/>
          <w:szCs w:val="20"/>
          <w:lang w:eastAsia="ar-SA" w:bidi="ar-SA"/>
        </w:rPr>
        <w:t xml:space="preserve">l de la entidad urbanística de conservación. </w:t>
      </w:r>
    </w:p>
    <w:p w:rsidR="00061CF1" w:rsidRDefault="004E6D5A">
      <w:pPr>
        <w:widowControl/>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En lo único que el PGO de Candelaria 2007 deroga el Plan Parcial 2001 referente al Polígono es en cuanto a lo recogido en el Anexo 1 de la normativa pormenorizada del PGO Candelaria en el que se regula “ las co</w:t>
      </w:r>
      <w:r>
        <w:rPr>
          <w:rFonts w:ascii="Arial" w:eastAsia="Times New Roman" w:hAnsi="Arial" w:cs="Arial"/>
          <w:i/>
          <w:sz w:val="20"/>
          <w:szCs w:val="20"/>
          <w:lang w:eastAsia="ar-SA" w:bidi="ar-SA"/>
        </w:rPr>
        <w:t xml:space="preserve">ndiciones particulares de la edificación industrial en el polígono industrial del Valle de Gúimar” </w:t>
      </w:r>
    </w:p>
    <w:p w:rsidR="00061CF1" w:rsidRDefault="004E6D5A">
      <w:pPr>
        <w:widowControl/>
        <w:ind w:firstLine="708"/>
        <w:textAlignment w:val="auto"/>
      </w:pPr>
      <w:r>
        <w:rPr>
          <w:rFonts w:ascii="Arial" w:eastAsia="Times New Roman" w:hAnsi="Arial" w:cs="Arial"/>
          <w:i/>
          <w:sz w:val="20"/>
          <w:szCs w:val="20"/>
          <w:lang w:eastAsia="ar-SA" w:bidi="ar-SA"/>
        </w:rPr>
        <w:t>Así dice el artículo 1 del Anexo 1:</w:t>
      </w:r>
    </w:p>
    <w:p w:rsidR="00061CF1" w:rsidRDefault="004E6D5A">
      <w:pPr>
        <w:widowControl/>
        <w:ind w:firstLine="708"/>
        <w:textAlignment w:val="auto"/>
        <w:rPr>
          <w:rFonts w:ascii="Arial" w:eastAsia="Times New Roman" w:hAnsi="Arial" w:cs="Arial"/>
          <w:i/>
          <w:iCs/>
          <w:sz w:val="20"/>
          <w:szCs w:val="20"/>
          <w:lang w:eastAsia="ar-SA" w:bidi="ar-SA"/>
        </w:rPr>
      </w:pPr>
      <w:r>
        <w:rPr>
          <w:rFonts w:ascii="Arial" w:eastAsia="Times New Roman" w:hAnsi="Arial" w:cs="Arial"/>
          <w:i/>
          <w:iCs/>
          <w:sz w:val="20"/>
          <w:szCs w:val="20"/>
          <w:lang w:eastAsia="ar-SA" w:bidi="ar-SA"/>
        </w:rPr>
        <w:t>Definición, ámbitos y usos.</w:t>
      </w:r>
    </w:p>
    <w:p w:rsidR="00061CF1" w:rsidRDefault="004E6D5A">
      <w:pPr>
        <w:widowControl/>
        <w:ind w:firstLine="708"/>
        <w:jc w:val="both"/>
        <w:textAlignment w:val="auto"/>
      </w:pPr>
      <w:r>
        <w:rPr>
          <w:rFonts w:ascii="Arial" w:eastAsia="Times New Roman" w:hAnsi="Arial" w:cs="Arial"/>
          <w:i/>
          <w:iCs/>
          <w:sz w:val="20"/>
          <w:szCs w:val="20"/>
          <w:lang w:eastAsia="ar-SA" w:bidi="ar-SA"/>
        </w:rPr>
        <w:t xml:space="preserve">Las condiciones particulares contenidas en este Anexo modifican las anteriormente vigentes </w:t>
      </w:r>
      <w:r>
        <w:rPr>
          <w:rFonts w:ascii="Arial" w:eastAsia="Times New Roman" w:hAnsi="Arial" w:cs="Arial"/>
          <w:i/>
          <w:iCs/>
          <w:sz w:val="20"/>
          <w:szCs w:val="20"/>
          <w:lang w:eastAsia="ar-SA" w:bidi="ar-SA"/>
        </w:rPr>
        <w:t xml:space="preserve">de </w:t>
      </w:r>
      <w:r>
        <w:rPr>
          <w:rFonts w:ascii="Arial" w:eastAsia="Times New Roman" w:hAnsi="Arial" w:cs="Arial"/>
          <w:i/>
          <w:iCs/>
          <w:sz w:val="20"/>
          <w:szCs w:val="20"/>
          <w:u w:val="single"/>
          <w:lang w:eastAsia="ar-SA" w:bidi="ar-SA"/>
        </w:rPr>
        <w:t>análogo contenido</w:t>
      </w:r>
      <w:r>
        <w:rPr>
          <w:rFonts w:ascii="Arial" w:eastAsia="Times New Roman" w:hAnsi="Arial" w:cs="Arial"/>
          <w:i/>
          <w:iCs/>
          <w:sz w:val="20"/>
          <w:szCs w:val="20"/>
          <w:lang w:eastAsia="ar-SA" w:bidi="ar-SA"/>
        </w:rPr>
        <w:t xml:space="preserve"> correspondientes a la Primera Modificación del Plan Parcial del Polígono Industrial “Valle de Gúimar”aprobado definitivamente por acuerdo de la COTMAC de fecha 4 de diciembre de 2001.</w:t>
      </w:r>
    </w:p>
    <w:p w:rsidR="00061CF1" w:rsidRDefault="00061CF1">
      <w:pPr>
        <w:widowControl/>
        <w:ind w:firstLine="708"/>
        <w:jc w:val="both"/>
        <w:textAlignment w:val="auto"/>
        <w:rPr>
          <w:rFonts w:ascii="Arial" w:eastAsia="Times New Roman" w:hAnsi="Arial" w:cs="Arial"/>
          <w:i/>
          <w:sz w:val="20"/>
          <w:szCs w:val="20"/>
          <w:lang w:eastAsia="ar-SA" w:bidi="ar-SA"/>
        </w:rPr>
      </w:pPr>
    </w:p>
    <w:p w:rsidR="00061CF1" w:rsidRDefault="004E6D5A">
      <w:pPr>
        <w:widowControl/>
        <w:tabs>
          <w:tab w:val="left" w:pos="1962"/>
        </w:tabs>
        <w:jc w:val="both"/>
        <w:textAlignment w:val="auto"/>
      </w:pPr>
      <w:r>
        <w:rPr>
          <w:rFonts w:ascii="Arial" w:eastAsia="Times New Roman" w:hAnsi="Arial" w:cs="Arial"/>
          <w:i/>
          <w:sz w:val="20"/>
          <w:szCs w:val="20"/>
          <w:lang w:eastAsia="ar-SA" w:bidi="ar-SA"/>
        </w:rPr>
        <w:t>La expresión “de análogo contenido” debe ser inter</w:t>
      </w:r>
      <w:r>
        <w:rPr>
          <w:rFonts w:ascii="Arial" w:eastAsia="Times New Roman" w:hAnsi="Arial" w:cs="Arial"/>
          <w:i/>
          <w:sz w:val="20"/>
          <w:szCs w:val="20"/>
          <w:lang w:eastAsia="ar-SA" w:bidi="ar-SA"/>
        </w:rPr>
        <w:t xml:space="preserve">pretado con la comparación de las cláusulas similares de ambos instrumentos de planeamiento de tal forma que las cláusulas de igual contenido del PGO de Candelaria 2007  sustituyen a las cláusulas del Plan Parcial de 2001 y por tanto a </w:t>
      </w:r>
      <w:r>
        <w:rPr>
          <w:rFonts w:ascii="Arial" w:eastAsia="Times New Roman" w:hAnsi="Arial" w:cs="Arial"/>
          <w:i/>
          <w:iCs/>
          <w:sz w:val="20"/>
          <w:szCs w:val="20"/>
          <w:lang w:eastAsia="ar-SA" w:bidi="ar-SA"/>
        </w:rPr>
        <w:t>sensu contrario</w:t>
      </w:r>
      <w:r>
        <w:rPr>
          <w:rFonts w:ascii="Arial" w:eastAsia="Times New Roman" w:hAnsi="Arial" w:cs="Arial"/>
          <w:i/>
          <w:sz w:val="20"/>
          <w:szCs w:val="20"/>
          <w:lang w:eastAsia="ar-SA" w:bidi="ar-SA"/>
        </w:rPr>
        <w:t xml:space="preserve"> cons</w:t>
      </w:r>
      <w:r>
        <w:rPr>
          <w:rFonts w:ascii="Arial" w:eastAsia="Times New Roman" w:hAnsi="Arial" w:cs="Arial"/>
          <w:i/>
          <w:sz w:val="20"/>
          <w:szCs w:val="20"/>
          <w:lang w:eastAsia="ar-SA" w:bidi="ar-SA"/>
        </w:rPr>
        <w:t>ervan su vigencia las cláusulas del Plan Parcial  2001 que no tiene análogo contenido en el PGO 2007.</w:t>
      </w:r>
    </w:p>
    <w:p w:rsidR="00061CF1" w:rsidRDefault="00061CF1">
      <w:pPr>
        <w:widowControl/>
        <w:tabs>
          <w:tab w:val="left" w:pos="1962"/>
        </w:tabs>
        <w:ind w:firstLine="708"/>
        <w:textAlignment w:val="auto"/>
        <w:rPr>
          <w:rFonts w:ascii="Arial" w:eastAsia="Times New Roman" w:hAnsi="Arial" w:cs="Arial"/>
          <w:i/>
          <w:sz w:val="20"/>
          <w:szCs w:val="20"/>
          <w:lang w:eastAsia="ar-SA" w:bidi="ar-SA"/>
        </w:rPr>
      </w:pP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Los 18 arts del Anexo 1 “Condiciones particulares de la Edificación Industrial en el PI del Valle de Gúimar” son:</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Art. 1.- Definición, ámbitos y usos.</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2.- Tipos edificatorios.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Art. 3.- Condiciones de la parcela.</w:t>
      </w:r>
    </w:p>
    <w:p w:rsidR="00061CF1" w:rsidRDefault="004E6D5A">
      <w:pPr>
        <w:widowControl/>
        <w:tabs>
          <w:tab w:val="left" w:pos="1962"/>
        </w:tabs>
        <w:ind w:firstLine="708"/>
        <w:jc w:val="both"/>
        <w:textAlignment w:val="auto"/>
      </w:pPr>
      <w:r>
        <w:rPr>
          <w:rFonts w:ascii="Arial" w:eastAsia="Times New Roman" w:hAnsi="Arial" w:cs="Arial"/>
          <w:i/>
          <w:sz w:val="20"/>
          <w:szCs w:val="20"/>
          <w:lang w:eastAsia="ar-SA" w:bidi="ar-SA"/>
        </w:rPr>
        <w:t xml:space="preserve">Art. 4.- Segregación, Agrupación o Modificación de las Parcelas. </w:t>
      </w:r>
    </w:p>
    <w:p w:rsidR="00061CF1" w:rsidRDefault="004E6D5A">
      <w:pPr>
        <w:widowControl/>
        <w:tabs>
          <w:tab w:val="left" w:pos="1962"/>
        </w:tabs>
        <w:ind w:firstLine="708"/>
        <w:jc w:val="both"/>
        <w:textAlignment w:val="auto"/>
        <w:rPr>
          <w:rFonts w:ascii="Arial" w:eastAsia="Times New Roman" w:hAnsi="Arial" w:cs="Arial"/>
          <w:i/>
          <w:sz w:val="20"/>
          <w:szCs w:val="20"/>
          <w:lang w:val="en-GB" w:eastAsia="ar-SA" w:bidi="ar-SA"/>
        </w:rPr>
      </w:pPr>
      <w:r>
        <w:rPr>
          <w:rFonts w:ascii="Arial" w:eastAsia="Times New Roman" w:hAnsi="Arial" w:cs="Arial"/>
          <w:i/>
          <w:sz w:val="20"/>
          <w:szCs w:val="20"/>
          <w:lang w:val="en-GB" w:eastAsia="ar-SA" w:bidi="ar-SA"/>
        </w:rPr>
        <w:t xml:space="preserve">Art. 5.- Alineaciones. </w:t>
      </w:r>
    </w:p>
    <w:p w:rsidR="00061CF1" w:rsidRDefault="004E6D5A">
      <w:pPr>
        <w:widowControl/>
        <w:tabs>
          <w:tab w:val="left" w:pos="1962"/>
        </w:tabs>
        <w:ind w:firstLine="708"/>
        <w:jc w:val="both"/>
        <w:textAlignment w:val="auto"/>
      </w:pPr>
      <w:r>
        <w:rPr>
          <w:rFonts w:ascii="Arial" w:eastAsia="Times New Roman" w:hAnsi="Arial" w:cs="Arial"/>
          <w:i/>
          <w:sz w:val="20"/>
          <w:szCs w:val="20"/>
          <w:lang w:val="en-GB" w:eastAsia="ar-SA" w:bidi="ar-SA"/>
        </w:rPr>
        <w:t xml:space="preserve">Art. 6.- </w:t>
      </w:r>
      <w:r>
        <w:rPr>
          <w:rFonts w:ascii="Arial" w:eastAsia="Times New Roman" w:hAnsi="Arial" w:cs="Arial"/>
          <w:i/>
          <w:sz w:val="20"/>
          <w:szCs w:val="20"/>
          <w:lang w:eastAsia="ar-SA" w:bidi="ar-SA"/>
        </w:rPr>
        <w:t xml:space="preserve">Rasantes.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7.- Separación a Linderos y Retanqueos. </w:t>
      </w:r>
    </w:p>
    <w:p w:rsidR="00061CF1" w:rsidRDefault="004E6D5A">
      <w:pPr>
        <w:widowControl/>
        <w:tabs>
          <w:tab w:val="left" w:pos="1962"/>
        </w:tabs>
        <w:ind w:firstLine="708"/>
        <w:jc w:val="both"/>
        <w:textAlignment w:val="auto"/>
      </w:pPr>
      <w:r>
        <w:rPr>
          <w:rFonts w:ascii="Arial" w:eastAsia="Times New Roman" w:hAnsi="Arial" w:cs="Arial"/>
          <w:i/>
          <w:sz w:val="20"/>
          <w:szCs w:val="20"/>
          <w:lang w:eastAsia="ar-SA" w:bidi="ar-SA"/>
        </w:rPr>
        <w:t xml:space="preserve">Art. 8.- Altura Máxima. </w:t>
      </w:r>
    </w:p>
    <w:p w:rsidR="00061CF1" w:rsidRDefault="004E6D5A">
      <w:pPr>
        <w:widowControl/>
        <w:tabs>
          <w:tab w:val="left" w:pos="1962"/>
        </w:tabs>
        <w:ind w:firstLine="708"/>
        <w:jc w:val="both"/>
        <w:textAlignment w:val="auto"/>
        <w:rPr>
          <w:rFonts w:ascii="Arial" w:eastAsia="Times New Roman" w:hAnsi="Arial" w:cs="Arial"/>
          <w:i/>
          <w:sz w:val="20"/>
          <w:szCs w:val="20"/>
          <w:lang w:val="en-GB" w:eastAsia="ar-SA" w:bidi="ar-SA"/>
        </w:rPr>
      </w:pPr>
      <w:r>
        <w:rPr>
          <w:rFonts w:ascii="Arial" w:eastAsia="Times New Roman" w:hAnsi="Arial" w:cs="Arial"/>
          <w:i/>
          <w:sz w:val="20"/>
          <w:szCs w:val="20"/>
          <w:lang w:val="en-GB" w:eastAsia="ar-SA" w:bidi="ar-SA"/>
        </w:rPr>
        <w:t>Art. 9.-</w:t>
      </w:r>
      <w:r>
        <w:rPr>
          <w:rFonts w:ascii="Arial" w:eastAsia="Times New Roman" w:hAnsi="Arial" w:cs="Arial"/>
          <w:i/>
          <w:sz w:val="20"/>
          <w:szCs w:val="20"/>
          <w:lang w:val="en-GB" w:eastAsia="ar-SA" w:bidi="ar-SA"/>
        </w:rPr>
        <w:t xml:space="preserve"> Patios. </w:t>
      </w:r>
    </w:p>
    <w:p w:rsidR="00061CF1" w:rsidRDefault="004E6D5A">
      <w:pPr>
        <w:widowControl/>
        <w:tabs>
          <w:tab w:val="left" w:pos="1962"/>
        </w:tabs>
        <w:ind w:firstLine="708"/>
        <w:jc w:val="both"/>
        <w:textAlignment w:val="auto"/>
      </w:pPr>
      <w:r>
        <w:rPr>
          <w:rFonts w:ascii="Arial" w:eastAsia="Times New Roman" w:hAnsi="Arial" w:cs="Arial"/>
          <w:i/>
          <w:sz w:val="20"/>
          <w:szCs w:val="20"/>
          <w:lang w:val="en-GB" w:eastAsia="ar-SA" w:bidi="ar-SA"/>
        </w:rPr>
        <w:t xml:space="preserve">Art. 10.- </w:t>
      </w:r>
      <w:r>
        <w:rPr>
          <w:rFonts w:ascii="Arial" w:eastAsia="Times New Roman" w:hAnsi="Arial" w:cs="Arial"/>
          <w:i/>
          <w:sz w:val="20"/>
          <w:szCs w:val="20"/>
          <w:lang w:eastAsia="ar-SA" w:bidi="ar-SA"/>
        </w:rPr>
        <w:t xml:space="preserve">Sótanos y Semisótanos.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11.- Determinaciones compositivas.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12.- Acceso a Parcelas.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13.- Aparcamientos.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14.- Cerramientos de Parcela.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15.- Condiciones estéticas de las edificaciones.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Art. 16.- Condiciones es</w:t>
      </w:r>
      <w:r>
        <w:rPr>
          <w:rFonts w:ascii="Arial" w:eastAsia="Times New Roman" w:hAnsi="Arial" w:cs="Arial"/>
          <w:i/>
          <w:sz w:val="20"/>
          <w:szCs w:val="20"/>
          <w:lang w:eastAsia="ar-SA" w:bidi="ar-SA"/>
        </w:rPr>
        <w:t xml:space="preserve">pecíficas de las viviendas.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 xml:space="preserve">Art. 17.- Edificación parcial de las Parcelas Industriales. </w:t>
      </w:r>
    </w:p>
    <w:p w:rsidR="00061CF1" w:rsidRDefault="004E6D5A">
      <w:pPr>
        <w:widowControl/>
        <w:tabs>
          <w:tab w:val="left" w:pos="1962"/>
        </w:tabs>
        <w:ind w:firstLine="708"/>
        <w:jc w:val="both"/>
        <w:textAlignment w:val="auto"/>
        <w:rPr>
          <w:rFonts w:ascii="Arial" w:eastAsia="Times New Roman" w:hAnsi="Arial" w:cs="Arial"/>
          <w:i/>
          <w:sz w:val="20"/>
          <w:szCs w:val="20"/>
          <w:lang w:eastAsia="ar-SA" w:bidi="ar-SA"/>
        </w:rPr>
      </w:pPr>
      <w:r>
        <w:rPr>
          <w:rFonts w:ascii="Arial" w:eastAsia="Times New Roman" w:hAnsi="Arial" w:cs="Arial"/>
          <w:i/>
          <w:sz w:val="20"/>
          <w:szCs w:val="20"/>
          <w:lang w:eastAsia="ar-SA" w:bidi="ar-SA"/>
        </w:rPr>
        <w:t>Art. 18.- Condiciones Medioambientales.</w:t>
      </w:r>
    </w:p>
    <w:p w:rsidR="00061CF1" w:rsidRDefault="00061CF1">
      <w:pPr>
        <w:widowControl/>
        <w:ind w:firstLine="708"/>
        <w:jc w:val="both"/>
        <w:textAlignment w:val="auto"/>
        <w:rPr>
          <w:rFonts w:ascii="Arial" w:eastAsia="Times New Roman" w:hAnsi="Arial" w:cs="Arial"/>
          <w:i/>
          <w:sz w:val="20"/>
          <w:szCs w:val="20"/>
          <w:lang w:eastAsia="ar-SA" w:bidi="ar-SA"/>
        </w:rPr>
      </w:pPr>
    </w:p>
    <w:p w:rsidR="00061CF1" w:rsidRDefault="004E6D5A">
      <w:pPr>
        <w:widowControl/>
        <w:jc w:val="both"/>
        <w:textAlignment w:val="auto"/>
      </w:pPr>
      <w:r>
        <w:rPr>
          <w:rFonts w:ascii="Arial" w:eastAsia="Times New Roman" w:hAnsi="Arial" w:cs="Arial"/>
          <w:i/>
          <w:sz w:val="20"/>
          <w:szCs w:val="20"/>
          <w:u w:val="single"/>
          <w:lang w:eastAsia="ar-SA" w:bidi="ar-SA"/>
        </w:rPr>
        <w:tab/>
        <w:t>En ninguno de los artículos antedichos se ha modificado el artículo 11 del Plan Parcial 2001 que se refiere única y exclusiv</w:t>
      </w:r>
      <w:r>
        <w:rPr>
          <w:rFonts w:ascii="Arial" w:eastAsia="Times New Roman" w:hAnsi="Arial" w:cs="Arial"/>
          <w:i/>
          <w:sz w:val="20"/>
          <w:szCs w:val="20"/>
          <w:u w:val="single"/>
          <w:lang w:eastAsia="ar-SA" w:bidi="ar-SA"/>
        </w:rPr>
        <w:t>amente al sistema de conservación de la  urbanización mediante entidad urbanística de conservación,  por lo que dicho artículo sigue vigente al no haber sido objeto de modificación o derogación expresa o tácita posterior por el PGO Candelaria 2007.</w:t>
      </w:r>
    </w:p>
    <w:p w:rsidR="00061CF1" w:rsidRDefault="00061CF1">
      <w:pPr>
        <w:widowControl/>
        <w:ind w:right="120"/>
        <w:jc w:val="both"/>
        <w:textAlignment w:val="auto"/>
        <w:rPr>
          <w:rFonts w:ascii="Arial" w:eastAsia="Times New Roman" w:hAnsi="Arial" w:cs="Arial"/>
          <w:i/>
          <w:sz w:val="20"/>
          <w:u w:val="single"/>
          <w:lang w:eastAsia="ar-SA" w:bidi="ar-SA"/>
        </w:rPr>
      </w:pPr>
    </w:p>
    <w:p w:rsidR="00061CF1" w:rsidRDefault="004E6D5A">
      <w:pPr>
        <w:widowControl/>
        <w:spacing w:before="280" w:after="280"/>
        <w:ind w:right="120"/>
        <w:jc w:val="both"/>
        <w:textAlignment w:val="auto"/>
      </w:pPr>
      <w:r>
        <w:rPr>
          <w:rFonts w:ascii="Arial" w:eastAsia="Arial Unicode MS" w:hAnsi="Arial" w:cs="Arial"/>
          <w:i/>
          <w:sz w:val="20"/>
          <w:szCs w:val="17"/>
          <w:lang w:eastAsia="ar-SA" w:bidi="ar-SA"/>
        </w:rPr>
        <w:tab/>
      </w:r>
      <w:r>
        <w:rPr>
          <w:rFonts w:ascii="Arial" w:eastAsia="Arial Unicode MS" w:hAnsi="Arial" w:cs="Arial"/>
          <w:b/>
          <w:i/>
          <w:sz w:val="20"/>
          <w:szCs w:val="17"/>
          <w:lang w:eastAsia="ar-SA" w:bidi="ar-SA"/>
        </w:rPr>
        <w:t xml:space="preserve">El </w:t>
      </w:r>
      <w:r>
        <w:rPr>
          <w:rFonts w:ascii="Arial" w:eastAsia="Arial Unicode MS" w:hAnsi="Arial" w:cs="Arial"/>
          <w:b/>
          <w:i/>
          <w:sz w:val="20"/>
          <w:szCs w:val="17"/>
          <w:lang w:eastAsia="ar-SA" w:bidi="ar-SA"/>
        </w:rPr>
        <w:t>deber de los propietarios de integrarse en la EUC una vez que dicho sistema está reconocido en el Plan Parcial vigente, no es potestativo sino que tiene la obligación de integrarse conforme a la jurisprudencia expuesta en el fundamento de derecho tercero q</w:t>
      </w:r>
      <w:r>
        <w:rPr>
          <w:rFonts w:ascii="Arial" w:eastAsia="Arial Unicode MS" w:hAnsi="Arial" w:cs="Arial"/>
          <w:b/>
          <w:i/>
          <w:sz w:val="20"/>
          <w:szCs w:val="17"/>
          <w:lang w:eastAsia="ar-SA" w:bidi="ar-SA"/>
        </w:rPr>
        <w:t>ue damos por reproducida</w:t>
      </w:r>
      <w:r>
        <w:rPr>
          <w:rFonts w:ascii="Arial" w:eastAsia="Arial Unicode MS" w:hAnsi="Arial" w:cs="Arial"/>
          <w:b/>
          <w:i/>
          <w:sz w:val="20"/>
          <w:szCs w:val="17"/>
          <w:lang w:eastAsia="ar-SA" w:bidi="ar-SA"/>
        </w:rPr>
        <w:br/>
      </w:r>
    </w:p>
    <w:p w:rsidR="00061CF1" w:rsidRDefault="004E6D5A">
      <w:pPr>
        <w:widowControl/>
        <w:spacing w:before="280" w:after="280"/>
        <w:ind w:right="120"/>
        <w:jc w:val="both"/>
        <w:textAlignment w:val="auto"/>
      </w:pPr>
      <w:r>
        <w:rPr>
          <w:rFonts w:ascii="Arial" w:eastAsia="Arial Unicode MS" w:hAnsi="Arial" w:cs="Arial"/>
          <w:b/>
          <w:i/>
          <w:sz w:val="20"/>
          <w:szCs w:val="17"/>
          <w:lang w:eastAsia="ar-SA" w:bidi="ar-SA"/>
        </w:rPr>
        <w:t xml:space="preserve">La obligación de entidad urbanística de conservación se encuentra en el artículo 11.2 de la </w:t>
      </w:r>
      <w:r>
        <w:rPr>
          <w:rFonts w:ascii="Verdana" w:eastAsia="Arial Unicode MS" w:hAnsi="Verdana" w:cs="Arial Unicode MS"/>
          <w:i/>
          <w:sz w:val="17"/>
          <w:szCs w:val="17"/>
          <w:lang w:eastAsia="ar-SA" w:bidi="ar-SA"/>
        </w:rPr>
        <w:t>PRIMERA MODIFICACIÓN DEL PLAN PARCIAL DEL POLÍGONO INDUSTRIAL “VALLE DE GÜÍMAR” (BOP 22 de mayo de 2001) cuando dice expresamente:</w:t>
      </w:r>
    </w:p>
    <w:p w:rsidR="00061CF1" w:rsidRDefault="00061CF1">
      <w:pPr>
        <w:widowControl/>
        <w:spacing w:before="280" w:after="280"/>
        <w:ind w:right="120"/>
        <w:jc w:val="both"/>
        <w:textAlignment w:val="auto"/>
        <w:rPr>
          <w:rFonts w:ascii="Arial" w:eastAsia="Arial Unicode MS" w:hAnsi="Arial" w:cs="Arial"/>
          <w:i/>
          <w:sz w:val="17"/>
          <w:szCs w:val="17"/>
          <w:lang w:eastAsia="ar-SA" w:bidi="ar-SA"/>
        </w:rPr>
      </w:pPr>
    </w:p>
    <w:p w:rsidR="00061CF1" w:rsidRDefault="004E6D5A">
      <w:pPr>
        <w:widowControl/>
        <w:spacing w:before="280" w:after="280"/>
        <w:ind w:right="120"/>
        <w:jc w:val="both"/>
        <w:textAlignment w:val="auto"/>
      </w:pPr>
      <w:r>
        <w:rPr>
          <w:rFonts w:ascii="Arial" w:eastAsia="Arial Unicode MS" w:hAnsi="Arial" w:cs="Arial"/>
          <w:i/>
          <w:sz w:val="17"/>
          <w:szCs w:val="17"/>
          <w:lang w:eastAsia="ar-SA" w:bidi="ar-SA"/>
        </w:rPr>
        <w:t xml:space="preserve">Se </w:t>
      </w:r>
      <w:r>
        <w:rPr>
          <w:rFonts w:ascii="Arial" w:eastAsia="Arial Unicode MS" w:hAnsi="Arial" w:cs="Arial"/>
          <w:i/>
          <w:sz w:val="17"/>
          <w:szCs w:val="17"/>
          <w:lang w:eastAsia="ar-SA" w:bidi="ar-SA"/>
        </w:rPr>
        <w:t>establece a su vez como sistema de conservación de la urbanización el de la entidad urbanística de conservación.</w:t>
      </w:r>
    </w:p>
    <w:p w:rsidR="00061CF1" w:rsidRDefault="004E6D5A">
      <w:pPr>
        <w:widowControl/>
        <w:spacing w:before="280" w:after="280"/>
        <w:ind w:right="120"/>
        <w:jc w:val="both"/>
        <w:textAlignment w:val="auto"/>
      </w:pPr>
      <w:r>
        <w:rPr>
          <w:rFonts w:ascii="Verdana" w:eastAsia="Arial Unicode MS" w:hAnsi="Verdana" w:cs="Arial Unicode MS"/>
          <w:i/>
          <w:noProof/>
          <w:sz w:val="17"/>
          <w:szCs w:val="17"/>
          <w:lang w:eastAsia="es-ES" w:bidi="ar-SA"/>
        </w:rPr>
        <w:drawing>
          <wp:inline distT="0" distB="0" distL="0" distR="0">
            <wp:extent cx="5762621" cy="4238628"/>
            <wp:effectExtent l="0" t="0" r="0" b="9522"/>
            <wp:docPr id="18" name="Imagen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62621" cy="4238628"/>
                    </a:xfrm>
                    <a:prstGeom prst="rect">
                      <a:avLst/>
                    </a:prstGeom>
                    <a:noFill/>
                    <a:ln>
                      <a:noFill/>
                      <a:prstDash/>
                    </a:ln>
                  </pic:spPr>
                </pic:pic>
              </a:graphicData>
            </a:graphic>
          </wp:inline>
        </w:drawing>
      </w:r>
      <w:r>
        <w:rPr>
          <w:rFonts w:ascii="Verdana" w:eastAsia="Arial Unicode MS" w:hAnsi="Verdana" w:cs="Arial Unicode MS"/>
          <w:i/>
          <w:sz w:val="17"/>
          <w:szCs w:val="17"/>
          <w:lang w:eastAsia="ar-SA" w:bidi="ar-SA"/>
        </w:rPr>
        <w:t>”.</w:t>
      </w: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jc w:val="both"/>
        <w:rPr>
          <w:rFonts w:ascii="Arial" w:eastAsia="Lucida Sans Unicode" w:hAnsi="Arial" w:cs="Times New Roman"/>
          <w:b/>
          <w:i/>
          <w:sz w:val="22"/>
          <w:u w:val="single"/>
          <w:lang w:bidi="ar-SA"/>
        </w:rPr>
      </w:pPr>
      <w:r>
        <w:rPr>
          <w:rFonts w:ascii="Arial" w:eastAsia="Lucida Sans Unicode" w:hAnsi="Arial" w:cs="Times New Roman"/>
          <w:b/>
          <w:i/>
          <w:sz w:val="22"/>
          <w:u w:val="single"/>
          <w:lang w:bidi="ar-SA"/>
        </w:rPr>
        <w:t>Sentencia donde se justifica:</w:t>
      </w:r>
    </w:p>
    <w:p w:rsidR="00061CF1" w:rsidRDefault="004E6D5A">
      <w:pPr>
        <w:spacing w:after="120" w:line="248" w:lineRule="atLeast"/>
        <w:jc w:val="both"/>
        <w:rPr>
          <w:rFonts w:ascii="Arial" w:eastAsia="Lucida Sans Unicode" w:hAnsi="Arial" w:cs="Times New Roman"/>
          <w:b/>
          <w:i/>
          <w:sz w:val="22"/>
          <w:u w:val="single"/>
          <w:lang w:bidi="ar-SA"/>
        </w:rPr>
      </w:pPr>
      <w:r>
        <w:rPr>
          <w:rFonts w:ascii="Arial" w:eastAsia="Lucida Sans Unicode" w:hAnsi="Arial" w:cs="Times New Roman"/>
          <w:b/>
          <w:i/>
          <w:sz w:val="22"/>
          <w:u w:val="single"/>
          <w:lang w:bidi="ar-SA"/>
        </w:rPr>
        <w:t>-La obligación de los propietarios de ser miembro de la EUC porque lo obliga el planeamiento.</w:t>
      </w:r>
    </w:p>
    <w:p w:rsidR="00061CF1" w:rsidRDefault="004E6D5A">
      <w:pPr>
        <w:spacing w:after="120" w:line="248" w:lineRule="atLeast"/>
        <w:jc w:val="both"/>
        <w:rPr>
          <w:rFonts w:ascii="Arial" w:eastAsia="Lucida Sans Unicode" w:hAnsi="Arial" w:cs="Times New Roman"/>
          <w:b/>
          <w:i/>
          <w:sz w:val="22"/>
          <w:u w:val="single"/>
          <w:lang w:bidi="ar-SA"/>
        </w:rPr>
      </w:pPr>
      <w:r>
        <w:rPr>
          <w:rFonts w:ascii="Arial" w:eastAsia="Lucida Sans Unicode" w:hAnsi="Arial" w:cs="Times New Roman"/>
          <w:b/>
          <w:i/>
          <w:sz w:val="22"/>
          <w:u w:val="single"/>
          <w:lang w:bidi="ar-SA"/>
        </w:rPr>
        <w:t>-La obligación</w:t>
      </w:r>
      <w:r>
        <w:rPr>
          <w:rFonts w:ascii="Arial" w:eastAsia="Lucida Sans Unicode" w:hAnsi="Arial" w:cs="Times New Roman"/>
          <w:b/>
          <w:i/>
          <w:sz w:val="22"/>
          <w:u w:val="single"/>
          <w:lang w:bidi="ar-SA"/>
        </w:rPr>
        <w:t xml:space="preserve"> de la EUC de hacerse cargo de los servicios incluidos en el objeto de la EUC porque lo obliga el planeamiento.</w:t>
      </w:r>
    </w:p>
    <w:p w:rsidR="00061CF1" w:rsidRDefault="004E6D5A">
      <w:pPr>
        <w:spacing w:after="120" w:line="248" w:lineRule="atLeast"/>
        <w:jc w:val="both"/>
        <w:rPr>
          <w:rFonts w:ascii="Arial" w:eastAsia="Lucida Sans Unicode" w:hAnsi="Arial" w:cs="Times New Roman"/>
          <w:b/>
          <w:i/>
          <w:sz w:val="22"/>
          <w:u w:val="single"/>
          <w:lang w:bidi="ar-SA"/>
        </w:rPr>
      </w:pPr>
      <w:r>
        <w:rPr>
          <w:rFonts w:ascii="Arial" w:eastAsia="Lucida Sans Unicode" w:hAnsi="Arial" w:cs="Times New Roman"/>
          <w:b/>
          <w:i/>
          <w:sz w:val="22"/>
          <w:u w:val="single"/>
          <w:lang w:bidi="ar-SA"/>
        </w:rPr>
        <w:t>-La vigencia indefinida de la EUC porque es el sistema de conservación establecido en planeamiento hasta que éste se modifique:</w:t>
      </w:r>
    </w:p>
    <w:p w:rsidR="00061CF1" w:rsidRDefault="00061CF1">
      <w:pPr>
        <w:spacing w:after="120" w:line="248" w:lineRule="atLeast"/>
        <w:jc w:val="both"/>
        <w:rPr>
          <w:rFonts w:ascii="Arial" w:eastAsia="Lucida Sans Unicode" w:hAnsi="Arial" w:cs="Times New Roman"/>
          <w:b/>
          <w:i/>
          <w:sz w:val="22"/>
          <w:u w:val="single"/>
          <w:lang w:bidi="ar-SA"/>
        </w:rPr>
      </w:pPr>
    </w:p>
    <w:p w:rsidR="00061CF1" w:rsidRDefault="004E6D5A">
      <w:pPr>
        <w:spacing w:after="120" w:line="248" w:lineRule="atLeast"/>
        <w:jc w:val="both"/>
        <w:rPr>
          <w:rFonts w:ascii="Arial" w:eastAsia="Lucida Sans Unicode" w:hAnsi="Arial" w:cs="Times New Roman"/>
          <w:b/>
          <w:i/>
          <w:sz w:val="22"/>
          <w:u w:val="single"/>
          <w:lang w:bidi="ar-SA"/>
        </w:rPr>
      </w:pPr>
      <w:r>
        <w:rPr>
          <w:rFonts w:ascii="Arial" w:eastAsia="Lucida Sans Unicode" w:hAnsi="Arial" w:cs="Times New Roman"/>
          <w:b/>
          <w:i/>
          <w:sz w:val="22"/>
          <w:u w:val="single"/>
          <w:lang w:bidi="ar-SA"/>
        </w:rPr>
        <w:t>Tribunal Superi</w:t>
      </w:r>
      <w:r>
        <w:rPr>
          <w:rFonts w:ascii="Arial" w:eastAsia="Lucida Sans Unicode" w:hAnsi="Arial" w:cs="Times New Roman"/>
          <w:b/>
          <w:i/>
          <w:sz w:val="22"/>
          <w:u w:val="single"/>
          <w:lang w:bidi="ar-SA"/>
        </w:rPr>
        <w:t xml:space="preserve">or de Justicia de Madrid, Sala de lo Contenciosoadministrativo, Sección 1ª, Sentencia 186/2003 de 25 Feb. 2003, Rec. 2458/1997 </w:t>
      </w:r>
    </w:p>
    <w:p w:rsidR="00061CF1" w:rsidRDefault="004E6D5A">
      <w:pPr>
        <w:spacing w:after="120" w:line="248" w:lineRule="atLeast"/>
        <w:jc w:val="both"/>
      </w:pPr>
      <w:r>
        <w:rPr>
          <w:rFonts w:ascii="Arial" w:eastAsia="Lucida Sans Unicode" w:hAnsi="Arial" w:cs="Times New Roman"/>
          <w:b/>
          <w:i/>
          <w:sz w:val="22"/>
          <w:lang w:bidi="ar-SA"/>
        </w:rPr>
        <w:t>Ponente: Rosas Carrión, Francisca María de Flores. Nº de Sentencia: 186/2003 Nº de Recurso: 2458/1997 Jurisdicción: CONTENCIOSO-</w:t>
      </w:r>
      <w:r>
        <w:rPr>
          <w:rFonts w:ascii="Arial" w:eastAsia="Lucida Sans Unicode" w:hAnsi="Arial" w:cs="Times New Roman"/>
          <w:b/>
          <w:i/>
          <w:sz w:val="22"/>
          <w:lang w:bidi="ar-SA"/>
        </w:rPr>
        <w:t>ADMINISTRATIVA</w:t>
      </w:r>
    </w:p>
    <w:p w:rsidR="00061CF1" w:rsidRDefault="00061CF1">
      <w:pPr>
        <w:spacing w:after="120" w:line="248" w:lineRule="atLeast"/>
        <w:jc w:val="both"/>
        <w:rPr>
          <w:rFonts w:ascii="Arial" w:eastAsia="Lucida Sans Unicode" w:hAnsi="Arial" w:cs="Times New Roman"/>
          <w:i/>
          <w:sz w:val="22"/>
          <w:lang w:bidi="ar-SA"/>
        </w:rPr>
      </w:pPr>
    </w:p>
    <w:p w:rsidR="00061CF1" w:rsidRDefault="00061CF1">
      <w:pPr>
        <w:spacing w:after="120" w:line="248" w:lineRule="atLeast"/>
        <w:jc w:val="both"/>
        <w:rPr>
          <w:rFonts w:ascii="Arial" w:eastAsia="Lucida Sans Unicode" w:hAnsi="Arial" w:cs="Times New Roman"/>
          <w:i/>
          <w:sz w:val="22"/>
          <w:lang w:bidi="ar-SA"/>
        </w:rPr>
      </w:pPr>
    </w:p>
    <w:p w:rsidR="00061CF1" w:rsidRDefault="00061CF1">
      <w:pPr>
        <w:spacing w:after="120" w:line="248" w:lineRule="atLeast"/>
        <w:jc w:val="both"/>
        <w:rPr>
          <w:rFonts w:ascii="Arial" w:eastAsia="Lucida Sans Unicode" w:hAnsi="Arial" w:cs="Times New Roman"/>
          <w:i/>
          <w:sz w:val="22"/>
          <w:lang w:bidi="ar-SA"/>
        </w:rPr>
      </w:pPr>
    </w:p>
    <w:p w:rsidR="00061CF1" w:rsidRDefault="004E6D5A">
      <w:pPr>
        <w:spacing w:after="120" w:line="248" w:lineRule="atLeast"/>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 FJ SEXTO.- </w:t>
      </w:r>
    </w:p>
    <w:p w:rsidR="00061CF1" w:rsidRDefault="004E6D5A">
      <w:pPr>
        <w:spacing w:after="120" w:line="248" w:lineRule="atLeast"/>
        <w:jc w:val="both"/>
        <w:rPr>
          <w:rFonts w:ascii="Arial" w:eastAsia="Lucida Sans Unicode" w:hAnsi="Arial" w:cs="Times New Roman"/>
          <w:i/>
          <w:sz w:val="22"/>
          <w:lang w:bidi="ar-SA"/>
        </w:rPr>
      </w:pPr>
      <w:r>
        <w:rPr>
          <w:rFonts w:ascii="Arial" w:eastAsia="Lucida Sans Unicode" w:hAnsi="Arial" w:cs="Times New Roman"/>
          <w:i/>
          <w:sz w:val="22"/>
          <w:lang w:bidi="ar-SA"/>
        </w:rPr>
        <w:t xml:space="preserve">SEXTO. Sentado lo anterior y para la mejor resolución de las concretas impugnaciones realizadas de determinados artículos de los Estatutos, es preciso recordar que los gastos de conservación de las obras de urbanización y </w:t>
      </w:r>
      <w:r>
        <w:rPr>
          <w:rFonts w:ascii="Arial" w:eastAsia="Lucida Sans Unicode" w:hAnsi="Arial" w:cs="Times New Roman"/>
          <w:i/>
          <w:sz w:val="22"/>
          <w:lang w:bidi="ar-SA"/>
        </w:rPr>
        <w:t>el mantenimiento de los servicios, siempre que estos sean públicos, corren a cargo de la Administración, así lo dispone, con carácter general, el artículo 67 del Reglamento de Gestión, conforme al que «La conservación de las obras de urbanización y el mant</w:t>
      </w:r>
      <w:r>
        <w:rPr>
          <w:rFonts w:ascii="Arial" w:eastAsia="Lucida Sans Unicode" w:hAnsi="Arial" w:cs="Times New Roman"/>
          <w:i/>
          <w:sz w:val="22"/>
          <w:lang w:bidi="ar-SA"/>
        </w:rPr>
        <w:t xml:space="preserve">enimiento de las dotaciones e instalaciones de los servicios públicos serán de cargo de la Administración actuante, una vez que se haya efectuado la cesión de aquéllas.» </w:t>
      </w:r>
    </w:p>
    <w:p w:rsidR="00061CF1" w:rsidRDefault="004E6D5A">
      <w:pPr>
        <w:spacing w:after="120" w:line="248" w:lineRule="atLeast"/>
        <w:jc w:val="both"/>
      </w:pPr>
      <w:r>
        <w:rPr>
          <w:rFonts w:ascii="Arial" w:eastAsia="Lucida Sans Unicode" w:hAnsi="Arial" w:cs="Times New Roman"/>
          <w:i/>
          <w:sz w:val="22"/>
          <w:lang w:bidi="ar-SA"/>
        </w:rPr>
        <w:t>Como excepción a esta regla general, el artículo 68 del Reglamento de Gestión Urbanís</w:t>
      </w:r>
      <w:r>
        <w:rPr>
          <w:rFonts w:ascii="Arial" w:eastAsia="Lucida Sans Unicode" w:hAnsi="Arial" w:cs="Times New Roman"/>
          <w:i/>
          <w:sz w:val="22"/>
          <w:lang w:bidi="ar-SA"/>
        </w:rPr>
        <w:t xml:space="preserve">tica, dispone que «no obstante lo dispuesto en el artículo anterior, </w:t>
      </w:r>
      <w:r>
        <w:rPr>
          <w:rFonts w:ascii="Arial" w:eastAsia="Lucida Sans Unicode" w:hAnsi="Arial" w:cs="Times New Roman"/>
          <w:b/>
          <w:i/>
          <w:sz w:val="22"/>
          <w:lang w:bidi="ar-SA"/>
        </w:rPr>
        <w:t xml:space="preserve">quedarán sujetos los propietarios de los terrenos comprendidos en el polígono o unidad de actuación a dicha obligación, cuando así se imponga por el Plan de Ordenación o por las bases de </w:t>
      </w:r>
      <w:r>
        <w:rPr>
          <w:rFonts w:ascii="Arial" w:eastAsia="Lucida Sans Unicode" w:hAnsi="Arial" w:cs="Times New Roman"/>
          <w:b/>
          <w:i/>
          <w:sz w:val="22"/>
          <w:lang w:bidi="ar-SA"/>
        </w:rPr>
        <w:t>un programa de actuación urbanística o resulte expresamente de las disposiciones legales</w:t>
      </w:r>
      <w:r>
        <w:rPr>
          <w:rFonts w:ascii="Arial" w:eastAsia="Lucida Sans Unicode" w:hAnsi="Arial" w:cs="Times New Roman"/>
          <w:i/>
          <w:sz w:val="22"/>
          <w:lang w:bidi="ar-SA"/>
        </w:rPr>
        <w:t xml:space="preserve">.» </w:t>
      </w:r>
    </w:p>
    <w:p w:rsidR="00061CF1" w:rsidRDefault="004E6D5A">
      <w:pPr>
        <w:spacing w:after="120" w:line="248" w:lineRule="atLeast"/>
        <w:jc w:val="both"/>
      </w:pPr>
      <w:r>
        <w:rPr>
          <w:rFonts w:ascii="Arial" w:eastAsia="Lucida Sans Unicode" w:hAnsi="Arial" w:cs="Times New Roman"/>
          <w:i/>
          <w:sz w:val="22"/>
          <w:lang w:bidi="ar-SA"/>
        </w:rPr>
        <w:t xml:space="preserve">De ello se desprende que pese a ser la regla general que la Administración actuante esté obligada a sumir los gastos de conservación de las obras de urbanización y </w:t>
      </w:r>
      <w:r>
        <w:rPr>
          <w:rFonts w:ascii="Arial" w:eastAsia="Lucida Sans Unicode" w:hAnsi="Arial" w:cs="Times New Roman"/>
          <w:i/>
          <w:sz w:val="22"/>
          <w:lang w:bidi="ar-SA"/>
        </w:rPr>
        <w:t>dotaciones públicas quedando, por lo tanto, excluidos los particulares propietarios de terrenos comprendidos en el polígono o unidad de actuación, existen determinados supuestos en los que se prevé que tales propietarios asuman la obligación de conservació</w:t>
      </w:r>
      <w:r>
        <w:rPr>
          <w:rFonts w:ascii="Arial" w:eastAsia="Lucida Sans Unicode" w:hAnsi="Arial" w:cs="Times New Roman"/>
          <w:i/>
          <w:sz w:val="22"/>
          <w:lang w:bidi="ar-SA"/>
        </w:rPr>
        <w:t>n de tales dotaciones e instalaciones públicas</w:t>
      </w:r>
      <w:r>
        <w:rPr>
          <w:rFonts w:ascii="Arial" w:eastAsia="Lucida Sans Unicode" w:hAnsi="Arial" w:cs="Times New Roman"/>
          <w:b/>
          <w:i/>
          <w:sz w:val="22"/>
          <w:lang w:bidi="ar-SA"/>
        </w:rPr>
        <w:t xml:space="preserve">, cuando así lo disponga el Plan de Ordenación, las Bases de un Programa de Actuación Urbanística o cuando resulte expresamente de las Leyes. </w:t>
      </w:r>
    </w:p>
    <w:p w:rsidR="00061CF1" w:rsidRDefault="004E6D5A">
      <w:pPr>
        <w:spacing w:after="120" w:line="248" w:lineRule="atLeast"/>
        <w:jc w:val="both"/>
        <w:rPr>
          <w:rFonts w:ascii="Arial" w:eastAsia="Lucida Sans Unicode" w:hAnsi="Arial" w:cs="Times New Roman"/>
          <w:i/>
          <w:sz w:val="22"/>
          <w:lang w:bidi="ar-SA"/>
        </w:rPr>
      </w:pPr>
      <w:r>
        <w:rPr>
          <w:rFonts w:ascii="Arial" w:eastAsia="Lucida Sans Unicode" w:hAnsi="Arial" w:cs="Times New Roman"/>
          <w:i/>
          <w:sz w:val="22"/>
          <w:lang w:bidi="ar-SA"/>
        </w:rPr>
        <w:t>En tales supuestos los particulares propietarios de terrenos compre</w:t>
      </w:r>
      <w:r>
        <w:rPr>
          <w:rFonts w:ascii="Arial" w:eastAsia="Lucida Sans Unicode" w:hAnsi="Arial" w:cs="Times New Roman"/>
          <w:i/>
          <w:sz w:val="22"/>
          <w:lang w:bidi="ar-SA"/>
        </w:rPr>
        <w:t xml:space="preserve">ndidos en el ámbito territorial afectado están obligados a formar parte de la Entidad que se constituya y a contribuir a los gastos de conservación en la proporción establecida conforme a los criterios fijados en el artículo 69 del Reglamento de Gestión. </w:t>
      </w:r>
    </w:p>
    <w:p w:rsidR="00061CF1" w:rsidRDefault="004E6D5A">
      <w:pPr>
        <w:spacing w:after="120" w:line="248" w:lineRule="atLeast"/>
        <w:jc w:val="both"/>
      </w:pPr>
      <w:r>
        <w:rPr>
          <w:rFonts w:ascii="Arial" w:eastAsia="Lucida Sans Unicode" w:hAnsi="Arial" w:cs="Times New Roman"/>
          <w:b/>
          <w:i/>
          <w:sz w:val="22"/>
          <w:lang w:bidi="ar-SA"/>
        </w:rPr>
        <w:t>En el caso presente, está acreditado y no es cuestión controvertida que tanto el Plan Parcial del Sector «Arroyo de la Vega» como el PGOU de Alcobendas, establecían la obligatoriedad de la constitución de la Entidad de Conservación</w:t>
      </w:r>
      <w:r>
        <w:rPr>
          <w:rFonts w:ascii="Arial" w:eastAsia="Lucida Sans Unicode" w:hAnsi="Arial" w:cs="Times New Roman"/>
          <w:i/>
          <w:sz w:val="22"/>
          <w:lang w:bidi="ar-SA"/>
        </w:rPr>
        <w:t xml:space="preserve">, para la conservación y </w:t>
      </w:r>
      <w:r>
        <w:rPr>
          <w:rFonts w:ascii="Arial" w:eastAsia="Lucida Sans Unicode" w:hAnsi="Arial" w:cs="Times New Roman"/>
          <w:i/>
          <w:sz w:val="22"/>
          <w:lang w:bidi="ar-SA"/>
        </w:rPr>
        <w:t>mantenimiento de las obras, por lo que la conservación de las obras de urbanización y el mantenimiento de las dotaciones e instalaciones de los servicios públicos debe de ser asumida obligatoriamente por los propietarios de terrenos comprendidos en el polí</w:t>
      </w:r>
      <w:r>
        <w:rPr>
          <w:rFonts w:ascii="Arial" w:eastAsia="Lucida Sans Unicode" w:hAnsi="Arial" w:cs="Times New Roman"/>
          <w:i/>
          <w:sz w:val="22"/>
          <w:lang w:bidi="ar-SA"/>
        </w:rPr>
        <w:t>gono o Unidad de Actuación, conforme disponen los arts. 67, 68 y 69 RGU.</w:t>
      </w:r>
    </w:p>
    <w:p w:rsidR="00061CF1" w:rsidRDefault="00061CF1">
      <w:pPr>
        <w:spacing w:after="120" w:line="248" w:lineRule="atLeast"/>
        <w:jc w:val="both"/>
        <w:rPr>
          <w:rFonts w:ascii="Arial" w:eastAsia="Lucida Sans Unicode" w:hAnsi="Arial" w:cs="Times New Roman"/>
          <w:i/>
          <w:sz w:val="22"/>
          <w:lang w:bidi="ar-SA"/>
        </w:rPr>
      </w:pPr>
    </w:p>
    <w:p w:rsidR="00061CF1" w:rsidRDefault="004E6D5A">
      <w:pPr>
        <w:spacing w:after="120" w:line="248" w:lineRule="atLeast"/>
        <w:jc w:val="both"/>
        <w:rPr>
          <w:rFonts w:ascii="Arial" w:eastAsia="Lucida Sans Unicode" w:hAnsi="Arial" w:cs="Times New Roman"/>
          <w:i/>
          <w:sz w:val="22"/>
          <w:lang w:bidi="ar-SA"/>
        </w:rPr>
      </w:pPr>
      <w:r>
        <w:rPr>
          <w:rFonts w:ascii="Arial" w:eastAsia="Lucida Sans Unicode" w:hAnsi="Arial" w:cs="Times New Roman"/>
          <w:i/>
          <w:sz w:val="22"/>
          <w:lang w:bidi="ar-SA"/>
        </w:rPr>
        <w:t>(…) FJ SÉPTIMO. Procede a continuación examinar las concretas impugnaciones realizadas del articulados de los Estatutos, que sostienen la inadecuación a Derecho de los arts. 5, 7, 8,</w:t>
      </w:r>
      <w:r>
        <w:rPr>
          <w:rFonts w:ascii="Arial" w:eastAsia="Lucida Sans Unicode" w:hAnsi="Arial" w:cs="Times New Roman"/>
          <w:i/>
          <w:sz w:val="22"/>
          <w:lang w:bidi="ar-SA"/>
        </w:rPr>
        <w:t xml:space="preserve"> 11 y 50 de los Estatutos, en la medida en que establecen el objeto y finalidad de la Entidad de Conservación --atender a la prestación, conservación y mantenimiento de las obras de urbanización, dotaciones y demás elementos e instalaciones de dominio y us</w:t>
      </w:r>
      <w:r>
        <w:rPr>
          <w:rFonts w:ascii="Arial" w:eastAsia="Lucida Sans Unicode" w:hAnsi="Arial" w:cs="Times New Roman"/>
          <w:i/>
          <w:sz w:val="22"/>
          <w:lang w:bidi="ar-SA"/>
        </w:rPr>
        <w:t>o público previstos en el planeamiento vigente y atender y sufragar los servicios de suministro de energía eléctrica, de la red de alumbrado y de limpieza viaria y de parques, zonas verdes y espacios libres, sin perjuicio de las subvenciones directas o ind</w:t>
      </w:r>
      <w:r>
        <w:rPr>
          <w:rFonts w:ascii="Arial" w:eastAsia="Lucida Sans Unicode" w:hAnsi="Arial" w:cs="Times New Roman"/>
          <w:i/>
          <w:sz w:val="22"/>
          <w:lang w:bidi="ar-SA"/>
        </w:rPr>
        <w:t>irectas que se concedan por el Ayuntamiento de Alcobendas-- su duración indefinida y exigencia de previo acuerdo del Ayuntamiento para su disolución, la pertenencia obligatoria a la misma de los titulares de parcelas de propiedad privada incluidas en el ám</w:t>
      </w:r>
      <w:r>
        <w:rPr>
          <w:rFonts w:ascii="Arial" w:eastAsia="Lucida Sans Unicode" w:hAnsi="Arial" w:cs="Times New Roman"/>
          <w:i/>
          <w:sz w:val="22"/>
          <w:lang w:bidi="ar-SA"/>
        </w:rPr>
        <w:t xml:space="preserve">bito de actuación y la obligación de pago de las cuotas ordinarias y extraordinarias que la Asamblea General fije para atender a los gastos de prestación, conservación y mantenimiento de los elementos de propiedad común y de dominio y uso público. </w:t>
      </w:r>
    </w:p>
    <w:p w:rsidR="00061CF1" w:rsidRDefault="004E6D5A">
      <w:pPr>
        <w:spacing w:after="120" w:line="248" w:lineRule="atLeast"/>
        <w:jc w:val="both"/>
        <w:rPr>
          <w:rFonts w:ascii="Arial" w:eastAsia="Lucida Sans Unicode" w:hAnsi="Arial" w:cs="Times New Roman"/>
          <w:b/>
          <w:i/>
          <w:sz w:val="22"/>
          <w:lang w:bidi="ar-SA"/>
        </w:rPr>
      </w:pPr>
      <w:r>
        <w:rPr>
          <w:rFonts w:ascii="Arial" w:eastAsia="Lucida Sans Unicode" w:hAnsi="Arial" w:cs="Times New Roman"/>
          <w:b/>
          <w:i/>
          <w:sz w:val="22"/>
          <w:lang w:bidi="ar-SA"/>
        </w:rPr>
        <w:t>La tesi</w:t>
      </w:r>
      <w:r>
        <w:rPr>
          <w:rFonts w:ascii="Arial" w:eastAsia="Lucida Sans Unicode" w:hAnsi="Arial" w:cs="Times New Roman"/>
          <w:b/>
          <w:i/>
          <w:sz w:val="22"/>
          <w:lang w:bidi="ar-SA"/>
        </w:rPr>
        <w:t xml:space="preserve">s de la recurrente no puede ser compartida por la Sala, toda vez que, tal como expresa </w:t>
      </w:r>
    </w:p>
    <w:p w:rsidR="00061CF1" w:rsidRDefault="00061CF1">
      <w:pPr>
        <w:spacing w:after="120" w:line="248" w:lineRule="atLeast"/>
        <w:jc w:val="both"/>
        <w:rPr>
          <w:rFonts w:ascii="Arial" w:eastAsia="Lucida Sans Unicode" w:hAnsi="Arial" w:cs="Times New Roman"/>
          <w:b/>
          <w:i/>
          <w:sz w:val="22"/>
          <w:lang w:bidi="ar-SA"/>
        </w:rPr>
      </w:pPr>
    </w:p>
    <w:p w:rsidR="00061CF1" w:rsidRDefault="004E6D5A">
      <w:pPr>
        <w:spacing w:after="120" w:line="248" w:lineRule="atLeast"/>
        <w:jc w:val="both"/>
      </w:pPr>
      <w:r>
        <w:rPr>
          <w:rFonts w:ascii="Arial" w:eastAsia="Lucida Sans Unicode" w:hAnsi="Arial" w:cs="Times New Roman"/>
          <w:b/>
          <w:i/>
          <w:sz w:val="22"/>
          <w:lang w:bidi="ar-SA"/>
        </w:rPr>
        <w:t xml:space="preserve">la sentencia del TS. de 3 Abr. 1990, referida a un supuesto muy similar, citando otras de 22 Oct. 1975, 12 Abr. 1985, 14 Mar. 1989 y 13 Mar. 1989, «la conservación de </w:t>
      </w:r>
      <w:r>
        <w:rPr>
          <w:rFonts w:ascii="Arial" w:eastAsia="Lucida Sans Unicode" w:hAnsi="Arial" w:cs="Times New Roman"/>
          <w:b/>
          <w:i/>
          <w:sz w:val="22"/>
          <w:lang w:bidi="ar-SA"/>
        </w:rPr>
        <w:t>las obras de urbanización y el mantenimiento de las dotaciones e instalaciones de los servicios públicos serán de cargo de los propietarios</w:t>
      </w:r>
      <w:r>
        <w:rPr>
          <w:rFonts w:ascii="Arial" w:eastAsia="Lucida Sans Unicode" w:hAnsi="Arial" w:cs="Times New Roman"/>
          <w:i/>
          <w:sz w:val="22"/>
          <w:lang w:bidi="ar-SA"/>
        </w:rPr>
        <w:t xml:space="preserve"> de los polígonos o unidad de actuación sin que se pueda distinguir entre los gastos que ocasionen la conservación de</w:t>
      </w:r>
      <w:r>
        <w:rPr>
          <w:rFonts w:ascii="Arial" w:eastAsia="Lucida Sans Unicode" w:hAnsi="Arial" w:cs="Times New Roman"/>
          <w:i/>
          <w:sz w:val="22"/>
          <w:lang w:bidi="ar-SA"/>
        </w:rPr>
        <w:t xml:space="preserve"> las obras e instalaciones de los servicios públicos y los que se deriven de la prestación de dichos servicios... ya que en el mantenimiento se incluye lo que se refiere a la conservación de las instalaciones como el coste de su funcionamiento, según la in</w:t>
      </w:r>
      <w:r>
        <w:rPr>
          <w:rFonts w:ascii="Arial" w:eastAsia="Lucida Sans Unicode" w:hAnsi="Arial" w:cs="Times New Roman"/>
          <w:i/>
          <w:sz w:val="22"/>
          <w:lang w:bidi="ar-SA"/>
        </w:rPr>
        <w:t xml:space="preserve">terpretación gramatical que procede dar a este término, que implica mantener y proseguir una cosa en su estado y por consiguiente su funcionamiento». </w:t>
      </w:r>
    </w:p>
    <w:p w:rsidR="00061CF1" w:rsidRDefault="004E6D5A">
      <w:pPr>
        <w:spacing w:after="120" w:line="248" w:lineRule="atLeast"/>
        <w:jc w:val="both"/>
      </w:pPr>
      <w:r>
        <w:rPr>
          <w:rFonts w:ascii="Arial" w:eastAsia="Lucida Sans Unicode" w:hAnsi="Arial" w:cs="Times New Roman"/>
          <w:b/>
          <w:i/>
          <w:sz w:val="22"/>
          <w:lang w:bidi="ar-SA"/>
        </w:rPr>
        <w:t>Lo anterior es aplicable a las EUC., ya vengan impuestas por el planeamiento o sean de constitución volun</w:t>
      </w:r>
      <w:r>
        <w:rPr>
          <w:rFonts w:ascii="Arial" w:eastAsia="Lucida Sans Unicode" w:hAnsi="Arial" w:cs="Times New Roman"/>
          <w:b/>
          <w:i/>
          <w:sz w:val="22"/>
          <w:lang w:bidi="ar-SA"/>
        </w:rPr>
        <w:t>taria, toda vez que el mantenimiento de las dotaciones e instalaciones de los servicios públicos no puede limitarse a la conservación en buen estado de seguridad, salubridad y ornato de aquéllas, sino que debe de extenderse a su funcionamiento eficaz porqu</w:t>
      </w:r>
      <w:r>
        <w:rPr>
          <w:rFonts w:ascii="Arial" w:eastAsia="Lucida Sans Unicode" w:hAnsi="Arial" w:cs="Times New Roman"/>
          <w:b/>
          <w:i/>
          <w:sz w:val="22"/>
          <w:lang w:bidi="ar-SA"/>
        </w:rPr>
        <w:t>e la finalidad del mantenimiento de las instalaciones es la prestación del servicio, ya que el mantenimiento de las instalaciones de los servicios públicos añade un «plus» a la mera conservación de las obras ejecutadas, comprendiendo el concepto de «manten</w:t>
      </w:r>
      <w:r>
        <w:rPr>
          <w:rFonts w:ascii="Arial" w:eastAsia="Lucida Sans Unicode" w:hAnsi="Arial" w:cs="Times New Roman"/>
          <w:b/>
          <w:i/>
          <w:sz w:val="22"/>
          <w:lang w:bidi="ar-SA"/>
        </w:rPr>
        <w:t>imiento»</w:t>
      </w:r>
      <w:r>
        <w:rPr>
          <w:rFonts w:ascii="Arial" w:eastAsia="Lucida Sans Unicode" w:hAnsi="Arial" w:cs="Times New Roman"/>
          <w:i/>
          <w:sz w:val="22"/>
          <w:lang w:bidi="ar-SA"/>
        </w:rPr>
        <w:t xml:space="preserve"> la circunstancia de que la cosa se encuentre en condiciones de seguir siendo susceptible de procurar la utilidad a que se dirige, teniendo por finalidad situar la cosa en condiciones de poder servir al uso a que se dirige.</w:t>
      </w:r>
    </w:p>
    <w:p w:rsidR="00061CF1" w:rsidRDefault="004E6D5A">
      <w:pPr>
        <w:spacing w:after="120" w:line="248" w:lineRule="atLeast"/>
        <w:jc w:val="both"/>
      </w:pPr>
      <w:r>
        <w:rPr>
          <w:rFonts w:ascii="Arial" w:eastAsia="Lucida Sans Unicode" w:hAnsi="Arial" w:cs="Times New Roman"/>
          <w:i/>
          <w:sz w:val="22"/>
          <w:lang w:bidi="ar-SA"/>
        </w:rPr>
        <w:t xml:space="preserve">Por tanto y aunque los </w:t>
      </w:r>
      <w:r>
        <w:rPr>
          <w:rFonts w:ascii="Arial" w:eastAsia="Lucida Sans Unicode" w:hAnsi="Arial" w:cs="Times New Roman"/>
          <w:i/>
          <w:sz w:val="22"/>
          <w:lang w:bidi="ar-SA"/>
        </w:rPr>
        <w:t>arts. 25 y 26 de la Ley de Bases de Régimen Local, Ley 7/ 1985 de 2 Abr. establezca las competencias y servicios que deben de prestar los Municipios y entre ellos el de alumbrado público y limpieza viaria, ello lo será en el supuesto del art. 67 del RGU, u</w:t>
      </w:r>
      <w:r>
        <w:rPr>
          <w:rFonts w:ascii="Arial" w:eastAsia="Lucida Sans Unicode" w:hAnsi="Arial" w:cs="Times New Roman"/>
          <w:i/>
          <w:sz w:val="22"/>
          <w:lang w:bidi="ar-SA"/>
        </w:rPr>
        <w:t xml:space="preserve">na vez efectuada la cesión de las obras de urbanización, dotaciones e instalaciones de los servicios públicos a la Administración, momento a partir del cual las obras, gastos y servicios serán de cargo de la Administración; </w:t>
      </w:r>
      <w:r>
        <w:rPr>
          <w:rFonts w:ascii="Arial" w:eastAsia="Lucida Sans Unicode" w:hAnsi="Arial" w:cs="Times New Roman"/>
          <w:b/>
          <w:i/>
          <w:sz w:val="22"/>
          <w:lang w:bidi="ar-SA"/>
        </w:rPr>
        <w:t>ahora bien y como reiteradamente</w:t>
      </w:r>
      <w:r>
        <w:rPr>
          <w:rFonts w:ascii="Arial" w:eastAsia="Lucida Sans Unicode" w:hAnsi="Arial" w:cs="Times New Roman"/>
          <w:b/>
          <w:i/>
          <w:sz w:val="22"/>
          <w:lang w:bidi="ar-SA"/>
        </w:rPr>
        <w:t xml:space="preserve"> se ha expuesto y expresamente prevé el art. 68 RGU. esa obligación no surge para la Administración, cuando son los propietarios de terrenos los obligados a la conservación de las obras de urbanización y a mantener las dotaciones e instalaciones de los ser</w:t>
      </w:r>
      <w:r>
        <w:rPr>
          <w:rFonts w:ascii="Arial" w:eastAsia="Lucida Sans Unicode" w:hAnsi="Arial" w:cs="Times New Roman"/>
          <w:b/>
          <w:i/>
          <w:sz w:val="22"/>
          <w:lang w:bidi="ar-SA"/>
        </w:rPr>
        <w:t xml:space="preserve">vicios públicos. </w:t>
      </w:r>
    </w:p>
    <w:p w:rsidR="00061CF1" w:rsidRDefault="004E6D5A">
      <w:pPr>
        <w:spacing w:after="120" w:line="248" w:lineRule="atLeast"/>
        <w:jc w:val="both"/>
        <w:rPr>
          <w:rFonts w:ascii="Arial" w:eastAsia="Lucida Sans Unicode" w:hAnsi="Arial" w:cs="Times New Roman"/>
          <w:i/>
          <w:sz w:val="22"/>
          <w:lang w:bidi="ar-SA"/>
        </w:rPr>
      </w:pPr>
      <w:r>
        <w:rPr>
          <w:rFonts w:ascii="Arial" w:eastAsia="Lucida Sans Unicode" w:hAnsi="Arial" w:cs="Times New Roman"/>
          <w:i/>
          <w:sz w:val="22"/>
          <w:lang w:bidi="ar-SA"/>
        </w:rPr>
        <w:t>Tal es el caso presente, en que la prestación de tales servicios y el abono de tales gastos corre de su cuenta, todo ello sin perjuicio de las facultades de policía y de todo orden que sobre el dominio público corresponde a la Administrac</w:t>
      </w:r>
      <w:r>
        <w:rPr>
          <w:rFonts w:ascii="Arial" w:eastAsia="Lucida Sans Unicode" w:hAnsi="Arial" w:cs="Times New Roman"/>
          <w:i/>
          <w:sz w:val="22"/>
          <w:lang w:bidi="ar-SA"/>
        </w:rPr>
        <w:t>ión.</w:t>
      </w:r>
    </w:p>
    <w:p w:rsidR="00061CF1" w:rsidRDefault="004E6D5A">
      <w:pPr>
        <w:spacing w:after="120" w:line="248" w:lineRule="atLeast"/>
        <w:jc w:val="both"/>
      </w:pPr>
      <w:r>
        <w:rPr>
          <w:rFonts w:ascii="Arial" w:eastAsia="Lucida Sans Unicode" w:hAnsi="Arial" w:cs="Times New Roman"/>
          <w:b/>
          <w:i/>
          <w:sz w:val="22"/>
          <w:lang w:bidi="ar-SA"/>
        </w:rPr>
        <w:t xml:space="preserve"> En cuanto a la obligación de formar parte de la Entidad de Conservación de todos los sujetos de derecho público o privado que sean titulares de parcelas de propiedad privada o patrimonial incluidas en el ámbito de actuación de la Entidad de </w:t>
      </w:r>
      <w:r>
        <w:rPr>
          <w:rFonts w:ascii="Arial" w:eastAsia="Lucida Sans Unicode" w:hAnsi="Arial" w:cs="Times New Roman"/>
          <w:b/>
          <w:i/>
          <w:sz w:val="22"/>
          <w:lang w:bidi="ar-SA"/>
        </w:rPr>
        <w:t>Conservación, debe recordarse nuevamente que conforme a lo dispuesto en el art. 68 en relación con el art. 67 del RGU</w:t>
      </w:r>
      <w:r>
        <w:rPr>
          <w:rFonts w:ascii="Arial" w:eastAsia="Lucida Sans Unicode" w:hAnsi="Arial" w:cs="Times New Roman"/>
          <w:i/>
          <w:sz w:val="22"/>
          <w:lang w:bidi="ar-SA"/>
        </w:rPr>
        <w:t>. en el caso presente son los propietarios de los terrenos comprendidos en el polígono o unidad de actuación los encargados de conservar lo</w:t>
      </w:r>
      <w:r>
        <w:rPr>
          <w:rFonts w:ascii="Arial" w:eastAsia="Lucida Sans Unicode" w:hAnsi="Arial" w:cs="Times New Roman"/>
          <w:i/>
          <w:sz w:val="22"/>
          <w:lang w:bidi="ar-SA"/>
        </w:rPr>
        <w:t xml:space="preserve">s bienes de dominio público a que ellos se refieren, sustituyendo en dicha función a la Administración, obligación que individualmente se cumple mediante el pago de las correspondientes cuotas. </w:t>
      </w:r>
    </w:p>
    <w:p w:rsidR="00061CF1" w:rsidRDefault="004E6D5A">
      <w:pPr>
        <w:spacing w:after="120" w:line="248" w:lineRule="atLeast"/>
        <w:jc w:val="both"/>
      </w:pPr>
      <w:r>
        <w:rPr>
          <w:rFonts w:ascii="Arial" w:eastAsia="Lucida Sans Unicode" w:hAnsi="Arial" w:cs="Times New Roman"/>
          <w:b/>
          <w:i/>
          <w:sz w:val="22"/>
          <w:lang w:bidi="ar-SA"/>
        </w:rPr>
        <w:t>Por último, y en relación a la duración indefinida de la Enti</w:t>
      </w:r>
      <w:r>
        <w:rPr>
          <w:rFonts w:ascii="Arial" w:eastAsia="Lucida Sans Unicode" w:hAnsi="Arial" w:cs="Times New Roman"/>
          <w:b/>
          <w:i/>
          <w:sz w:val="22"/>
          <w:lang w:bidi="ar-SA"/>
        </w:rPr>
        <w:t>dad de Conservación y a la exigencia del previo acuerdo del Ayuntamiento para su disolución, es de significar que la conformidad a derecho de la duración indefinida</w:t>
      </w:r>
      <w:r>
        <w:rPr>
          <w:rFonts w:ascii="Arial" w:eastAsia="Lucida Sans Unicode" w:hAnsi="Arial" w:cs="Times New Roman"/>
          <w:i/>
          <w:sz w:val="22"/>
          <w:lang w:bidi="ar-SA"/>
        </w:rPr>
        <w:t xml:space="preserve"> de la Entidad ha sido reconocida en varias sentencias del TS., entre ellas las de 14 Mar. 1</w:t>
      </w:r>
      <w:r>
        <w:rPr>
          <w:rFonts w:ascii="Arial" w:eastAsia="Lucida Sans Unicode" w:hAnsi="Arial" w:cs="Times New Roman"/>
          <w:i/>
          <w:sz w:val="22"/>
          <w:lang w:bidi="ar-SA"/>
        </w:rPr>
        <w:t>989 y 13 Mar. 1989, y, dado que la duración indefinida tiene por finalidad atender a situaciones de dificultad o imposibilidad en la actuación municipal, es asimismo conforme a derecho la previsión en los Estatutos del consentimiento previo del Ayuntamient</w:t>
      </w:r>
      <w:r>
        <w:rPr>
          <w:rFonts w:ascii="Arial" w:eastAsia="Lucida Sans Unicode" w:hAnsi="Arial" w:cs="Times New Roman"/>
          <w:i/>
          <w:sz w:val="22"/>
          <w:lang w:bidi="ar-SA"/>
        </w:rPr>
        <w:t>o para su disolución (…)</w:t>
      </w: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jc w:val="both"/>
        <w:rPr>
          <w:rFonts w:ascii="Arial" w:eastAsia="Times New Roman" w:hAnsi="Arial" w:cs="Arial"/>
          <w:b/>
          <w:i/>
          <w:lang w:eastAsia="es-ES" w:bidi="ar-SA"/>
        </w:rPr>
      </w:pPr>
      <w:r>
        <w:rPr>
          <w:rFonts w:ascii="Arial" w:eastAsia="Times New Roman" w:hAnsi="Arial" w:cs="Arial"/>
          <w:b/>
          <w:i/>
          <w:lang w:eastAsia="es-ES" w:bidi="ar-SA"/>
        </w:rPr>
        <w:t>ARTÍCULO 2. Las EUCs son entidades administrativas porque persiguen fines de interés público:</w:t>
      </w:r>
    </w:p>
    <w:p w:rsidR="00061CF1" w:rsidRDefault="004E6D5A">
      <w:pPr>
        <w:widowControl/>
        <w:shd w:val="clear" w:color="auto" w:fill="FFFFFF"/>
        <w:suppressAutoHyphens w:val="0"/>
        <w:spacing w:before="100" w:after="240"/>
        <w:ind w:left="105"/>
        <w:jc w:val="both"/>
        <w:textAlignment w:val="auto"/>
      </w:pPr>
      <w:r>
        <w:rPr>
          <w:rFonts w:ascii="Arial" w:eastAsia="Times New Roman" w:hAnsi="Arial" w:cs="Arial"/>
          <w:i/>
          <w:color w:val="000000"/>
          <w:kern w:val="0"/>
          <w:sz w:val="22"/>
          <w:szCs w:val="22"/>
          <w:lang w:eastAsia="es-ES" w:bidi="ar-SA"/>
        </w:rPr>
        <w:t xml:space="preserve">Artículo 134 </w:t>
      </w:r>
      <w:r>
        <w:rPr>
          <w:rFonts w:ascii="Arial" w:eastAsia="Times New Roman" w:hAnsi="Arial" w:cs="Arial"/>
          <w:i/>
          <w:kern w:val="0"/>
          <w:sz w:val="22"/>
          <w:szCs w:val="22"/>
          <w:lang w:eastAsia="es-ES" w:bidi="ar-SA"/>
        </w:rPr>
        <w:t>DECRETO 183/2018, de 26 de diciembre, por el que se aprueba el Reglamento de Gestión y Ejecución del Planeamiento de Canar</w:t>
      </w:r>
      <w:r>
        <w:rPr>
          <w:rFonts w:ascii="Arial" w:eastAsia="Times New Roman" w:hAnsi="Arial" w:cs="Arial"/>
          <w:i/>
          <w:kern w:val="0"/>
          <w:sz w:val="22"/>
          <w:szCs w:val="22"/>
          <w:lang w:eastAsia="es-ES" w:bidi="ar-SA"/>
        </w:rPr>
        <w:t>ias.</w:t>
      </w:r>
    </w:p>
    <w:p w:rsidR="00061CF1" w:rsidRDefault="004E6D5A">
      <w:pPr>
        <w:widowControl/>
        <w:shd w:val="clear" w:color="auto" w:fill="FFFFFF"/>
        <w:suppressAutoHyphens w:val="0"/>
        <w:spacing w:before="100" w:after="240"/>
        <w:ind w:left="105"/>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 Naturaleza y finalidad de las entidades urbanísticas colaboradoras.</w:t>
      </w:r>
    </w:p>
    <w:p w:rsidR="00061CF1" w:rsidRDefault="004E6D5A">
      <w:pPr>
        <w:widowControl/>
        <w:shd w:val="clear" w:color="auto" w:fill="FFFFFF"/>
        <w:suppressAutoHyphens w:val="0"/>
        <w:spacing w:before="100" w:after="240"/>
        <w:ind w:left="105"/>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1. Las entidades colaboradoras tienen carácter administrativo y dependerán en ese orden de la Administración urbanística actuante, sin perjuicio de lo señalado en el apartado sigui</w:t>
      </w:r>
      <w:r>
        <w:rPr>
          <w:rFonts w:ascii="Arial" w:eastAsia="Times New Roman" w:hAnsi="Arial" w:cs="Arial"/>
          <w:i/>
          <w:color w:val="000000"/>
          <w:kern w:val="0"/>
          <w:sz w:val="22"/>
          <w:szCs w:val="22"/>
          <w:lang w:eastAsia="es-ES" w:bidi="ar-SA"/>
        </w:rPr>
        <w:t>ente.</w:t>
      </w:r>
    </w:p>
    <w:p w:rsidR="00061CF1" w:rsidRDefault="004E6D5A">
      <w:pPr>
        <w:widowControl/>
        <w:shd w:val="clear" w:color="auto" w:fill="FFFFFF"/>
        <w:suppressAutoHyphens w:val="0"/>
        <w:spacing w:before="100" w:after="240"/>
        <w:ind w:left="105"/>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2. En el caso de las sociedades mercantiles de objeto urbanístico su sometimiento al derecho administrativo vendrá determinado en virtud de que ejerzan como ente instrumental de la Administración actuante de la que dependan, rigiéndose en lo demás po</w:t>
      </w:r>
      <w:r>
        <w:rPr>
          <w:rFonts w:ascii="Arial" w:eastAsia="Times New Roman" w:hAnsi="Arial" w:cs="Arial"/>
          <w:i/>
          <w:color w:val="000000"/>
          <w:kern w:val="0"/>
          <w:sz w:val="22"/>
          <w:szCs w:val="22"/>
          <w:lang w:eastAsia="es-ES" w:bidi="ar-SA"/>
        </w:rPr>
        <w:t>r las reglas del derecho privado.</w:t>
      </w:r>
    </w:p>
    <w:p w:rsidR="00061CF1" w:rsidRDefault="004E6D5A">
      <w:pPr>
        <w:widowControl/>
        <w:shd w:val="clear" w:color="auto" w:fill="FFFFFF"/>
        <w:suppressAutoHyphens w:val="0"/>
        <w:spacing w:before="100" w:after="240"/>
        <w:ind w:left="105"/>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3. Las entidades urbanísticas colaboradoras pueden clasificarse en:</w:t>
      </w:r>
    </w:p>
    <w:p w:rsidR="00061CF1" w:rsidRDefault="004E6D5A">
      <w:pPr>
        <w:widowControl/>
        <w:shd w:val="clear" w:color="auto" w:fill="FFFFFF"/>
        <w:suppressAutoHyphens w:val="0"/>
        <w:spacing w:before="100" w:after="240"/>
        <w:ind w:left="105"/>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a) Entidades urbanísticas de gestión.</w:t>
      </w:r>
    </w:p>
    <w:p w:rsidR="00061CF1" w:rsidRDefault="004E6D5A">
      <w:pPr>
        <w:widowControl/>
        <w:shd w:val="clear" w:color="auto" w:fill="FFFFFF"/>
        <w:suppressAutoHyphens w:val="0"/>
        <w:spacing w:before="100" w:after="240"/>
        <w:ind w:left="105"/>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b) Entidades urbanísticas de conservación.</w:t>
      </w: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jc w:val="both"/>
        <w:rPr>
          <w:rFonts w:ascii="Arial" w:eastAsia="Times New Roman" w:hAnsi="Arial" w:cs="Arial"/>
          <w:b/>
          <w:i/>
          <w:lang w:eastAsia="es-ES" w:bidi="ar-SA"/>
        </w:rPr>
      </w:pPr>
      <w:r>
        <w:rPr>
          <w:rFonts w:ascii="Arial" w:eastAsia="Times New Roman" w:hAnsi="Arial" w:cs="Arial"/>
          <w:b/>
          <w:i/>
          <w:lang w:eastAsia="es-ES" w:bidi="ar-SA"/>
        </w:rPr>
        <w:t>ARTÍCULO 4. Objetivo y fines:</w:t>
      </w:r>
    </w:p>
    <w:p w:rsidR="00061CF1" w:rsidRDefault="004E6D5A">
      <w:pPr>
        <w:spacing w:after="120" w:line="248" w:lineRule="atLeast"/>
        <w:jc w:val="both"/>
        <w:rPr>
          <w:rFonts w:ascii="Arial" w:eastAsia="Times New Roman" w:hAnsi="Arial" w:cs="Arial"/>
          <w:b/>
          <w:i/>
          <w:lang w:eastAsia="es-ES" w:bidi="ar-SA"/>
        </w:rPr>
      </w:pPr>
      <w:r>
        <w:rPr>
          <w:rFonts w:ascii="Arial" w:eastAsia="Times New Roman" w:hAnsi="Arial" w:cs="Arial"/>
          <w:b/>
          <w:i/>
          <w:lang w:eastAsia="es-ES" w:bidi="ar-SA"/>
        </w:rPr>
        <w:t>Se ha redactado una lista clara de servic</w:t>
      </w:r>
      <w:r>
        <w:rPr>
          <w:rFonts w:ascii="Arial" w:eastAsia="Times New Roman" w:hAnsi="Arial" w:cs="Arial"/>
          <w:b/>
          <w:i/>
          <w:lang w:eastAsia="es-ES" w:bidi="ar-SA"/>
        </w:rPr>
        <w:t>ios públicos cuyo mantenimiento son obligaciones de la EUC que la reproducimos:</w:t>
      </w: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jc w:val="both"/>
      </w:pPr>
      <w:r>
        <w:rPr>
          <w:rFonts w:ascii="Arial" w:eastAsia="Lucida Sans Unicode" w:hAnsi="Arial" w:cs="Times New Roman"/>
          <w:i/>
          <w:noProof/>
          <w:sz w:val="22"/>
          <w:lang w:eastAsia="es-ES" w:bidi="ar-SA"/>
        </w:rPr>
        <w:drawing>
          <wp:inline distT="0" distB="0" distL="0" distR="0">
            <wp:extent cx="5534021" cy="5238753"/>
            <wp:effectExtent l="0" t="0" r="0" b="0"/>
            <wp:docPr id="19" name="Imagen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534021" cy="5238753"/>
                    </a:xfrm>
                    <a:prstGeom prst="rect">
                      <a:avLst/>
                    </a:prstGeom>
                    <a:noFill/>
                    <a:ln>
                      <a:noFill/>
                      <a:prstDash/>
                    </a:ln>
                  </pic:spPr>
                </pic:pic>
              </a:graphicData>
            </a:graphic>
          </wp:inline>
        </w:drawing>
      </w: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jc w:val="both"/>
      </w:pPr>
      <w:r>
        <w:rPr>
          <w:rFonts w:ascii="Arial" w:eastAsia="Lucida Sans Unicode" w:hAnsi="Arial" w:cs="Times New Roman"/>
          <w:i/>
          <w:noProof/>
          <w:sz w:val="22"/>
          <w:lang w:eastAsia="es-ES" w:bidi="ar-SA"/>
        </w:rPr>
        <w:drawing>
          <wp:inline distT="0" distB="0" distL="0" distR="0">
            <wp:extent cx="4905371" cy="1838328"/>
            <wp:effectExtent l="0" t="0" r="0" b="9522"/>
            <wp:docPr id="20" name="Imagen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905371" cy="1838328"/>
                    </a:xfrm>
                    <a:prstGeom prst="rect">
                      <a:avLst/>
                    </a:prstGeom>
                    <a:noFill/>
                    <a:ln>
                      <a:noFill/>
                      <a:prstDash/>
                    </a:ln>
                  </pic:spPr>
                </pic:pic>
              </a:graphicData>
            </a:graphic>
          </wp:inline>
        </w:drawing>
      </w: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ARTÍCULO 5. Vigencia indefinida: estoy de acuerdo:</w:t>
      </w:r>
    </w:p>
    <w:p w:rsidR="00061CF1" w:rsidRDefault="004E6D5A">
      <w:pPr>
        <w:spacing w:after="120" w:line="248" w:lineRule="atLeast"/>
        <w:jc w:val="both"/>
        <w:rPr>
          <w:rFonts w:ascii="Arial" w:eastAsia="Lucida Sans Unicode" w:hAnsi="Arial" w:cs="Times New Roman"/>
          <w:b/>
          <w:i/>
          <w:sz w:val="22"/>
          <w:u w:val="single"/>
          <w:lang w:bidi="ar-SA"/>
        </w:rPr>
      </w:pPr>
      <w:r>
        <w:rPr>
          <w:rFonts w:ascii="Arial" w:eastAsia="Lucida Sans Unicode" w:hAnsi="Arial" w:cs="Times New Roman"/>
          <w:b/>
          <w:i/>
          <w:sz w:val="22"/>
          <w:u w:val="single"/>
          <w:lang w:bidi="ar-SA"/>
        </w:rPr>
        <w:t xml:space="preserve">Tribunal Superior de Justicia de Madrid, Sala de lo Contenciosoadministrativo, Sección 1ª, Sentencia </w:t>
      </w:r>
      <w:r>
        <w:rPr>
          <w:rFonts w:ascii="Arial" w:eastAsia="Lucida Sans Unicode" w:hAnsi="Arial" w:cs="Times New Roman"/>
          <w:b/>
          <w:i/>
          <w:sz w:val="22"/>
          <w:u w:val="single"/>
          <w:lang w:bidi="ar-SA"/>
        </w:rPr>
        <w:t xml:space="preserve">186/2003 de 25 Feb. 2003, Rec. 2458/1997 </w:t>
      </w:r>
    </w:p>
    <w:p w:rsidR="00061CF1" w:rsidRDefault="004E6D5A">
      <w:pPr>
        <w:spacing w:after="120" w:line="248" w:lineRule="atLeast"/>
        <w:jc w:val="both"/>
      </w:pPr>
      <w:r>
        <w:rPr>
          <w:rFonts w:ascii="Arial" w:eastAsia="Lucida Sans Unicode" w:hAnsi="Arial" w:cs="Times New Roman"/>
          <w:b/>
          <w:i/>
          <w:sz w:val="22"/>
          <w:lang w:bidi="ar-SA"/>
        </w:rPr>
        <w:t>Ponente: Rosas Carrión, Francisca María de Flores. Nº de Sentencia: 186/2003 Nº de Recurso: 2458/1997 Jurisdicción: CONTENCIOSO-ADMINISTRATIVA</w:t>
      </w:r>
    </w:p>
    <w:p w:rsidR="00061CF1" w:rsidRDefault="004E6D5A">
      <w:pPr>
        <w:spacing w:after="120" w:line="248" w:lineRule="atLeast"/>
        <w:jc w:val="both"/>
      </w:pPr>
      <w:r>
        <w:rPr>
          <w:rFonts w:ascii="Arial" w:eastAsia="Lucida Sans Unicode" w:hAnsi="Arial" w:cs="Times New Roman"/>
          <w:b/>
          <w:i/>
          <w:sz w:val="22"/>
          <w:lang w:bidi="ar-SA"/>
        </w:rPr>
        <w:t>“(…)Por último, y en relación a la duración indefinida de la Entidad de</w:t>
      </w:r>
      <w:r>
        <w:rPr>
          <w:rFonts w:ascii="Arial" w:eastAsia="Lucida Sans Unicode" w:hAnsi="Arial" w:cs="Times New Roman"/>
          <w:b/>
          <w:i/>
          <w:sz w:val="22"/>
          <w:lang w:bidi="ar-SA"/>
        </w:rPr>
        <w:t xml:space="preserve"> Conservación y a la exigencia del previo acuerdo del Ayuntamiento para su disolución, es de significar que la conformidad a derecho de la duración indefinida</w:t>
      </w:r>
      <w:r>
        <w:rPr>
          <w:rFonts w:ascii="Arial" w:eastAsia="Lucida Sans Unicode" w:hAnsi="Arial" w:cs="Times New Roman"/>
          <w:i/>
          <w:sz w:val="22"/>
          <w:lang w:bidi="ar-SA"/>
        </w:rPr>
        <w:t xml:space="preserve"> de la Entidad ha sido reconocida en varias sentencias del TS., entre ellas las de 14 Mar. 1989 y </w:t>
      </w:r>
      <w:r>
        <w:rPr>
          <w:rFonts w:ascii="Arial" w:eastAsia="Lucida Sans Unicode" w:hAnsi="Arial" w:cs="Times New Roman"/>
          <w:i/>
          <w:sz w:val="22"/>
          <w:lang w:bidi="ar-SA"/>
        </w:rPr>
        <w:t>13 Mar. 1989, y, dado que la duración indefinida tiene por finalidad atender a situaciones de dificultad o imposibilidad en la actuación municipal, es asimismo conforme a derecho la previsión en los Estatutos del consentimiento previo del Ayuntamiento para</w:t>
      </w:r>
      <w:r>
        <w:rPr>
          <w:rFonts w:ascii="Arial" w:eastAsia="Lucida Sans Unicode" w:hAnsi="Arial" w:cs="Times New Roman"/>
          <w:i/>
          <w:sz w:val="22"/>
          <w:lang w:bidi="ar-SA"/>
        </w:rPr>
        <w:t xml:space="preserve"> su disolución (…)</w:t>
      </w: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ARTÍCULO 17. Administración competente para la constitución y puesta en funcionamiento de la Entidad urbanística de Conservación.</w:t>
      </w:r>
    </w:p>
    <w:p w:rsidR="00061CF1" w:rsidRDefault="004E6D5A">
      <w:pPr>
        <w:spacing w:after="120" w:line="248" w:lineRule="atLeast"/>
        <w:ind w:firstLine="1134"/>
        <w:jc w:val="both"/>
        <w:rPr>
          <w:rFonts w:ascii="Arial" w:eastAsia="Lucida Sans Unicode" w:hAnsi="Arial" w:cs="Times New Roman"/>
          <w:i/>
          <w:sz w:val="22"/>
          <w:lang w:bidi="ar-SA"/>
        </w:rPr>
      </w:pPr>
      <w:r>
        <w:rPr>
          <w:rFonts w:ascii="Arial" w:eastAsia="Lucida Sans Unicode" w:hAnsi="Arial" w:cs="Times New Roman"/>
          <w:i/>
          <w:sz w:val="22"/>
          <w:lang w:bidi="ar-SA"/>
        </w:rPr>
        <w:t>En cuanto al impulso, coordinación y puesta en funcionamiento de la Entidad Urbanística de Conservación (E</w:t>
      </w:r>
      <w:r>
        <w:rPr>
          <w:rFonts w:ascii="Arial" w:eastAsia="Lucida Sans Unicode" w:hAnsi="Arial" w:cs="Times New Roman"/>
          <w:i/>
          <w:sz w:val="22"/>
          <w:lang w:bidi="ar-SA"/>
        </w:rPr>
        <w:t>UC), visto que el ámbito espacial de la misma ocupa terrenos en tres municipios, Arafo, Candelaria y Güímar, teniendo un carácter supramunicipal, así como su calificación por el Plan Insular de Tenerife de carácter insular, le corresponderá al Cabildo de T</w:t>
      </w:r>
      <w:r>
        <w:rPr>
          <w:rFonts w:ascii="Arial" w:eastAsia="Lucida Sans Unicode" w:hAnsi="Arial" w:cs="Times New Roman"/>
          <w:i/>
          <w:sz w:val="22"/>
          <w:lang w:bidi="ar-SA"/>
        </w:rPr>
        <w:t>enerife. La coordinación e impulso de la constitución y la organización de las reuniones con los propietarios, se realizará por el Cabildo de Tenerife.</w:t>
      </w:r>
    </w:p>
    <w:p w:rsidR="00061CF1" w:rsidRDefault="004E6D5A">
      <w:pPr>
        <w:spacing w:after="120" w:line="248" w:lineRule="atLeast"/>
        <w:ind w:firstLine="1134"/>
        <w:jc w:val="both"/>
        <w:rPr>
          <w:rFonts w:ascii="Arial" w:eastAsia="Lucida Sans Unicode" w:hAnsi="Arial" w:cs="Times New Roman"/>
          <w:b/>
          <w:i/>
          <w:sz w:val="22"/>
          <w:lang w:bidi="ar-SA"/>
        </w:rPr>
      </w:pPr>
      <w:r>
        <w:rPr>
          <w:rFonts w:ascii="Arial" w:eastAsia="Lucida Sans Unicode" w:hAnsi="Arial" w:cs="Times New Roman"/>
          <w:b/>
          <w:i/>
          <w:sz w:val="22"/>
          <w:lang w:bidi="ar-SA"/>
        </w:rPr>
        <w:t>Se reconoce el carácter supramunicipal del Polígono Industrial del Valle de Güímar, y por ende de su órg</w:t>
      </w:r>
      <w:r>
        <w:rPr>
          <w:rFonts w:ascii="Arial" w:eastAsia="Lucida Sans Unicode" w:hAnsi="Arial" w:cs="Times New Roman"/>
          <w:b/>
          <w:i/>
          <w:sz w:val="22"/>
          <w:lang w:bidi="ar-SA"/>
        </w:rPr>
        <w:t>ano de gestión, que es la Entidad Urbanística de Conservación.</w:t>
      </w:r>
    </w:p>
    <w:p w:rsidR="00061CF1" w:rsidRDefault="00061CF1">
      <w:pPr>
        <w:spacing w:after="120" w:line="248" w:lineRule="atLeast"/>
        <w:jc w:val="both"/>
        <w:rPr>
          <w:rFonts w:ascii="Arial" w:eastAsia="Times New Roman" w:hAnsi="Arial" w:cs="Arial"/>
          <w:b/>
          <w:i/>
          <w:lang w:eastAsia="es-ES" w:bidi="ar-SA"/>
        </w:rPr>
      </w:pP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ARTÍCULO 19. ÓRGANOS DE GOBIERNO.</w:t>
      </w: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Conforme al principio de autonomía local constitucionalmente garantizado (Art. 137 de la c.e.) y el artículo 3 de la Carta Europea de Autonomía local de 15 de</w:t>
      </w:r>
      <w:r>
        <w:rPr>
          <w:rFonts w:ascii="Arial" w:eastAsia="Times New Roman" w:hAnsi="Arial" w:cs="Arial"/>
          <w:b/>
          <w:i/>
          <w:lang w:eastAsia="es-ES" w:bidi="ar-SA"/>
        </w:rPr>
        <w:t xml:space="preserve"> octubre de 1985, los municipios deben tener derecho de voto en la Junta directiva de la Entidad Urbanística de Conservación al igual que el Cabildo Insular, lo que felizmente ha sido rectificado por el Cabildo Insular en esta última propuesta de </w:t>
      </w:r>
    </w:p>
    <w:p w:rsidR="00061CF1" w:rsidRDefault="00061CF1">
      <w:pPr>
        <w:spacing w:after="120" w:line="248" w:lineRule="atLeast"/>
        <w:ind w:firstLine="1134"/>
        <w:jc w:val="both"/>
        <w:rPr>
          <w:rFonts w:ascii="Arial" w:eastAsia="Times New Roman" w:hAnsi="Arial" w:cs="Arial"/>
          <w:b/>
          <w:i/>
          <w:lang w:eastAsia="es-ES" w:bidi="ar-SA"/>
        </w:rPr>
      </w:pP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Estatut</w:t>
      </w:r>
      <w:r>
        <w:rPr>
          <w:rFonts w:ascii="Arial" w:eastAsia="Times New Roman" w:hAnsi="Arial" w:cs="Arial"/>
          <w:b/>
          <w:i/>
          <w:lang w:eastAsia="es-ES" w:bidi="ar-SA"/>
        </w:rPr>
        <w:t>os, quedando como sigue los órganos de gobierno:</w:t>
      </w:r>
    </w:p>
    <w:p w:rsidR="00061CF1" w:rsidRDefault="004E6D5A">
      <w:pPr>
        <w:spacing w:after="120" w:line="248" w:lineRule="atLeast"/>
        <w:ind w:left="1134"/>
        <w:jc w:val="both"/>
      </w:pPr>
      <w:r>
        <w:rPr>
          <w:rFonts w:ascii="Arial" w:eastAsia="Lucida Sans Unicode" w:hAnsi="Arial" w:cs="Times New Roman"/>
          <w:i/>
          <w:noProof/>
          <w:sz w:val="22"/>
          <w:lang w:eastAsia="es-ES" w:bidi="ar-SA"/>
        </w:rPr>
        <w:drawing>
          <wp:inline distT="0" distB="0" distL="0" distR="0">
            <wp:extent cx="5753240" cy="6037975"/>
            <wp:effectExtent l="0" t="0" r="0" b="875"/>
            <wp:docPr id="21" name="Imagen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753240" cy="6037975"/>
                    </a:xfrm>
                    <a:prstGeom prst="rect">
                      <a:avLst/>
                    </a:prstGeom>
                    <a:noFill/>
                    <a:ln>
                      <a:noFill/>
                      <a:prstDash/>
                    </a:ln>
                  </pic:spPr>
                </pic:pic>
              </a:graphicData>
            </a:graphic>
          </wp:inline>
        </w:drawing>
      </w:r>
      <w:r>
        <w:rPr>
          <w:rFonts w:ascii="Arial" w:eastAsia="Times New Roman" w:hAnsi="Arial" w:cs="Arial"/>
          <w:b/>
          <w:i/>
          <w:lang w:eastAsia="es-ES" w:bidi="ar-SA"/>
        </w:rPr>
        <w:t>Por tanto, la Junta directiva está compuesta por 9 miembros con derecho a voto con la siguiente distribución:</w:t>
      </w: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-9 con derecho a voto (se ha conseguido que los Ayuntamientos tengan derecho de voto y la suma d</w:t>
      </w:r>
      <w:r>
        <w:rPr>
          <w:rFonts w:ascii="Arial" w:eastAsia="Times New Roman" w:hAnsi="Arial" w:cs="Arial"/>
          <w:b/>
          <w:i/>
          <w:lang w:eastAsia="es-ES" w:bidi="ar-SA"/>
        </w:rPr>
        <w:t>e los votos de los Aytos. es la misma que la del Cabildo, frente a la redacción inicial realizada por el Cabildo en la que los Ayuntamientos quedan sin voto).</w:t>
      </w:r>
    </w:p>
    <w:p w:rsidR="00061CF1" w:rsidRDefault="004E6D5A">
      <w:pPr>
        <w:spacing w:after="120" w:line="248" w:lineRule="atLeast"/>
        <w:ind w:firstLine="1134"/>
        <w:jc w:val="both"/>
        <w:rPr>
          <w:rFonts w:ascii="Arial" w:eastAsia="Times New Roman" w:hAnsi="Arial" w:cs="Arial"/>
          <w:i/>
          <w:lang w:eastAsia="es-ES" w:bidi="ar-SA"/>
        </w:rPr>
      </w:pPr>
      <w:r>
        <w:rPr>
          <w:rFonts w:ascii="Arial" w:eastAsia="Times New Roman" w:hAnsi="Arial" w:cs="Arial"/>
          <w:i/>
          <w:lang w:eastAsia="es-ES" w:bidi="ar-SA"/>
        </w:rPr>
        <w:t>-Presidente, Vicepresidente y un vocal en representación de los propietarios.</w:t>
      </w:r>
    </w:p>
    <w:p w:rsidR="00061CF1" w:rsidRDefault="004E6D5A">
      <w:pPr>
        <w:spacing w:after="120" w:line="248" w:lineRule="atLeast"/>
        <w:ind w:firstLine="1134"/>
        <w:jc w:val="both"/>
        <w:rPr>
          <w:rFonts w:ascii="Arial" w:eastAsia="Times New Roman" w:hAnsi="Arial" w:cs="Arial"/>
          <w:i/>
          <w:lang w:eastAsia="es-ES" w:bidi="ar-SA"/>
        </w:rPr>
      </w:pPr>
      <w:r>
        <w:rPr>
          <w:rFonts w:ascii="Arial" w:eastAsia="Times New Roman" w:hAnsi="Arial" w:cs="Arial"/>
          <w:i/>
          <w:lang w:eastAsia="es-ES" w:bidi="ar-SA"/>
        </w:rPr>
        <w:t xml:space="preserve">-3 representantes </w:t>
      </w:r>
      <w:r>
        <w:rPr>
          <w:rFonts w:ascii="Arial" w:eastAsia="Times New Roman" w:hAnsi="Arial" w:cs="Arial"/>
          <w:i/>
          <w:lang w:eastAsia="es-ES" w:bidi="ar-SA"/>
        </w:rPr>
        <w:t>del Cabildo Insular de Tenerife.</w:t>
      </w:r>
    </w:p>
    <w:p w:rsidR="00061CF1" w:rsidRDefault="00061CF1">
      <w:pPr>
        <w:spacing w:after="120" w:line="248" w:lineRule="atLeast"/>
        <w:ind w:firstLine="1134"/>
        <w:jc w:val="both"/>
        <w:rPr>
          <w:rFonts w:ascii="Arial" w:eastAsia="Times New Roman" w:hAnsi="Arial" w:cs="Arial"/>
          <w:i/>
          <w:lang w:eastAsia="es-ES" w:bidi="ar-SA"/>
        </w:rPr>
      </w:pPr>
    </w:p>
    <w:p w:rsidR="00061CF1" w:rsidRDefault="004E6D5A">
      <w:pPr>
        <w:spacing w:after="120" w:line="248" w:lineRule="atLeast"/>
        <w:ind w:firstLine="1134"/>
        <w:jc w:val="both"/>
        <w:rPr>
          <w:rFonts w:ascii="Arial" w:eastAsia="Times New Roman" w:hAnsi="Arial" w:cs="Arial"/>
          <w:i/>
          <w:lang w:eastAsia="es-ES" w:bidi="ar-SA"/>
        </w:rPr>
      </w:pPr>
      <w:r>
        <w:rPr>
          <w:rFonts w:ascii="Arial" w:eastAsia="Times New Roman" w:hAnsi="Arial" w:cs="Arial"/>
          <w:i/>
          <w:lang w:eastAsia="es-ES" w:bidi="ar-SA"/>
        </w:rPr>
        <w:t>-1 representante del Ayuntamiento de Arafo, 1 representante del Ayuntamiento de Candelaria  y 1 representante del Ayuntamiento de Güimar.</w:t>
      </w:r>
    </w:p>
    <w:p w:rsidR="00061CF1" w:rsidRDefault="004E6D5A">
      <w:pPr>
        <w:spacing w:after="120" w:line="248" w:lineRule="atLeast"/>
        <w:ind w:firstLine="1134"/>
        <w:jc w:val="both"/>
        <w:rPr>
          <w:rFonts w:ascii="Arial" w:eastAsia="Times New Roman" w:hAnsi="Arial" w:cs="Arial"/>
          <w:b/>
          <w:i/>
          <w:lang w:eastAsia="es-ES" w:bidi="ar-SA"/>
        </w:rPr>
      </w:pPr>
      <w:r>
        <w:rPr>
          <w:rFonts w:ascii="Arial" w:eastAsia="Times New Roman" w:hAnsi="Arial" w:cs="Arial"/>
          <w:b/>
          <w:i/>
          <w:lang w:eastAsia="es-ES" w:bidi="ar-SA"/>
        </w:rPr>
        <w:t>-3 representantes con voz y sin voto: Gerente, Secretario y Tesorero.</w:t>
      </w:r>
    </w:p>
    <w:p w:rsidR="00061CF1" w:rsidRDefault="004E6D5A">
      <w:pPr>
        <w:spacing w:after="120" w:line="248" w:lineRule="atLeast"/>
        <w:jc w:val="both"/>
      </w:pPr>
      <w:r>
        <w:rPr>
          <w:rFonts w:ascii="Arial" w:eastAsia="Lucida Sans Unicode" w:hAnsi="Arial" w:cs="Arial"/>
          <w:b/>
          <w:i/>
          <w:lang w:bidi="ar-SA"/>
        </w:rPr>
        <w:t>Artículo 23°.</w:t>
      </w:r>
      <w:r>
        <w:rPr>
          <w:rFonts w:ascii="Cambria Math" w:eastAsia="Lucida Sans Unicode" w:hAnsi="Cambria Math" w:cs="Cambria Math"/>
          <w:b/>
          <w:i/>
          <w:lang w:bidi="ar-SA"/>
        </w:rPr>
        <w:t>‐</w:t>
      </w:r>
      <w:r>
        <w:rPr>
          <w:rFonts w:ascii="Arial" w:eastAsia="Lucida Sans Unicode" w:hAnsi="Arial" w:cs="Arial"/>
          <w:b/>
          <w:i/>
          <w:lang w:bidi="ar-SA"/>
        </w:rPr>
        <w:t xml:space="preserve"> El/La Gerente, el/la Secretario/a y el/la Tesorero/a: </w:t>
      </w:r>
    </w:p>
    <w:p w:rsidR="00061CF1" w:rsidRDefault="004E6D5A">
      <w:pPr>
        <w:spacing w:after="120" w:line="248" w:lineRule="atLeast"/>
        <w:ind w:firstLine="1134"/>
        <w:jc w:val="both"/>
        <w:rPr>
          <w:rFonts w:ascii="Arial" w:eastAsia="Lucida Sans Unicode" w:hAnsi="Arial" w:cs="Arial"/>
          <w:b/>
          <w:i/>
          <w:lang w:bidi="ar-SA"/>
        </w:rPr>
      </w:pPr>
      <w:r>
        <w:rPr>
          <w:rFonts w:ascii="Arial" w:eastAsia="Lucida Sans Unicode" w:hAnsi="Arial" w:cs="Arial"/>
          <w:b/>
          <w:i/>
          <w:lang w:bidi="ar-SA"/>
        </w:rPr>
        <w:t>Se exige al Gerente su selección mediante la convocatoria pública.</w:t>
      </w:r>
    </w:p>
    <w:p w:rsidR="00061CF1" w:rsidRDefault="004E6D5A">
      <w:pPr>
        <w:spacing w:after="120" w:line="248" w:lineRule="atLeast"/>
        <w:ind w:firstLine="1134"/>
        <w:jc w:val="both"/>
        <w:rPr>
          <w:rFonts w:ascii="Arial" w:eastAsia="Lucida Sans Unicode" w:hAnsi="Arial" w:cs="Arial"/>
          <w:b/>
          <w:i/>
          <w:lang w:bidi="ar-SA"/>
        </w:rPr>
      </w:pPr>
      <w:r>
        <w:rPr>
          <w:rFonts w:ascii="Arial" w:eastAsia="Lucida Sans Unicode" w:hAnsi="Arial" w:cs="Arial"/>
          <w:b/>
          <w:i/>
          <w:lang w:bidi="ar-SA"/>
        </w:rPr>
        <w:t xml:space="preserve">Al igual que a todo el personal directivo de entidades que estén participadas por entes públicos o por entidades que desempeñen </w:t>
      </w:r>
      <w:r>
        <w:rPr>
          <w:rFonts w:ascii="Arial" w:eastAsia="Lucida Sans Unicode" w:hAnsi="Arial" w:cs="Arial"/>
          <w:b/>
          <w:i/>
          <w:lang w:bidi="ar-SA"/>
        </w:rPr>
        <w:t>funciones públicas que todo personal o cargo ejecutivo se llame consejero delegado, director general o gerente debe ser seleccionado mediante convocatoria pública en el que se garanticen los principios de mérito, capacidad, concurrencia y publicidad siendo</w:t>
      </w:r>
      <w:r>
        <w:rPr>
          <w:rFonts w:ascii="Arial" w:eastAsia="Lucida Sans Unicode" w:hAnsi="Arial" w:cs="Arial"/>
          <w:b/>
          <w:i/>
          <w:lang w:bidi="ar-SA"/>
        </w:rPr>
        <w:t xml:space="preserve"> nulo de pleno derecho su nombramiento directo sin pruebas selectivas por mor de la D.A. 1ª del TREBEP.</w:t>
      </w:r>
    </w:p>
    <w:p w:rsidR="00061CF1" w:rsidRDefault="004E6D5A">
      <w:pPr>
        <w:spacing w:after="120" w:line="248" w:lineRule="atLeast"/>
        <w:ind w:firstLine="1134"/>
        <w:jc w:val="both"/>
        <w:rPr>
          <w:rFonts w:ascii="Arial" w:eastAsia="Lucida Sans Unicode" w:hAnsi="Arial" w:cs="Arial"/>
          <w:i/>
          <w:sz w:val="22"/>
          <w:szCs w:val="22"/>
          <w:lang w:bidi="ar-SA"/>
        </w:rPr>
      </w:pPr>
      <w:r>
        <w:rPr>
          <w:rFonts w:ascii="Arial" w:eastAsia="Lucida Sans Unicode" w:hAnsi="Arial" w:cs="Arial"/>
          <w:i/>
          <w:sz w:val="22"/>
          <w:szCs w:val="22"/>
          <w:lang w:bidi="ar-SA"/>
        </w:rPr>
        <w:t xml:space="preserve">A) El/La Gerente: </w:t>
      </w:r>
    </w:p>
    <w:p w:rsidR="00061CF1" w:rsidRDefault="004E6D5A">
      <w:pPr>
        <w:spacing w:after="120" w:line="248" w:lineRule="atLeast"/>
        <w:ind w:firstLine="1134"/>
        <w:jc w:val="both"/>
        <w:rPr>
          <w:rFonts w:ascii="Arial" w:eastAsia="Lucida Sans Unicode" w:hAnsi="Arial" w:cs="Arial"/>
          <w:i/>
          <w:sz w:val="22"/>
          <w:szCs w:val="22"/>
          <w:lang w:bidi="ar-SA"/>
        </w:rPr>
      </w:pPr>
      <w:r>
        <w:rPr>
          <w:rFonts w:ascii="Arial" w:eastAsia="Lucida Sans Unicode" w:hAnsi="Arial" w:cs="Arial"/>
          <w:i/>
          <w:sz w:val="22"/>
          <w:szCs w:val="22"/>
          <w:lang w:bidi="ar-SA"/>
        </w:rPr>
        <w:t>1.- La selección de la Gerencia se realizará por la Junta General basándose en los principios de mérito, capacidad, concurrencia y pu</w:t>
      </w:r>
      <w:r>
        <w:rPr>
          <w:rFonts w:ascii="Arial" w:eastAsia="Lucida Sans Unicode" w:hAnsi="Arial" w:cs="Arial"/>
          <w:i/>
          <w:sz w:val="22"/>
          <w:szCs w:val="22"/>
          <w:lang w:bidi="ar-SA"/>
        </w:rPr>
        <w:t xml:space="preserve">blicidad, con el fin de que se elabore un procedimiento de selección ágil y eficaz para designar una persona profesionalmente cualificada y con titulación universitaria. </w:t>
      </w:r>
    </w:p>
    <w:p w:rsidR="00061CF1" w:rsidRDefault="004E6D5A">
      <w:pPr>
        <w:spacing w:after="120" w:line="248" w:lineRule="atLeast"/>
        <w:ind w:firstLine="1134"/>
        <w:jc w:val="both"/>
      </w:pPr>
      <w:r>
        <w:rPr>
          <w:rFonts w:ascii="Arial" w:eastAsia="Lucida Sans Unicode" w:hAnsi="Arial" w:cs="Arial"/>
          <w:i/>
          <w:sz w:val="22"/>
          <w:szCs w:val="22"/>
          <w:lang w:bidi="ar-SA"/>
        </w:rPr>
        <w:t>Tiene el deber de ejecutar los acuerdos tomados por los órganos de gobierno del a ent</w:t>
      </w:r>
      <w:r>
        <w:rPr>
          <w:rFonts w:ascii="Arial" w:eastAsia="Lucida Sans Unicode" w:hAnsi="Arial" w:cs="Arial"/>
          <w:i/>
          <w:sz w:val="22"/>
          <w:szCs w:val="22"/>
          <w:lang w:bidi="ar-SA"/>
        </w:rPr>
        <w:t>idad y velar por su cumplimiento. Tiene el deber del seguimiento, control y supervisión de todos los servicios contratados por la entidad con la finalidad de conservar y mantener el polígono.</w:t>
      </w:r>
    </w:p>
    <w:p w:rsidR="00061CF1" w:rsidRDefault="004E6D5A">
      <w:pPr>
        <w:autoSpaceDE w:val="0"/>
        <w:spacing w:before="180" w:after="180" w:line="276" w:lineRule="auto"/>
        <w:ind w:firstLine="1134"/>
        <w:jc w:val="both"/>
        <w:textAlignment w:val="auto"/>
      </w:pPr>
      <w:r>
        <w:rPr>
          <w:rFonts w:ascii="Arial" w:eastAsia="Times New Roman" w:hAnsi="Arial" w:cs="Arial"/>
          <w:b/>
          <w:i/>
          <w:sz w:val="22"/>
          <w:szCs w:val="22"/>
          <w:lang w:val="es" w:eastAsia="es-ES" w:bidi="ar-SA"/>
        </w:rPr>
        <w:t>Artículo 25°.</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Medios económicos:</w:t>
      </w:r>
    </w:p>
    <w:p w:rsidR="00061CF1" w:rsidRDefault="004E6D5A">
      <w:pPr>
        <w:autoSpaceDE w:val="0"/>
        <w:spacing w:before="180" w:after="180" w:line="276" w:lineRule="auto"/>
        <w:ind w:firstLine="1134"/>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La Entidad se financiará, c</w:t>
      </w:r>
      <w:r>
        <w:rPr>
          <w:rFonts w:ascii="Arial" w:eastAsia="Times New Roman" w:hAnsi="Arial" w:cs="Arial"/>
          <w:i/>
          <w:sz w:val="22"/>
          <w:szCs w:val="22"/>
          <w:lang w:val="es" w:eastAsia="es-ES" w:bidi="ar-SA"/>
        </w:rPr>
        <w:t>onforme lo establecido en el Capítulo III de los presentes estatutos, por los siguientes ingresos:</w:t>
      </w:r>
    </w:p>
    <w:p w:rsidR="00061CF1" w:rsidRDefault="004E6D5A">
      <w:pPr>
        <w:autoSpaceDE w:val="0"/>
        <w:spacing w:before="180" w:after="180" w:line="276" w:lineRule="auto"/>
        <w:ind w:firstLine="1134"/>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 Las cuotas de toda índole de los miembros, cuya cuantía y periodicidad podrá variar la Asamblea General.</w:t>
      </w:r>
    </w:p>
    <w:p w:rsidR="00061CF1" w:rsidRDefault="004E6D5A">
      <w:pPr>
        <w:autoSpaceDE w:val="0"/>
        <w:spacing w:before="180" w:after="180" w:line="276" w:lineRule="auto"/>
        <w:ind w:firstLine="1134"/>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b) De las aportaciones anuales del Cabildo de </w:t>
      </w:r>
      <w:r>
        <w:rPr>
          <w:rFonts w:ascii="Arial" w:eastAsia="Times New Roman" w:hAnsi="Arial" w:cs="Arial"/>
          <w:i/>
          <w:sz w:val="22"/>
          <w:szCs w:val="22"/>
          <w:lang w:val="es" w:eastAsia="es-ES" w:bidi="ar-SA"/>
        </w:rPr>
        <w:t>Tenerife y de los Ayuntamientos en los términos previstos en el artículo 12.</w:t>
      </w:r>
    </w:p>
    <w:p w:rsidR="00061CF1" w:rsidRDefault="004E6D5A">
      <w:pPr>
        <w:autoSpaceDE w:val="0"/>
        <w:spacing w:before="180" w:after="180" w:line="276" w:lineRule="auto"/>
        <w:ind w:firstLine="1134"/>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 Otras aportaciones como subvenciones, auxilios, donativos y otros ingresos.</w:t>
      </w:r>
    </w:p>
    <w:p w:rsidR="00061CF1" w:rsidRDefault="004E6D5A">
      <w:pPr>
        <w:autoSpaceDE w:val="0"/>
        <w:spacing w:before="180" w:after="180" w:line="276" w:lineRule="auto"/>
        <w:ind w:firstLine="1134"/>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Si durante el ejercicio surgiera una necesidad imprevista que exigiere un gasto extraordinario, </w:t>
      </w:r>
      <w:r>
        <w:rPr>
          <w:rFonts w:ascii="Arial" w:eastAsia="Times New Roman" w:hAnsi="Arial" w:cs="Arial"/>
          <w:i/>
          <w:sz w:val="22"/>
          <w:szCs w:val="22"/>
          <w:lang w:val="es" w:eastAsia="es-ES" w:bidi="ar-SA"/>
        </w:rPr>
        <w:t>será preciso acuerdo de la Asamblea especialmente convocada a este objeto.</w:t>
      </w:r>
    </w:p>
    <w:p w:rsidR="00061CF1" w:rsidRDefault="004E6D5A">
      <w:pPr>
        <w:spacing w:after="120" w:line="248" w:lineRule="atLeast"/>
        <w:ind w:firstLine="1134"/>
        <w:jc w:val="both"/>
      </w:pPr>
      <w:r>
        <w:rPr>
          <w:rFonts w:ascii="Arial" w:eastAsia="Times New Roman" w:hAnsi="Arial" w:cs="Arial"/>
          <w:b/>
          <w:i/>
          <w:sz w:val="22"/>
          <w:szCs w:val="22"/>
          <w:lang w:eastAsia="es-ES" w:bidi="ar-SA"/>
        </w:rPr>
        <w:t>En cuanto a la distribución de las cuotas se contienen en el informe técnico que consta en el expediente elaborado por el Cabildo Insular de Tenerife denominado memoria económica de</w:t>
      </w:r>
      <w:r>
        <w:rPr>
          <w:rFonts w:ascii="Arial" w:eastAsia="Times New Roman" w:hAnsi="Arial" w:cs="Arial"/>
          <w:b/>
          <w:i/>
          <w:sz w:val="22"/>
          <w:szCs w:val="22"/>
          <w:lang w:eastAsia="es-ES" w:bidi="ar-SA"/>
        </w:rPr>
        <w:t xml:space="preserve"> fecha 17 de julio de 2025 denominado: “</w:t>
      </w:r>
      <w:r>
        <w:rPr>
          <w:rFonts w:ascii="Arial" w:eastAsia="Lucida Sans Unicode" w:hAnsi="Arial" w:cs="Arial"/>
          <w:i/>
          <w:sz w:val="22"/>
          <w:szCs w:val="22"/>
          <w:lang w:bidi="ar-SA"/>
        </w:rPr>
        <w:t xml:space="preserve">MEMORIA ECONÓMICA DEL CÁLCULO DE LAS CUOTAS DE PARTICIPACIÓN PARA LA CONSTITUCIÓN DE LA ENTIDAD URBANÍSTICA DE CONSERVACIÓN DEL POLÍGONO INDUSTRIAL “VALLE DE GÜIMAR”” </w:t>
      </w:r>
      <w:r>
        <w:rPr>
          <w:rFonts w:ascii="Arial" w:eastAsia="Lucida Sans Unicode" w:hAnsi="Arial" w:cs="Arial"/>
          <w:b/>
          <w:i/>
          <w:sz w:val="22"/>
          <w:szCs w:val="22"/>
          <w:lang w:bidi="ar-SA"/>
        </w:rPr>
        <w:t>firmado por Javier Gallego Simón, Técnico de Admi</w:t>
      </w:r>
      <w:r>
        <w:rPr>
          <w:rFonts w:ascii="Arial" w:eastAsia="Lucida Sans Unicode" w:hAnsi="Arial" w:cs="Arial"/>
          <w:b/>
          <w:i/>
          <w:sz w:val="22"/>
          <w:szCs w:val="22"/>
          <w:lang w:bidi="ar-SA"/>
        </w:rPr>
        <w:t>nistración Especial del Servicio Administrativo de Industria, Comercio y Apoyo a la Empresa.</w:t>
      </w:r>
    </w:p>
    <w:p w:rsidR="00061CF1" w:rsidRDefault="00061CF1">
      <w:pPr>
        <w:spacing w:after="120" w:line="248" w:lineRule="atLeast"/>
        <w:ind w:firstLine="1134"/>
        <w:jc w:val="both"/>
        <w:rPr>
          <w:rFonts w:ascii="Arial" w:eastAsia="Times New Roman" w:hAnsi="Arial" w:cs="Arial"/>
          <w:b/>
          <w:i/>
          <w:sz w:val="22"/>
          <w:szCs w:val="22"/>
          <w:lang w:eastAsia="es-ES" w:bidi="ar-SA"/>
        </w:rPr>
      </w:pPr>
    </w:p>
    <w:p w:rsidR="00061CF1" w:rsidRDefault="00061CF1">
      <w:pPr>
        <w:spacing w:after="120" w:line="248" w:lineRule="atLeast"/>
        <w:ind w:left="2268" w:firstLine="1134"/>
        <w:jc w:val="both"/>
        <w:rPr>
          <w:rFonts w:ascii="Arial" w:eastAsia="Times New Roman" w:hAnsi="Arial" w:cs="Arial"/>
          <w:b/>
          <w:i/>
          <w:sz w:val="22"/>
          <w:szCs w:val="22"/>
          <w:lang w:eastAsia="es-ES" w:bidi="ar-SA"/>
        </w:rPr>
      </w:pPr>
    </w:p>
    <w:p w:rsidR="00061CF1" w:rsidRDefault="004E6D5A">
      <w:pPr>
        <w:spacing w:after="120" w:line="248" w:lineRule="atLeast"/>
        <w:ind w:left="1134" w:firstLine="1134"/>
        <w:jc w:val="both"/>
        <w:rPr>
          <w:rFonts w:ascii="Arial" w:eastAsia="Times New Roman" w:hAnsi="Arial" w:cs="Arial"/>
          <w:b/>
          <w:i/>
          <w:lang w:eastAsia="es-ES" w:bidi="ar-SA"/>
        </w:rPr>
      </w:pPr>
      <w:r>
        <w:rPr>
          <w:rFonts w:ascii="Arial" w:eastAsia="Times New Roman" w:hAnsi="Arial" w:cs="Arial"/>
          <w:b/>
          <w:i/>
          <w:lang w:eastAsia="es-ES" w:bidi="ar-SA"/>
        </w:rPr>
        <w:t>PROPUESTA DE ACUERDO AL PLENO</w:t>
      </w:r>
    </w:p>
    <w:p w:rsidR="00061CF1" w:rsidRDefault="004E6D5A">
      <w:pPr>
        <w:widowControl/>
        <w:suppressAutoHyphens w:val="0"/>
        <w:autoSpaceDE w:val="0"/>
        <w:ind w:firstLine="1134"/>
        <w:jc w:val="both"/>
        <w:textAlignment w:val="auto"/>
        <w:rPr>
          <w:rFonts w:ascii="Arial" w:eastAsia="Times New Roman" w:hAnsi="Arial" w:cs="Arial"/>
          <w:b/>
          <w:i/>
          <w:lang w:eastAsia="es-ES" w:bidi="ar-SA"/>
        </w:rPr>
      </w:pPr>
      <w:r>
        <w:rPr>
          <w:rFonts w:ascii="Arial" w:eastAsia="Times New Roman" w:hAnsi="Arial" w:cs="Arial"/>
          <w:b/>
          <w:i/>
          <w:lang w:eastAsia="es-ES" w:bidi="ar-SA"/>
        </w:rPr>
        <w:t xml:space="preserve">Primera.- Aprobar inicialmente los estatutos para la constitución de una entidad urbanística de conservación del Polígono </w:t>
      </w:r>
      <w:r>
        <w:rPr>
          <w:rFonts w:ascii="Arial" w:eastAsia="Times New Roman" w:hAnsi="Arial" w:cs="Arial"/>
          <w:b/>
          <w:i/>
          <w:lang w:eastAsia="es-ES" w:bidi="ar-SA"/>
        </w:rPr>
        <w:t>Industrial del Valle de Güimar, (E.U.C. Polígono de Güimar) negociados entre el Cabildo Insular de Tenerife y los Ayuntamientos de Arafo, Candelaria y Güimar, que constan en el expediente fechados a 15 de septiembre de 2025 y que se incluyen como Anexo a e</w:t>
      </w:r>
      <w:r>
        <w:rPr>
          <w:rFonts w:ascii="Arial" w:eastAsia="Times New Roman" w:hAnsi="Arial" w:cs="Arial"/>
          <w:b/>
          <w:i/>
          <w:lang w:eastAsia="es-ES" w:bidi="ar-SA"/>
        </w:rPr>
        <w:t>ste acuerdo.</w:t>
      </w:r>
    </w:p>
    <w:p w:rsidR="00061CF1" w:rsidRDefault="00061CF1">
      <w:pPr>
        <w:widowControl/>
        <w:suppressAutoHyphens w:val="0"/>
        <w:autoSpaceDE w:val="0"/>
        <w:ind w:firstLine="1134"/>
        <w:jc w:val="both"/>
        <w:textAlignment w:val="auto"/>
        <w:rPr>
          <w:rFonts w:ascii="Arial" w:eastAsia="Times New Roman" w:hAnsi="Arial" w:cs="Arial"/>
          <w:b/>
          <w:i/>
          <w:lang w:eastAsia="es-ES" w:bidi="ar-SA"/>
        </w:rPr>
      </w:pPr>
    </w:p>
    <w:p w:rsidR="00061CF1" w:rsidRDefault="004E6D5A">
      <w:pPr>
        <w:widowControl/>
        <w:suppressAutoHyphens w:val="0"/>
        <w:autoSpaceDE w:val="0"/>
        <w:ind w:firstLine="1134"/>
        <w:jc w:val="both"/>
        <w:textAlignment w:val="auto"/>
      </w:pPr>
      <w:r>
        <w:rPr>
          <w:rFonts w:ascii="Arial" w:eastAsia="Times New Roman" w:hAnsi="Arial" w:cs="Arial"/>
          <w:b/>
          <w:i/>
          <w:lang w:eastAsia="es-ES" w:bidi="ar-SA"/>
        </w:rPr>
        <w:t xml:space="preserve">Segundo.- Someter el expediente a información pública </w:t>
      </w:r>
      <w:r>
        <w:rPr>
          <w:rFonts w:ascii="Arial" w:eastAsia="Lucida Sans Unicode" w:hAnsi="Arial" w:cs="Arial"/>
          <w:b/>
          <w:i/>
          <w:lang w:bidi="ar-SA"/>
        </w:rPr>
        <w:t>y audiencia a los interesados por el plazo mínimo de treinta días hábiles para la presentación de reclamaciones y sugerencias mediante la inserción del correspondiente anuncio en el Boletí</w:t>
      </w:r>
      <w:r>
        <w:rPr>
          <w:rFonts w:ascii="Arial" w:eastAsia="Lucida Sans Unicode" w:hAnsi="Arial" w:cs="Arial"/>
          <w:b/>
          <w:i/>
          <w:lang w:bidi="ar-SA"/>
        </w:rPr>
        <w:t>n Oficial de la Provincia.</w:t>
      </w:r>
    </w:p>
    <w:p w:rsidR="00061CF1" w:rsidRDefault="00061CF1">
      <w:pPr>
        <w:widowControl/>
        <w:suppressAutoHyphens w:val="0"/>
        <w:autoSpaceDE w:val="0"/>
        <w:ind w:firstLine="1134"/>
        <w:jc w:val="both"/>
        <w:textAlignment w:val="auto"/>
        <w:rPr>
          <w:rFonts w:ascii="Arial" w:eastAsia="Lucida Sans Unicode" w:hAnsi="Arial" w:cs="Arial"/>
          <w:i/>
          <w:lang w:bidi="ar-SA"/>
        </w:rPr>
      </w:pPr>
    </w:p>
    <w:p w:rsidR="00061CF1" w:rsidRDefault="004E6D5A">
      <w:pPr>
        <w:widowControl/>
        <w:suppressAutoHyphens w:val="0"/>
        <w:autoSpaceDE w:val="0"/>
        <w:ind w:firstLine="1134"/>
        <w:jc w:val="both"/>
        <w:textAlignment w:val="auto"/>
        <w:rPr>
          <w:rFonts w:ascii="Arial" w:eastAsia="Lucida Sans Unicode" w:hAnsi="Arial" w:cs="Arial"/>
          <w:b/>
          <w:i/>
          <w:lang w:bidi="ar-SA"/>
        </w:rPr>
      </w:pPr>
      <w:r>
        <w:rPr>
          <w:rFonts w:ascii="Arial" w:eastAsia="Lucida Sans Unicode" w:hAnsi="Arial" w:cs="Arial"/>
          <w:b/>
          <w:i/>
          <w:lang w:bidi="ar-SA"/>
        </w:rPr>
        <w:t>En el caso de que no se hubiera presentado ninguna reclamación o sugerencia, se entenderá definitivamente adoptado el acuerdo hasta entonces provisional.</w:t>
      </w:r>
    </w:p>
    <w:p w:rsidR="00061CF1" w:rsidRDefault="00061CF1">
      <w:pPr>
        <w:widowControl/>
        <w:suppressAutoHyphens w:val="0"/>
        <w:autoSpaceDE w:val="0"/>
        <w:ind w:firstLine="1134"/>
        <w:jc w:val="both"/>
        <w:textAlignment w:val="auto"/>
        <w:rPr>
          <w:rFonts w:ascii="Arial" w:eastAsia="Lucida Sans Unicode" w:hAnsi="Arial" w:cs="Arial"/>
          <w:b/>
          <w:i/>
          <w:lang w:bidi="ar-SA"/>
        </w:rPr>
      </w:pPr>
    </w:p>
    <w:p w:rsidR="00061CF1" w:rsidRDefault="004E6D5A">
      <w:pPr>
        <w:widowControl/>
        <w:suppressAutoHyphens w:val="0"/>
        <w:autoSpaceDE w:val="0"/>
        <w:ind w:firstLine="1134"/>
        <w:jc w:val="both"/>
        <w:textAlignment w:val="auto"/>
        <w:rPr>
          <w:rFonts w:ascii="Arial" w:eastAsia="Lucida Sans Unicode" w:hAnsi="Arial" w:cs="Arial"/>
          <w:b/>
          <w:i/>
          <w:lang w:bidi="ar-SA"/>
        </w:rPr>
      </w:pPr>
      <w:r>
        <w:rPr>
          <w:rFonts w:ascii="Arial" w:eastAsia="Lucida Sans Unicode" w:hAnsi="Arial" w:cs="Arial"/>
          <w:b/>
          <w:i/>
          <w:lang w:bidi="ar-SA"/>
        </w:rPr>
        <w:t>En caso contrario, el Pleno de forma definitiva tendrá que resolver de fo</w:t>
      </w:r>
      <w:r>
        <w:rPr>
          <w:rFonts w:ascii="Arial" w:eastAsia="Lucida Sans Unicode" w:hAnsi="Arial" w:cs="Arial"/>
          <w:b/>
          <w:i/>
          <w:lang w:bidi="ar-SA"/>
        </w:rPr>
        <w:t>rma motivada las alegaciones que se hayan presentado y aprobar de forma definitiva un texto, para lo cual será imprescindible que se coordinen tanto el Cabildo Insular junto a los Ayuntamiento de Arafo, Candelaria y Güimar para aprobar el mismo texto con c</w:t>
      </w:r>
      <w:r>
        <w:rPr>
          <w:rFonts w:ascii="Arial" w:eastAsia="Lucida Sans Unicode" w:hAnsi="Arial" w:cs="Arial"/>
          <w:b/>
          <w:i/>
          <w:lang w:bidi="ar-SA"/>
        </w:rPr>
        <w:t>arácter definitivo por sus correspondientes plenos.</w:t>
      </w:r>
    </w:p>
    <w:p w:rsidR="00061CF1" w:rsidRDefault="00061CF1">
      <w:pPr>
        <w:widowControl/>
        <w:suppressAutoHyphens w:val="0"/>
        <w:autoSpaceDE w:val="0"/>
        <w:ind w:firstLine="1134"/>
        <w:jc w:val="both"/>
        <w:textAlignment w:val="auto"/>
        <w:rPr>
          <w:rFonts w:ascii="Arial" w:eastAsia="Times New Roman" w:hAnsi="Arial" w:cs="Arial"/>
          <w:b/>
          <w:i/>
          <w:lang w:eastAsia="es-ES" w:bidi="ar-SA"/>
        </w:rPr>
      </w:pPr>
    </w:p>
    <w:p w:rsidR="00061CF1" w:rsidRDefault="00061CF1">
      <w:pPr>
        <w:widowControl/>
        <w:suppressAutoHyphens w:val="0"/>
        <w:autoSpaceDE w:val="0"/>
        <w:ind w:firstLine="1134"/>
        <w:jc w:val="both"/>
        <w:textAlignment w:val="auto"/>
        <w:rPr>
          <w:rFonts w:ascii="Arial" w:eastAsia="Times New Roman" w:hAnsi="Arial" w:cs="Arial"/>
          <w:b/>
          <w:i/>
          <w:lang w:eastAsia="es-ES" w:bidi="ar-SA"/>
        </w:rPr>
      </w:pP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firstLine="1134"/>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061CF1">
      <w:pPr>
        <w:widowControl/>
        <w:suppressAutoHyphens w:val="0"/>
        <w:autoSpaceDE w:val="0"/>
        <w:ind w:left="3402"/>
        <w:jc w:val="both"/>
        <w:textAlignment w:val="auto"/>
        <w:rPr>
          <w:rFonts w:ascii="Arial" w:eastAsia="Times New Roman" w:hAnsi="Arial" w:cs="Arial"/>
          <w:b/>
          <w:i/>
          <w:sz w:val="22"/>
          <w:szCs w:val="22"/>
          <w:lang w:eastAsia="es-ES" w:bidi="ar-SA"/>
        </w:rPr>
      </w:pPr>
    </w:p>
    <w:p w:rsidR="00061CF1" w:rsidRDefault="004E6D5A">
      <w:pPr>
        <w:widowControl/>
        <w:suppressAutoHyphens w:val="0"/>
        <w:autoSpaceDE w:val="0"/>
        <w:ind w:left="3402"/>
        <w:jc w:val="both"/>
        <w:textAlignment w:val="auto"/>
        <w:rPr>
          <w:rFonts w:ascii="Arial" w:eastAsia="Times New Roman" w:hAnsi="Arial" w:cs="Arial"/>
          <w:b/>
          <w:i/>
          <w:sz w:val="22"/>
          <w:szCs w:val="22"/>
          <w:lang w:eastAsia="es-ES" w:bidi="ar-SA"/>
        </w:rPr>
      </w:pPr>
      <w:r>
        <w:rPr>
          <w:rFonts w:ascii="Arial" w:eastAsia="Times New Roman" w:hAnsi="Arial" w:cs="Arial"/>
          <w:b/>
          <w:i/>
          <w:sz w:val="22"/>
          <w:szCs w:val="22"/>
          <w:lang w:eastAsia="es-ES" w:bidi="ar-SA"/>
        </w:rPr>
        <w:t>ANEXO</w:t>
      </w:r>
    </w:p>
    <w:p w:rsidR="00061CF1" w:rsidRDefault="004E6D5A">
      <w:pPr>
        <w:widowControl/>
        <w:shd w:val="clear" w:color="auto" w:fill="FFFFFF"/>
        <w:suppressAutoHyphens w:val="0"/>
        <w:spacing w:before="120" w:after="120" w:line="276" w:lineRule="auto"/>
        <w:jc w:val="both"/>
        <w:textAlignment w:val="auto"/>
      </w:pPr>
      <w:r>
        <w:rPr>
          <w:rFonts w:ascii="Arial" w:eastAsia="Cambria" w:hAnsi="Arial" w:cs="Arial"/>
          <w:b/>
          <w:bCs/>
          <w:i/>
          <w:kern w:val="0"/>
          <w:sz w:val="22"/>
          <w:szCs w:val="22"/>
          <w:lang w:val="es-ES_tradnl" w:eastAsia="en-US" w:bidi="ar-SA"/>
        </w:rPr>
        <w:t xml:space="preserve">“ESTATUTOS DE LA ENTIDAD URBANÍSTICA DE CONSERVACIÓN DEL POLÍGONO INDUSTRIAL VALLE DE GÜÏMAR (E.U.C. POLÍGONO VALLE </w:t>
      </w:r>
      <w:r>
        <w:rPr>
          <w:rFonts w:ascii="Arial" w:eastAsia="Cambria" w:hAnsi="Arial" w:cs="Arial"/>
          <w:b/>
          <w:bCs/>
          <w:i/>
          <w:caps/>
          <w:kern w:val="0"/>
          <w:sz w:val="22"/>
          <w:szCs w:val="22"/>
          <w:lang w:val="es-ES_tradnl" w:eastAsia="en-US" w:bidi="ar-SA"/>
        </w:rPr>
        <w:t>Güímar)</w:t>
      </w:r>
      <w:r>
        <w:rPr>
          <w:rFonts w:ascii="Arial" w:eastAsia="Cambria" w:hAnsi="Arial" w:cs="Arial"/>
          <w:b/>
          <w:bCs/>
          <w:i/>
          <w:kern w:val="0"/>
          <w:sz w:val="22"/>
          <w:szCs w:val="22"/>
          <w:lang w:val="es-ES_tradnl" w:eastAsia="en-US" w:bidi="ar-SA"/>
        </w:rPr>
        <w:t>”</w:t>
      </w:r>
    </w:p>
    <w:p w:rsidR="00061CF1" w:rsidRDefault="004E6D5A">
      <w:pPr>
        <w:widowControl/>
        <w:shd w:val="clear" w:color="auto" w:fill="FFFFFF"/>
        <w:suppressAutoHyphens w:val="0"/>
        <w:spacing w:before="120" w:after="120" w:line="276" w:lineRule="auto"/>
        <w:jc w:val="both"/>
        <w:textAlignment w:val="auto"/>
      </w:pPr>
      <w:r>
        <w:rPr>
          <w:rFonts w:ascii="Arial" w:eastAsia="Cambria" w:hAnsi="Arial" w:cs="Arial"/>
          <w:b/>
          <w:bCs/>
          <w:i/>
          <w:noProof/>
          <w:kern w:val="0"/>
          <w:sz w:val="22"/>
          <w:szCs w:val="22"/>
          <w:lang w:eastAsia="es-ES" w:bidi="ar-SA"/>
        </w:rPr>
        <w:drawing>
          <wp:inline distT="0" distB="0" distL="0" distR="0">
            <wp:extent cx="6119493" cy="15243"/>
            <wp:effectExtent l="0" t="0" r="0" b="3807"/>
            <wp:docPr id="22" name="Horizontal Line 3" descr="Línea predetermina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119493" cy="15243"/>
                    </a:xfrm>
                    <a:prstGeom prst="rect">
                      <a:avLst/>
                    </a:prstGeom>
                    <a:noFill/>
                    <a:ln>
                      <a:noFill/>
                      <a:prstDash/>
                    </a:ln>
                  </pic:spPr>
                </pic:pic>
              </a:graphicData>
            </a:graphic>
          </wp:inline>
        </w:drawing>
      </w:r>
    </w:p>
    <w:p w:rsidR="00061CF1" w:rsidRDefault="00061CF1">
      <w:pPr>
        <w:autoSpaceDE w:val="0"/>
        <w:spacing w:before="120" w:after="120" w:line="276" w:lineRule="auto"/>
        <w:jc w:val="both"/>
        <w:textAlignment w:val="auto"/>
        <w:rPr>
          <w:rFonts w:ascii="Arial" w:eastAsia="Times New Roman" w:hAnsi="Arial" w:cs="Arial"/>
          <w:b/>
          <w:i/>
          <w:sz w:val="22"/>
          <w:szCs w:val="22"/>
          <w:shd w:val="clear" w:color="auto" w:fill="FFFFFF"/>
          <w:lang w:val="es" w:eastAsia="es-ES" w:bidi="ar-SA"/>
        </w:rPr>
      </w:pPr>
    </w:p>
    <w:p w:rsidR="00061CF1" w:rsidRDefault="004E6D5A">
      <w:pPr>
        <w:autoSpaceDE w:val="0"/>
        <w:spacing w:before="120" w:after="120" w:line="276" w:lineRule="auto"/>
        <w:jc w:val="both"/>
        <w:textAlignment w:val="auto"/>
        <w:rPr>
          <w:rFonts w:ascii="Arial" w:eastAsia="Times New Roman" w:hAnsi="Arial" w:cs="Arial"/>
          <w:b/>
          <w:i/>
          <w:sz w:val="22"/>
          <w:szCs w:val="22"/>
          <w:shd w:val="clear" w:color="auto" w:fill="FFFFFF"/>
          <w:lang w:val="es" w:eastAsia="es-ES" w:bidi="ar-SA"/>
        </w:rPr>
      </w:pPr>
      <w:r>
        <w:rPr>
          <w:rFonts w:ascii="Arial" w:eastAsia="Times New Roman" w:hAnsi="Arial" w:cs="Arial"/>
          <w:b/>
          <w:i/>
          <w:sz w:val="22"/>
          <w:szCs w:val="22"/>
          <w:shd w:val="clear" w:color="auto" w:fill="FFFFFF"/>
          <w:lang w:val="es" w:eastAsia="es-ES" w:bidi="ar-SA"/>
        </w:rPr>
        <w:t>CAPÍTULO I</w:t>
      </w:r>
    </w:p>
    <w:p w:rsidR="00061CF1" w:rsidRDefault="004E6D5A">
      <w:pPr>
        <w:autoSpaceDE w:val="0"/>
        <w:spacing w:before="120" w:after="120" w:line="276" w:lineRule="auto"/>
        <w:jc w:val="both"/>
        <w:textAlignment w:val="auto"/>
        <w:rPr>
          <w:rFonts w:ascii="Arial" w:eastAsia="Times New Roman" w:hAnsi="Arial" w:cs="Arial"/>
          <w:b/>
          <w:i/>
          <w:sz w:val="22"/>
          <w:szCs w:val="22"/>
          <w:shd w:val="clear" w:color="auto" w:fill="FFFFFF"/>
          <w:lang w:val="es" w:eastAsia="es-ES" w:bidi="ar-SA"/>
        </w:rPr>
      </w:pPr>
      <w:r>
        <w:rPr>
          <w:rFonts w:ascii="Arial" w:eastAsia="Times New Roman" w:hAnsi="Arial" w:cs="Arial"/>
          <w:b/>
          <w:i/>
          <w:sz w:val="22"/>
          <w:szCs w:val="22"/>
          <w:shd w:val="clear" w:color="auto" w:fill="FFFFFF"/>
          <w:lang w:val="es" w:eastAsia="es-ES" w:bidi="ar-SA"/>
        </w:rPr>
        <w:t xml:space="preserve">Disposiciones generales </w:t>
      </w:r>
    </w:p>
    <w:p w:rsidR="00061CF1" w:rsidRDefault="004E6D5A">
      <w:pPr>
        <w:autoSpaceDE w:val="0"/>
        <w:spacing w:before="240" w:after="240" w:line="276" w:lineRule="auto"/>
        <w:jc w:val="both"/>
        <w:textAlignment w:val="auto"/>
      </w:pPr>
      <w:r>
        <w:rPr>
          <w:rFonts w:ascii="Arial" w:eastAsia="Times New Roman" w:hAnsi="Arial" w:cs="Arial"/>
          <w:b/>
          <w:i/>
          <w:sz w:val="22"/>
          <w:szCs w:val="22"/>
          <w:lang w:val="es" w:eastAsia="es-ES" w:bidi="ar-SA"/>
        </w:rPr>
        <w:t>Artículo 1º.-</w:t>
      </w:r>
      <w:r>
        <w:rPr>
          <w:rFonts w:ascii="Arial" w:eastAsia="Times New Roman" w:hAnsi="Arial" w:cs="Arial"/>
          <w:i/>
          <w:sz w:val="22"/>
          <w:szCs w:val="22"/>
          <w:lang w:val="es" w:eastAsia="es-ES" w:bidi="ar-SA"/>
        </w:rPr>
        <w:t xml:space="preserve"> </w:t>
      </w:r>
      <w:r>
        <w:rPr>
          <w:rFonts w:ascii="Arial" w:eastAsia="Times New Roman" w:hAnsi="Arial" w:cs="Arial"/>
          <w:b/>
          <w:i/>
          <w:sz w:val="22"/>
          <w:szCs w:val="22"/>
          <w:lang w:val="es" w:eastAsia="es-ES" w:bidi="ar-SA"/>
        </w:rPr>
        <w:t>Constitución y denominación:</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virtud de las gestiones previas realizadas por el Cabildo de Tenerife con los Ayuntamientos de Arafo, Candelaria y Güímar, así como con los propietarios de la zona industrial, con la finalidad de que se asuma la conservación</w:t>
      </w:r>
      <w:r>
        <w:rPr>
          <w:rFonts w:ascii="Arial" w:eastAsia="Times New Roman" w:hAnsi="Arial" w:cs="Arial"/>
          <w:i/>
          <w:sz w:val="22"/>
          <w:szCs w:val="22"/>
          <w:lang w:val="es" w:eastAsia="es-ES" w:bidi="ar-SA"/>
        </w:rPr>
        <w:t xml:space="preserve"> y mantenimiento de la zona industrial “Polígono Industrial Valle de Güímar”, mediante los presentes Estatutos se constituye una Entidad Urbanística de Conservación bajo la denominación de “ENTIDAD URBANÍSTICA DE CONSERVACIÓN DEL POLÍGONO INDUSTRIAL VALLE </w:t>
      </w:r>
      <w:r>
        <w:rPr>
          <w:rFonts w:ascii="Arial" w:eastAsia="Times New Roman" w:hAnsi="Arial" w:cs="Arial"/>
          <w:i/>
          <w:sz w:val="22"/>
          <w:szCs w:val="22"/>
          <w:lang w:val="es" w:eastAsia="es-ES" w:bidi="ar-SA"/>
        </w:rPr>
        <w:t>DE GÜÏMAR (E.U.C. POLÍGONO VALLE GÜÍMAR)”, que habrá de regirse por los mismos y por las disposiciones legales que sean de aplicación en cada momento.</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pertenencia a la E.U.C es obligatoria para todas aquellos que sean propietarios de terreno/parcelas/</w:t>
      </w:r>
      <w:r>
        <w:rPr>
          <w:rFonts w:ascii="Arial" w:eastAsia="Times New Roman" w:hAnsi="Arial" w:cs="Arial"/>
          <w:i/>
          <w:sz w:val="22"/>
          <w:szCs w:val="22"/>
          <w:lang w:val="es" w:eastAsia="es-ES" w:bidi="ar-SA"/>
        </w:rPr>
        <w:t>solares dentro de la zona industrial “Polígono Industrial Valle de Güímar”, la cual se delimita en el plano que se adjunta como ANEXO I, y respecto al listado de las parcelas identificadas a la fecha de elaboración de los presentes estatutos como ANEXO II.</w:t>
      </w:r>
      <w:r>
        <w:rPr>
          <w:rFonts w:ascii="Arial" w:eastAsia="Times New Roman" w:hAnsi="Arial" w:cs="Arial"/>
          <w:i/>
          <w:sz w:val="22"/>
          <w:szCs w:val="22"/>
          <w:lang w:val="es" w:eastAsia="es-ES" w:bidi="ar-SA"/>
        </w:rPr>
        <w:t xml:space="preserve"> Teniendo en cuenta la obligatoriedad de la adscripción a la presente entidad, de todos los propietarios actuales, así como para quienes los adquieran por cualquier título en el futuro, comprometiéndose los propietarios, en caso de transmisión onerosa, a h</w:t>
      </w:r>
      <w:r>
        <w:rPr>
          <w:rFonts w:ascii="Arial" w:eastAsia="Times New Roman" w:hAnsi="Arial" w:cs="Arial"/>
          <w:i/>
          <w:sz w:val="22"/>
          <w:szCs w:val="22"/>
          <w:lang w:val="es" w:eastAsia="es-ES" w:bidi="ar-SA"/>
        </w:rPr>
        <w:t xml:space="preserve">acer constar esta circunstancia en los documentos en que se formalice la misma. Asimismo, será obligatorio para nuevos propietarios y segregación de parcelas, siempre y cuando se encuentren dentro del ámbito geográfico referenciado en el plano indicado. </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simismo, en el año 2001 se modificó el Plan Parcial del Polígono de Valle de Güímar, y en su artículo 11.2 se estableció que el sistema de conservación de las obras de urbanización le correspondería a los propietarios a través de una Entidad Urbanística de</w:t>
      </w:r>
      <w:r>
        <w:rPr>
          <w:rFonts w:ascii="Arial" w:eastAsia="Times New Roman" w:hAnsi="Arial" w:cs="Arial"/>
          <w:i/>
          <w:sz w:val="22"/>
          <w:szCs w:val="22"/>
          <w:lang w:val="es" w:eastAsia="es-ES" w:bidi="ar-SA"/>
        </w:rPr>
        <w:t xml:space="preserve"> Conservación. En este sentido, el Plan General de Arafo: Adaptación Básica 2005, aprobado por acuerdo de la COTMAC el 26 de enero de 2005 (BOC de 18 de abril de 2005), recoge en su artículo 1.1.2.2, c), d), e) y f) del documento de Normas y Anexos que se </w:t>
      </w:r>
      <w:r>
        <w:rPr>
          <w:rFonts w:ascii="Arial" w:eastAsia="Times New Roman" w:hAnsi="Arial" w:cs="Arial"/>
          <w:i/>
          <w:sz w:val="22"/>
          <w:szCs w:val="22"/>
          <w:lang w:val="es" w:eastAsia="es-ES" w:bidi="ar-SA"/>
        </w:rPr>
        <w:t>mantiene la vigencia con carácter transitorio de las determinaciones de gestión y desarrollo del mismo, así como de las obligaciones y derechos en cuanto a su ejecución. Igualmente, el Plan General de Ordenación de Güímar, publicado en el BOC n.º 130, mart</w:t>
      </w:r>
      <w:r>
        <w:rPr>
          <w:rFonts w:ascii="Arial" w:eastAsia="Times New Roman" w:hAnsi="Arial" w:cs="Arial"/>
          <w:i/>
          <w:sz w:val="22"/>
          <w:szCs w:val="22"/>
          <w:lang w:val="es" w:eastAsia="es-ES" w:bidi="ar-SA"/>
        </w:rPr>
        <w:t xml:space="preserve">es 5 de julio de 2005, en el documento Normas Urbanísticas, establece en su artículo 2.2 y 3 que se mantiene la vigencia con carácter transitorio de las determinaciones de gestión y desarrollo del mismo, así como de las obligaciones y derechos en cuanto a </w:t>
      </w:r>
      <w:r>
        <w:rPr>
          <w:rFonts w:ascii="Arial" w:eastAsia="Times New Roman" w:hAnsi="Arial" w:cs="Arial"/>
          <w:i/>
          <w:sz w:val="22"/>
          <w:szCs w:val="22"/>
          <w:lang w:val="es" w:eastAsia="es-ES" w:bidi="ar-SA"/>
        </w:rPr>
        <w:t xml:space="preserve">su ejecución. El Plan General de Ordenación de Candelaria establece en sus Normas, concretamente en el artículo 1.0.7, artículo 8.6 y artículo 1 del Anexo 1 sobre las Condiciones Particulares de la Edificación Industrial en el Polígono del Valle de Güímar </w:t>
      </w:r>
      <w:r>
        <w:rPr>
          <w:rFonts w:ascii="Arial" w:eastAsia="Times New Roman" w:hAnsi="Arial" w:cs="Arial"/>
          <w:i/>
          <w:sz w:val="22"/>
          <w:szCs w:val="22"/>
          <w:lang w:val="es" w:eastAsia="es-ES" w:bidi="ar-SA"/>
        </w:rPr>
        <w:t xml:space="preserve">que se mantendrán con carácter subsidiario las Ordenanzas del Plan Parcial, en aquellos casos que presenten vacíos respecto al nuevo planeamiento. Por tanto, desde el año 2001, el Plan Parcial y desde el año 2005, los Planes Generales de Ordenación de los </w:t>
      </w:r>
      <w:r>
        <w:rPr>
          <w:rFonts w:ascii="Arial" w:eastAsia="Times New Roman" w:hAnsi="Arial" w:cs="Arial"/>
          <w:i/>
          <w:sz w:val="22"/>
          <w:szCs w:val="22"/>
          <w:lang w:val="es" w:eastAsia="es-ES" w:bidi="ar-SA"/>
        </w:rPr>
        <w:t>tres municipios han establecido la forma de conservación del polígono, los cual recogen el carácter forzoso y obligatorio de la constitución de una Entidad Urbanística de Conservación”.</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pPr>
      <w:r>
        <w:rPr>
          <w:rFonts w:ascii="Arial" w:eastAsia="Times New Roman" w:hAnsi="Arial" w:cs="Arial"/>
          <w:b/>
          <w:i/>
          <w:sz w:val="22"/>
          <w:szCs w:val="22"/>
          <w:lang w:val="es" w:eastAsia="es-ES" w:bidi="ar-SA"/>
        </w:rPr>
        <w:t>Artículo 2º.- Naturaleza, régimen jurídico y capacidad:</w:t>
      </w:r>
    </w:p>
    <w:p w:rsidR="00061CF1" w:rsidRDefault="004E6D5A">
      <w:pPr>
        <w:autoSpaceDE w:val="0"/>
        <w:spacing w:before="240" w:after="240" w:line="276" w:lineRule="auto"/>
        <w:jc w:val="both"/>
        <w:textAlignment w:val="auto"/>
      </w:pPr>
      <w:r>
        <w:rPr>
          <w:rFonts w:ascii="Arial" w:eastAsia="Times New Roman" w:hAnsi="Arial" w:cs="Arial"/>
          <w:i/>
          <w:sz w:val="22"/>
          <w:szCs w:val="22"/>
          <w:lang w:val="es" w:eastAsia="es-ES" w:bidi="ar-SA"/>
        </w:rPr>
        <w:t>La Entidad ur</w:t>
      </w:r>
      <w:r>
        <w:rPr>
          <w:rFonts w:ascii="Arial" w:eastAsia="Times New Roman" w:hAnsi="Arial" w:cs="Arial"/>
          <w:i/>
          <w:sz w:val="22"/>
          <w:szCs w:val="22"/>
          <w:lang w:val="es" w:eastAsia="es-ES" w:bidi="ar-SA"/>
        </w:rPr>
        <w:t xml:space="preserve">banística de conservación es una </w:t>
      </w:r>
      <w:r>
        <w:rPr>
          <w:rFonts w:ascii="Arial" w:eastAsia="Calibri" w:hAnsi="Arial" w:cs="Arial"/>
          <w:i/>
          <w:iCs/>
          <w:sz w:val="22"/>
          <w:szCs w:val="22"/>
          <w:lang w:bidi="ar-SA"/>
        </w:rPr>
        <w:t xml:space="preserve">asociación administrativa de propietarios, de adscripción obligatoria, con personalidad y capacidad jurídica propia para el cumplimiento de sus fines, que adquieren personalidad jurídica desde su inscripción en el registro </w:t>
      </w:r>
      <w:r>
        <w:rPr>
          <w:rFonts w:ascii="Arial" w:eastAsia="Calibri" w:hAnsi="Arial" w:cs="Arial"/>
          <w:i/>
          <w:iCs/>
          <w:sz w:val="22"/>
          <w:szCs w:val="22"/>
          <w:lang w:bidi="ar-SA"/>
        </w:rPr>
        <w:t xml:space="preserve">administrativo de Entidades Colaboradoras de la Comunidad Autónoma de Canarias, previa aprobación de sus estatutos por el órgano correspondiente del Cabildo de Tenerife, y posteriormente por los tres Ayuntamientos de Arafo, Candelaria y Güímar. </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En cuanto </w:t>
      </w:r>
      <w:r>
        <w:rPr>
          <w:rFonts w:ascii="Arial" w:eastAsia="Times New Roman" w:hAnsi="Arial" w:cs="Arial"/>
          <w:i/>
          <w:sz w:val="22"/>
          <w:szCs w:val="22"/>
          <w:lang w:val="es" w:eastAsia="es-ES" w:bidi="ar-SA"/>
        </w:rPr>
        <w:t>a su régimen jurídico se regirá por los presentes Estatutos, por los artículos 266 y siguientes de la Ley 4/2017, de 13 de julio, del Suelo y de los Espacios Naturales Protegidos de Canarias, por los artículos 134 y siguientes del Decreto 183/2018, de 26 d</w:t>
      </w:r>
      <w:r>
        <w:rPr>
          <w:rFonts w:ascii="Arial" w:eastAsia="Times New Roman" w:hAnsi="Arial" w:cs="Arial"/>
          <w:i/>
          <w:sz w:val="22"/>
          <w:szCs w:val="22"/>
          <w:lang w:val="es" w:eastAsia="es-ES" w:bidi="ar-SA"/>
        </w:rPr>
        <w:t xml:space="preserve">e diciembre, por el que se aprueba el Reglamento de Gestión y Ejecución del Planeamiento de Canarias, por los artículos </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24 y siguientes del Real Decreto 3288/1978, de 25 de agosto, por el que se aprueba el Reglamento de Gestión Urbanística para el desarr</w:t>
      </w:r>
      <w:r>
        <w:rPr>
          <w:rFonts w:ascii="Arial" w:eastAsia="Times New Roman" w:hAnsi="Arial" w:cs="Arial"/>
          <w:i/>
          <w:sz w:val="22"/>
          <w:szCs w:val="22"/>
          <w:lang w:val="es" w:eastAsia="es-ES" w:bidi="ar-SA"/>
        </w:rPr>
        <w:t>ollo y aplicación de la Ley sobre Régimen del Suelo y Ordenación Urbana y así como demás legislación urbanística aplicable, estatal y autonómica que pudiera resultarle de aplicación a las Entidades Urbanísticas de Conservación.</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pPr>
      <w:r>
        <w:rPr>
          <w:rFonts w:ascii="Arial" w:eastAsia="Times New Roman" w:hAnsi="Arial" w:cs="Arial"/>
          <w:b/>
          <w:i/>
          <w:sz w:val="22"/>
          <w:szCs w:val="22"/>
          <w:lang w:val="es" w:eastAsia="es-ES" w:bidi="ar-SA"/>
        </w:rPr>
        <w:t>Artículo 3º.-</w:t>
      </w:r>
      <w:r>
        <w:rPr>
          <w:rFonts w:ascii="Arial" w:eastAsia="Times New Roman" w:hAnsi="Arial" w:cs="Arial"/>
          <w:i/>
          <w:sz w:val="22"/>
          <w:szCs w:val="22"/>
          <w:lang w:val="es" w:eastAsia="es-ES" w:bidi="ar-SA"/>
        </w:rPr>
        <w:t xml:space="preserve"> </w:t>
      </w:r>
      <w:r>
        <w:rPr>
          <w:rFonts w:ascii="Arial" w:eastAsia="Times New Roman" w:hAnsi="Arial" w:cs="Arial"/>
          <w:b/>
          <w:i/>
          <w:sz w:val="22"/>
          <w:szCs w:val="22"/>
          <w:lang w:val="es" w:eastAsia="es-ES" w:bidi="ar-SA"/>
        </w:rPr>
        <w:t>Ámbito y domi</w:t>
      </w:r>
      <w:r>
        <w:rPr>
          <w:rFonts w:ascii="Arial" w:eastAsia="Times New Roman" w:hAnsi="Arial" w:cs="Arial"/>
          <w:b/>
          <w:i/>
          <w:sz w:val="22"/>
          <w:szCs w:val="22"/>
          <w:lang w:val="es" w:eastAsia="es-ES" w:bidi="ar-SA"/>
        </w:rPr>
        <w:t>cilio:</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1.- El ámbito espacial de actuación de la entidad, es el correspondiente a todos los terrenos incluidos en el “Polígono Industrial Valle de Güímar” según queda delimitado con el plano anexo a los presentes estatutos. Todo ello, sin perjuicio que, po</w:t>
      </w:r>
      <w:r>
        <w:rPr>
          <w:rFonts w:ascii="Arial" w:eastAsia="Times New Roman" w:hAnsi="Arial" w:cs="Arial"/>
          <w:i/>
          <w:sz w:val="22"/>
          <w:szCs w:val="22"/>
          <w:lang w:val="es" w:eastAsia="es-ES" w:bidi="ar-SA"/>
        </w:rPr>
        <w:t>r acuerdo de la Asamblea General, se modifique el ámbito de actuación para incorporar o suprimir terrenos, o incluso incluir nuevas áreas industriales cercanas de cualquiera de los tres municipios para una eficaz y eficiente gestión. Asimismo, se incorpora</w:t>
      </w:r>
      <w:r>
        <w:rPr>
          <w:rFonts w:ascii="Arial" w:eastAsia="Times New Roman" w:hAnsi="Arial" w:cs="Arial"/>
          <w:i/>
          <w:sz w:val="22"/>
          <w:szCs w:val="22"/>
          <w:lang w:val="es" w:eastAsia="es-ES" w:bidi="ar-SA"/>
        </w:rPr>
        <w:t xml:space="preserve"> como anexo listado de todas las referencias catastrales incluidas en el ámbito espacial de esta entidad a la fecha de redacción de los presentes Estatutos.</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2.- El domicilio social de la Entidad está ubicado en Arafo, en la Calle…………………….Edificio Tatusa, c</w:t>
      </w:r>
      <w:r>
        <w:rPr>
          <w:rFonts w:ascii="Arial" w:eastAsia="Times New Roman" w:hAnsi="Arial" w:cs="Arial"/>
          <w:i/>
          <w:sz w:val="22"/>
          <w:szCs w:val="22"/>
          <w:lang w:val="es" w:eastAsia="es-ES" w:bidi="ar-SA"/>
        </w:rPr>
        <w:t>uya titularidad, según catastro, le corresponde a los Ayuntamientos de Arafo, Candelaria y Güímar. El traslado de domicilio a otro lugar, dentro de la localidad, requerirá acuerdo de la Asamblea General, dando cuenta al Cabildo de Tenerife, a los Ayuntamie</w:t>
      </w:r>
      <w:r>
        <w:rPr>
          <w:rFonts w:ascii="Arial" w:eastAsia="Times New Roman" w:hAnsi="Arial" w:cs="Arial"/>
          <w:i/>
          <w:sz w:val="22"/>
          <w:szCs w:val="22"/>
          <w:lang w:val="es" w:eastAsia="es-ES" w:bidi="ar-SA"/>
        </w:rPr>
        <w:t>ntos y al Registro de Entidades Urbanísticas Colaboradoras.</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pPr>
      <w:r>
        <w:rPr>
          <w:rFonts w:ascii="Arial" w:eastAsia="Times New Roman" w:hAnsi="Arial" w:cs="Arial"/>
          <w:b/>
          <w:i/>
          <w:sz w:val="22"/>
          <w:szCs w:val="22"/>
          <w:lang w:val="es" w:eastAsia="es-ES" w:bidi="ar-SA"/>
        </w:rPr>
        <w:t>Artículo 4º.-</w:t>
      </w:r>
      <w:r>
        <w:rPr>
          <w:rFonts w:ascii="Arial" w:eastAsia="Times New Roman" w:hAnsi="Arial" w:cs="Arial"/>
          <w:i/>
          <w:sz w:val="22"/>
          <w:szCs w:val="22"/>
          <w:lang w:val="es" w:eastAsia="es-ES" w:bidi="ar-SA"/>
        </w:rPr>
        <w:t xml:space="preserve"> </w:t>
      </w:r>
      <w:r>
        <w:rPr>
          <w:rFonts w:ascii="Arial" w:eastAsia="Times New Roman" w:hAnsi="Arial" w:cs="Arial"/>
          <w:b/>
          <w:i/>
          <w:sz w:val="22"/>
          <w:szCs w:val="22"/>
          <w:lang w:val="es" w:eastAsia="es-ES" w:bidi="ar-SA"/>
        </w:rPr>
        <w:t>Objeto y Fines:</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Esta Entidad tiene como objeto el mantenimiento y conservación de las obras de urbanización y el mantenimiento de las dotaciones e instalaciones de los servicios </w:t>
      </w:r>
      <w:r>
        <w:rPr>
          <w:rFonts w:ascii="Arial" w:eastAsia="Times New Roman" w:hAnsi="Arial" w:cs="Arial"/>
          <w:i/>
          <w:sz w:val="22"/>
          <w:szCs w:val="22"/>
          <w:lang w:val="es" w:eastAsia="es-ES" w:bidi="ar-SA"/>
        </w:rPr>
        <w:t>públicos correspondientes a su ámbito territorial establecido en el anexo de los presentes Estatutos, o bien, por acuerdo de la Asamblea General, en los términos y alcance que con carácter general se recogen en el cuadro siguiente:</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tbl>
      <w:tblPr>
        <w:tblW w:w="8505" w:type="dxa"/>
        <w:tblInd w:w="-5" w:type="dxa"/>
        <w:tblCellMar>
          <w:left w:w="10" w:type="dxa"/>
          <w:right w:w="10" w:type="dxa"/>
        </w:tblCellMar>
        <w:tblLook w:val="0000" w:firstRow="0" w:lastRow="0" w:firstColumn="0" w:lastColumn="0" w:noHBand="0" w:noVBand="0"/>
      </w:tblPr>
      <w:tblGrid>
        <w:gridCol w:w="4395"/>
        <w:gridCol w:w="4110"/>
      </w:tblGrid>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CONSERVACIÓN Y MANTENIM</w:t>
            </w:r>
            <w:r>
              <w:rPr>
                <w:rFonts w:ascii="Arial" w:eastAsia="Times New Roman" w:hAnsi="Arial" w:cs="Arial"/>
                <w:i/>
                <w:sz w:val="22"/>
                <w:szCs w:val="22"/>
                <w:lang w:val="es" w:eastAsia="es-ES" w:bidi="ar-SA"/>
              </w:rPr>
              <w:t>IENTO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CONTRATACIÓN Y FINANCIACIÓN</w:t>
            </w:r>
          </w:p>
        </w:tc>
      </w:tr>
      <w:tr w:rsidR="00061CF1">
        <w:tblPrEx>
          <w:tblCellMar>
            <w:top w:w="0" w:type="dxa"/>
            <w:bottom w:w="0" w:type="dxa"/>
          </w:tblCellMar>
        </w:tblPrEx>
        <w:trPr>
          <w:trHeight w:val="473"/>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Red viaria, acerado y señalización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5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Zonas verdes, jardines y zonas comunes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46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Red de hidrantes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Alumbrado público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Otras infraestructuras de servicio común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bl>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tbl>
      <w:tblPr>
        <w:tblW w:w="8505" w:type="dxa"/>
        <w:tblInd w:w="-5" w:type="dxa"/>
        <w:tblCellMar>
          <w:left w:w="10" w:type="dxa"/>
          <w:right w:w="10" w:type="dxa"/>
        </w:tblCellMar>
        <w:tblLook w:val="0000" w:firstRow="0" w:lastRow="0" w:firstColumn="0" w:lastColumn="0" w:noHBand="0" w:noVBand="0"/>
      </w:tblPr>
      <w:tblGrid>
        <w:gridCol w:w="4395"/>
        <w:gridCol w:w="4110"/>
      </w:tblGrid>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SERVICIOS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CONTRATACIÓN Y </w:t>
            </w:r>
            <w:r>
              <w:rPr>
                <w:rFonts w:ascii="Arial" w:eastAsia="Times New Roman" w:hAnsi="Arial" w:cs="Arial"/>
                <w:i/>
                <w:sz w:val="22"/>
                <w:szCs w:val="22"/>
                <w:lang w:val="es" w:eastAsia="es-ES" w:bidi="ar-SA"/>
              </w:rPr>
              <w:t>FINANCIACIÓN</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Desratización y control de plagas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Limpieza viaria y recogida de residuos no domésticos (industrial)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Vigilancia privada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Abastecimiento de agua y saneamiento (ciclo integral del agua)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Ayuntamientos</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Suministro y consumo </w:t>
            </w:r>
            <w:r>
              <w:rPr>
                <w:rFonts w:ascii="Arial" w:eastAsia="Times New Roman" w:hAnsi="Arial" w:cs="Arial"/>
                <w:i/>
                <w:sz w:val="22"/>
                <w:szCs w:val="22"/>
                <w:lang w:val="es" w:eastAsia="es-ES" w:bidi="ar-SA"/>
              </w:rPr>
              <w:t>del alumbrado público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Ayuntamientos</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Seguridad pública (fuerzas de seguridad)</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Ayuntamientos</w:t>
            </w:r>
          </w:p>
        </w:tc>
      </w:tr>
    </w:tbl>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 continuación, se definen algunos de los conceptos:</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 conservación y mantenimiento: conjunto de actividades, actuaciones y recursos técnicos destinados a </w:t>
      </w:r>
      <w:r>
        <w:rPr>
          <w:rFonts w:ascii="Arial" w:eastAsia="Times New Roman" w:hAnsi="Arial" w:cs="Arial"/>
          <w:i/>
          <w:sz w:val="22"/>
          <w:szCs w:val="22"/>
          <w:lang w:val="es" w:eastAsia="es-ES" w:bidi="ar-SA"/>
        </w:rPr>
        <w:t>preservar, reparar y mantener en buen estado de los elementos urbanísticos de uso común dentro del ámbito establecido en la entidad, sin que ello suponga la ejecución de actuaciones y/u obras nuevas o de gran envergadura que no obedezcan a los estrictos té</w:t>
      </w:r>
      <w:r>
        <w:rPr>
          <w:rFonts w:ascii="Arial" w:eastAsia="Times New Roman" w:hAnsi="Arial" w:cs="Arial"/>
          <w:i/>
          <w:sz w:val="22"/>
          <w:szCs w:val="22"/>
          <w:lang w:val="es" w:eastAsia="es-ES" w:bidi="ar-SA"/>
        </w:rPr>
        <w:t>rminos de conservación. Corresponde a aquellas tareas que tienen la finalidad de garantizar la funcionalidad y la seguridad de las infraestructuras comunes del polígono.</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alumbrado público: a la Entidad urbanística le corresponderá el mantenimiento y repo</w:t>
      </w:r>
      <w:r>
        <w:rPr>
          <w:rFonts w:ascii="Arial" w:eastAsia="Times New Roman" w:hAnsi="Arial" w:cs="Arial"/>
          <w:i/>
          <w:sz w:val="22"/>
          <w:szCs w:val="22"/>
          <w:lang w:val="es" w:eastAsia="es-ES" w:bidi="ar-SA"/>
        </w:rPr>
        <w:t>sición del mismo, correspondiéndole a cada Ayuntamiento el suministro, gestión y costes del consumo del mismo.</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ayuntamientos: se refiere a que le corresponderá el mantenimiento y conservación a los Ayuntamientos de Arafo, Candelaria y Güímar, según corre</w:t>
      </w:r>
      <w:r>
        <w:rPr>
          <w:rFonts w:ascii="Arial" w:eastAsia="Times New Roman" w:hAnsi="Arial" w:cs="Arial"/>
          <w:i/>
          <w:sz w:val="22"/>
          <w:szCs w:val="22"/>
          <w:lang w:val="es" w:eastAsia="es-ES" w:bidi="ar-SA"/>
        </w:rPr>
        <w:t xml:space="preserve">sponda conforme su término municipal, en los mismos e idénticos términos que lo venían haciendo con anterioridad a la aprobación de los presentes estatutos. </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cuanto a los fines de la E.U.C. POLÍGONO VALLE GÜÍMAR, se basa en una colaboración pública-priv</w:t>
      </w:r>
      <w:r>
        <w:rPr>
          <w:rFonts w:ascii="Arial" w:eastAsia="Times New Roman" w:hAnsi="Arial" w:cs="Arial"/>
          <w:i/>
          <w:sz w:val="22"/>
          <w:szCs w:val="22"/>
          <w:lang w:val="es" w:eastAsia="es-ES" w:bidi="ar-SA"/>
        </w:rPr>
        <w:t>ada para paliar los elevados costes de la conservación y mantenimiento de un polígono industrial de grandes dimensiones ante la imposibilidad económica de que sea atendido de forma exclusiva por los municipios, en base al principio de equidistribución de b</w:t>
      </w:r>
      <w:r>
        <w:rPr>
          <w:rFonts w:ascii="Arial" w:eastAsia="Times New Roman" w:hAnsi="Arial" w:cs="Arial"/>
          <w:i/>
          <w:sz w:val="22"/>
          <w:szCs w:val="22"/>
          <w:lang w:val="es" w:eastAsia="es-ES" w:bidi="ar-SA"/>
        </w:rPr>
        <w:t>eneficios y cargas entre la comunidad y los propietarios de suelo en un determinado ámbito, como se ha invocado en numerosas ocasiones por la legislación urbanística. Y ello es así, como ocurre en otros polígonos industriales, porque los servicios que nece</w:t>
      </w:r>
      <w:r>
        <w:rPr>
          <w:rFonts w:ascii="Arial" w:eastAsia="Times New Roman" w:hAnsi="Arial" w:cs="Arial"/>
          <w:i/>
          <w:sz w:val="22"/>
          <w:szCs w:val="22"/>
          <w:lang w:val="es" w:eastAsia="es-ES" w:bidi="ar-SA"/>
        </w:rPr>
        <w:t xml:space="preserve">sita un polígono y el desgaste de las infraestructuras por los usuarios del mismo, conlleva un coste económico elevado que no puede asumir el municipio y menos aún repercutir ese gasto al resto de los habitantes del municipio, que no desarrollan actividad </w:t>
      </w:r>
      <w:r>
        <w:rPr>
          <w:rFonts w:ascii="Arial" w:eastAsia="Times New Roman" w:hAnsi="Arial" w:cs="Arial"/>
          <w:i/>
          <w:sz w:val="22"/>
          <w:szCs w:val="22"/>
          <w:lang w:val="es" w:eastAsia="es-ES" w:bidi="ar-SA"/>
        </w:rPr>
        <w:t>económica en el polígono.</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Por consiguiente, son fines de la E.U.C. POLÍGONO GÜÍMAR los siguientes:</w:t>
      </w:r>
    </w:p>
    <w:p w:rsidR="00061CF1" w:rsidRDefault="004E6D5A">
      <w:pPr>
        <w:autoSpaceDE w:val="0"/>
        <w:spacing w:before="240" w:after="240" w:line="276" w:lineRule="auto"/>
        <w:jc w:val="both"/>
        <w:textAlignment w:val="auto"/>
      </w:pPr>
      <w:r>
        <w:rPr>
          <w:rFonts w:ascii="Arial" w:eastAsia="Times New Roman" w:hAnsi="Arial" w:cs="Arial"/>
          <w:i/>
          <w:sz w:val="22"/>
          <w:szCs w:val="22"/>
          <w:lang w:val="es" w:eastAsia="es-ES" w:bidi="ar-SA"/>
        </w:rPr>
        <w:t>1.</w:t>
      </w:r>
      <w:r>
        <w:rPr>
          <w:rFonts w:ascii="Times-Roman" w:eastAsia="Times New Roman" w:hAnsi="Times-Roman" w:cs="Times-Roman"/>
          <w:i/>
          <w:sz w:val="22"/>
          <w:szCs w:val="22"/>
          <w:lang w:eastAsia="es-ES" w:bidi="ar-SA"/>
        </w:rPr>
        <w:t xml:space="preserve"> </w:t>
      </w:r>
      <w:r>
        <w:rPr>
          <w:rFonts w:ascii="Arial" w:eastAsia="Times New Roman" w:hAnsi="Arial" w:cs="Arial"/>
          <w:i/>
          <w:sz w:val="22"/>
          <w:szCs w:val="22"/>
          <w:lang w:eastAsia="es-ES" w:bidi="ar-SA"/>
        </w:rPr>
        <w:t xml:space="preserve">Contribuir con todos los medios a su alcance y con la colaboración de los Ayuntamientos de </w:t>
      </w:r>
      <w:r>
        <w:rPr>
          <w:rFonts w:ascii="Arial" w:eastAsia="Times New Roman" w:hAnsi="Arial" w:cs="Arial"/>
          <w:i/>
          <w:sz w:val="22"/>
          <w:szCs w:val="22"/>
          <w:lang w:val="es" w:eastAsia="es-ES" w:bidi="ar-SA"/>
        </w:rPr>
        <w:t>Arafo, Candelaria y Güímar</w:t>
      </w:r>
      <w:r>
        <w:rPr>
          <w:rFonts w:ascii="Arial" w:eastAsia="Times New Roman" w:hAnsi="Arial" w:cs="Arial"/>
          <w:i/>
          <w:sz w:val="22"/>
          <w:szCs w:val="22"/>
          <w:lang w:eastAsia="es-ES" w:bidi="ar-SA"/>
        </w:rPr>
        <w:t>, así como del Cabildo de Tenerife, a</w:t>
      </w:r>
      <w:r>
        <w:rPr>
          <w:rFonts w:ascii="Arial" w:eastAsia="Times New Roman" w:hAnsi="Arial" w:cs="Arial"/>
          <w:i/>
          <w:sz w:val="22"/>
          <w:szCs w:val="22"/>
          <w:lang w:eastAsia="es-ES" w:bidi="ar-SA"/>
        </w:rPr>
        <w:t xml:space="preserve"> lograr que el Polígono Industrial del Valle de Güímar sea un referente en el ámbito industrial.</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2. Dirigir, controlar y supervisar todos los servicios comunes de mantenimiento y conservación establecidos en los presentes estatutos, así como aquellos otros</w:t>
      </w:r>
      <w:r>
        <w:rPr>
          <w:rFonts w:ascii="Arial" w:eastAsia="Times New Roman" w:hAnsi="Arial" w:cs="Arial"/>
          <w:i/>
          <w:sz w:val="22"/>
          <w:szCs w:val="22"/>
          <w:lang w:eastAsia="es-ES" w:bidi="ar-SA"/>
        </w:rPr>
        <w:t xml:space="preserve"> que se incorporen.</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3. Recaudar las cuotas de todos los propietarios de los terrenos incluidos en la E.U.C. POLÍGONO GÜÍMAR de forma objetiva y con la diligencia debida, con la finalidad de que se distribuyan exclusivamente para los gastos de mantenimiento</w:t>
      </w:r>
      <w:r>
        <w:rPr>
          <w:rFonts w:ascii="Arial" w:eastAsia="Times New Roman" w:hAnsi="Arial" w:cs="Arial"/>
          <w:i/>
          <w:sz w:val="22"/>
          <w:szCs w:val="22"/>
          <w:lang w:eastAsia="es-ES" w:bidi="ar-SA"/>
        </w:rPr>
        <w:t xml:space="preserve"> y conservación del polígono conforme a los acuerdos adoptados con una distribución equitativa.</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4. La creación de una estructura técnica-administrativa objetiva y real que de soporte a las necesidades de la entidad, en lo que se refiere a gastos de persona</w:t>
      </w:r>
      <w:r>
        <w:rPr>
          <w:rFonts w:ascii="Arial" w:eastAsia="Times New Roman" w:hAnsi="Arial" w:cs="Arial"/>
          <w:i/>
          <w:sz w:val="22"/>
          <w:szCs w:val="22"/>
          <w:lang w:eastAsia="es-ES" w:bidi="ar-SA"/>
        </w:rPr>
        <w:t>l, gastos corrientes…</w:t>
      </w:r>
    </w:p>
    <w:p w:rsidR="00061CF1" w:rsidRDefault="00061CF1">
      <w:pPr>
        <w:autoSpaceDE w:val="0"/>
        <w:spacing w:before="240" w:after="240" w:line="276" w:lineRule="auto"/>
        <w:jc w:val="both"/>
        <w:textAlignment w:val="auto"/>
        <w:rPr>
          <w:rFonts w:ascii="Arial" w:eastAsia="Times New Roman" w:hAnsi="Arial" w:cs="Arial"/>
          <w:i/>
          <w:sz w:val="22"/>
          <w:szCs w:val="22"/>
          <w:lang w:eastAsia="es-ES" w:bidi="ar-SA"/>
        </w:rPr>
      </w:pP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5. Velar por el estricto cumplimiento de la normativa de aplicación a la entidad, ya sea de forma directa o indirecta de toda la legislación correspondiente, en concreto, de los presentes estatutos, de las ordenanzas municipales y de</w:t>
      </w:r>
      <w:r>
        <w:rPr>
          <w:rFonts w:ascii="Arial" w:eastAsia="Times New Roman" w:hAnsi="Arial" w:cs="Arial"/>
          <w:i/>
          <w:sz w:val="22"/>
          <w:szCs w:val="22"/>
          <w:lang w:eastAsia="es-ES" w:bidi="ar-SA"/>
        </w:rPr>
        <w:t>l planeamiento.</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6. Promover la convivencia social de los miembros de la entidad dirimiendo las diferencias que pudieran surgir entre ellos/as con relación al uso y disfrute de los elementos propios y comunes.</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7. Adoptar las medidas y ejercitar, en su caso,</w:t>
      </w:r>
      <w:r>
        <w:rPr>
          <w:rFonts w:ascii="Arial" w:eastAsia="Times New Roman" w:hAnsi="Arial" w:cs="Arial"/>
          <w:i/>
          <w:sz w:val="22"/>
          <w:szCs w:val="22"/>
          <w:lang w:eastAsia="es-ES" w:bidi="ar-SA"/>
        </w:rPr>
        <w:t xml:space="preserve"> las acciones correspondientes frente a los/as miembros de la entidad o terceras personas, para exigir el adecuado cumplimiento de las obligaciones contraídas.</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8. Actuar en coordinación con las estipulaciones marcadas por los ayuntamientos implicados y por</w:t>
      </w:r>
      <w:r>
        <w:rPr>
          <w:rFonts w:ascii="Arial" w:eastAsia="Times New Roman" w:hAnsi="Arial" w:cs="Arial"/>
          <w:i/>
          <w:sz w:val="22"/>
          <w:szCs w:val="22"/>
          <w:lang w:eastAsia="es-ES" w:bidi="ar-SA"/>
        </w:rPr>
        <w:t xml:space="preserve"> el Cabildo de Tenerife en base a garantizar los intereses públicos.</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9. Solicitar subvenciones cuyo objetivo sea la mejora del espacio industrial.</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10. Cualquier otra finalidad que se acuerde por la Asamblea General siempre dentro de los ámbitos competencia</w:t>
      </w:r>
      <w:r>
        <w:rPr>
          <w:rFonts w:ascii="Arial" w:eastAsia="Times New Roman" w:hAnsi="Arial" w:cs="Arial"/>
          <w:i/>
          <w:sz w:val="22"/>
          <w:szCs w:val="22"/>
          <w:lang w:eastAsia="es-ES" w:bidi="ar-SA"/>
        </w:rPr>
        <w:t>les de la presente entidad urbanística de conservación y en cumplimiento de la legislación existente.</w:t>
      </w:r>
    </w:p>
    <w:p w:rsidR="00061CF1" w:rsidRDefault="004E6D5A">
      <w:pPr>
        <w:autoSpaceDE w:val="0"/>
        <w:spacing w:before="240" w:after="240" w:line="276" w:lineRule="auto"/>
        <w:jc w:val="both"/>
        <w:textAlignment w:val="auto"/>
      </w:pPr>
      <w:r>
        <w:rPr>
          <w:rFonts w:ascii="Arial" w:eastAsia="Times New Roman" w:hAnsi="Arial" w:cs="Arial"/>
          <w:b/>
          <w:i/>
          <w:sz w:val="22"/>
          <w:szCs w:val="22"/>
          <w:lang w:eastAsia="es-ES" w:bidi="ar-SA"/>
        </w:rPr>
        <w:t xml:space="preserve">Artículo 5°. </w:t>
      </w:r>
      <w:r>
        <w:rPr>
          <w:rFonts w:ascii="Cambria Math" w:eastAsia="Times New Roman" w:hAnsi="Cambria Math" w:cs="Cambria Math"/>
          <w:b/>
          <w:i/>
          <w:sz w:val="22"/>
          <w:szCs w:val="22"/>
          <w:lang w:eastAsia="es-ES" w:bidi="ar-SA"/>
        </w:rPr>
        <w:t>‐</w:t>
      </w:r>
      <w:r>
        <w:rPr>
          <w:rFonts w:ascii="Arial" w:eastAsia="Times New Roman" w:hAnsi="Arial" w:cs="Arial"/>
          <w:b/>
          <w:i/>
          <w:sz w:val="22"/>
          <w:szCs w:val="22"/>
          <w:lang w:eastAsia="es-ES" w:bidi="ar-SA"/>
        </w:rPr>
        <w:t xml:space="preserve"> Duración:</w:t>
      </w:r>
    </w:p>
    <w:p w:rsidR="00061CF1" w:rsidRDefault="004E6D5A">
      <w:pPr>
        <w:autoSpaceDE w:val="0"/>
        <w:spacing w:before="240" w:after="24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La duración de esta Entidad será a partir de la inscripción de estos Estatutos en el correspondiente Registro de Entidades Colabo</w:t>
      </w:r>
      <w:r>
        <w:rPr>
          <w:rFonts w:ascii="Arial" w:eastAsia="Times New Roman" w:hAnsi="Arial" w:cs="Arial"/>
          <w:i/>
          <w:sz w:val="22"/>
          <w:szCs w:val="22"/>
          <w:lang w:eastAsia="es-ES" w:bidi="ar-SA"/>
        </w:rPr>
        <w:t>radoras y tendrá duración indefinida, salvo que se acuerde su disolución por acuerdo de la Asamblea General.</w:t>
      </w:r>
    </w:p>
    <w:p w:rsidR="00061CF1" w:rsidRDefault="00061CF1">
      <w:pPr>
        <w:autoSpaceDE w:val="0"/>
        <w:spacing w:before="240" w:after="240" w:line="276" w:lineRule="auto"/>
        <w:jc w:val="both"/>
        <w:textAlignment w:val="auto"/>
        <w:rPr>
          <w:rFonts w:ascii="Arial" w:eastAsia="Times New Roman" w:hAnsi="Arial" w:cs="Arial"/>
          <w:i/>
          <w:sz w:val="22"/>
          <w:szCs w:val="22"/>
          <w:lang w:eastAsia="es-ES" w:bidi="ar-SA"/>
        </w:rPr>
      </w:pPr>
    </w:p>
    <w:p w:rsidR="00061CF1" w:rsidRDefault="004E6D5A">
      <w:pPr>
        <w:autoSpaceDE w:val="0"/>
        <w:spacing w:before="240" w:after="240" w:line="276" w:lineRule="auto"/>
        <w:jc w:val="both"/>
        <w:textAlignment w:val="auto"/>
      </w:pPr>
      <w:r>
        <w:rPr>
          <w:rFonts w:ascii="Arial" w:eastAsia="Times New Roman" w:hAnsi="Arial" w:cs="Arial"/>
          <w:b/>
          <w:i/>
          <w:sz w:val="22"/>
          <w:szCs w:val="22"/>
          <w:lang w:val="es" w:eastAsia="es-ES" w:bidi="ar-SA"/>
        </w:rPr>
        <w:t>CAPÍTULO II</w:t>
      </w:r>
    </w:p>
    <w:p w:rsidR="00061CF1" w:rsidRDefault="004E6D5A">
      <w:pPr>
        <w:autoSpaceDE w:val="0"/>
        <w:spacing w:before="240" w:after="24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De los miembros de la entidad</w:t>
      </w:r>
    </w:p>
    <w:p w:rsidR="00061CF1" w:rsidRDefault="004E6D5A">
      <w:pPr>
        <w:autoSpaceDE w:val="0"/>
        <w:spacing w:before="240" w:after="240" w:line="276" w:lineRule="auto"/>
        <w:jc w:val="both"/>
        <w:textAlignment w:val="auto"/>
      </w:pPr>
      <w:r>
        <w:rPr>
          <w:rFonts w:ascii="Arial" w:eastAsia="Times New Roman" w:hAnsi="Arial" w:cs="Arial"/>
          <w:b/>
          <w:i/>
          <w:sz w:val="22"/>
          <w:szCs w:val="22"/>
          <w:lang w:val="es" w:eastAsia="es-ES" w:bidi="ar-SA"/>
        </w:rPr>
        <w:t xml:space="preserve">Artículo 6°. </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Miembros:</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Son miembros de la Entidad Urbanística de Conservación, todas aquellas personas</w:t>
      </w:r>
      <w:r>
        <w:rPr>
          <w:rFonts w:ascii="Arial" w:eastAsia="Times New Roman" w:hAnsi="Arial" w:cs="Arial"/>
          <w:i/>
          <w:sz w:val="22"/>
          <w:szCs w:val="22"/>
          <w:lang w:val="es" w:eastAsia="es-ES" w:bidi="ar-SA"/>
        </w:rPr>
        <w:t xml:space="preserve"> físicas y jurídicas de naturaleza pública o privada que sean propietarias de parcelas conforme el registro de la propiedad y/o el catastro, y se encuentren en el ámbito definido en el artículo 3 de estos Estatutos.</w:t>
      </w: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Como administraciones actuantes, y como </w:t>
      </w:r>
      <w:r>
        <w:rPr>
          <w:rFonts w:ascii="Arial" w:eastAsia="Times New Roman" w:hAnsi="Arial" w:cs="Arial"/>
          <w:i/>
          <w:sz w:val="22"/>
          <w:szCs w:val="22"/>
          <w:lang w:val="es" w:eastAsia="es-ES" w:bidi="ar-SA"/>
        </w:rPr>
        <w:t>miembros de naturaleza constitutiva, lo serán los Ayuntamientos de Arafo, Candelaria y Güímar, así como el Cabildo de Tenerife como impulsor de la creación de la entidad urbanística de conservación, con el número de representantes que se determinen. Sin pe</w:t>
      </w:r>
      <w:r>
        <w:rPr>
          <w:rFonts w:ascii="Arial" w:eastAsia="Times New Roman" w:hAnsi="Arial" w:cs="Arial"/>
          <w:i/>
          <w:sz w:val="22"/>
          <w:szCs w:val="22"/>
          <w:lang w:val="es" w:eastAsia="es-ES" w:bidi="ar-SA"/>
        </w:rPr>
        <w:t xml:space="preserve">rjuicio de su representación correspondiente como titulares de las parcelas de las que pudieran ser propietarios. </w:t>
      </w:r>
    </w:p>
    <w:p w:rsidR="00061CF1" w:rsidRDefault="00061CF1">
      <w:pPr>
        <w:autoSpaceDE w:val="0"/>
        <w:spacing w:before="240" w:after="24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cuanto a la participación de los miembros, con carácter general, se hacen las siguientes aclaraciones:</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En los casos de cotitulares de una</w:t>
      </w:r>
      <w:r>
        <w:rPr>
          <w:rFonts w:ascii="Arial" w:eastAsia="Times New Roman" w:hAnsi="Arial" w:cs="Arial"/>
          <w:i/>
          <w:kern w:val="0"/>
          <w:sz w:val="22"/>
          <w:szCs w:val="22"/>
          <w:lang w:val="es" w:eastAsia="es-ES" w:bidi="ar-SA"/>
        </w:rPr>
        <w:t xml:space="preserve"> finca/parcela con una misma referencia catastral única habrán de designar a una sola persona para el ejercicio de las facultades como miembro de la Entidad, respondiendo solidariamente frente a ella de cuantas obligaciones dimanen de dicha condición.</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Si l</w:t>
      </w:r>
      <w:r>
        <w:rPr>
          <w:rFonts w:ascii="Arial" w:eastAsia="Times New Roman" w:hAnsi="Arial" w:cs="Arial"/>
          <w:i/>
          <w:kern w:val="0"/>
          <w:sz w:val="22"/>
          <w:szCs w:val="22"/>
          <w:lang w:val="es" w:eastAsia="es-ES" w:bidi="ar-SA"/>
        </w:rPr>
        <w:t>os titulares de las fincas/parcelas son personas jurídicas, empresas, entidades, ya sean públicas o privadas, o administraciones u organismos públicos se designará una persona como representante de la misma ante la Entidad (igualmente tendrán representació</w:t>
      </w:r>
      <w:r>
        <w:rPr>
          <w:rFonts w:ascii="Arial" w:eastAsia="Times New Roman" w:hAnsi="Arial" w:cs="Arial"/>
          <w:i/>
          <w:kern w:val="0"/>
          <w:sz w:val="22"/>
          <w:szCs w:val="22"/>
          <w:lang w:val="es" w:eastAsia="es-ES" w:bidi="ar-SA"/>
        </w:rPr>
        <w:t>n los Ayuntamientos de Arafo, Candelaria y Güímar, o el Cabildo de Tenerife, si fueran titulares de terrenos del polígono)</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En el caso de existir regímenes de propiedad horizontal con la existencia o no de una Comunidad de propietarios, serán miembros de la</w:t>
      </w:r>
      <w:r>
        <w:rPr>
          <w:rFonts w:ascii="Arial" w:eastAsia="Times New Roman" w:hAnsi="Arial" w:cs="Arial"/>
          <w:i/>
          <w:kern w:val="0"/>
          <w:sz w:val="22"/>
          <w:szCs w:val="22"/>
          <w:lang w:val="es" w:eastAsia="es-ES" w:bidi="ar-SA"/>
        </w:rPr>
        <w:t xml:space="preserve"> entidad urbanística de conservación, cada uno de los propietarios de la finca/parcela/bien inmueble con referencia catastral.</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En cualquier caso, cualquiera de los miembros de la entidad, podrá delegar su voto a otro miembro, o bien delegarlo al Presidente</w:t>
      </w:r>
      <w:r>
        <w:rPr>
          <w:rFonts w:ascii="Arial" w:eastAsia="Times New Roman" w:hAnsi="Arial" w:cs="Arial"/>
          <w:i/>
          <w:kern w:val="0"/>
          <w:sz w:val="22"/>
          <w:szCs w:val="22"/>
          <w:lang w:val="es" w:eastAsia="es-ES" w:bidi="ar-SA"/>
        </w:rPr>
        <w:t xml:space="preserve"> de la Comunidad de Propietarios (si la hubiera) o bien, si existiera, al representante de una asociación legalmente constituida que tuviera intereses y relacionada con el ámbito territorial del Polígono del Valle de Güímar, o a un representante legal debi</w:t>
      </w:r>
      <w:r>
        <w:rPr>
          <w:rFonts w:ascii="Arial" w:eastAsia="Times New Roman" w:hAnsi="Arial" w:cs="Arial"/>
          <w:i/>
          <w:kern w:val="0"/>
          <w:sz w:val="22"/>
          <w:szCs w:val="22"/>
          <w:lang w:val="es" w:eastAsia="es-ES" w:bidi="ar-SA"/>
        </w:rPr>
        <w:t>damente constituido como pudiera ser abogado o asesoría. Todo ello con el correspondiente documento válido y fehaciente en derecho, supervisado por el/la Gerente de la entidad.</w:t>
      </w:r>
    </w:p>
    <w:p w:rsidR="00061CF1" w:rsidRDefault="00061CF1">
      <w:pPr>
        <w:suppressAutoHyphens w:val="0"/>
        <w:autoSpaceDE w:val="0"/>
        <w:spacing w:before="240" w:after="240" w:line="276" w:lineRule="auto"/>
        <w:ind w:left="720"/>
        <w:jc w:val="both"/>
        <w:textAlignment w:val="auto"/>
        <w:rPr>
          <w:rFonts w:ascii="Arial" w:eastAsia="Times New Roman" w:hAnsi="Arial" w:cs="Arial"/>
          <w:i/>
          <w:kern w:val="0"/>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7º.- Transmisión por cualquier título: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La transmisión de la </w:t>
      </w:r>
      <w:r>
        <w:rPr>
          <w:rFonts w:ascii="Arial" w:eastAsia="Times New Roman" w:hAnsi="Arial" w:cs="Arial"/>
          <w:i/>
          <w:sz w:val="22"/>
          <w:szCs w:val="22"/>
          <w:lang w:val="es" w:eastAsia="es-ES" w:bidi="ar-SA"/>
        </w:rPr>
        <w:t>titularidad de la propiedad de fincas/parcelas llevará consigo la subrogación automática en los derechos y obligaciones del enajenante, entre ellas la obligación del pago de la cuota que corresponda, entendiéndose incorporado el adquirente a la Entidad a p</w:t>
      </w:r>
      <w:r>
        <w:rPr>
          <w:rFonts w:ascii="Arial" w:eastAsia="Times New Roman" w:hAnsi="Arial" w:cs="Arial"/>
          <w:i/>
          <w:sz w:val="22"/>
          <w:szCs w:val="22"/>
          <w:lang w:val="es" w:eastAsia="es-ES" w:bidi="ar-SA"/>
        </w:rPr>
        <w:t>artir del momento de la transmisión. Asimismo, en base al principio de buena fe y diligencia debida, todo propietario, en caso de trasmisión, tiene la obligación de comunicar e informar al nuevo adquirente la existencia de la presente EUC así como, entre o</w:t>
      </w:r>
      <w:r>
        <w:rPr>
          <w:rFonts w:ascii="Arial" w:eastAsia="Times New Roman" w:hAnsi="Arial" w:cs="Arial"/>
          <w:i/>
          <w:sz w:val="22"/>
          <w:szCs w:val="22"/>
          <w:lang w:val="es" w:eastAsia="es-ES" w:bidi="ar-SA"/>
        </w:rPr>
        <w:t>tras obligaciones, el importe de la cuota correspondiente.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 este efecto, en el título de transmisión deberá expresarse el compromiso relativo a la conservación de las obras y servicios de la urbanización, con expresa aceptación de los mismos por el adquir</w:t>
      </w:r>
      <w:r>
        <w:rPr>
          <w:rFonts w:ascii="Arial" w:eastAsia="Times New Roman" w:hAnsi="Arial" w:cs="Arial"/>
          <w:i/>
          <w:sz w:val="22"/>
          <w:szCs w:val="22"/>
          <w:lang w:val="es" w:eastAsia="es-ES" w:bidi="ar-SA"/>
        </w:rPr>
        <w:t>ente. No obstante, la ausencia de esta cláusula no eximirá del cumplimiento de las obligaciones previstas en el primer párrafo.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Tanto los asociados iniciales de la Entidad como los incorporados con posterioridad a ella tendrán los mismos derechos y obligac</w:t>
      </w:r>
      <w:r>
        <w:rPr>
          <w:rFonts w:ascii="Arial" w:eastAsia="Times New Roman" w:hAnsi="Arial" w:cs="Arial"/>
          <w:i/>
          <w:sz w:val="22"/>
          <w:szCs w:val="22"/>
          <w:lang w:val="es" w:eastAsia="es-ES" w:bidi="ar-SA"/>
        </w:rPr>
        <w:t>iones.</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 xml:space="preserve">El propietario saliente deberá comunicar a la EUC, de manera fehaciente, dentro del mes de la extinción, la transmisión de la titularidad, principalmente en aras a no devengar las cuotas que venían recaudándose. Los adquirentes de parcelas, dentro </w:t>
      </w:r>
      <w:r>
        <w:rPr>
          <w:rFonts w:ascii="Arial" w:eastAsia="Times New Roman" w:hAnsi="Arial" w:cs="Arial"/>
          <w:i/>
          <w:sz w:val="22"/>
          <w:szCs w:val="22"/>
          <w:lang w:eastAsia="es-ES" w:bidi="ar-SA"/>
        </w:rPr>
        <w:t xml:space="preserve">del mes de su adquisición, quedan obligados de comunicar a la EUC su condición de nuevos propietarios mediante el acompañamiento de la escritura pública acreditativa de dicha adquisición. El incumplimiento de esta obligación, permitirá igualmente a la EUC </w:t>
      </w:r>
      <w:r>
        <w:rPr>
          <w:rFonts w:ascii="Arial" w:eastAsia="Times New Roman" w:hAnsi="Arial" w:cs="Arial"/>
          <w:i/>
          <w:sz w:val="22"/>
          <w:szCs w:val="22"/>
          <w:lang w:eastAsia="es-ES" w:bidi="ar-SA"/>
        </w:rPr>
        <w:t>exigir el abono de las cuotas que correspondan a partir de la adquisición de la propiedad, así como su reclamación en vía ejecutiva a través de los ayuntamientos.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todo caso, de conformidad con la legislación urbanística vigente, la responsabilidad de lo</w:t>
      </w:r>
      <w:r>
        <w:rPr>
          <w:rFonts w:ascii="Arial" w:eastAsia="Times New Roman" w:hAnsi="Arial" w:cs="Arial"/>
          <w:i/>
          <w:sz w:val="22"/>
          <w:szCs w:val="22"/>
          <w:lang w:val="es" w:eastAsia="es-ES" w:bidi="ar-SA"/>
        </w:rPr>
        <w:t>s propietarios frente a la Entidad de Conservación tendrá carácter real, respondiendo por ello las fincas de las que sean titulares en cada momento de las obligaciones asumidas por aquéllos ante la Entidad.</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8º.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Derechos: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a).</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El uso y disfrute de</w:t>
      </w:r>
      <w:r>
        <w:rPr>
          <w:rFonts w:ascii="Arial" w:eastAsia="Times New Roman" w:hAnsi="Arial" w:cs="Arial"/>
          <w:i/>
          <w:sz w:val="22"/>
          <w:szCs w:val="22"/>
          <w:lang w:val="es" w:eastAsia="es-ES" w:bidi="ar-SA"/>
        </w:rPr>
        <w:t xml:space="preserve"> los servicios y pertenencias comunes de acuerdo con su naturaleza y las normas y ordenanzas que regulen el ejercicio de estos derechos, cuando las hubiere.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 Ser elector y elegible para los cargos de los distintos órganos de la Entidad de Conservación.</w:t>
      </w:r>
      <w:r>
        <w:rPr>
          <w:rFonts w:ascii="Arial" w:eastAsia="Times New Roman" w:hAnsi="Arial" w:cs="Arial"/>
          <w:i/>
          <w:sz w:val="22"/>
          <w:szCs w:val="22"/>
          <w:lang w:val="es" w:eastAsia="es-ES" w:bidi="ar-SA"/>
        </w:rPr>
        <w:t xml:space="preserve"> </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c).</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Asistir a las reuniones de la Asamblea General, e intervenir en la adopción de acuerdos con voz y el voto proporcional al coeficiente de participación económica asignado a las parcelas respectivas.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Para el ejercicio del derecho al voto, los propieta</w:t>
      </w:r>
      <w:r>
        <w:rPr>
          <w:rFonts w:ascii="Arial" w:eastAsia="Times New Roman" w:hAnsi="Arial" w:cs="Arial"/>
          <w:i/>
          <w:sz w:val="22"/>
          <w:szCs w:val="22"/>
          <w:lang w:val="es" w:eastAsia="es-ES" w:bidi="ar-SA"/>
        </w:rPr>
        <w:t xml:space="preserve">rios deben estar al corriente de pago de las cuotas vencidas, que tendrán derecho a voz pero no al voto. Están exceptuados los casos en que las hayan impugnado y hayan garantizado el pago, o bien, las hayan consignado notarialmente o judicialmente. </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d).</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S</w:t>
      </w:r>
      <w:r>
        <w:rPr>
          <w:rFonts w:ascii="Arial" w:eastAsia="Times New Roman" w:hAnsi="Arial" w:cs="Arial"/>
          <w:i/>
          <w:sz w:val="22"/>
          <w:szCs w:val="22"/>
          <w:lang w:val="es" w:eastAsia="es-ES" w:bidi="ar-SA"/>
        </w:rPr>
        <w:t>olicitar la intervención de los órganos de la Entidad de Conservación para dirimir las diferencias que pudieran surgir con otros propietarios de la urbanización.</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e).</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Obtener copia y certificaciones acreditativas de los acuerdos sociales, consultar los arc</w:t>
      </w:r>
      <w:r>
        <w:rPr>
          <w:rFonts w:ascii="Arial" w:eastAsia="Times New Roman" w:hAnsi="Arial" w:cs="Arial"/>
          <w:i/>
          <w:sz w:val="22"/>
          <w:szCs w:val="22"/>
          <w:lang w:val="es" w:eastAsia="es-ES" w:bidi="ar-SA"/>
        </w:rPr>
        <w:t>hivos y registro de la Entidad y cuanta información requieran de la misma y de sus órganos.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f).</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Presentar propuestas y sugerencias.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g).</w:t>
      </w:r>
      <w:r>
        <w:rPr>
          <w:rFonts w:ascii="Cambria Math" w:eastAsia="Times New Roman" w:hAnsi="Cambria Math" w:cs="Cambria Math"/>
          <w:i/>
          <w:sz w:val="22"/>
          <w:szCs w:val="22"/>
          <w:lang w:val="es" w:eastAsia="es-ES" w:bidi="ar-SA"/>
        </w:rPr>
        <w:t xml:space="preserve">‐ </w:t>
      </w:r>
      <w:r>
        <w:rPr>
          <w:rFonts w:ascii="Arial" w:eastAsia="Lucida Sans Unicode" w:hAnsi="Arial" w:cs="Arial"/>
          <w:i/>
          <w:sz w:val="22"/>
          <w:lang w:bidi="ar-SA"/>
        </w:rPr>
        <w:t xml:space="preserve"> </w:t>
      </w:r>
      <w:r>
        <w:rPr>
          <w:rFonts w:ascii="Arial" w:eastAsia="Times New Roman" w:hAnsi="Arial" w:cs="Arial"/>
          <w:i/>
          <w:sz w:val="22"/>
          <w:szCs w:val="22"/>
          <w:lang w:val="es" w:eastAsia="es-ES" w:bidi="ar-SA"/>
        </w:rPr>
        <w:t>Ser notificados electrónicamente de los acuerdos adoptados por los órganos de Gobierno y administración, así como not</w:t>
      </w:r>
      <w:r>
        <w:rPr>
          <w:rFonts w:ascii="Arial" w:eastAsia="Times New Roman" w:hAnsi="Arial" w:cs="Arial"/>
          <w:i/>
          <w:sz w:val="22"/>
          <w:szCs w:val="22"/>
          <w:lang w:val="es" w:eastAsia="es-ES" w:bidi="ar-SA"/>
        </w:rPr>
        <w:t>ificarles electrónicamente de cuantas actividades afecten a la Entidad, y de cualquier asunto que les concierne en relación a sus intereses.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h)- Ser atendidos por la/el Gerente de la EUC para consultarle y asesorarse de cuantos asuntos le afecten como miem</w:t>
      </w:r>
      <w:r>
        <w:rPr>
          <w:rFonts w:ascii="Arial" w:eastAsia="Times New Roman" w:hAnsi="Arial" w:cs="Arial"/>
          <w:i/>
          <w:sz w:val="22"/>
          <w:szCs w:val="22"/>
          <w:lang w:val="es" w:eastAsia="es-ES" w:bidi="ar-SA"/>
        </w:rPr>
        <w:t xml:space="preserve">bros de la presente EUC y en relación al Polígono donde se encuentran. Los miembros de la entidad no tendrán asesoramiento técnico-jurídico de los asuntos e intereses privados que nada tengan que ver con el objeto y fines de esta EUC.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i) Ejercer cualquier</w:t>
      </w:r>
      <w:r>
        <w:rPr>
          <w:rFonts w:ascii="Arial" w:eastAsia="Times New Roman" w:hAnsi="Arial" w:cs="Arial"/>
          <w:i/>
          <w:sz w:val="22"/>
          <w:szCs w:val="22"/>
          <w:lang w:val="es" w:eastAsia="es-ES" w:bidi="ar-SA"/>
        </w:rPr>
        <w:t xml:space="preserve"> derecho derivado de los presentes Estatutos y disposiciones legales aplicables.</w:t>
      </w:r>
    </w:p>
    <w:p w:rsidR="00061CF1" w:rsidRDefault="00061CF1">
      <w:pPr>
        <w:autoSpaceDE w:val="0"/>
        <w:spacing w:before="180" w:after="180" w:line="276" w:lineRule="auto"/>
        <w:jc w:val="both"/>
        <w:textAlignment w:val="auto"/>
        <w:rPr>
          <w:rFonts w:ascii="Arial" w:eastAsia="Times New Roman" w:hAnsi="Arial" w:cs="Arial"/>
          <w:b/>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9º.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Obligaciones: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a).</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Cumplir los Estatutos, los reglamentos aprobados por la Asamblea General para el uso y disfrute de las instalaciones y servicios comunes y </w:t>
      </w:r>
      <w:r>
        <w:rPr>
          <w:rFonts w:ascii="Arial" w:eastAsia="Times New Roman" w:hAnsi="Arial" w:cs="Arial"/>
          <w:i/>
          <w:sz w:val="22"/>
          <w:szCs w:val="22"/>
          <w:lang w:val="es" w:eastAsia="es-ES" w:bidi="ar-SA"/>
        </w:rPr>
        <w:t>los demás acuerdos válidamente adoptados por los órganos rectores de la entidad, en el ámbito de sus respectivas competencias.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 Abonar, dentro de los plazos establecidos, las cuotas establecidas proporcionalmente en los presentes estatutos, o bien, las</w:t>
      </w:r>
      <w:r>
        <w:rPr>
          <w:rFonts w:ascii="Arial" w:eastAsia="Times New Roman" w:hAnsi="Arial" w:cs="Arial"/>
          <w:i/>
          <w:sz w:val="22"/>
          <w:szCs w:val="22"/>
          <w:lang w:val="es" w:eastAsia="es-ES" w:bidi="ar-SA"/>
        </w:rPr>
        <w:t xml:space="preserve"> establecidas por la Asamblea General, en caso de modificación. Asimismo, están obligados, en los mismos términos, al abono de las derramas que con carácter ordinario o extraordinario se establezcan por la 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obligación de contribuir a lo</w:t>
      </w:r>
      <w:r>
        <w:rPr>
          <w:rFonts w:ascii="Arial" w:eastAsia="Times New Roman" w:hAnsi="Arial" w:cs="Arial"/>
          <w:i/>
          <w:sz w:val="22"/>
          <w:szCs w:val="22"/>
          <w:lang w:val="es" w:eastAsia="es-ES" w:bidi="ar-SA"/>
        </w:rPr>
        <w:t>s gastos establecidos por la EUC en las proporciones y condiciones fijadas por estos Estatutos, o por las que determine la Asamblea General, corresponderá en todo caso, con independencia de que las parcelas estuviesen sin edificar o los inmuebles sin habit</w:t>
      </w:r>
      <w:r>
        <w:rPr>
          <w:rFonts w:ascii="Arial" w:eastAsia="Times New Roman" w:hAnsi="Arial" w:cs="Arial"/>
          <w:i/>
          <w:sz w:val="22"/>
          <w:szCs w:val="22"/>
          <w:lang w:val="es" w:eastAsia="es-ES" w:bidi="ar-SA"/>
        </w:rPr>
        <w:t>ar, sin alquilar, o ocupados ilegalmente, unas y otros, aun tratándose de causas de fuerza mayor, a todos los propietarios de las parcelas. No será admisible la renuncia a los bienes de uso común, o a los servicios comunes asumidos y acordados por la Entid</w:t>
      </w:r>
      <w:r>
        <w:rPr>
          <w:rFonts w:ascii="Arial" w:eastAsia="Times New Roman" w:hAnsi="Arial" w:cs="Arial"/>
          <w:i/>
          <w:sz w:val="22"/>
          <w:szCs w:val="22"/>
          <w:lang w:val="es" w:eastAsia="es-ES" w:bidi="ar-SA"/>
        </w:rPr>
        <w:t>ad, así como la declaración de no participar en ellos o de privarse de tales servicios a los solos efectos de eximirse del pago de cuotas participación en los gastos comunes.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c).</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Comunicar a la entidad las transmisiones realizadas por los propietarios en </w:t>
      </w:r>
      <w:r>
        <w:rPr>
          <w:rFonts w:ascii="Arial" w:eastAsia="Times New Roman" w:hAnsi="Arial" w:cs="Arial"/>
          <w:i/>
          <w:sz w:val="22"/>
          <w:szCs w:val="22"/>
          <w:lang w:val="es" w:eastAsia="es-ES" w:bidi="ar-SA"/>
        </w:rPr>
        <w:t>los términos establecidos en el artículo 7 de los presentes estatutos.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d).- Comunicar cualquier tipo de modificación que afecte a las parcelas/solares/inmuebles de su titularidad, como pudiera ser la división horizontal de una parcela, la construcción de u</w:t>
      </w:r>
      <w:r>
        <w:rPr>
          <w:rFonts w:ascii="Arial" w:eastAsia="Times New Roman" w:hAnsi="Arial" w:cs="Arial"/>
          <w:i/>
          <w:sz w:val="22"/>
          <w:szCs w:val="22"/>
          <w:lang w:val="es" w:eastAsia="es-ES" w:bidi="ar-SA"/>
        </w:rPr>
        <w:t>na nave industrial, la segregación de una finca o cualquier de las parcelas, que pudiera afectar a la superficie contable a los efectos del cómputo de la cuota establecida. Deberá comunicarse a la entidad en el plazo de un mes. El incumplimiento de dicha o</w:t>
      </w:r>
      <w:r>
        <w:rPr>
          <w:rFonts w:ascii="Arial" w:eastAsia="Times New Roman" w:hAnsi="Arial" w:cs="Arial"/>
          <w:i/>
          <w:sz w:val="22"/>
          <w:szCs w:val="22"/>
          <w:lang w:val="es" w:eastAsia="es-ES" w:bidi="ar-SA"/>
        </w:rPr>
        <w:t xml:space="preserve">bligación, no será una condición para la regularización y exigencia de las cuotas que deberán de abonarse a la entidad.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 Proporcionar a la entidad urbanística el correo electrónico correspondiente como medio de notificación oficial, así como cualquier</w:t>
      </w:r>
      <w:r>
        <w:rPr>
          <w:rFonts w:ascii="Arial" w:eastAsia="Times New Roman" w:hAnsi="Arial" w:cs="Arial"/>
          <w:i/>
          <w:sz w:val="22"/>
          <w:szCs w:val="22"/>
          <w:lang w:val="es" w:eastAsia="es-ES" w:bidi="ar-SA"/>
        </w:rPr>
        <w:t xml:space="preserve"> cambio que pudiera existir, a los efectos de mantener actualizados los datos de contacto. Además de tener actualizados los domicilios, a efectos de la entidad, de cada uno de los propietarios (en su defecto, se considerará, el de la propiedad existente en</w:t>
      </w:r>
      <w:r>
        <w:rPr>
          <w:rFonts w:ascii="Arial" w:eastAsia="Times New Roman" w:hAnsi="Arial" w:cs="Arial"/>
          <w:i/>
          <w:sz w:val="22"/>
          <w:szCs w:val="22"/>
          <w:lang w:val="es" w:eastAsia="es-ES" w:bidi="ar-SA"/>
        </w:rPr>
        <w:t xml:space="preserve"> el ámbito de la Entidad).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f).- Proporcionar y facilitar a la entidad toda aquella documentación que contenga información y datos registrales y catastrales que pudieran ser necesarios para la correcta gestión de esta entidad urbanística de conservación. E</w:t>
      </w:r>
      <w:r>
        <w:rPr>
          <w:rFonts w:ascii="Arial" w:eastAsia="Times New Roman" w:hAnsi="Arial" w:cs="Arial"/>
          <w:i/>
          <w:sz w:val="22"/>
          <w:szCs w:val="22"/>
          <w:lang w:val="es" w:eastAsia="es-ES" w:bidi="ar-SA"/>
        </w:rPr>
        <w:t>n caso de no presentar la documentación solicitada o bien, se considere que existen obstáculos en relación a facilitar dicha información, la cuestión será resuelta en la 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g).- Mantener en buen estado de conservación las fincas privativas, </w:t>
      </w:r>
      <w:r>
        <w:rPr>
          <w:rFonts w:ascii="Arial" w:eastAsia="Times New Roman" w:hAnsi="Arial" w:cs="Arial"/>
          <w:i/>
          <w:sz w:val="22"/>
          <w:szCs w:val="22"/>
          <w:lang w:val="es" w:eastAsia="es-ES" w:bidi="ar-SA"/>
        </w:rPr>
        <w:t>resarciendo cualquier daño que ocasionen en las obras e instalaciones conservadas por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h).- Cumplir los acuerdos adoptados por la Asamblea General y la Junta General, sin perjuicio de</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 los recursos a que hubiere lugar.</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i).</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Facilitar el acceso </w:t>
      </w:r>
      <w:r>
        <w:rPr>
          <w:rFonts w:ascii="Arial" w:eastAsia="Times New Roman" w:hAnsi="Arial" w:cs="Arial"/>
          <w:i/>
          <w:sz w:val="22"/>
          <w:szCs w:val="22"/>
          <w:lang w:val="es" w:eastAsia="es-ES" w:bidi="ar-SA"/>
        </w:rPr>
        <w:t>a las fincas privativas, previa comunicación al propietario, siempre que así lo requieran las actividades de conservación de la entidad, sin perjuicio de que, en todo caso, las actuaciones se realicen ocasionando las menores molestias y daños que sea posib</w:t>
      </w:r>
      <w:r>
        <w:rPr>
          <w:rFonts w:ascii="Arial" w:eastAsia="Times New Roman" w:hAnsi="Arial" w:cs="Arial"/>
          <w:i/>
          <w:sz w:val="22"/>
          <w:szCs w:val="22"/>
          <w:lang w:val="es" w:eastAsia="es-ES" w:bidi="ar-SA"/>
        </w:rPr>
        <w:t>le y resarciendo los que singularmente se produjeren.</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j).</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Cumplir con todas las obligaciones que se deriven de la aplicación y eficacia de los presentes Estatutos y de las disposiciones legales que sean de aplicación.</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10º.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w:t>
      </w:r>
      <w:r>
        <w:rPr>
          <w:rFonts w:ascii="Arial" w:eastAsia="Lucida Sans Unicode" w:hAnsi="Arial" w:cs="Arial"/>
          <w:b/>
          <w:i/>
          <w:sz w:val="22"/>
          <w:szCs w:val="22"/>
          <w:lang w:bidi="ar-SA"/>
        </w:rPr>
        <w:t>De los miembros de nat</w:t>
      </w:r>
      <w:r>
        <w:rPr>
          <w:rFonts w:ascii="Arial" w:eastAsia="Lucida Sans Unicode" w:hAnsi="Arial" w:cs="Arial"/>
          <w:b/>
          <w:i/>
          <w:sz w:val="22"/>
          <w:szCs w:val="22"/>
          <w:lang w:bidi="ar-SA"/>
        </w:rPr>
        <w:t>uraleza constitutiva: Cabildo de Tenerife,</w:t>
      </w:r>
      <w:r>
        <w:rPr>
          <w:rFonts w:ascii="Arial" w:eastAsia="Times New Roman" w:hAnsi="Arial" w:cs="Arial"/>
          <w:i/>
          <w:sz w:val="22"/>
          <w:szCs w:val="22"/>
          <w:lang w:val="es" w:eastAsia="es-ES" w:bidi="ar-SA"/>
        </w:rPr>
        <w:t xml:space="preserve"> </w:t>
      </w:r>
      <w:r>
        <w:rPr>
          <w:rFonts w:ascii="Arial" w:eastAsia="Lucida Sans Unicode" w:hAnsi="Arial" w:cs="Arial"/>
          <w:b/>
          <w:i/>
          <w:sz w:val="22"/>
          <w:szCs w:val="22"/>
          <w:lang w:val="es" w:bidi="ar-SA"/>
        </w:rPr>
        <w:t>Arafo, Candelaria y Güímar</w:t>
      </w:r>
      <w:r>
        <w:rPr>
          <w:rFonts w:ascii="Arial" w:eastAsia="Lucida Sans Unicode" w:hAnsi="Arial" w:cs="Arial"/>
          <w:b/>
          <w:i/>
          <w:sz w:val="22"/>
          <w:szCs w:val="22"/>
          <w:lang w:bidi="ar-SA"/>
        </w:rPr>
        <w:t>:</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1.- El Cabildo de Tenerife y los Ayuntamientos actuantes de Arafo, Candelaria y Güímar ejercerán las funciones determinadas en los presentes estatutos, así como todas aquellas </w:t>
      </w:r>
      <w:r>
        <w:rPr>
          <w:rFonts w:ascii="Arial" w:eastAsia="Times New Roman" w:hAnsi="Arial" w:cs="Arial"/>
          <w:i/>
          <w:sz w:val="22"/>
          <w:szCs w:val="22"/>
          <w:lang w:val="es" w:eastAsia="es-ES" w:bidi="ar-SA"/>
        </w:rPr>
        <w:t>determinadas legal y reglamentariamente.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2.- En el supuesto de que fuera, asimismo, titular de parcelas lucrativas o no lucrativas con coeficiente de participación en los gastos asignados, sus derechos y obligaciones, en este aspecto concreto, serán los co</w:t>
      </w:r>
      <w:r>
        <w:rPr>
          <w:rFonts w:ascii="Arial" w:eastAsia="Times New Roman" w:hAnsi="Arial" w:cs="Arial"/>
          <w:i/>
          <w:sz w:val="22"/>
          <w:szCs w:val="22"/>
          <w:lang w:val="es" w:eastAsia="es-ES" w:bidi="ar-SA"/>
        </w:rPr>
        <w:t>rrespondientes a cualquier propietario miembro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3.- Facilitarán la comunicación y gestión de la Entidad Urbanística de Conservación, a través de su representante, con las administraciones intervinientes.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4.- En caso de discrepancias entre los</w:t>
      </w:r>
      <w:r>
        <w:rPr>
          <w:rFonts w:ascii="Arial" w:eastAsia="Times New Roman" w:hAnsi="Arial" w:cs="Arial"/>
          <w:i/>
          <w:sz w:val="22"/>
          <w:szCs w:val="22"/>
          <w:lang w:val="es" w:eastAsia="es-ES" w:bidi="ar-SA"/>
        </w:rPr>
        <w:t xml:space="preserve"> propietarios y los ayuntamientos, en lo que se refiere a asuntos de competencia de la Entidad Urbanística de Conservación, el Cabildo de Tenerife tendrá la obligación de dirimir entre ambos para que se llegue a un acuerdo con el máximo decoro y respeto. D</w:t>
      </w:r>
      <w:r>
        <w:rPr>
          <w:rFonts w:ascii="Arial" w:eastAsia="Times New Roman" w:hAnsi="Arial" w:cs="Arial"/>
          <w:i/>
          <w:sz w:val="22"/>
          <w:szCs w:val="22"/>
          <w:lang w:val="es" w:eastAsia="es-ES" w:bidi="ar-SA"/>
        </w:rPr>
        <w:t>e no ser así, será el Cabildo el que tomará la decisión más ajustada a derecho atendiendo a razones de interés general.</w:t>
      </w:r>
    </w:p>
    <w:p w:rsidR="00061CF1" w:rsidRDefault="00061CF1">
      <w:pPr>
        <w:autoSpaceDE w:val="0"/>
        <w:spacing w:before="180" w:after="180" w:line="276" w:lineRule="auto"/>
        <w:jc w:val="both"/>
        <w:textAlignment w:val="auto"/>
        <w:rPr>
          <w:rFonts w:ascii="Arial" w:eastAsia="Times New Roman" w:hAnsi="Arial" w:cs="Arial"/>
          <w:b/>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CAPÍTULO III</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Financiación de la Entidad Urbanística de Conservación:</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11º.- Financiación pública-privada:</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De conformidad con el</w:t>
      </w:r>
      <w:r>
        <w:rPr>
          <w:rFonts w:ascii="Arial" w:eastAsia="Times New Roman" w:hAnsi="Arial" w:cs="Arial"/>
          <w:i/>
          <w:sz w:val="22"/>
          <w:szCs w:val="22"/>
          <w:lang w:val="es" w:eastAsia="es-ES" w:bidi="ar-SA"/>
        </w:rPr>
        <w:t xml:space="preserve"> artículo 266.4.c) de la Ley 4/2017 </w:t>
      </w:r>
      <w:r>
        <w:rPr>
          <w:rFonts w:ascii="Arial" w:eastAsia="Times New Roman" w:hAnsi="Arial" w:cs="Arial"/>
          <w:i/>
          <w:sz w:val="22"/>
          <w:szCs w:val="22"/>
          <w:lang w:eastAsia="es-ES" w:bidi="ar-SA"/>
        </w:rPr>
        <w:t>de 13 de julio, del Suelo y de los Espacios Naturales Protegidos de Canarias,</w:t>
      </w:r>
      <w:r>
        <w:rPr>
          <w:rFonts w:ascii="Verdana" w:eastAsia="Lucida Sans Unicode" w:hAnsi="Verdana" w:cs="Times New Roman"/>
          <w:i/>
          <w:color w:val="000000"/>
          <w:sz w:val="22"/>
          <w:shd w:val="clear" w:color="auto" w:fill="FFFFFF"/>
          <w:lang w:bidi="ar-SA"/>
        </w:rPr>
        <w:t xml:space="preserve"> </w:t>
      </w:r>
      <w:r>
        <w:rPr>
          <w:rFonts w:ascii="Arial" w:eastAsia="Times New Roman" w:hAnsi="Arial" w:cs="Arial"/>
          <w:i/>
          <w:sz w:val="22"/>
          <w:szCs w:val="22"/>
          <w:lang w:eastAsia="es-ES" w:bidi="ar-SA"/>
        </w:rPr>
        <w:t xml:space="preserve">la participación de los propietarios en los gastos de conservación se determinará a tenor de lo que dispongan los estatutos de la entidad </w:t>
      </w:r>
      <w:r>
        <w:rPr>
          <w:rFonts w:ascii="Arial" w:eastAsia="Times New Roman" w:hAnsi="Arial" w:cs="Arial"/>
          <w:i/>
          <w:sz w:val="22"/>
          <w:szCs w:val="22"/>
          <w:lang w:eastAsia="es-ES" w:bidi="ar-SA"/>
        </w:rPr>
        <w:t>urbanística de conservación.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Entidad Urbanística de Conservación “EUC Polígono Valle Güímar” se financiará por el Cabildo de Tenerife, por los Ayuntamientos y por las cuotas de los propietarios de las parcelas/solares/inmuebles situados en el ámbito ter</w:t>
      </w:r>
      <w:r>
        <w:rPr>
          <w:rFonts w:ascii="Arial" w:eastAsia="Times New Roman" w:hAnsi="Arial" w:cs="Arial"/>
          <w:i/>
          <w:sz w:val="22"/>
          <w:szCs w:val="22"/>
          <w:lang w:val="es" w:eastAsia="es-ES" w:bidi="ar-SA"/>
        </w:rPr>
        <w:t>ritorial definido del Polígono Industrial Valle de Güímar y del listado de propietarios identificados al momento de la aprobación de los presentes estatutos.</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financiación se calculará en función del importe que se pretenda recaudar para la conservación</w:t>
      </w:r>
      <w:r>
        <w:rPr>
          <w:rFonts w:ascii="Arial" w:eastAsia="Times New Roman" w:hAnsi="Arial" w:cs="Arial"/>
          <w:i/>
          <w:sz w:val="22"/>
          <w:szCs w:val="22"/>
          <w:lang w:val="es" w:eastAsia="es-ES" w:bidi="ar-SA"/>
        </w:rPr>
        <w:t xml:space="preserve"> y mantenimiento del polígono industrial por acuerdo de la Asamblea General, siendo la siguiente participación:</w:t>
      </w: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Cabildo de Tenerife y Ayuntamientos 55%</w:t>
      </w: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Cuotas de los propietarios 45%</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En ningún caso el porcentaje de participación económica del Cabildo de </w:t>
      </w:r>
      <w:r>
        <w:rPr>
          <w:rFonts w:ascii="Arial" w:eastAsia="Times New Roman" w:hAnsi="Arial" w:cs="Arial"/>
          <w:i/>
          <w:sz w:val="22"/>
          <w:szCs w:val="22"/>
          <w:lang w:val="es" w:eastAsia="es-ES" w:bidi="ar-SA"/>
        </w:rPr>
        <w:t>Tenerife y de los ayuntamientos podrá ser superior al 55% del total de la previsión de ingresos de la entidad, estableciéndose éste como un máximo.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cualquier caso, la Asamblea General, podrá modificar el porcentaje de participación en la financiación, m</w:t>
      </w:r>
      <w:r>
        <w:rPr>
          <w:rFonts w:ascii="Arial" w:eastAsia="Times New Roman" w:hAnsi="Arial" w:cs="Arial"/>
          <w:i/>
          <w:sz w:val="22"/>
          <w:szCs w:val="22"/>
          <w:lang w:val="es" w:eastAsia="es-ES" w:bidi="ar-SA"/>
        </w:rPr>
        <w:t>inorando el de las administraciones públicas intervinientes y aumentando el de los propietarios, que repercutirá también de forma proporcional en el grado de participación de los representantes del Cabildo en los órganos de gobierno, así como en la cuota d</w:t>
      </w:r>
      <w:r>
        <w:rPr>
          <w:rFonts w:ascii="Arial" w:eastAsia="Times New Roman" w:hAnsi="Arial" w:cs="Arial"/>
          <w:i/>
          <w:sz w:val="22"/>
          <w:szCs w:val="22"/>
          <w:lang w:val="es" w:eastAsia="es-ES" w:bidi="ar-SA"/>
        </w:rPr>
        <w:t>e participación del voto en la toma de decisiones.</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12º.- Participación del Cabildo de Tenerife: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El Cabildo y los Ayuntamientos de Arafo, Candelaria y Güímar aportarán cada año el 55% del importe total que se pretenda recaudar anualmente por la Ent</w:t>
      </w:r>
      <w:r>
        <w:rPr>
          <w:rFonts w:ascii="Arial" w:eastAsia="Times New Roman" w:hAnsi="Arial" w:cs="Arial"/>
          <w:i/>
          <w:sz w:val="22"/>
          <w:szCs w:val="22"/>
          <w:lang w:val="es" w:eastAsia="es-ES" w:bidi="ar-SA"/>
        </w:rPr>
        <w:t>idad de Conservación, correspondiendo un 45% el importe recaudado por cuotas de participación de los propietarios. En ningún caso, el importe a consignar por el Cabildo y los ayuntamientos podrá ser superior al importe consignado el primer año de la creaci</w:t>
      </w:r>
      <w:r>
        <w:rPr>
          <w:rFonts w:ascii="Arial" w:eastAsia="Times New Roman" w:hAnsi="Arial" w:cs="Arial"/>
          <w:i/>
          <w:sz w:val="22"/>
          <w:szCs w:val="22"/>
          <w:lang w:val="es" w:eastAsia="es-ES" w:bidi="ar-SA"/>
        </w:rPr>
        <w:t>ón de la EUC, que tendrá en todo caso y para todos los años, el carácter de máximo.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Este mismo porcentaje de participación será tenido en cuenta en la representación del Cabildo de Tenerife y los ayuntamientos en los órganos de gobierno, así como en la cuo</w:t>
      </w:r>
      <w:r>
        <w:rPr>
          <w:rFonts w:ascii="Arial" w:eastAsia="Times New Roman" w:hAnsi="Arial" w:cs="Arial"/>
          <w:i/>
          <w:sz w:val="22"/>
          <w:szCs w:val="22"/>
          <w:lang w:val="es" w:eastAsia="es-ES" w:bidi="ar-SA"/>
        </w:rPr>
        <w:t>ta de participación del voto en la toma de decisiones que será proporcional a su aportación económica. En cualquier caso, el sentido de la votación de la Corporación Insular se realizará siempre en aras al interés público y si fuera necesario, se contará c</w:t>
      </w:r>
      <w:r>
        <w:rPr>
          <w:rFonts w:ascii="Arial" w:eastAsia="Times New Roman" w:hAnsi="Arial" w:cs="Arial"/>
          <w:i/>
          <w:sz w:val="22"/>
          <w:szCs w:val="22"/>
          <w:lang w:val="es" w:eastAsia="es-ES" w:bidi="ar-SA"/>
        </w:rPr>
        <w:t>on el correspondiente asesoramiento técnico-jurídico.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Cualquier toma de decisión por los órganos de gobierno de la Entidad Urbanística de Conservación, que afecte a la consignación económica del Cabildo de Tenerife o de los Ayuntamientos implicados, ya sea</w:t>
      </w:r>
      <w:r>
        <w:rPr>
          <w:rFonts w:ascii="Arial" w:eastAsia="Times New Roman" w:hAnsi="Arial" w:cs="Arial"/>
          <w:i/>
          <w:sz w:val="22"/>
          <w:szCs w:val="22"/>
          <w:lang w:val="es" w:eastAsia="es-ES" w:bidi="ar-SA"/>
        </w:rPr>
        <w:t xml:space="preserve"> respecto a la forma de financiación, a una modificación al alza o a la baja de su importe, porcentaje o cualquier tipo de decisión que afecte a la carga presupuestaria de la Corporación Insular, u otro tipo, deberá contar en todo caso con el voto favorabl</w:t>
      </w:r>
      <w:r>
        <w:rPr>
          <w:rFonts w:ascii="Arial" w:eastAsia="Times New Roman" w:hAnsi="Arial" w:cs="Arial"/>
          <w:i/>
          <w:sz w:val="22"/>
          <w:szCs w:val="22"/>
          <w:lang w:val="es" w:eastAsia="es-ES" w:bidi="ar-SA"/>
        </w:rPr>
        <w:t>e unánime de todos los representantes designados por el Cabildo de Tenerife o por las Administraciones municipales.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aportación económica el primer año de constitución, que será, para todas las anualidades, siempre un máximo que no podrá superarse, por p</w:t>
      </w:r>
      <w:r>
        <w:rPr>
          <w:rFonts w:ascii="Arial" w:eastAsia="Times New Roman" w:hAnsi="Arial" w:cs="Arial"/>
          <w:i/>
          <w:sz w:val="22"/>
          <w:szCs w:val="22"/>
          <w:lang w:val="es" w:eastAsia="es-ES" w:bidi="ar-SA"/>
        </w:rPr>
        <w:t>arte del Cabildo de Tenerife, para el año 2025 será la siguiente:</w:t>
      </w: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DOSCIENTOS MIL EUROS (200.000,00 €) como subvención nominativa por Resolución del Consejero con competencias en industria con cargo a los presupuestos del Cabildo de Tenerife del 2025.</w:t>
      </w:r>
    </w:p>
    <w:p w:rsidR="00061CF1" w:rsidRDefault="00061CF1">
      <w:pPr>
        <w:suppressAutoHyphens w:val="0"/>
        <w:autoSpaceDE w:val="0"/>
        <w:spacing w:before="180" w:after="180" w:line="276" w:lineRule="auto"/>
        <w:ind w:left="720"/>
        <w:jc w:val="both"/>
        <w:textAlignment w:val="auto"/>
        <w:rPr>
          <w:rFonts w:ascii="Arial" w:eastAsia="Times New Roman" w:hAnsi="Arial" w:cs="Arial"/>
          <w:i/>
          <w:kern w:val="0"/>
          <w:sz w:val="22"/>
          <w:szCs w:val="22"/>
          <w:lang w:val="es" w:eastAsia="es-ES" w:bidi="ar-SA"/>
        </w:rPr>
      </w:pP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DOSCIENTOS CINCUENTA MIL EUROS (250.000,00 €) aportación por la Asociación Mixta Polígono de Güímar (en disolución), conforme compromisos adquiridos.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Sin perjuicio de los acuerdos económicos que realicen las administraciones públicas referidas, y siempre e</w:t>
      </w:r>
      <w:r>
        <w:rPr>
          <w:rFonts w:ascii="Arial" w:eastAsia="Times New Roman" w:hAnsi="Arial" w:cs="Arial"/>
          <w:i/>
          <w:sz w:val="22"/>
          <w:szCs w:val="22"/>
          <w:lang w:val="es" w:eastAsia="es-ES" w:bidi="ar-SA"/>
        </w:rPr>
        <w:t>n cumplimiento de los principios de estabilidad presupuestaria y sostenibilidad financiera, para los años sucesivos a la constitución de la entidad, las administraciones públicas intervinientes, aportarán ese 55% de financiación establecidos en los present</w:t>
      </w:r>
      <w:r>
        <w:rPr>
          <w:rFonts w:ascii="Arial" w:eastAsia="Times New Roman" w:hAnsi="Arial" w:cs="Arial"/>
          <w:i/>
          <w:sz w:val="22"/>
          <w:szCs w:val="22"/>
          <w:lang w:val="es" w:eastAsia="es-ES" w:bidi="ar-SA"/>
        </w:rPr>
        <w:t>es estatutos que, por agilidad y celeridad procedimental se hará a través de una única administración, que será el Cabildo de Tenerife, dentro de los tres primeros meses de cada año natural, previa memoria económica presentada por la Entidad Urbanística de</w:t>
      </w:r>
      <w:r>
        <w:rPr>
          <w:rFonts w:ascii="Arial" w:eastAsia="Times New Roman" w:hAnsi="Arial" w:cs="Arial"/>
          <w:i/>
          <w:sz w:val="22"/>
          <w:szCs w:val="22"/>
          <w:lang w:val="es" w:eastAsia="es-ES" w:bidi="ar-SA"/>
        </w:rPr>
        <w:t xml:space="preserve"> Conservación.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Si la aportación económica en concepto de cuotas de los propietarios se minora, de forma proporcional se minorará la aportación económica del Cabildo y de los Ayuntamientos, con la finalidad de que se mantenga un 55% por aportación económica</w:t>
      </w:r>
      <w:r>
        <w:rPr>
          <w:rFonts w:ascii="Arial" w:eastAsia="Times New Roman" w:hAnsi="Arial" w:cs="Arial"/>
          <w:i/>
          <w:sz w:val="22"/>
          <w:szCs w:val="22"/>
          <w:lang w:val="es" w:eastAsia="es-ES" w:bidi="ar-SA"/>
        </w:rPr>
        <w:t xml:space="preserve"> del Cabildo de Tenerife y de los Ayuntamientos y un 45% del resto de cuotas de los propietarios. Se podrá modificar dicho porcentaje por la Asamblea General.</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13º.- Participación de los Ayuntamientos de Arafo, Candelaria y Güímar:</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Los Ayuntamiento</w:t>
      </w:r>
      <w:r>
        <w:rPr>
          <w:rFonts w:ascii="Arial" w:eastAsia="Times New Roman" w:hAnsi="Arial" w:cs="Arial"/>
          <w:i/>
          <w:sz w:val="22"/>
          <w:szCs w:val="22"/>
          <w:lang w:val="es" w:eastAsia="es-ES" w:bidi="ar-SA"/>
        </w:rPr>
        <w:t>s de Arafo, Candelaria y Güímar, mientras exista la Entidad Urbanística de Conservación, cederán gratuitamente el uso de las oficinas ubicadas en el Edificio Tastusa, en el municipio de Arafo, sin que le corresponda a estas corporaciones locales abonar los</w:t>
      </w:r>
      <w:r>
        <w:rPr>
          <w:rFonts w:ascii="Arial" w:eastAsia="Times New Roman" w:hAnsi="Arial" w:cs="Arial"/>
          <w:i/>
          <w:sz w:val="22"/>
          <w:szCs w:val="22"/>
          <w:lang w:val="es" w:eastAsia="es-ES" w:bidi="ar-SA"/>
        </w:rPr>
        <w:t xml:space="preserve"> gastos corrientes como teléfono, internet, agua, luz y similares, que irán a cargo de la Entidad Urbanística de Conservación.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Estos ayuntamientos abonaran las cuotas que les correspondan como propietarios de las parcelas que tengan titularidad como cualqu</w:t>
      </w:r>
      <w:r>
        <w:rPr>
          <w:rFonts w:ascii="Arial" w:eastAsia="Times New Roman" w:hAnsi="Arial" w:cs="Arial"/>
          <w:i/>
          <w:sz w:val="22"/>
          <w:szCs w:val="22"/>
          <w:lang w:val="es" w:eastAsia="es-ES" w:bidi="ar-SA"/>
        </w:rPr>
        <w:t>ier otro propietario, y en consecuencia le corresponderá el voto en su proporción económica.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Su participación como representantes municipales en los órganos de gobierno designados de forma directa por los presentes estatutos, tendrán derecho a voz y a voto</w:t>
      </w:r>
      <w:r>
        <w:rPr>
          <w:rFonts w:ascii="Arial" w:eastAsia="Times New Roman" w:hAnsi="Arial" w:cs="Arial"/>
          <w:i/>
          <w:sz w:val="22"/>
          <w:szCs w:val="22"/>
          <w:lang w:val="es" w:eastAsia="es-ES" w:bidi="ar-SA"/>
        </w:rPr>
        <w:t xml:space="preserve">. Teniendo en cuenta que el voto va ligado a la aportación económica por la cual se financia a la entidad.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Las obligaciones y la prestación de servicios por las entidades locales se recogen en la tabla incorporada en el artículo 4 de los presentes estatut</w:t>
      </w:r>
      <w:r>
        <w:rPr>
          <w:rFonts w:ascii="Arial" w:eastAsia="Times New Roman" w:hAnsi="Arial" w:cs="Arial"/>
          <w:i/>
          <w:sz w:val="22"/>
          <w:szCs w:val="22"/>
          <w:lang w:val="es" w:eastAsia="es-ES" w:bidi="ar-SA"/>
        </w:rPr>
        <w:t>os.</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14º.- Cuotas de participación:</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 xml:space="preserve">‐ </w:t>
      </w:r>
      <w:r>
        <w:rPr>
          <w:rFonts w:ascii="Arial" w:eastAsia="Times New Roman" w:hAnsi="Arial" w:cs="Arial"/>
          <w:i/>
          <w:sz w:val="22"/>
          <w:szCs w:val="22"/>
          <w:lang w:val="es" w:eastAsia="es-ES" w:bidi="ar-SA"/>
        </w:rPr>
        <w:t xml:space="preserve">Para determinar los derechos y obligaciones de los propietarios, cada titular de parcela/finca/inmueble identificada por la referencia catastral establecida, tendrá una cuota de participación conforme al </w:t>
      </w:r>
      <w:r>
        <w:rPr>
          <w:rFonts w:ascii="Arial" w:eastAsia="Times New Roman" w:hAnsi="Arial" w:cs="Arial"/>
          <w:i/>
          <w:sz w:val="22"/>
          <w:szCs w:val="22"/>
          <w:lang w:val="es" w:eastAsia="es-ES" w:bidi="ar-SA"/>
        </w:rPr>
        <w:t>cálculo establecido en los presentes estatutos.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2.- La cuota determinará, por un lado, el importe mensual a satisfacer por cada propietario a la entidad urbanística de conservación y, por otro lado, el grado porcentual de participación de cada propietario </w:t>
      </w:r>
      <w:r>
        <w:rPr>
          <w:rFonts w:ascii="Arial" w:eastAsia="Times New Roman" w:hAnsi="Arial" w:cs="Arial"/>
          <w:i/>
          <w:sz w:val="22"/>
          <w:szCs w:val="22"/>
          <w:lang w:val="es" w:eastAsia="es-ES" w:bidi="ar-SA"/>
        </w:rPr>
        <w:t>en los órganos de representación de la entidad en el momento de la votación.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3.- El cálculo de la cuota de participación se ha ideado buscando una fórmula justa y equilibrada </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en función de la fisionomía y especialidad de este polígono, atendiendo a cada </w:t>
      </w:r>
      <w:r>
        <w:rPr>
          <w:rFonts w:ascii="Arial" w:eastAsia="Times New Roman" w:hAnsi="Arial" w:cs="Arial"/>
          <w:i/>
          <w:sz w:val="22"/>
          <w:szCs w:val="22"/>
          <w:lang w:val="es" w:eastAsia="es-ES" w:bidi="ar-SA"/>
        </w:rPr>
        <w:t>referencia catastral, conforme a los datos existentes en el Catastro como documento oficial. Asimismo, se ha tenido en cuenta la superficie total en metros cuadrados (m2) que posee cada titular, conforme a la referencia catastral, ya esté construido, se en</w:t>
      </w:r>
      <w:r>
        <w:rPr>
          <w:rFonts w:ascii="Arial" w:eastAsia="Times New Roman" w:hAnsi="Arial" w:cs="Arial"/>
          <w:i/>
          <w:sz w:val="22"/>
          <w:szCs w:val="22"/>
          <w:lang w:val="es" w:eastAsia="es-ES" w:bidi="ar-SA"/>
        </w:rPr>
        <w:t>cuentre en una propiedad con división horizontal o sin construir, denominándose a la misma “superficie contable”.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4.- La recaudación de las cuotas de participación tendrán naturaleza finalista, es decir, se destinarán exclusivamente a los gastos de conserv</w:t>
      </w:r>
      <w:r>
        <w:rPr>
          <w:rFonts w:ascii="Arial" w:eastAsia="Times New Roman" w:hAnsi="Arial" w:cs="Arial"/>
          <w:i/>
          <w:sz w:val="22"/>
          <w:szCs w:val="22"/>
          <w:lang w:val="es" w:eastAsia="es-ES" w:bidi="ar-SA"/>
        </w:rPr>
        <w:t>ación y mantenimiento del ámbito territorial definido en el plano adjunto del Polígono Industrial Valle de Güímar, así como para los gastos estructurales y de personal propios de la Entidad Urbanística de Conservación.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5.- En todo caso, deberá determinarse</w:t>
      </w:r>
      <w:r>
        <w:rPr>
          <w:rFonts w:ascii="Arial" w:eastAsia="Times New Roman" w:hAnsi="Arial" w:cs="Arial"/>
          <w:i/>
          <w:sz w:val="22"/>
          <w:szCs w:val="22"/>
          <w:lang w:val="es" w:eastAsia="es-ES" w:bidi="ar-SA"/>
        </w:rPr>
        <w:t xml:space="preserve"> el coste total de los gastos de conservación y mantenimiento del área industrial, en aras a determinar el importe a recaudar y en consecuencia el ajuste de la cuota de cada propietario, todo ello según se determine por la Asamblea General.</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 xml:space="preserve">Artículo 15ª.- </w:t>
      </w:r>
      <w:r>
        <w:rPr>
          <w:rFonts w:ascii="Arial" w:eastAsia="Times New Roman" w:hAnsi="Arial" w:cs="Arial"/>
          <w:b/>
          <w:i/>
          <w:sz w:val="22"/>
          <w:szCs w:val="22"/>
          <w:lang w:val="es" w:eastAsia="es-ES" w:bidi="ar-SA"/>
        </w:rPr>
        <w:t xml:space="preserve"> Cálculo de la cuota de participación: </w:t>
      </w:r>
    </w:p>
    <w:p w:rsidR="00061CF1" w:rsidRDefault="004E6D5A">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El cálculo de la cuota se determinará por los metros cuadrados que tiene cada propietario según su referencia catastral a efectos de lo establecido en el Catastro, denominándose a la misma como “superficie contable”.</w:t>
      </w:r>
    </w:p>
    <w:p w:rsidR="00061CF1" w:rsidRDefault="00061CF1">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p>
    <w:p w:rsidR="00061CF1" w:rsidRDefault="004E6D5A">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En primer lugar, se debe determinar la superficie contable, que será la base de cálculo, conforme la siguiente tabla:</w:t>
      </w:r>
    </w:p>
    <w:p w:rsidR="00061CF1" w:rsidRDefault="00061CF1">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p>
    <w:tbl>
      <w:tblPr>
        <w:tblW w:w="9354" w:type="dxa"/>
        <w:tblCellMar>
          <w:left w:w="10" w:type="dxa"/>
          <w:right w:w="10" w:type="dxa"/>
        </w:tblCellMar>
        <w:tblLook w:val="0000" w:firstRow="0" w:lastRow="0" w:firstColumn="0" w:lastColumn="0" w:noHBand="0" w:noVBand="0"/>
      </w:tblPr>
      <w:tblGrid>
        <w:gridCol w:w="4677"/>
        <w:gridCol w:w="4677"/>
      </w:tblGrid>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
                <w:bCs/>
                <w:i/>
                <w:sz w:val="22"/>
                <w:szCs w:val="22"/>
                <w:lang w:bidi="ar-SA"/>
              </w:rPr>
            </w:pPr>
            <w:r>
              <w:rPr>
                <w:rFonts w:ascii="Arial" w:eastAsia="Lucida Sans Unicode" w:hAnsi="Arial" w:cs="Arial"/>
                <w:b/>
                <w:bCs/>
                <w:i/>
                <w:sz w:val="22"/>
                <w:szCs w:val="22"/>
                <w:lang w:bidi="ar-SA"/>
              </w:rPr>
              <w:t>Tipo de bien</w:t>
            </w:r>
          </w:p>
        </w:tc>
        <w:tc>
          <w:tcPr>
            <w:tcW w:w="46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
                <w:bCs/>
                <w:i/>
                <w:sz w:val="22"/>
                <w:szCs w:val="22"/>
                <w:lang w:bidi="ar-SA"/>
              </w:rPr>
            </w:pPr>
            <w:r>
              <w:rPr>
                <w:rFonts w:ascii="Arial" w:eastAsia="Lucida Sans Unicode" w:hAnsi="Arial" w:cs="Arial"/>
                <w:b/>
                <w:bCs/>
                <w:i/>
                <w:sz w:val="22"/>
                <w:szCs w:val="22"/>
                <w:lang w:bidi="ar-SA"/>
              </w:rPr>
              <w:t>Superficie contable</w:t>
            </w:r>
          </w:p>
        </w:tc>
      </w:tr>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Referencia catastral correspondiente a una parcela sin construir y sin división horizontal.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Superficie de la parcela según el catastro.</w:t>
            </w:r>
          </w:p>
        </w:tc>
      </w:tr>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Referencia catastral correspondiente a una parcela construida sin división horizontal.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La mayor ente las superficies entre la superficie de la parcela y la superficie construida según el catastro</w:t>
            </w:r>
          </w:p>
        </w:tc>
      </w:tr>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Referencias ca</w:t>
            </w:r>
            <w:r>
              <w:rPr>
                <w:rFonts w:ascii="Arial" w:eastAsia="Lucida Sans Unicode" w:hAnsi="Arial" w:cs="Arial"/>
                <w:bCs/>
                <w:i/>
                <w:sz w:val="22"/>
                <w:szCs w:val="22"/>
                <w:lang w:bidi="ar-SA"/>
              </w:rPr>
              <w:t>tastrales que forman parte de una parcela construida y con división horizontal.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Superficie construida según el catastro.</w:t>
            </w:r>
          </w:p>
        </w:tc>
      </w:tr>
    </w:tbl>
    <w:p w:rsidR="00061CF1" w:rsidRDefault="00061CF1">
      <w:pPr>
        <w:shd w:val="clear" w:color="auto" w:fill="FFFFFF"/>
        <w:spacing w:before="120" w:line="276" w:lineRule="auto"/>
        <w:ind w:right="-8"/>
        <w:jc w:val="both"/>
        <w:textAlignment w:val="auto"/>
        <w:rPr>
          <w:rFonts w:ascii="Arial" w:eastAsia="Lucida Sans Unicode" w:hAnsi="Arial" w:cs="Arial"/>
          <w:bCs/>
          <w:i/>
          <w:sz w:val="22"/>
          <w:szCs w:val="22"/>
          <w:lang w:bidi="ar-SA"/>
        </w:rPr>
      </w:pPr>
    </w:p>
    <w:p w:rsidR="00061CF1" w:rsidRDefault="004E6D5A">
      <w:pPr>
        <w:shd w:val="clear" w:color="auto" w:fill="FFFFFF"/>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La relación de referencias catastrales con sus superficies y propietarios debe mantenerse actualizada por la EUC, a través de la Gere</w:t>
      </w:r>
      <w:r>
        <w:rPr>
          <w:rFonts w:ascii="Arial" w:eastAsia="Lucida Sans Unicode" w:hAnsi="Arial" w:cs="Arial"/>
          <w:bCs/>
          <w:i/>
          <w:sz w:val="22"/>
          <w:szCs w:val="22"/>
          <w:lang w:bidi="ar-SA"/>
        </w:rPr>
        <w:t>ncia, con la información proporcionada por los propietarios, para una correcta gestión de los cobros.</w:t>
      </w:r>
    </w:p>
    <w:p w:rsidR="00061CF1" w:rsidRDefault="004E6D5A">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 xml:space="preserve">En cuanto a la cuota anual, sin perjuicio que la Asamblea General establezca otro tipo de fórmula, a devengar por cada propietario de una referencia </w:t>
      </w:r>
      <w:r>
        <w:rPr>
          <w:rFonts w:ascii="Arial" w:eastAsia="Lucida Sans Unicode" w:hAnsi="Arial" w:cs="Arial"/>
          <w:bCs/>
          <w:i/>
          <w:sz w:val="22"/>
          <w:szCs w:val="22"/>
          <w:lang w:bidi="ar-SA"/>
        </w:rPr>
        <w:t>catastral se calcula al aplicar un precio por cada m2 organizados en tramos, usando la siguiente fórmula:</w:t>
      </w:r>
    </w:p>
    <w:p w:rsidR="00061CF1" w:rsidRDefault="00061CF1">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p>
    <w:p w:rsidR="00061CF1" w:rsidRDefault="00061CF1">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p>
    <w:p w:rsidR="00061CF1" w:rsidRDefault="00061CF1">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p>
    <w:p w:rsidR="00061CF1" w:rsidRDefault="00061CF1">
      <w:pPr>
        <w:shd w:val="clear" w:color="auto" w:fill="FFFFFF"/>
        <w:spacing w:before="120" w:after="160" w:line="244" w:lineRule="auto"/>
        <w:ind w:right="-8"/>
        <w:jc w:val="both"/>
        <w:textAlignment w:val="auto"/>
        <w:rPr>
          <w:rFonts w:ascii="Arial" w:eastAsia="Lucida Sans Unicode" w:hAnsi="Arial" w:cs="Arial"/>
          <w:bCs/>
          <w:i/>
          <w:sz w:val="22"/>
          <w:szCs w:val="22"/>
          <w:lang w:bidi="ar-SA"/>
        </w:rPr>
      </w:pPr>
    </w:p>
    <w:p w:rsidR="00061CF1" w:rsidRDefault="004E6D5A">
      <w:pPr>
        <w:shd w:val="clear" w:color="auto" w:fill="FFFFFF"/>
        <w:spacing w:before="240" w:after="240" w:line="360" w:lineRule="auto"/>
        <w:ind w:left="993" w:right="-8"/>
        <w:jc w:val="both"/>
        <w:textAlignment w:val="auto"/>
      </w:pPr>
      <m:oMath>
        <m:r>
          <m:rPr>
            <m:sty m:val="b"/>
          </m:rPr>
          <w:rPr>
            <w:rFonts w:ascii="Cambria Math" w:hAnsi="Cambria Math"/>
          </w:rPr>
          <m:t>CuotaRef</m:t>
        </m:r>
        <m:r>
          <w:rPr>
            <w:rFonts w:ascii="Cambria Math" w:hAnsi="Cambria Math"/>
          </w:rPr>
          <m:t>=</m:t>
        </m:r>
        <m:nary>
          <m:naryPr>
            <m:chr m:val="∑"/>
            <m:limLoc m:val="undOvr"/>
            <m:ctrlPr>
              <w:rPr>
                <w:rFonts w:ascii="Cambria Math" w:hAnsi="Cambria Math"/>
              </w:rPr>
            </m:ctrlPr>
          </m:naryPr>
          <m:sub>
            <m:r>
              <m:rPr>
                <m:sty m:val="b"/>
              </m:rPr>
              <w:rPr>
                <w:rFonts w:ascii="Cambria Math" w:hAnsi="Cambria Math"/>
              </w:rPr>
              <m:t>i</m:t>
            </m:r>
            <m:r>
              <w:rPr>
                <w:rFonts w:ascii="Cambria Math" w:hAnsi="Cambria Math"/>
              </w:rPr>
              <m:t>=1</m:t>
            </m:r>
          </m:sub>
          <m:sup>
            <m:r>
              <w:rPr>
                <w:rFonts w:ascii="Cambria Math" w:hAnsi="Cambria Math"/>
              </w:rPr>
              <m:t>7</m:t>
            </m:r>
          </m:sup>
          <m:e>
            <m:sSub>
              <m:sSubPr>
                <m:ctrlPr>
                  <w:rPr>
                    <w:rFonts w:ascii="Cambria Math" w:hAnsi="Cambria Math"/>
                  </w:rPr>
                </m:ctrlPr>
              </m:sSubPr>
              <m:e>
                <m:r>
                  <m:rPr>
                    <m:sty m:val="b"/>
                  </m:rPr>
                  <w:rPr>
                    <w:rFonts w:ascii="Cambria Math" w:hAnsi="Cambria Math"/>
                  </w:rPr>
                  <m:t>Sup</m:t>
                </m:r>
              </m:e>
              <m:sub>
                <m:r>
                  <m:rPr>
                    <m:sty m:val="b"/>
                  </m:rPr>
                  <w:rPr>
                    <w:rFonts w:ascii="Cambria Math" w:hAnsi="Cambria Math"/>
                  </w:rPr>
                  <m:t>Tramo</m:t>
                </m:r>
                <m:r>
                  <m:rPr>
                    <m:sty m:val="b"/>
                  </m:rPr>
                  <w:rPr>
                    <w:rFonts w:ascii="Cambria Math" w:hAnsi="Cambria Math"/>
                  </w:rPr>
                  <m:t xml:space="preserve"> </m:t>
                </m:r>
                <m:r>
                  <m:rPr>
                    <m:sty m:val="b"/>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
                  </m:rPr>
                  <w:rPr>
                    <w:rFonts w:ascii="Cambria Math" w:hAnsi="Cambria Math"/>
                  </w:rPr>
                  <m:t>Precio</m:t>
                </m:r>
              </m:e>
              <m:sub>
                <m:r>
                  <m:rPr>
                    <m:sty m:val="b"/>
                  </m:rPr>
                  <w:rPr>
                    <w:rFonts w:ascii="Cambria Math" w:hAnsi="Cambria Math"/>
                  </w:rPr>
                  <m:t>Tramo</m:t>
                </m:r>
                <m:r>
                  <m:rPr>
                    <m:sty m:val="b"/>
                  </m:rPr>
                  <w:rPr>
                    <w:rFonts w:ascii="Cambria Math" w:hAnsi="Cambria Math"/>
                  </w:rPr>
                  <m:t xml:space="preserve"> </m:t>
                </m:r>
                <m:r>
                  <m:rPr>
                    <m:sty m:val="b"/>
                  </m:rPr>
                  <w:rPr>
                    <w:rFonts w:ascii="Cambria Math" w:hAnsi="Cambria Math"/>
                  </w:rPr>
                  <m:t>i</m:t>
                </m:r>
              </m:sub>
            </m:sSub>
          </m:e>
        </m:nary>
      </m:oMath>
      <w:r>
        <w:rPr>
          <w:rFonts w:ascii="Arial" w:eastAsia="Lucida Sans Unicode" w:hAnsi="Arial" w:cs="Arial"/>
          <w:b/>
          <w:bCs/>
          <w:i/>
          <w:sz w:val="22"/>
          <w:szCs w:val="22"/>
          <w:lang w:bidi="ar-SA"/>
        </w:rPr>
        <w:t xml:space="preserve">  </w:t>
      </w:r>
    </w:p>
    <w:p w:rsidR="00061CF1" w:rsidRDefault="004E6D5A">
      <w:pPr>
        <w:shd w:val="clear" w:color="auto" w:fill="FFFFFF"/>
        <w:spacing w:before="240" w:after="240" w:line="360" w:lineRule="auto"/>
        <w:ind w:left="993" w:right="-8"/>
        <w:jc w:val="both"/>
        <w:textAlignment w:val="auto"/>
        <w:rPr>
          <w:rFonts w:ascii="Arial" w:eastAsia="Lucida Sans Unicode" w:hAnsi="Arial" w:cs="Arial"/>
          <w:b/>
          <w:bCs/>
          <w:i/>
          <w:sz w:val="22"/>
          <w:szCs w:val="22"/>
          <w:lang w:bidi="ar-SA"/>
        </w:rPr>
      </w:pPr>
      <w:r>
        <w:rPr>
          <w:rFonts w:ascii="Arial" w:eastAsia="Lucida Sans Unicode" w:hAnsi="Arial" w:cs="Arial"/>
          <w:b/>
          <w:bCs/>
          <w:i/>
          <w:sz w:val="22"/>
          <w:szCs w:val="22"/>
          <w:lang w:bidi="ar-SA"/>
        </w:rPr>
        <w:t>Dónde:</w:t>
      </w:r>
    </w:p>
    <w:p w:rsidR="00061CF1" w:rsidRDefault="004E6D5A">
      <w:pPr>
        <w:shd w:val="clear" w:color="auto" w:fill="FFFFFF"/>
        <w:spacing w:before="120" w:after="120" w:line="276" w:lineRule="auto"/>
        <w:ind w:left="993" w:right="-8"/>
        <w:jc w:val="both"/>
        <w:textAlignment w:val="auto"/>
      </w:pPr>
      <w:r>
        <w:rPr>
          <w:rFonts w:ascii="Arial" w:eastAsia="Lucida Sans Unicode" w:hAnsi="Arial" w:cs="Arial"/>
          <w:b/>
          <w:bCs/>
          <w:i/>
          <w:sz w:val="22"/>
          <w:szCs w:val="22"/>
          <w:lang w:bidi="ar-SA"/>
        </w:rPr>
        <w:t>Cuota Ref =</w:t>
      </w:r>
      <w:r>
        <w:rPr>
          <w:rFonts w:ascii="Arial" w:eastAsia="Lucida Sans Unicode" w:hAnsi="Arial" w:cs="Arial"/>
          <w:bCs/>
          <w:i/>
          <w:sz w:val="22"/>
          <w:szCs w:val="22"/>
          <w:lang w:bidi="ar-SA"/>
        </w:rPr>
        <w:t xml:space="preserve"> Cuota anual a abonar por la referencia catastral</w:t>
      </w:r>
    </w:p>
    <w:p w:rsidR="00061CF1" w:rsidRDefault="004E6D5A">
      <w:pPr>
        <w:shd w:val="clear" w:color="auto" w:fill="FFFFFF"/>
        <w:spacing w:before="120" w:after="120" w:line="276" w:lineRule="auto"/>
        <w:ind w:left="993" w:right="-8"/>
        <w:jc w:val="both"/>
        <w:textAlignment w:val="auto"/>
      </w:pPr>
      <w:r>
        <w:rPr>
          <w:rFonts w:ascii="Arial" w:eastAsia="Lucida Sans Unicode" w:hAnsi="Arial" w:cs="Arial"/>
          <w:b/>
          <w:bCs/>
          <w:i/>
          <w:sz w:val="22"/>
          <w:szCs w:val="22"/>
          <w:lang w:bidi="ar-SA"/>
        </w:rPr>
        <w:t>PrecioTramo i</w:t>
      </w:r>
      <w:r>
        <w:rPr>
          <w:rFonts w:ascii="Arial" w:eastAsia="Lucida Sans Unicode" w:hAnsi="Arial" w:cs="Arial"/>
          <w:bCs/>
          <w:i/>
          <w:sz w:val="22"/>
          <w:szCs w:val="22"/>
          <w:lang w:bidi="ar-SA"/>
        </w:rPr>
        <w:t xml:space="preserve"> = €/m2 del tramo i.</w:t>
      </w:r>
    </w:p>
    <w:p w:rsidR="00061CF1" w:rsidRDefault="004E6D5A">
      <w:pPr>
        <w:shd w:val="clear" w:color="auto" w:fill="FFFFFF"/>
        <w:spacing w:before="120" w:after="120" w:line="276" w:lineRule="auto"/>
        <w:ind w:left="993" w:right="-8"/>
        <w:jc w:val="both"/>
        <w:textAlignment w:val="auto"/>
      </w:pPr>
      <w:r>
        <w:rPr>
          <w:rFonts w:ascii="Arial" w:eastAsia="Lucida Sans Unicode" w:hAnsi="Arial" w:cs="Arial"/>
          <w:b/>
          <w:bCs/>
          <w:i/>
          <w:sz w:val="22"/>
          <w:szCs w:val="22"/>
          <w:lang w:bidi="ar-SA"/>
        </w:rPr>
        <w:t>SupTramo i</w:t>
      </w:r>
      <w:r>
        <w:rPr>
          <w:rFonts w:ascii="Arial" w:eastAsia="Lucida Sans Unicode" w:hAnsi="Arial" w:cs="Arial"/>
          <w:bCs/>
          <w:i/>
          <w:sz w:val="22"/>
          <w:szCs w:val="22"/>
          <w:lang w:bidi="ar-SA"/>
        </w:rPr>
        <w:t xml:space="preserve"> = Superficie de la parcela den</w:t>
      </w:r>
      <w:r>
        <w:rPr>
          <w:rFonts w:ascii="Arial" w:eastAsia="Lucida Sans Unicode" w:hAnsi="Arial" w:cs="Arial"/>
          <w:bCs/>
          <w:i/>
          <w:sz w:val="22"/>
          <w:szCs w:val="22"/>
          <w:lang w:bidi="ar-SA"/>
        </w:rPr>
        <w:t>tro del tramo i.</w:t>
      </w:r>
    </w:p>
    <w:tbl>
      <w:tblPr>
        <w:tblW w:w="6374" w:type="dxa"/>
        <w:jc w:val="center"/>
        <w:tblCellMar>
          <w:left w:w="10" w:type="dxa"/>
          <w:right w:w="10" w:type="dxa"/>
        </w:tblCellMar>
        <w:tblLook w:val="0000" w:firstRow="0" w:lastRow="0" w:firstColumn="0" w:lastColumn="0" w:noHBand="0" w:noVBand="0"/>
      </w:tblPr>
      <w:tblGrid>
        <w:gridCol w:w="988"/>
        <w:gridCol w:w="3827"/>
        <w:gridCol w:w="1559"/>
      </w:tblGrid>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
                <w:bCs/>
                <w:i/>
                <w:sz w:val="22"/>
                <w:szCs w:val="22"/>
                <w:lang w:bidi="ar-SA"/>
              </w:rPr>
            </w:pPr>
            <w:r>
              <w:rPr>
                <w:rFonts w:ascii="Arial" w:eastAsia="Lucida Sans Unicode" w:hAnsi="Arial" w:cs="Arial"/>
                <w:b/>
                <w:bCs/>
                <w:i/>
                <w:sz w:val="22"/>
                <w:szCs w:val="22"/>
                <w:lang w:bidi="ar-SA"/>
              </w:rPr>
              <w:t>Tramo</w:t>
            </w:r>
          </w:p>
        </w:tc>
        <w:tc>
          <w:tcPr>
            <w:tcW w:w="3827"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
                <w:bCs/>
                <w:i/>
                <w:sz w:val="22"/>
                <w:szCs w:val="22"/>
                <w:lang w:bidi="ar-SA"/>
              </w:rPr>
            </w:pPr>
            <w:r>
              <w:rPr>
                <w:rFonts w:ascii="Arial" w:eastAsia="Lucida Sans Unicode" w:hAnsi="Arial" w:cs="Arial"/>
                <w:b/>
                <w:bCs/>
                <w:i/>
                <w:sz w:val="22"/>
                <w:szCs w:val="22"/>
                <w:lang w:bidi="ar-SA"/>
              </w:rPr>
              <w:t>Superficie</w:t>
            </w:r>
          </w:p>
        </w:tc>
        <w:tc>
          <w:tcPr>
            <w:tcW w:w="155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
                <w:bCs/>
                <w:i/>
                <w:sz w:val="22"/>
                <w:szCs w:val="22"/>
                <w:lang w:bidi="ar-SA"/>
              </w:rPr>
            </w:pPr>
            <w:r>
              <w:rPr>
                <w:rFonts w:ascii="Arial" w:eastAsia="Lucida Sans Unicode" w:hAnsi="Arial" w:cs="Arial"/>
                <w:b/>
                <w:bCs/>
                <w:i/>
                <w:sz w:val="22"/>
                <w:szCs w:val="22"/>
                <w:lang w:bidi="ar-SA"/>
              </w:rPr>
              <w:t>€/m2</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 &lt; Sup &lt;= 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0,38</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2000 &lt; Sup &lt;= 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0,35</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4000 &lt; Sup &lt;= 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0,25</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6000 &lt; Sup &lt;= 8000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0,20</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8000 &lt; Sup &lt;= 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0,15</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10000 &lt; Sup &lt;= 12000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0,10</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 xml:space="preserve">12000 &lt; Sup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0,05</w:t>
            </w:r>
          </w:p>
        </w:tc>
      </w:tr>
    </w:tbl>
    <w:p w:rsidR="00061CF1" w:rsidRDefault="004E6D5A">
      <w:pPr>
        <w:shd w:val="clear" w:color="auto" w:fill="FFFFFF"/>
        <w:spacing w:before="120" w:after="120" w:line="276" w:lineRule="auto"/>
        <w:ind w:right="-8"/>
        <w:jc w:val="both"/>
        <w:textAlignment w:val="auto"/>
        <w:rPr>
          <w:rFonts w:ascii="Arial" w:eastAsia="Lucida Sans Unicode" w:hAnsi="Arial" w:cs="Arial"/>
          <w:bCs/>
          <w:i/>
          <w:sz w:val="22"/>
          <w:szCs w:val="22"/>
          <w:lang w:bidi="ar-SA"/>
        </w:rPr>
      </w:pPr>
      <w:r>
        <w:rPr>
          <w:rFonts w:ascii="Arial" w:eastAsia="Lucida Sans Unicode" w:hAnsi="Arial" w:cs="Arial"/>
          <w:bCs/>
          <w:i/>
          <w:sz w:val="22"/>
          <w:szCs w:val="22"/>
          <w:lang w:bidi="ar-SA"/>
        </w:rPr>
        <w:t>En los presentes Estatutos se han</w:t>
      </w:r>
      <w:r>
        <w:rPr>
          <w:rFonts w:ascii="Arial" w:eastAsia="Lucida Sans Unicode" w:hAnsi="Arial" w:cs="Arial"/>
          <w:bCs/>
          <w:i/>
          <w:sz w:val="22"/>
          <w:szCs w:val="22"/>
          <w:lang w:bidi="ar-SA"/>
        </w:rPr>
        <w:t xml:space="preserve"> establecido unos importes económicos en aras a recaudar aproximadamente TRESCIENTOS CINCUENTA MIL EUROS (350.000,00 €), sin perjuicio de que por la Asamblea General pueda modificarse el precio del metro cuadrado así como la fórmula de recaudación de cuota</w:t>
      </w:r>
      <w:r>
        <w:rPr>
          <w:rFonts w:ascii="Arial" w:eastAsia="Lucida Sans Unicode" w:hAnsi="Arial" w:cs="Arial"/>
          <w:bCs/>
          <w:i/>
          <w:sz w:val="22"/>
          <w:szCs w:val="22"/>
          <w:lang w:bidi="ar-SA"/>
        </w:rPr>
        <w:t>s.</w:t>
      </w:r>
    </w:p>
    <w:p w:rsidR="00061CF1" w:rsidRDefault="004E6D5A">
      <w:pPr>
        <w:autoSpaceDE w:val="0"/>
        <w:spacing w:before="180" w:after="180" w:line="276" w:lineRule="auto"/>
        <w:jc w:val="both"/>
        <w:textAlignment w:val="auto"/>
      </w:pPr>
      <w:r>
        <w:rPr>
          <w:rFonts w:ascii="Arial" w:eastAsia="Lucida Sans Unicode" w:hAnsi="Arial" w:cs="Arial"/>
          <w:bCs/>
          <w:i/>
          <w:sz w:val="22"/>
          <w:szCs w:val="22"/>
          <w:lang w:bidi="ar-SA"/>
        </w:rPr>
        <w:t>Esta cuota</w:t>
      </w:r>
      <w:r>
        <w:rPr>
          <w:rFonts w:ascii="Arial" w:eastAsia="Times New Roman" w:hAnsi="Arial" w:cs="Arial"/>
          <w:i/>
          <w:sz w:val="22"/>
          <w:szCs w:val="22"/>
          <w:lang w:val="es" w:eastAsia="es-ES" w:bidi="ar-SA"/>
        </w:rPr>
        <w:t xml:space="preserve"> servirá de porcentaje para precisar la participación de cada propietario en los derechos y obligaciones comunes de la entidad de conservación, por un lado la financiación que debe aportar, así como el valor de porcentaje del voto en los </w:t>
      </w:r>
      <w:r>
        <w:rPr>
          <w:rFonts w:ascii="Arial" w:eastAsia="Times New Roman" w:hAnsi="Arial" w:cs="Arial"/>
          <w:i/>
          <w:sz w:val="22"/>
          <w:szCs w:val="22"/>
          <w:lang w:val="es" w:eastAsia="es-ES" w:bidi="ar-SA"/>
        </w:rPr>
        <w:t>órganos de gobierno y representación. Dichos cálculos deberán ser establecidos y supervisados de forma objetiva por la Gerencia de la entidad y ser accesible dicha información a los miembros.</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16ª.-  Exacción de cuotas:</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 xml:space="preserve">Las cuotas que deban abonar </w:t>
      </w:r>
      <w:r>
        <w:rPr>
          <w:rFonts w:ascii="Arial" w:eastAsia="Times New Roman" w:hAnsi="Arial" w:cs="Arial"/>
          <w:i/>
          <w:sz w:val="22"/>
          <w:szCs w:val="22"/>
          <w:lang w:eastAsia="es-ES" w:bidi="ar-SA"/>
        </w:rPr>
        <w:t>los propietarios para atender los gastos comunes se recaudarán en el plazo que se fije por los órganos rectores de la Entidad y tienen el carácter de obligatorias para todos aquellos que sean titulares de los terrenos ubicados en el ámbito espacial de la E</w:t>
      </w:r>
      <w:r>
        <w:rPr>
          <w:rFonts w:ascii="Arial" w:eastAsia="Times New Roman" w:hAnsi="Arial" w:cs="Arial"/>
          <w:i/>
          <w:sz w:val="22"/>
          <w:szCs w:val="22"/>
          <w:lang w:eastAsia="es-ES" w:bidi="ar-SA"/>
        </w:rPr>
        <w:t>UC.</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En caso de morosidad, la EUC podrá solicitar a los ayuntamientos correspondientes, o bien, directamente al Consorcio de Tributos (siempre que exista y se mantenga el convenio para ello con los ayuntamientos implicados) la vía de apremio para la exigenc</w:t>
      </w:r>
      <w:r>
        <w:rPr>
          <w:rFonts w:ascii="Arial" w:eastAsia="Times New Roman" w:hAnsi="Arial" w:cs="Arial"/>
          <w:i/>
          <w:sz w:val="22"/>
          <w:szCs w:val="22"/>
          <w:lang w:eastAsia="es-ES" w:bidi="ar-SA"/>
        </w:rPr>
        <w:t>ia de las cuotas de conservación que corresponda satisfacer a los propietarios, en los términos previstos en el RDL 2/2004, de 2 de marzo, por el que se aprueba el Texto Refundido de la Ley Reguladora de las Haciendas Locales de Canarias, y en los mismos t</w:t>
      </w:r>
      <w:r>
        <w:rPr>
          <w:rFonts w:ascii="Arial" w:eastAsia="Times New Roman" w:hAnsi="Arial" w:cs="Arial"/>
          <w:i/>
          <w:sz w:val="22"/>
          <w:szCs w:val="22"/>
          <w:lang w:eastAsia="es-ES" w:bidi="ar-SA"/>
        </w:rPr>
        <w:t xml:space="preserve">érminos que establezca el Consorcio de Tributos para los ayuntamientos, sin necesidad de establecer un nuevo convenio, ya que se actúa como una obligación del Ayuntamiento. </w:t>
      </w:r>
    </w:p>
    <w:p w:rsidR="00061CF1" w:rsidRDefault="00061CF1">
      <w:pPr>
        <w:autoSpaceDE w:val="0"/>
        <w:spacing w:before="180" w:after="180" w:line="276" w:lineRule="auto"/>
        <w:jc w:val="both"/>
        <w:textAlignment w:val="auto"/>
        <w:rPr>
          <w:rFonts w:ascii="Arial" w:eastAsia="Times New Roman" w:hAnsi="Arial" w:cs="Arial"/>
          <w:i/>
          <w:sz w:val="22"/>
          <w:szCs w:val="22"/>
          <w:lang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La recaudación en vía de apremio será abonada por el Consorcio de Tributos direct</w:t>
      </w:r>
      <w:r>
        <w:rPr>
          <w:rFonts w:ascii="Arial" w:eastAsia="Times New Roman" w:hAnsi="Arial" w:cs="Arial"/>
          <w:i/>
          <w:sz w:val="22"/>
          <w:szCs w:val="22"/>
          <w:lang w:eastAsia="es-ES" w:bidi="ar-SA"/>
        </w:rPr>
        <w:t>amente a la entidad por el importe que se debió abonar en vía voluntaria, sin que se le abone el recargo ni intereses.</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Capítulo IV</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Constitución de la E.U.C.</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17º.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Administración competente para la constitución y puesta en funcionamiento: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cuanto</w:t>
      </w:r>
      <w:r>
        <w:rPr>
          <w:rFonts w:ascii="Arial" w:eastAsia="Times New Roman" w:hAnsi="Arial" w:cs="Arial"/>
          <w:i/>
          <w:sz w:val="22"/>
          <w:szCs w:val="22"/>
          <w:lang w:val="es" w:eastAsia="es-ES" w:bidi="ar-SA"/>
        </w:rPr>
        <w:t xml:space="preserve"> al impulso, coordinación y puesta en funcionamiento de la Entidad Urbanística de Conservación (EUC), visto que el ámbito espacial de la misma ocupa terrenos en tres municipios, Arafo, Candelaria y Güímar, teniendo un carácter supramunicipal, así como su c</w:t>
      </w:r>
      <w:r>
        <w:rPr>
          <w:rFonts w:ascii="Arial" w:eastAsia="Times New Roman" w:hAnsi="Arial" w:cs="Arial"/>
          <w:i/>
          <w:sz w:val="22"/>
          <w:szCs w:val="22"/>
          <w:lang w:val="es" w:eastAsia="es-ES" w:bidi="ar-SA"/>
        </w:rPr>
        <w:t>alificación por el Plan Insular de Tenerife de carácter insular, le corresponderá al Cabildo de Tenerife. La coordinación e impulso de la constitución y la organización de las reuniones con los propietarios, se realizará por el Cabildo de Tenerife. Una vez</w:t>
      </w:r>
      <w:r>
        <w:rPr>
          <w:rFonts w:ascii="Arial" w:eastAsia="Times New Roman" w:hAnsi="Arial" w:cs="Arial"/>
          <w:i/>
          <w:sz w:val="22"/>
          <w:szCs w:val="22"/>
          <w:lang w:val="es" w:eastAsia="es-ES" w:bidi="ar-SA"/>
        </w:rPr>
        <w:t xml:space="preserve"> creada la entidad, se nombrará a una Gerencia por el órgano competente y en los términos de la legislación vigente en cada momento, cuyas retribuciones serán abonadas con cargo al presupuesto.</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Artículo 18.- Acto de constitución:</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Una vez aprobados definiti</w:t>
      </w:r>
      <w:r>
        <w:rPr>
          <w:rFonts w:ascii="Arial" w:eastAsia="Times New Roman" w:hAnsi="Arial" w:cs="Arial"/>
          <w:i/>
          <w:sz w:val="22"/>
          <w:szCs w:val="22"/>
          <w:lang w:eastAsia="es-ES" w:bidi="ar-SA"/>
        </w:rPr>
        <w:t>vamente los Estatutos por los Plenos de los tres Ayuntamientos y por el órgano competente del Cabildo de Tenerife y publicados en el Boletín Oficial de la Provincia de Santa Cruz de Tenerife, expresando, si las hubiera, las modificaciones realizadas a cons</w:t>
      </w:r>
      <w:r>
        <w:rPr>
          <w:rFonts w:ascii="Arial" w:eastAsia="Times New Roman" w:hAnsi="Arial" w:cs="Arial"/>
          <w:i/>
          <w:sz w:val="22"/>
          <w:szCs w:val="22"/>
          <w:lang w:eastAsia="es-ES" w:bidi="ar-SA"/>
        </w:rPr>
        <w:t>ecuencia del trámite de información pública, las Administraciones actuantes o, en su caso, la facultada por las mismas para este trámite procederá a realizar la inscripción en el Registro de Entidades Urbanísticas Colaboradoras adscrito a la consejería cor</w:t>
      </w:r>
      <w:r>
        <w:rPr>
          <w:rFonts w:ascii="Arial" w:eastAsia="Times New Roman" w:hAnsi="Arial" w:cs="Arial"/>
          <w:i/>
          <w:sz w:val="22"/>
          <w:szCs w:val="22"/>
          <w:lang w:eastAsia="es-ES" w:bidi="ar-SA"/>
        </w:rPr>
        <w:t>respondiente del Gobierno de Canarias.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Administración facultada expresamente procederá a elevar en escritura pública la siguiente documentación para proceder a la inscripción en el Registro de Entidades Urbanísticas:</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 xml:space="preserve">Certificado del acuerdo del Cabildo </w:t>
      </w:r>
      <w:r>
        <w:rPr>
          <w:rFonts w:ascii="Arial" w:eastAsia="Times New Roman" w:hAnsi="Arial" w:cs="Arial"/>
          <w:i/>
          <w:kern w:val="0"/>
          <w:sz w:val="22"/>
          <w:szCs w:val="22"/>
          <w:lang w:val="es" w:eastAsia="es-ES" w:bidi="ar-SA"/>
        </w:rPr>
        <w:t>de Tenerife y Certificado de cada uno de los acuerdos de cada Ayuntamiento en el que se aprueban definitivamente los Estatutos de la Entidad Urbanística de Conservación. Asimismo indicar la designación de el/la Gerente de la entidad.</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Plano del ámbito espac</w:t>
      </w:r>
      <w:r>
        <w:rPr>
          <w:rFonts w:ascii="Arial" w:eastAsia="Times New Roman" w:hAnsi="Arial" w:cs="Arial"/>
          <w:i/>
          <w:kern w:val="0"/>
          <w:sz w:val="22"/>
          <w:szCs w:val="22"/>
          <w:lang w:val="es" w:eastAsia="es-ES" w:bidi="ar-SA"/>
        </w:rPr>
        <w:t>ial de la EUC.</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Relación de propietarios con indicación de las referencias catastrales.</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Acta de la Asamblea General constitutiva de la entidad.</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i/>
          <w:kern w:val="0"/>
          <w:sz w:val="22"/>
          <w:szCs w:val="22"/>
          <w:lang w:val="es" w:eastAsia="es-ES" w:bidi="ar-SA"/>
        </w:rPr>
      </w:pPr>
      <w:r>
        <w:rPr>
          <w:rFonts w:ascii="Arial" w:eastAsia="Times New Roman" w:hAnsi="Arial" w:cs="Arial"/>
          <w:i/>
          <w:kern w:val="0"/>
          <w:sz w:val="22"/>
          <w:szCs w:val="22"/>
          <w:lang w:val="es" w:eastAsia="es-ES" w:bidi="ar-SA"/>
        </w:rPr>
        <w:t>Así como cualquier otro documento necesario para la inscripción.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Asamblea General constitutiva, por ser la pri</w:t>
      </w:r>
      <w:r>
        <w:rPr>
          <w:rFonts w:ascii="Arial" w:eastAsia="Times New Roman" w:hAnsi="Arial" w:cs="Arial"/>
          <w:i/>
          <w:sz w:val="22"/>
          <w:szCs w:val="22"/>
          <w:lang w:val="es" w:eastAsia="es-ES" w:bidi="ar-SA"/>
        </w:rPr>
        <w:t>mera, será convocada por el Cabildo de Tenerife o por el Ayuntamiento designado, por medios electrónicos a todos los propietarios, conforme a los correos electrónicos proporcionados. Esta notificación se realizará con los días suficientes de antelación a l</w:t>
      </w:r>
      <w:r>
        <w:rPr>
          <w:rFonts w:ascii="Arial" w:eastAsia="Times New Roman" w:hAnsi="Arial" w:cs="Arial"/>
          <w:i/>
          <w:sz w:val="22"/>
          <w:szCs w:val="22"/>
          <w:lang w:val="es" w:eastAsia="es-ES" w:bidi="ar-SA"/>
        </w:rPr>
        <w:t>a fecha en que haya de celebrarse la reunión.</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Una vez puesta en funcionamiento, las convocatorias se realizarán por correo electrónico por la Entidad Urbanística de Conservación.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Esta primera Asamblea quedará válidamente constituida en primera convocatori</w:t>
      </w:r>
      <w:r>
        <w:rPr>
          <w:rFonts w:ascii="Arial" w:eastAsia="Times New Roman" w:hAnsi="Arial" w:cs="Arial"/>
          <w:i/>
          <w:sz w:val="22"/>
          <w:szCs w:val="22"/>
          <w:lang w:val="es" w:eastAsia="es-ES" w:bidi="ar-SA"/>
        </w:rPr>
        <w:t>a cuando concurran a ella propietarios que representen, al menos, el 50% de las cuotas de participación (en proporción a su contribución económica). En segunda convocatoria, que se celebrará media hora después que la primera, será válida la constitución, c</w:t>
      </w:r>
      <w:r>
        <w:rPr>
          <w:rFonts w:ascii="Arial" w:eastAsia="Times New Roman" w:hAnsi="Arial" w:cs="Arial"/>
          <w:i/>
          <w:sz w:val="22"/>
          <w:szCs w:val="22"/>
          <w:lang w:val="es" w:eastAsia="es-ES" w:bidi="ar-SA"/>
        </w:rPr>
        <w:t>ualquiera que sea el número de miembros.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la Asamblea Constitutiva actuarán como Presidente/a y Vicepresidente/a dos propietarios/as con las cuotas de mayor participación económica que estuvieran presentes, un representante de cada administración municip</w:t>
      </w:r>
      <w:r>
        <w:rPr>
          <w:rFonts w:ascii="Arial" w:eastAsia="Times New Roman" w:hAnsi="Arial" w:cs="Arial"/>
          <w:i/>
          <w:sz w:val="22"/>
          <w:szCs w:val="22"/>
          <w:lang w:val="es" w:eastAsia="es-ES" w:bidi="ar-SA"/>
        </w:rPr>
        <w:t xml:space="preserve">al, y dos representantes de la administración insular. La persona designada por el Cabildo de Tenerife acudirá a la misma encargándose de las funciones correspondientes al Secretario/a, encargándose de todos los trámites administrativos de la constitución </w:t>
      </w:r>
      <w:r>
        <w:rPr>
          <w:rFonts w:ascii="Arial" w:eastAsia="Times New Roman" w:hAnsi="Arial" w:cs="Arial"/>
          <w:i/>
          <w:sz w:val="22"/>
          <w:szCs w:val="22"/>
          <w:lang w:val="es" w:eastAsia="es-ES" w:bidi="ar-SA"/>
        </w:rPr>
        <w:t>y de levantar acta.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Los acuerdos se adoptarán por mayoría simple de las cuotas de participación (calculándose en proporción a su aportación económica). En caso de discrepancia el Cabildo de Tenerife tendrá el voto de calidad.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En esta Asamblea constitutiva </w:t>
      </w:r>
      <w:r>
        <w:rPr>
          <w:rFonts w:ascii="Arial" w:eastAsia="Times New Roman" w:hAnsi="Arial" w:cs="Arial"/>
          <w:i/>
          <w:sz w:val="22"/>
          <w:szCs w:val="22"/>
          <w:lang w:val="es" w:eastAsia="es-ES" w:bidi="ar-SA"/>
        </w:rPr>
        <w:t>se procederá a lo siguiente: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Ratificación de los estatutos aprobados por el Cabildo de Tenerife.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 Iniciación del procedimiento para la designación de el/la Gerente que le corresponderá a la Junta Directiva de la entidad.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Hasta el nombramiento de la/el </w:t>
      </w:r>
      <w:r>
        <w:rPr>
          <w:rFonts w:ascii="Arial" w:eastAsia="Times New Roman" w:hAnsi="Arial" w:cs="Arial"/>
          <w:i/>
          <w:sz w:val="22"/>
          <w:szCs w:val="22"/>
          <w:lang w:val="es" w:eastAsia="es-ES" w:bidi="ar-SA"/>
        </w:rPr>
        <w:t>Gerente, de sus funciones se encargará la persona designada por el Cabildo de Tenerife mencionada anteriormente y actuará como secretario y levantará el acta de la constitución de la Entidad Urbanística de Conservación, que habrá de ser aprobada en la mism</w:t>
      </w:r>
      <w:r>
        <w:rPr>
          <w:rFonts w:ascii="Arial" w:eastAsia="Times New Roman" w:hAnsi="Arial" w:cs="Arial"/>
          <w:i/>
          <w:sz w:val="22"/>
          <w:szCs w:val="22"/>
          <w:lang w:val="es" w:eastAsia="es-ES" w:bidi="ar-SA"/>
        </w:rPr>
        <w:t>a reunión; y que constará en el Libro de Actas que habrá de llevar el/la Gerente de la Entidad. Dicha acta deberá estar firmada por el Presidente y el/a Gerente (actuando como secretario/a) en la sesión constitutiva, y por todos los socios que hayan asisti</w:t>
      </w:r>
      <w:r>
        <w:rPr>
          <w:rFonts w:ascii="Arial" w:eastAsia="Times New Roman" w:hAnsi="Arial" w:cs="Arial"/>
          <w:i/>
          <w:sz w:val="22"/>
          <w:szCs w:val="22"/>
          <w:lang w:val="es" w:eastAsia="es-ES" w:bidi="ar-SA"/>
        </w:rPr>
        <w:t>do a la misma. Asimismo, será el/la Gerente el encargado de realizar los trámites administrativos de constitución previstos en el presente artículo, así como aquellos otros inherentes al mismo.</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CAPÍTULO V</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Del Gobierno de la Entidad</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19º.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Órganos </w:t>
      </w:r>
      <w:r>
        <w:rPr>
          <w:rFonts w:ascii="Arial" w:eastAsia="Times New Roman" w:hAnsi="Arial" w:cs="Arial"/>
          <w:b/>
          <w:i/>
          <w:sz w:val="22"/>
          <w:szCs w:val="22"/>
          <w:lang w:val="es" w:eastAsia="es-ES" w:bidi="ar-SA"/>
        </w:rPr>
        <w:t>de Gobierno: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Los órganos de gobierno de la Entidad Urbanística de Conservación son: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ab/>
        <w:t>La 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w:t>
      </w:r>
      <w:r>
        <w:rPr>
          <w:rFonts w:ascii="Arial" w:eastAsia="Times New Roman" w:hAnsi="Arial" w:cs="Arial"/>
          <w:i/>
          <w:sz w:val="22"/>
          <w:szCs w:val="22"/>
          <w:lang w:val="es" w:eastAsia="es-ES" w:bidi="ar-SA"/>
        </w:rPr>
        <w:tab/>
        <w:t>La Junta Directiva.</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La Asamblea General es el órgano supremo de la Entidad y está constituida por la totalidad de sus miembros.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3.</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La Ju</w:t>
      </w:r>
      <w:r>
        <w:rPr>
          <w:rFonts w:ascii="Arial" w:eastAsia="Times New Roman" w:hAnsi="Arial" w:cs="Arial"/>
          <w:i/>
          <w:sz w:val="22"/>
          <w:szCs w:val="22"/>
          <w:lang w:val="es" w:eastAsia="es-ES" w:bidi="ar-SA"/>
        </w:rPr>
        <w:t>nta Directiva es el órgano ejecutivo de la Entidad y está constituida por:</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El/La Presidente/a (propietario de parcelas del ámbito espacial de la entidad), que tendrá voz y voto.</w:t>
      </w:r>
      <w:r>
        <w:rPr>
          <w:rFonts w:ascii="Arial" w:eastAsia="Lucida Sans Unicode" w:hAnsi="Arial" w:cs="Times New Roman"/>
          <w:i/>
          <w:sz w:val="22"/>
          <w:lang w:bidi="ar-SA"/>
        </w:rPr>
        <w:t xml:space="preserve"> </w:t>
      </w:r>
      <w:r>
        <w:rPr>
          <w:rFonts w:ascii="Arial" w:eastAsia="Times New Roman" w:hAnsi="Arial" w:cs="Arial"/>
          <w:i/>
          <w:sz w:val="22"/>
          <w:szCs w:val="22"/>
          <w:lang w:val="es" w:eastAsia="es-ES" w:bidi="ar-SA"/>
        </w:rPr>
        <w:t>Teniendo voto de calidad en caso de empate.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El/La Vicepresidente/a (propie</w:t>
      </w:r>
      <w:r>
        <w:rPr>
          <w:rFonts w:ascii="Arial" w:eastAsia="Times New Roman" w:hAnsi="Arial" w:cs="Arial"/>
          <w:i/>
          <w:sz w:val="22"/>
          <w:szCs w:val="22"/>
          <w:lang w:val="es" w:eastAsia="es-ES" w:bidi="ar-SA"/>
        </w:rPr>
        <w:t>tario de parcelas del ámbito espacial de la entidad), que tendrá voz y voto.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Un Vocal (propietario de parcelas del ámbito espacial de la entidad),</w:t>
      </w:r>
      <w:r>
        <w:rPr>
          <w:rFonts w:ascii="Arial" w:eastAsia="Lucida Sans Unicode" w:hAnsi="Arial" w:cs="Times New Roman"/>
          <w:i/>
          <w:sz w:val="22"/>
          <w:lang w:bidi="ar-SA"/>
        </w:rPr>
        <w:t xml:space="preserve"> </w:t>
      </w:r>
      <w:r>
        <w:rPr>
          <w:rFonts w:ascii="Arial" w:eastAsia="Times New Roman" w:hAnsi="Arial" w:cs="Arial"/>
          <w:i/>
          <w:sz w:val="22"/>
          <w:szCs w:val="22"/>
          <w:lang w:val="es" w:eastAsia="es-ES" w:bidi="ar-SA"/>
        </w:rPr>
        <w:t>que tendrá voz y voto.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El/La Gerente con voz pero sin voto (sin que ostente la titularidad de ninguna pro</w:t>
      </w:r>
      <w:r>
        <w:rPr>
          <w:rFonts w:ascii="Arial" w:eastAsia="Times New Roman" w:hAnsi="Arial" w:cs="Arial"/>
          <w:i/>
          <w:sz w:val="22"/>
          <w:szCs w:val="22"/>
          <w:lang w:val="es" w:eastAsia="es-ES" w:bidi="ar-SA"/>
        </w:rPr>
        <w:t>piedad del ámbito espacial de la EUC)</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_          El Secretario</w:t>
      </w:r>
      <w:r>
        <w:rPr>
          <w:rFonts w:ascii="Arial" w:eastAsia="Lucida Sans Unicode" w:hAnsi="Arial" w:cs="Times New Roman"/>
          <w:i/>
          <w:sz w:val="22"/>
          <w:lang w:bidi="ar-SA"/>
        </w:rPr>
        <w:t xml:space="preserve"> </w:t>
      </w:r>
      <w:r>
        <w:rPr>
          <w:rFonts w:ascii="Arial" w:eastAsia="Times New Roman" w:hAnsi="Arial" w:cs="Arial"/>
          <w:i/>
          <w:sz w:val="22"/>
          <w:szCs w:val="22"/>
          <w:lang w:val="es" w:eastAsia="es-ES" w:bidi="ar-SA"/>
        </w:rPr>
        <w:t>con voz pero sin voto (sin que ostente la titularidad de ninguna propiedad del ámbito espacial de la EUC)</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_          El Tesorero con voz pero sin voto (sin que ostente la titularidad de ninguna</w:t>
      </w:r>
      <w:r>
        <w:rPr>
          <w:rFonts w:ascii="Arial" w:eastAsia="Times New Roman" w:hAnsi="Arial" w:cs="Arial"/>
          <w:i/>
          <w:sz w:val="22"/>
          <w:szCs w:val="22"/>
          <w:lang w:val="es" w:eastAsia="es-ES" w:bidi="ar-SA"/>
        </w:rPr>
        <w:t xml:space="preserve"> propiedad del ámbito espacial de la EUC)</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Tres representantes por el Cabildo de Tenerife, que tendrán voz y voto.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Tres representantes municipales, uno por cada Ayuntamiento, que tendrán voz y voto.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La composición de la Junta Directiva podrá </w:t>
      </w:r>
      <w:r>
        <w:rPr>
          <w:rFonts w:ascii="Arial" w:eastAsia="Times New Roman" w:hAnsi="Arial" w:cs="Arial"/>
          <w:i/>
          <w:sz w:val="22"/>
          <w:szCs w:val="22"/>
          <w:lang w:val="es" w:eastAsia="es-ES" w:bidi="ar-SA"/>
        </w:rPr>
        <w:t>ampliarse o minorarse por decisión de la Asamblea General, estableciendo la participación de las administraciones públicas en la misma proporción a su aportación económica a la entidad, sin perjuicio que, en todo caso, siempre haya un mínimo de un represen</w:t>
      </w:r>
      <w:r>
        <w:rPr>
          <w:rFonts w:ascii="Arial" w:eastAsia="Times New Roman" w:hAnsi="Arial" w:cs="Arial"/>
          <w:i/>
          <w:sz w:val="22"/>
          <w:szCs w:val="22"/>
          <w:lang w:val="es" w:eastAsia="es-ES" w:bidi="ar-SA"/>
        </w:rPr>
        <w:t>tante por cada administración pública.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Junta Directiva, a petición de la misma, podrá permitir la asistencia de cualquier miembro de la entidad que considere relevante, como a cualquier persona para la asistencia técnica-jurídica o bien, cualquier perso</w:t>
      </w:r>
      <w:r>
        <w:rPr>
          <w:rFonts w:ascii="Arial" w:eastAsia="Times New Roman" w:hAnsi="Arial" w:cs="Arial"/>
          <w:i/>
          <w:sz w:val="22"/>
          <w:szCs w:val="22"/>
          <w:lang w:val="es" w:eastAsia="es-ES" w:bidi="ar-SA"/>
        </w:rPr>
        <w:t>na o representante que, por mayoría simple, consideren necesaria su intervención, con voz pero sin voto.</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20º.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La Asamblea General:</w:t>
      </w:r>
      <w:r>
        <w:rPr>
          <w:rFonts w:ascii="Arial" w:eastAsia="Times New Roman" w:hAnsi="Arial" w:cs="Arial"/>
          <w:i/>
          <w:sz w:val="22"/>
          <w:szCs w:val="22"/>
          <w:lang w:val="es" w:eastAsia="es-ES" w:bidi="ar-SA"/>
        </w:rPr>
        <w:t xml:space="preserve"> </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1.</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Constitución y convocatoria: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ab/>
        <w:t>Las Asambleas Generales, tanto ordinarias como extraordinarias quedarán válid</w:t>
      </w:r>
      <w:r>
        <w:rPr>
          <w:rFonts w:ascii="Arial" w:eastAsia="Times New Roman" w:hAnsi="Arial" w:cs="Arial"/>
          <w:i/>
          <w:sz w:val="22"/>
          <w:szCs w:val="22"/>
          <w:lang w:val="es" w:eastAsia="es-ES" w:bidi="ar-SA"/>
        </w:rPr>
        <w:t>amente constituidas en primera convocatoria cuando concurran presentes o debidamente representados, titulares que lo sean, al menos, del 50% de la superficie contable total (indicador a efectos de las aportaciones económicas a la entidad) del ámbito territ</w:t>
      </w:r>
      <w:r>
        <w:rPr>
          <w:rFonts w:ascii="Arial" w:eastAsia="Times New Roman" w:hAnsi="Arial" w:cs="Arial"/>
          <w:i/>
          <w:sz w:val="22"/>
          <w:szCs w:val="22"/>
          <w:lang w:val="es" w:eastAsia="es-ES" w:bidi="ar-SA"/>
        </w:rPr>
        <w:t>orial de la Entidad. En segunda convocatoria, será válida cualquiera que sea la representación presente.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w:t>
      </w:r>
      <w:r>
        <w:rPr>
          <w:rFonts w:ascii="Arial" w:eastAsia="Times New Roman" w:hAnsi="Arial" w:cs="Arial"/>
          <w:i/>
          <w:sz w:val="22"/>
          <w:szCs w:val="22"/>
          <w:lang w:val="es" w:eastAsia="es-ES" w:bidi="ar-SA"/>
        </w:rPr>
        <w:tab/>
        <w:t xml:space="preserve">Las convocatorias de la Asamblea General se realizarán a través del correo electrónico </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proporcionado con una anticipación no inferior a 15 días </w:t>
      </w:r>
      <w:r>
        <w:rPr>
          <w:rFonts w:ascii="Arial" w:eastAsia="Times New Roman" w:hAnsi="Arial" w:cs="Arial"/>
          <w:i/>
          <w:sz w:val="22"/>
          <w:szCs w:val="22"/>
          <w:lang w:val="es" w:eastAsia="es-ES" w:bidi="ar-SA"/>
        </w:rPr>
        <w:t>naturales y a ellas habrá de adjuntarse el orden del día previsto. Dicha convocatoria habrá de prever y fijar la fecha de la segunda convocatoria, la cual no podrá ser antes de media hora después de la prevista para la primera.</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2.</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Sesiones ordinarias y ex</w:t>
      </w:r>
      <w:r>
        <w:rPr>
          <w:rFonts w:ascii="Arial" w:eastAsia="Times New Roman" w:hAnsi="Arial" w:cs="Arial"/>
          <w:b/>
          <w:i/>
          <w:sz w:val="22"/>
          <w:szCs w:val="22"/>
          <w:lang w:val="es" w:eastAsia="es-ES" w:bidi="ar-SA"/>
        </w:rPr>
        <w:t>traordinarias: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ab/>
        <w:t xml:space="preserve">La Asamblea General se reunirá telemática (con exigencia obligatoria de cámara web), presencial o de forma mixta en la sede de la entidad, en sesión ordinaria como mínimo una vez cada año, previa convocatoria cursada por el Presidente, a </w:t>
      </w:r>
      <w:r>
        <w:rPr>
          <w:rFonts w:ascii="Arial" w:eastAsia="Times New Roman" w:hAnsi="Arial" w:cs="Arial"/>
          <w:i/>
          <w:sz w:val="22"/>
          <w:szCs w:val="22"/>
          <w:lang w:val="es" w:eastAsia="es-ES" w:bidi="ar-SA"/>
        </w:rPr>
        <w:t>través del Gerente de la entidad que actuará como Secretario.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w:t>
      </w:r>
      <w:r>
        <w:rPr>
          <w:rFonts w:ascii="Arial" w:eastAsia="Times New Roman" w:hAnsi="Arial" w:cs="Arial"/>
          <w:i/>
          <w:sz w:val="22"/>
          <w:szCs w:val="22"/>
          <w:lang w:val="es" w:eastAsia="es-ES" w:bidi="ar-SA"/>
        </w:rPr>
        <w:tab/>
        <w:t>Podrán celebrarse tantas sesiones extraordinarias como acuerde la Junta Directiva por mayoría simple de sus miembros.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También podrán solicitar sesión extraordinaria los miembros de la Entidad</w:t>
      </w:r>
      <w:r>
        <w:rPr>
          <w:rFonts w:ascii="Arial" w:eastAsia="Times New Roman" w:hAnsi="Arial" w:cs="Arial"/>
          <w:i/>
          <w:sz w:val="22"/>
          <w:szCs w:val="22"/>
          <w:lang w:val="es" w:eastAsia="es-ES" w:bidi="ar-SA"/>
        </w:rPr>
        <w:t xml:space="preserve"> siempre que la solicitud cumpla los siguientes requisitos: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Escrito razonado suscrito por una cuarta parte de los miembros (a tener en cuenta el porcentaje en función de la superficie contable que posee cada miembro) de la Entidad. Y ello porque cada cuo</w:t>
      </w:r>
      <w:r>
        <w:rPr>
          <w:rFonts w:ascii="Arial" w:eastAsia="Times New Roman" w:hAnsi="Arial" w:cs="Arial"/>
          <w:i/>
          <w:sz w:val="22"/>
          <w:szCs w:val="22"/>
          <w:lang w:val="es" w:eastAsia="es-ES" w:bidi="ar-SA"/>
        </w:rPr>
        <w:t>ta se identificará con un porcentaje de participación en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Inclusión del orden del día.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Anticipación mínima de 15 días a la fecha propuesta.</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3.</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Adopción de acuerdos: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Los acuerdos de la Asamblea General se adoptarán siempre por mayoría de los</w:t>
      </w:r>
      <w:r>
        <w:rPr>
          <w:rFonts w:ascii="Arial" w:eastAsia="Times New Roman" w:hAnsi="Arial" w:cs="Arial"/>
          <w:i/>
          <w:sz w:val="22"/>
          <w:szCs w:val="22"/>
          <w:lang w:val="es" w:eastAsia="es-ES" w:bidi="ar-SA"/>
        </w:rPr>
        <w:t xml:space="preserve"> votos de los miembros presentes o debidamente representados. En las votaciones, el valor de las mismas, irá siempre en función de la aportación económica que se realice a la entidad. Teniendo en cuenta que el voto de cada miembro tendrá un valor porcentua</w:t>
      </w:r>
      <w:r>
        <w:rPr>
          <w:rFonts w:ascii="Arial" w:eastAsia="Times New Roman" w:hAnsi="Arial" w:cs="Arial"/>
          <w:i/>
          <w:sz w:val="22"/>
          <w:szCs w:val="22"/>
          <w:lang w:val="es" w:eastAsia="es-ES" w:bidi="ar-SA"/>
        </w:rPr>
        <w:t>l en proporción a la cuota económica a satisfacer a la entidad. El Cabildo de Tenerife y los Ayuntamientos participará en las votaciones cuyo voto tendrá el porcentaje correspondiente en función a su aportación económica. El cálculo del mismo y su control,</w:t>
      </w:r>
      <w:r>
        <w:rPr>
          <w:rFonts w:ascii="Arial" w:eastAsia="Times New Roman" w:hAnsi="Arial" w:cs="Arial"/>
          <w:i/>
          <w:sz w:val="22"/>
          <w:szCs w:val="22"/>
          <w:lang w:val="es" w:eastAsia="es-ES" w:bidi="ar-SA"/>
        </w:rPr>
        <w:t xml:space="preserve"> se llevará a cabo por la Gerencia.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caso de empate el voto del Presidente resolverá la discrepancia.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No podrá tomarse ningún tipo de acuerdo que afecte a los servicios públicos municipales o insulares así como a la financiación económica de los Ayuntami</w:t>
      </w:r>
      <w:r>
        <w:rPr>
          <w:rFonts w:ascii="Arial" w:eastAsia="Times New Roman" w:hAnsi="Arial" w:cs="Arial"/>
          <w:i/>
          <w:sz w:val="22"/>
          <w:szCs w:val="22"/>
          <w:lang w:val="es" w:eastAsia="es-ES" w:bidi="ar-SA"/>
        </w:rPr>
        <w:t>entos y del Cabildo, incluso teniendo la mayoría o unanimidad de los votos, siempre y cuando no cuente con autorización favorable de las administraciones intervinientes.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El valor del voto tendrá un régimen proporcional a la aportación económica que se real</w:t>
      </w:r>
      <w:r>
        <w:rPr>
          <w:rFonts w:ascii="Arial" w:eastAsia="Times New Roman" w:hAnsi="Arial" w:cs="Arial"/>
          <w:i/>
          <w:sz w:val="22"/>
          <w:szCs w:val="22"/>
          <w:lang w:val="es" w:eastAsia="es-ES" w:bidi="ar-SA"/>
        </w:rPr>
        <w:t>ice a la entidad conforme la superficie contable. Cada propietario tendrá un porcentaje igual al que le corresponda en el coeficiente de participación, en los gastos de mantenimiento, conservación y comunes en general, asignado a su parcela y conforme a su</w:t>
      </w:r>
      <w:r>
        <w:rPr>
          <w:rFonts w:ascii="Arial" w:eastAsia="Times New Roman" w:hAnsi="Arial" w:cs="Arial"/>
          <w:i/>
          <w:sz w:val="22"/>
          <w:szCs w:val="22"/>
          <w:lang w:val="es" w:eastAsia="es-ES" w:bidi="ar-SA"/>
        </w:rPr>
        <w:t xml:space="preserve"> cuota económica.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Es decir, el voto tendrá el peso que corresponda en función de la aportación económica, en función </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de su cuota a la Entidad Urbanística. El/La Gerente de la entidad establecerá la fórmula correspondiente y deberá de controlar y </w:t>
      </w:r>
      <w:r>
        <w:rPr>
          <w:rFonts w:ascii="Arial" w:eastAsia="Times New Roman" w:hAnsi="Arial" w:cs="Arial"/>
          <w:i/>
          <w:sz w:val="22"/>
          <w:szCs w:val="22"/>
          <w:lang w:val="es" w:eastAsia="es-ES" w:bidi="ar-SA"/>
        </w:rPr>
        <w:t>supervisar estos cálculos, así como ser transparente de todos los datos con la finalidad de esclarecer la proporción del voto de cada uno de los miembros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Cada propietario podrá delegar sus votos en cualquier persona/entidad/empresa/asociació</w:t>
      </w:r>
      <w:r>
        <w:rPr>
          <w:rFonts w:ascii="Arial" w:eastAsia="Times New Roman" w:hAnsi="Arial" w:cs="Arial"/>
          <w:i/>
          <w:sz w:val="22"/>
          <w:szCs w:val="22"/>
          <w:lang w:val="es" w:eastAsia="es-ES" w:bidi="ar-SA"/>
        </w:rPr>
        <w:t>n, siempre que se haga mediante documento fehaciente y válido en derecho, con la supervisión del Gerente de la entidad. Se mostrará este documento a cualquier miembro de la entidad que lo solicite.</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4.</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Funciones: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1.</w:t>
      </w:r>
      <w:r>
        <w:rPr>
          <w:rFonts w:ascii="Arial" w:eastAsia="Times New Roman" w:hAnsi="Arial" w:cs="Arial"/>
          <w:i/>
          <w:sz w:val="22"/>
          <w:szCs w:val="22"/>
          <w:lang w:val="es" w:eastAsia="es-ES" w:bidi="ar-SA"/>
        </w:rPr>
        <w:tab/>
        <w:t>Modificación de los estatutos, sin perju</w:t>
      </w:r>
      <w:r>
        <w:rPr>
          <w:rFonts w:ascii="Arial" w:eastAsia="Times New Roman" w:hAnsi="Arial" w:cs="Arial"/>
          <w:i/>
          <w:sz w:val="22"/>
          <w:szCs w:val="22"/>
          <w:lang w:val="es" w:eastAsia="es-ES" w:bidi="ar-SA"/>
        </w:rPr>
        <w:t>icio de la necesidad del voto favorable de los representantes de los Ayuntamientos de Arafo, Candelaria y Güímar y del Cabildo Insular de Tenerife, cuando proceda. Y en su caso, proceder a la aprobación de la modificación por el órgano competente del Cabil</w:t>
      </w:r>
      <w:r>
        <w:rPr>
          <w:rFonts w:ascii="Arial" w:eastAsia="Times New Roman" w:hAnsi="Arial" w:cs="Arial"/>
          <w:i/>
          <w:sz w:val="22"/>
          <w:szCs w:val="22"/>
          <w:lang w:val="es" w:eastAsia="es-ES" w:bidi="ar-SA"/>
        </w:rPr>
        <w:t>do de Tenerife, previa fase de información pública.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2.</w:t>
      </w:r>
      <w:r>
        <w:rPr>
          <w:rFonts w:ascii="Arial" w:eastAsia="Times New Roman" w:hAnsi="Arial" w:cs="Arial"/>
          <w:i/>
          <w:sz w:val="22"/>
          <w:szCs w:val="22"/>
          <w:lang w:val="es" w:eastAsia="es-ES" w:bidi="ar-SA"/>
        </w:rPr>
        <w:tab/>
        <w:t xml:space="preserve">Elección, nombramiento y cese de los miembros de la Junta Directiva.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3.</w:t>
      </w:r>
      <w:r>
        <w:rPr>
          <w:rFonts w:ascii="Arial" w:eastAsia="Times New Roman" w:hAnsi="Arial" w:cs="Arial"/>
          <w:i/>
          <w:sz w:val="22"/>
          <w:szCs w:val="22"/>
          <w:lang w:val="es" w:eastAsia="es-ES" w:bidi="ar-SA"/>
        </w:rPr>
        <w:tab/>
        <w:t>Aprobación y modificación, así como el establecimiento de otra fórmula de recaudación de cuotas de las aportaciones económicas c</w:t>
      </w:r>
      <w:r>
        <w:rPr>
          <w:rFonts w:ascii="Arial" w:eastAsia="Times New Roman" w:hAnsi="Arial" w:cs="Arial"/>
          <w:i/>
          <w:sz w:val="22"/>
          <w:szCs w:val="22"/>
          <w:lang w:val="es" w:eastAsia="es-ES" w:bidi="ar-SA"/>
        </w:rPr>
        <w:t>on las que deban de contribuir los miembros de la EUC. Sin que puedan tomarse acuerdos en relación a las aportaciones de carácter municipal e insular, ni a la financiación económica de los ayuntamientos ni del Cabildo de Tenerife, ya que deberán contar con</w:t>
      </w:r>
      <w:r>
        <w:rPr>
          <w:rFonts w:ascii="Arial" w:eastAsia="Times New Roman" w:hAnsi="Arial" w:cs="Arial"/>
          <w:i/>
          <w:sz w:val="22"/>
          <w:szCs w:val="22"/>
          <w:lang w:val="es" w:eastAsia="es-ES" w:bidi="ar-SA"/>
        </w:rPr>
        <w:t xml:space="preserve"> la autorización de estas administraciones.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4.</w:t>
      </w:r>
      <w:r>
        <w:rPr>
          <w:rFonts w:ascii="Arial" w:eastAsia="Times New Roman" w:hAnsi="Arial" w:cs="Arial"/>
          <w:i/>
          <w:sz w:val="22"/>
          <w:szCs w:val="22"/>
          <w:lang w:val="es" w:eastAsia="es-ES" w:bidi="ar-SA"/>
        </w:rPr>
        <w:tab/>
        <w:t xml:space="preserve">Aprobación anual de los presupuestos de gastos e inversiones, ordinarios y extraordinarios, así como los servicios a contratar en el próximo ejercicio, o bien modificación de los existentes. En el caso de que </w:t>
      </w:r>
      <w:r>
        <w:rPr>
          <w:rFonts w:ascii="Arial" w:eastAsia="Times New Roman" w:hAnsi="Arial" w:cs="Arial"/>
          <w:i/>
          <w:sz w:val="22"/>
          <w:szCs w:val="22"/>
          <w:lang w:val="es" w:eastAsia="es-ES" w:bidi="ar-SA"/>
        </w:rPr>
        <w:t>afecten a competencias municipales o insulares, se necesitará en todo caso, la conformidad de las Administraciones implicadas.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5.</w:t>
      </w:r>
      <w:r>
        <w:rPr>
          <w:rFonts w:ascii="Arial" w:eastAsia="Times New Roman" w:hAnsi="Arial" w:cs="Arial"/>
          <w:i/>
          <w:sz w:val="22"/>
          <w:szCs w:val="22"/>
          <w:lang w:val="es" w:eastAsia="es-ES" w:bidi="ar-SA"/>
        </w:rPr>
        <w:tab/>
        <w:t>Aprobación de la Memoria anual y de las cuentas.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6.</w:t>
      </w:r>
      <w:r>
        <w:rPr>
          <w:rFonts w:ascii="Arial" w:eastAsia="Times New Roman" w:hAnsi="Arial" w:cs="Arial"/>
          <w:i/>
          <w:sz w:val="22"/>
          <w:szCs w:val="22"/>
          <w:lang w:val="es" w:eastAsia="es-ES" w:bidi="ar-SA"/>
        </w:rPr>
        <w:tab/>
        <w:t>Propuesta de disolución de la EUC.</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7.         Aprobación de normativa inte</w:t>
      </w:r>
      <w:r>
        <w:rPr>
          <w:rFonts w:ascii="Arial" w:eastAsia="Times New Roman" w:hAnsi="Arial" w:cs="Arial"/>
          <w:i/>
          <w:sz w:val="22"/>
          <w:szCs w:val="22"/>
          <w:lang w:val="es" w:eastAsia="es-ES" w:bidi="ar-SA"/>
        </w:rPr>
        <w:t>rna para el buen gobierno y decoro de la entidad.</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21º.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La Junta Directiva:</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1.</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Elección de sus miembros: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elección de la Junta Directiva, a excepción de los representantes de las administraciones, se realizará por la Asamblea General por medio</w:t>
      </w:r>
      <w:r>
        <w:rPr>
          <w:rFonts w:ascii="Arial" w:eastAsia="Times New Roman" w:hAnsi="Arial" w:cs="Arial"/>
          <w:i/>
          <w:sz w:val="22"/>
          <w:szCs w:val="22"/>
          <w:lang w:val="es" w:eastAsia="es-ES" w:bidi="ar-SA"/>
        </w:rPr>
        <w:t xml:space="preserve"> de voto directo y secreto de todos y cada uno de sus miembros.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El período de mandato será de dos años con la renovación de la totalidad de sus miembros, los cuales podrán ser candidatos a la reelección.</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Todos los cargos serán honoríficos y gratuitos, sal</w:t>
      </w:r>
      <w:r>
        <w:rPr>
          <w:rFonts w:ascii="Arial" w:eastAsia="Times New Roman" w:hAnsi="Arial" w:cs="Arial"/>
          <w:i/>
          <w:sz w:val="22"/>
          <w:szCs w:val="22"/>
          <w:lang w:val="es" w:eastAsia="es-ES" w:bidi="ar-SA"/>
        </w:rPr>
        <w:t>vo el de la gerencia, que será retribuido como personal propio de la EUC por el salario que se determine, sin derecho a dietas por asistencia a las sesiones que se convoquen.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Por el carácter condicionante de los nombramientos, las personas designadas cesar</w:t>
      </w:r>
      <w:r>
        <w:rPr>
          <w:rFonts w:ascii="Arial" w:eastAsia="Times New Roman" w:hAnsi="Arial" w:cs="Arial"/>
          <w:i/>
          <w:sz w:val="22"/>
          <w:szCs w:val="22"/>
          <w:lang w:val="es" w:eastAsia="es-ES" w:bidi="ar-SA"/>
        </w:rPr>
        <w:t>án en sus puestos en el momento que no sean titulares de los terrenos que constituyan el ámbito espacial de la EUC.</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2.</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Régimen de sesiones: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La Junta Directiva se reunirá</w:t>
      </w:r>
      <w:r>
        <w:rPr>
          <w:rFonts w:ascii="Arial" w:eastAsia="Lucida Sans Unicode" w:hAnsi="Arial" w:cs="Times New Roman"/>
          <w:i/>
          <w:sz w:val="22"/>
          <w:lang w:bidi="ar-SA"/>
        </w:rPr>
        <w:t xml:space="preserve"> </w:t>
      </w:r>
      <w:r>
        <w:rPr>
          <w:rFonts w:ascii="Arial" w:eastAsia="Times New Roman" w:hAnsi="Arial" w:cs="Arial"/>
          <w:i/>
          <w:sz w:val="22"/>
          <w:szCs w:val="22"/>
          <w:lang w:val="es" w:eastAsia="es-ES" w:bidi="ar-SA"/>
        </w:rPr>
        <w:t xml:space="preserve">telemática (con exigencia obligatoria de cámara web), presencial o de forma mixta en </w:t>
      </w:r>
      <w:r>
        <w:rPr>
          <w:rFonts w:ascii="Arial" w:eastAsia="Times New Roman" w:hAnsi="Arial" w:cs="Arial"/>
          <w:i/>
          <w:sz w:val="22"/>
          <w:szCs w:val="22"/>
          <w:lang w:val="es" w:eastAsia="es-ES" w:bidi="ar-SA"/>
        </w:rPr>
        <w:t>la sede de la entidad, como mínimo, una vez cada tres meses, además de las veces que lo estime oportuno su Presidente, ya por iniciativa propia, o por requerimiento de dos de sus miembros.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quorum de constitución será por la asistencia de un mínimo de la</w:t>
      </w:r>
      <w:r>
        <w:rPr>
          <w:rFonts w:ascii="Arial" w:eastAsia="Times New Roman" w:hAnsi="Arial" w:cs="Arial"/>
          <w:i/>
          <w:sz w:val="22"/>
          <w:szCs w:val="22"/>
          <w:lang w:val="es" w:eastAsia="es-ES" w:bidi="ar-SA"/>
        </w:rPr>
        <w:t xml:space="preserve"> mitad más uno de sus miembros. La asistencia a sus sesiones es obligatoria para todos sus miembros. De no acudir a las sesiones tres veces en un año, o bien dos veces sucesivas, podrá ser sustituido por algún vocal nombrado en reserva de forma automática,</w:t>
      </w:r>
      <w:r>
        <w:rPr>
          <w:rFonts w:ascii="Arial" w:eastAsia="Times New Roman" w:hAnsi="Arial" w:cs="Arial"/>
          <w:i/>
          <w:sz w:val="22"/>
          <w:szCs w:val="22"/>
          <w:lang w:val="es" w:eastAsia="es-ES" w:bidi="ar-SA"/>
        </w:rPr>
        <w:t xml:space="preserve"> sin que sea necesaria la convocatoria de Asamblea General. Se pondrá en conocimiento de ello en la siguiente Asamblea General que se celebre para su ratificación o bien nueva elección del puesto.</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3.</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Funciones (previa elaboración de la Gerencia):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Convoca</w:t>
      </w:r>
      <w:r>
        <w:rPr>
          <w:rFonts w:ascii="Arial" w:eastAsia="Times New Roman" w:hAnsi="Arial" w:cs="Arial"/>
          <w:i/>
          <w:sz w:val="22"/>
          <w:szCs w:val="22"/>
          <w:lang w:val="es" w:eastAsia="es-ES" w:bidi="ar-SA"/>
        </w:rPr>
        <w:t>r las sesiones de las Asambleas Generales.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Proponer a la Asamblea General los programas de actuación y presupuestos necesarios.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Redactar los balances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Ejecutar, gestionar, desarrollar y organizar los acuerdos adoptados por la asamblea G</w:t>
      </w:r>
      <w:r>
        <w:rPr>
          <w:rFonts w:ascii="Arial" w:eastAsia="Times New Roman" w:hAnsi="Arial" w:cs="Arial"/>
          <w:i/>
          <w:sz w:val="22"/>
          <w:szCs w:val="22"/>
          <w:lang w:val="es" w:eastAsia="es-ES" w:bidi="ar-SA"/>
        </w:rPr>
        <w:t>eneral.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Nombrar la Gerencia y contratar todos aquellos servicios que sean necesarios para el cumplimiento de las funciones propias de la entidad, tanto de funcionamiento interno, pudiendo contratar personal en plantilla o bien personal externo, como de l</w:t>
      </w:r>
      <w:r>
        <w:rPr>
          <w:rFonts w:ascii="Arial" w:eastAsia="Times New Roman" w:hAnsi="Arial" w:cs="Arial"/>
          <w:i/>
          <w:sz w:val="22"/>
          <w:szCs w:val="22"/>
          <w:lang w:val="es" w:eastAsia="es-ES" w:bidi="ar-SA"/>
        </w:rPr>
        <w:t>a prestación de los servicios de mantenimiento y conservación. La contratación de personal en plantilla autorización favorable de las administraciones intervinientes.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Ejercer las acciones legales convenientes en defensa de la Entidad, previa aprobación d</w:t>
      </w:r>
      <w:r>
        <w:rPr>
          <w:rFonts w:ascii="Arial" w:eastAsia="Times New Roman" w:hAnsi="Arial" w:cs="Arial"/>
          <w:i/>
          <w:sz w:val="22"/>
          <w:szCs w:val="22"/>
          <w:lang w:val="es" w:eastAsia="es-ES" w:bidi="ar-SA"/>
        </w:rPr>
        <w:t>e la 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Instar al Ayuntamiento que corresponda para que a su vez, inste al Consorcio de Tributos, para que proceda al cobro de las cuotas por la vía de apremio, cuando corresponda.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Vigilar y controlar el desarrollo de las actuaciones que</w:t>
      </w:r>
      <w:r>
        <w:rPr>
          <w:rFonts w:ascii="Arial" w:eastAsia="Times New Roman" w:hAnsi="Arial" w:cs="Arial"/>
          <w:i/>
          <w:sz w:val="22"/>
          <w:szCs w:val="22"/>
          <w:lang w:val="es" w:eastAsia="es-ES" w:bidi="ar-SA"/>
        </w:rPr>
        <w:t xml:space="preserve"> se realicen en el ámbito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Denunciar los defectos que se observen en la prestación de servicios y realización de obras.</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w:t>
      </w:r>
      <w:r>
        <w:rPr>
          <w:rFonts w:ascii="Arial" w:eastAsia="Times New Roman" w:hAnsi="Arial" w:cs="Arial"/>
          <w:i/>
          <w:sz w:val="22"/>
          <w:szCs w:val="22"/>
          <w:lang w:val="es" w:eastAsia="es-ES" w:bidi="ar-SA"/>
        </w:rPr>
        <w:tab/>
        <w:t>Gestionar la concesión de los beneficios fiscales que fueren aplicables.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         Acordar la solicitud de cualquier </w:t>
      </w:r>
      <w:r>
        <w:rPr>
          <w:rFonts w:ascii="Arial" w:eastAsia="Times New Roman" w:hAnsi="Arial" w:cs="Arial"/>
          <w:i/>
          <w:sz w:val="22"/>
          <w:szCs w:val="22"/>
          <w:lang w:val="es" w:eastAsia="es-ES" w:bidi="ar-SA"/>
        </w:rPr>
        <w:t>tipo de subvención a cualquier tipo de Administración Pública a través de la persona que ocupe el cargo de Gerente, previa autorización.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Velar por el correcto funcionamiento de la Entidad y la prestación de los servicios.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Solicitar o present</w:t>
      </w:r>
      <w:r>
        <w:rPr>
          <w:rFonts w:ascii="Arial" w:eastAsia="Times New Roman" w:hAnsi="Arial" w:cs="Arial"/>
          <w:i/>
          <w:sz w:val="22"/>
          <w:szCs w:val="22"/>
          <w:lang w:val="es" w:eastAsia="es-ES" w:bidi="ar-SA"/>
        </w:rPr>
        <w:t>ar, en su caso, en los Ayuntamientos las comunicaciones, autorizaciones y/o licencias que sean necesarias para la ejecución de las actuaciones que lo requieran en aplicación de la normativa.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Interpretar los Estatutos en caso de duda, sin perjuicio d</w:t>
      </w:r>
      <w:r>
        <w:rPr>
          <w:rFonts w:ascii="Arial" w:eastAsia="Times New Roman" w:hAnsi="Arial" w:cs="Arial"/>
          <w:i/>
          <w:sz w:val="22"/>
          <w:szCs w:val="22"/>
          <w:lang w:val="es" w:eastAsia="es-ES" w:bidi="ar-SA"/>
        </w:rPr>
        <w:t>e las facultades propias de las administraciones intervinientes.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Delegar en la Gerencia aquellas funciones propias de la Junta General que considere conveniente con el fin de agilizar el funcionamiento interno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Cualquier otra fun</w:t>
      </w:r>
      <w:r>
        <w:rPr>
          <w:rFonts w:ascii="Arial" w:eastAsia="Times New Roman" w:hAnsi="Arial" w:cs="Arial"/>
          <w:i/>
          <w:sz w:val="22"/>
          <w:szCs w:val="22"/>
          <w:lang w:val="es" w:eastAsia="es-ES" w:bidi="ar-SA"/>
        </w:rPr>
        <w:t>ción que le haya sido encomendada por la Asamblea General. Asimismo, le corresponderá las demás facultades de gobierno y administración de la Entidad no reservadas expresamente a aquélla.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anterior determinación de competencias de la Junta Directiva es m</w:t>
      </w:r>
      <w:r>
        <w:rPr>
          <w:rFonts w:ascii="Arial" w:eastAsia="Times New Roman" w:hAnsi="Arial" w:cs="Arial"/>
          <w:i/>
          <w:sz w:val="22"/>
          <w:szCs w:val="22"/>
          <w:lang w:val="es" w:eastAsia="es-ES" w:bidi="ar-SA"/>
        </w:rPr>
        <w:t>eramente enunciativa y no excluye en manera alguna las amplias facultades que le competen para el cumplimiento de los fines de la Entidad, sin más limitaciones que las señaladas en la Ley y en los presentes Estatutos.</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22º.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Funciones propias del </w:t>
      </w:r>
      <w:r>
        <w:rPr>
          <w:rFonts w:ascii="Arial" w:eastAsia="Times New Roman" w:hAnsi="Arial" w:cs="Arial"/>
          <w:b/>
          <w:i/>
          <w:sz w:val="22"/>
          <w:szCs w:val="22"/>
          <w:lang w:val="es" w:eastAsia="es-ES" w:bidi="ar-SA"/>
        </w:rPr>
        <w:t>Presidente y del Vicepresidente: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ab/>
        <w:t>Ostentar la legal representación de la Entidad Urbanística de Conservación ante las Autoridades, Tribunales, Administración y Organismos Públicos e Instituciones y Entidades Privadas.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b)</w:t>
      </w:r>
      <w:r>
        <w:rPr>
          <w:rFonts w:ascii="Arial" w:eastAsia="Times New Roman" w:hAnsi="Arial" w:cs="Arial"/>
          <w:i/>
          <w:sz w:val="22"/>
          <w:szCs w:val="22"/>
          <w:lang w:val="es" w:eastAsia="es-ES" w:bidi="ar-SA"/>
        </w:rPr>
        <w:tab/>
        <w:t>Convocar la Asamblea General y la</w:t>
      </w:r>
      <w:r>
        <w:rPr>
          <w:rFonts w:ascii="Arial" w:eastAsia="Times New Roman" w:hAnsi="Arial" w:cs="Arial"/>
          <w:i/>
          <w:sz w:val="22"/>
          <w:szCs w:val="22"/>
          <w:lang w:val="es" w:eastAsia="es-ES" w:bidi="ar-SA"/>
        </w:rPr>
        <w:t xml:space="preserve"> Junta Directiva, presidiendo sus sesiones, a través del secretario. Asimismo,</w:t>
      </w:r>
      <w:r>
        <w:rPr>
          <w:rFonts w:ascii="Arial" w:eastAsia="Lucida Sans Unicode" w:hAnsi="Arial" w:cs="Times New Roman"/>
          <w:i/>
          <w:sz w:val="22"/>
          <w:lang w:bidi="ar-SA"/>
        </w:rPr>
        <w:t xml:space="preserve"> </w:t>
      </w:r>
      <w:r>
        <w:rPr>
          <w:rFonts w:ascii="Arial" w:eastAsia="Times New Roman" w:hAnsi="Arial" w:cs="Arial"/>
          <w:i/>
          <w:sz w:val="22"/>
          <w:szCs w:val="22"/>
          <w:lang w:val="es" w:eastAsia="es-ES" w:bidi="ar-SA"/>
        </w:rPr>
        <w:t>dirigir las deliberaciones, dirimir los empates con su voto de calidad y levantar las sesiones.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w:t>
      </w:r>
      <w:r>
        <w:rPr>
          <w:rFonts w:ascii="Arial" w:eastAsia="Times New Roman" w:hAnsi="Arial" w:cs="Arial"/>
          <w:i/>
          <w:sz w:val="22"/>
          <w:szCs w:val="22"/>
          <w:lang w:val="es" w:eastAsia="es-ES" w:bidi="ar-SA"/>
        </w:rPr>
        <w:tab/>
        <w:t>Suscribir los compromisos que conjuntamente con los Ayuntamientos o el Cabildo</w:t>
      </w:r>
      <w:r>
        <w:rPr>
          <w:rFonts w:ascii="Arial" w:eastAsia="Times New Roman" w:hAnsi="Arial" w:cs="Arial"/>
          <w:i/>
          <w:sz w:val="22"/>
          <w:szCs w:val="22"/>
          <w:lang w:val="es" w:eastAsia="es-ES" w:bidi="ar-SA"/>
        </w:rPr>
        <w:t xml:space="preserve"> se tomen en orden a las finalidades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d)</w:t>
      </w:r>
      <w:r>
        <w:rPr>
          <w:rFonts w:ascii="Arial" w:eastAsia="Times New Roman" w:hAnsi="Arial" w:cs="Arial"/>
          <w:i/>
          <w:sz w:val="22"/>
          <w:szCs w:val="22"/>
          <w:lang w:val="es" w:eastAsia="es-ES" w:bidi="ar-SA"/>
        </w:rPr>
        <w:tab/>
        <w:t>La jefatura del personal contratado o adscrito, en su caso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w:t>
      </w:r>
      <w:r>
        <w:rPr>
          <w:rFonts w:ascii="Arial" w:eastAsia="Times New Roman" w:hAnsi="Arial" w:cs="Arial"/>
          <w:i/>
          <w:sz w:val="22"/>
          <w:szCs w:val="22"/>
          <w:lang w:val="es" w:eastAsia="es-ES" w:bidi="ar-SA"/>
        </w:rPr>
        <w:tab/>
        <w:t>Cuantas funciones sean inherentes a su cargo o le sean delegadas por la Asamblea General o la Junta Directiva.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En caso de ausencia o enferm</w:t>
      </w:r>
      <w:r>
        <w:rPr>
          <w:rFonts w:ascii="Arial" w:eastAsia="Times New Roman" w:hAnsi="Arial" w:cs="Arial"/>
          <w:i/>
          <w:sz w:val="22"/>
          <w:szCs w:val="22"/>
          <w:lang w:val="es" w:eastAsia="es-ES" w:bidi="ar-SA"/>
        </w:rPr>
        <w:t>edad o cualquier otro impedimento legal, el Presidente podrá ser sustituido por el Vicepresidente o, en su ausencia, por el Vocal que establezca la Junta Directiva.</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23°.</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El/La Gerente, el/la Secretario/a y el/la Tesorero/a:</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A) El/La Gerente: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1.</w:t>
      </w:r>
      <w:r>
        <w:rPr>
          <w:rFonts w:ascii="Arial" w:eastAsia="Times New Roman" w:hAnsi="Arial" w:cs="Arial"/>
          <w:i/>
          <w:sz w:val="22"/>
          <w:szCs w:val="22"/>
          <w:lang w:val="es" w:eastAsia="es-ES" w:bidi="ar-SA"/>
        </w:rPr>
        <w:t>- La selección de la Gerencia se realizará por la Junta General basándose en los principios de mérito, capacidad, concurrencia y publicidad, con el fin de que se elabore un procedimiento de selección ágil y eficaz para designar una persona profesionalmente</w:t>
      </w:r>
      <w:r>
        <w:rPr>
          <w:rFonts w:ascii="Arial" w:eastAsia="Times New Roman" w:hAnsi="Arial" w:cs="Arial"/>
          <w:i/>
          <w:sz w:val="22"/>
          <w:szCs w:val="22"/>
          <w:lang w:val="es" w:eastAsia="es-ES" w:bidi="ar-SA"/>
        </w:rPr>
        <w:t xml:space="preserve"> cualificada y con titulación universitaria. Tiene el deber de ejecutar los acuerdos tomados por los órganos de gobierno del a entidad y velar por su cumplimiento. Tiene el deber del seguimiento, control y supervisión de todos los servicios contratados por</w:t>
      </w:r>
      <w:r>
        <w:rPr>
          <w:rFonts w:ascii="Arial" w:eastAsia="Times New Roman" w:hAnsi="Arial" w:cs="Arial"/>
          <w:i/>
          <w:sz w:val="22"/>
          <w:szCs w:val="22"/>
          <w:lang w:val="es" w:eastAsia="es-ES" w:bidi="ar-SA"/>
        </w:rPr>
        <w:t xml:space="preserve"> la entidad con la finalidad de conservar y mantener el polígono.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2.- El cargo de Gerente será retribuido en la cuantía que se determine en los presupuestos de la Entidad determinado por la Junta Directiva. El/La Gerente desempeñará el cargo con dedicación</w:t>
      </w:r>
      <w:r>
        <w:rPr>
          <w:rFonts w:ascii="Arial" w:eastAsia="Times New Roman" w:hAnsi="Arial" w:cs="Arial"/>
          <w:i/>
          <w:sz w:val="22"/>
          <w:szCs w:val="22"/>
          <w:lang w:val="es" w:eastAsia="es-ES" w:bidi="ar-SA"/>
        </w:rPr>
        <w:t xml:space="preserve"> exclusiva para la Entidad, siendo incompatible con cualquier otro tipo de profesión o actividad. Asimismo, deberá de ser una persona imparcial sin conflicto de intereses, por lo que no podrá ser propietario de terrenos/parcelas que pertenezcan al ámbito e</w:t>
      </w:r>
      <w:r>
        <w:rPr>
          <w:rFonts w:ascii="Arial" w:eastAsia="Times New Roman" w:hAnsi="Arial" w:cs="Arial"/>
          <w:i/>
          <w:sz w:val="22"/>
          <w:szCs w:val="22"/>
          <w:lang w:val="es" w:eastAsia="es-ES" w:bidi="ar-SA"/>
        </w:rPr>
        <w:t>spacial de la entidad, y por consiguiente, no se le devengará cuota de participación alguna.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3.- El/La Gerente tendrá derecho a voz en los asuntos propios de su cargo, pero no voto. Asimismo, será civilmente responsable de las funciones encomendadas por la</w:t>
      </w:r>
      <w:r>
        <w:rPr>
          <w:rFonts w:ascii="Arial" w:eastAsia="Times New Roman" w:hAnsi="Arial" w:cs="Arial"/>
          <w:i/>
          <w:sz w:val="22"/>
          <w:szCs w:val="22"/>
          <w:lang w:val="es" w:eastAsia="es-ES" w:bidi="ar-SA"/>
        </w:rPr>
        <w:t xml:space="preserve"> Asamblea General, por la Junta Directiva o la Presidencia.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4.- Son funciones de el/la Gerente las siguientes.</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a) Organizar y dirigir la oficina y personal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b) Coordinación y seguimiento de los servicios contratados.</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 xml:space="preserve">c) Ejecutar los acuerdos </w:t>
      </w:r>
      <w:r>
        <w:rPr>
          <w:rFonts w:ascii="Arial" w:eastAsia="Times New Roman" w:hAnsi="Arial" w:cs="Arial"/>
          <w:i/>
          <w:sz w:val="22"/>
          <w:szCs w:val="22"/>
          <w:lang w:eastAsia="es-ES" w:bidi="ar-SA"/>
        </w:rPr>
        <w:t>del Consejo Rector y de la 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d) Elaborar una Memoria Anual, que rendirá ante el Consejo Rector y La 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e) Adoptar todas las determinaciones necesarias para el mejor funcionamiento de la entidad, cuya competencia no esté reserva</w:t>
      </w:r>
      <w:r>
        <w:rPr>
          <w:rFonts w:ascii="Arial" w:eastAsia="Times New Roman" w:hAnsi="Arial" w:cs="Arial"/>
          <w:i/>
          <w:sz w:val="22"/>
          <w:szCs w:val="22"/>
          <w:lang w:eastAsia="es-ES" w:bidi="ar-SA"/>
        </w:rPr>
        <w:t>da a otro órgano.</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f) Los aspectos económicos, jurídicos y administrativos de la preparación y organización de conferencias, reuniones, exposiciones, congresos…</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g) Mantener actualizadas las cuantías económicas de las cuotas, así como realizar los cálculos n</w:t>
      </w:r>
      <w:r>
        <w:rPr>
          <w:rFonts w:ascii="Arial" w:eastAsia="Times New Roman" w:hAnsi="Arial" w:cs="Arial"/>
          <w:i/>
          <w:sz w:val="22"/>
          <w:szCs w:val="22"/>
          <w:lang w:eastAsia="es-ES" w:bidi="ar-SA"/>
        </w:rPr>
        <w:t>uméricos y económicos correspondientes para determinar el porcentaje de cada miembro de la entidad de su cuota de participación en función de la titularidad de sus terrenos. Asimismo, proporcionar la información a todos los miembros en relación al porcenta</w:t>
      </w:r>
      <w:r>
        <w:rPr>
          <w:rFonts w:ascii="Arial" w:eastAsia="Times New Roman" w:hAnsi="Arial" w:cs="Arial"/>
          <w:i/>
          <w:sz w:val="22"/>
          <w:szCs w:val="22"/>
          <w:lang w:eastAsia="es-ES" w:bidi="ar-SA"/>
        </w:rPr>
        <w:t>je de participación de las cuotas.</w:t>
      </w:r>
    </w:p>
    <w:p w:rsidR="00061CF1" w:rsidRDefault="004E6D5A">
      <w:pPr>
        <w:autoSpaceDE w:val="0"/>
        <w:spacing w:before="180" w:after="180" w:line="276" w:lineRule="auto"/>
        <w:jc w:val="both"/>
        <w:textAlignment w:val="auto"/>
        <w:rPr>
          <w:rFonts w:ascii="Arial" w:eastAsia="Times New Roman" w:hAnsi="Arial" w:cs="Arial"/>
          <w:i/>
          <w:sz w:val="22"/>
          <w:szCs w:val="22"/>
          <w:lang w:eastAsia="es-ES" w:bidi="ar-SA"/>
        </w:rPr>
      </w:pPr>
      <w:r>
        <w:rPr>
          <w:rFonts w:ascii="Arial" w:eastAsia="Times New Roman" w:hAnsi="Arial" w:cs="Arial"/>
          <w:i/>
          <w:sz w:val="22"/>
          <w:szCs w:val="22"/>
          <w:lang w:eastAsia="es-ES" w:bidi="ar-SA"/>
        </w:rPr>
        <w:t>h) Mantener una línea de comunicación e información con todos los miembros de la entidad.</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B) El/La Secretario/a: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1.- Las funciones de el/la Secretario/a serán las siguientes: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ab/>
        <w:t>Redactar las actas de la Asamblea General y</w:t>
      </w:r>
      <w:r>
        <w:rPr>
          <w:rFonts w:ascii="Arial" w:eastAsia="Times New Roman" w:hAnsi="Arial" w:cs="Arial"/>
          <w:i/>
          <w:sz w:val="22"/>
          <w:szCs w:val="22"/>
          <w:lang w:val="es" w:eastAsia="es-ES" w:bidi="ar-SA"/>
        </w:rPr>
        <w:t xml:space="preserve"> de la Junta Directiva, de las cuales dará fe y firmará conjuntamente con el Presidente, previa supervisión del Gerente.</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w:t>
      </w:r>
      <w:r>
        <w:rPr>
          <w:rFonts w:ascii="Arial" w:eastAsia="Times New Roman" w:hAnsi="Arial" w:cs="Arial"/>
          <w:i/>
          <w:sz w:val="22"/>
          <w:szCs w:val="22"/>
          <w:lang w:val="es" w:eastAsia="es-ES" w:bidi="ar-SA"/>
        </w:rPr>
        <w:tab/>
        <w:t>Custodiar los libros y documentos de la Entidad que sean físicos, así como de los ficheros informáticos en los que se vuelca la info</w:t>
      </w:r>
      <w:r>
        <w:rPr>
          <w:rFonts w:ascii="Arial" w:eastAsia="Times New Roman" w:hAnsi="Arial" w:cs="Arial"/>
          <w:i/>
          <w:sz w:val="22"/>
          <w:szCs w:val="22"/>
          <w:lang w:val="es" w:eastAsia="es-ES" w:bidi="ar-SA"/>
        </w:rPr>
        <w:t>rmación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w:t>
      </w:r>
      <w:r>
        <w:rPr>
          <w:rFonts w:ascii="Arial" w:eastAsia="Times New Roman" w:hAnsi="Arial" w:cs="Arial"/>
          <w:i/>
          <w:sz w:val="22"/>
          <w:szCs w:val="22"/>
          <w:lang w:val="es" w:eastAsia="es-ES" w:bidi="ar-SA"/>
        </w:rPr>
        <w:tab/>
        <w:t>Certificar los acuerdos y cualquier documento que se le requiera.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d)</w:t>
      </w:r>
      <w:r>
        <w:rPr>
          <w:rFonts w:ascii="Arial" w:eastAsia="Times New Roman" w:hAnsi="Arial" w:cs="Arial"/>
          <w:i/>
          <w:sz w:val="22"/>
          <w:szCs w:val="22"/>
          <w:lang w:val="es" w:eastAsia="es-ES" w:bidi="ar-SA"/>
        </w:rPr>
        <w:tab/>
        <w:t xml:space="preserve">Notificar mediante correo electrónico las convocatorias a los miembros de la entidad, así como el resto de notificaciones electrónicas que procedan, así como </w:t>
      </w:r>
      <w:r>
        <w:rPr>
          <w:rFonts w:ascii="Arial" w:eastAsia="Times New Roman" w:hAnsi="Arial" w:cs="Arial"/>
          <w:i/>
          <w:sz w:val="22"/>
          <w:szCs w:val="22"/>
          <w:lang w:val="es" w:eastAsia="es-ES" w:bidi="ar-SA"/>
        </w:rPr>
        <w:t>cualquier otra correspondencia.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w:t>
      </w:r>
      <w:r>
        <w:rPr>
          <w:rFonts w:ascii="Arial" w:eastAsia="Times New Roman" w:hAnsi="Arial" w:cs="Arial"/>
          <w:i/>
          <w:sz w:val="22"/>
          <w:szCs w:val="22"/>
          <w:lang w:val="es" w:eastAsia="es-ES" w:bidi="ar-SA"/>
        </w:rPr>
        <w:tab/>
        <w:t>Cualquier otra función que, dentro de sus competencias, le encomiende la asamblea General, la Junta Directiva o el Presidente.</w:t>
      </w:r>
    </w:p>
    <w:p w:rsidR="00061CF1" w:rsidRDefault="00061CF1">
      <w:pPr>
        <w:autoSpaceDE w:val="0"/>
        <w:spacing w:before="180" w:after="180" w:line="276" w:lineRule="auto"/>
        <w:jc w:val="both"/>
        <w:textAlignment w:val="auto"/>
        <w:rPr>
          <w:rFonts w:ascii="Arial" w:eastAsia="Times New Roman" w:hAnsi="Arial" w:cs="Arial"/>
          <w:b/>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 El/La Tesorero/a: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w:t>
      </w:r>
      <w:r>
        <w:rPr>
          <w:rFonts w:ascii="Arial" w:eastAsia="Times New Roman" w:hAnsi="Arial" w:cs="Arial"/>
          <w:i/>
          <w:sz w:val="22"/>
          <w:szCs w:val="22"/>
          <w:lang w:val="es" w:eastAsia="es-ES" w:bidi="ar-SA"/>
        </w:rPr>
        <w:tab/>
        <w:t xml:space="preserve">Firma de recibos así como la autorización en las cuentas de la </w:t>
      </w:r>
      <w:r>
        <w:rPr>
          <w:rFonts w:ascii="Arial" w:eastAsia="Times New Roman" w:hAnsi="Arial" w:cs="Arial"/>
          <w:i/>
          <w:sz w:val="22"/>
          <w:szCs w:val="22"/>
          <w:lang w:val="es" w:eastAsia="es-ES" w:bidi="ar-SA"/>
        </w:rPr>
        <w:t>entidad, junto con el Presidente y el Vicepresidente, y llevar el control de las cuentas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        Así como cualquier otra función correspondiente a la tesorería que le sea delegada por los órganos de la entidad.</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24°.</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Personal de </w:t>
      </w:r>
      <w:r>
        <w:rPr>
          <w:rFonts w:ascii="Arial" w:eastAsia="Times New Roman" w:hAnsi="Arial" w:cs="Arial"/>
          <w:b/>
          <w:i/>
          <w:sz w:val="22"/>
          <w:szCs w:val="22"/>
          <w:lang w:val="es" w:eastAsia="es-ES" w:bidi="ar-SA"/>
        </w:rPr>
        <w:t>apoyo administrativo:</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Una vez creada la Entidad, la Gerencia podrá solicitar la contratación de un personal de apoyo administrativo, con el voto favorable de la Junta General. En todo caso, cualquier contratación de personal de plantilla de la Entidad, deb</w:t>
      </w:r>
      <w:r>
        <w:rPr>
          <w:rFonts w:ascii="Arial" w:eastAsia="Times New Roman" w:hAnsi="Arial" w:cs="Arial"/>
          <w:i/>
          <w:sz w:val="22"/>
          <w:szCs w:val="22"/>
          <w:lang w:val="es" w:eastAsia="es-ES" w:bidi="ar-SA"/>
        </w:rPr>
        <w:t>erá de solicitarse autorización al Cabildo de Tenerife o en su caso, a los Ayuntamientos, a través de sus representantes. Todo ello sin perjuicio de que en la Asamblea General se tome otro tipo de decisión al respecto.</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CAPÍTULO VI</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Régimen económico.</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w:t>
      </w:r>
      <w:r>
        <w:rPr>
          <w:rFonts w:ascii="Arial" w:eastAsia="Times New Roman" w:hAnsi="Arial" w:cs="Arial"/>
          <w:b/>
          <w:i/>
          <w:sz w:val="22"/>
          <w:szCs w:val="22"/>
          <w:lang w:val="es" w:eastAsia="es-ES" w:bidi="ar-SA"/>
        </w:rPr>
        <w:t>ulo 25°.</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Medios económicos: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La Entidad se financiará, conforme lo establecido en el Capítulo III de los presentes estatutos, por los siguientes ingresos:</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a) Las cuotas de toda índole de los miembros, cuya cuantía y periodicidad podrá variar la </w:t>
      </w:r>
      <w:r>
        <w:rPr>
          <w:rFonts w:ascii="Arial" w:eastAsia="Times New Roman" w:hAnsi="Arial" w:cs="Arial"/>
          <w:i/>
          <w:sz w:val="22"/>
          <w:szCs w:val="22"/>
          <w:lang w:val="es" w:eastAsia="es-ES" w:bidi="ar-SA"/>
        </w:rPr>
        <w:t>Asamblea General.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b) De las aportaciones anuales del Cabildo de Tenerife y de los Ayuntamientos en los términos previstos en el artículo 12.</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 Otras aportaciones como subvenciones, auxilios, donativos y otros ingresos.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Si durante el ejercicio surgiera</w:t>
      </w:r>
      <w:r>
        <w:rPr>
          <w:rFonts w:ascii="Arial" w:eastAsia="Times New Roman" w:hAnsi="Arial" w:cs="Arial"/>
          <w:i/>
          <w:sz w:val="22"/>
          <w:szCs w:val="22"/>
          <w:lang w:val="es" w:eastAsia="es-ES" w:bidi="ar-SA"/>
        </w:rPr>
        <w:t xml:space="preserve"> una necesidad imprevista que exigiere un gasto extraordinario, será preciso acuerdo de la Asamblea especialmente convocada a este objeto.</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26°.</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Presupuesto: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Se redactará y aprobará anualmente presupuesto un ordinario.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Su partida de ingres</w:t>
      </w:r>
      <w:r>
        <w:rPr>
          <w:rFonts w:ascii="Arial" w:eastAsia="Times New Roman" w:hAnsi="Arial" w:cs="Arial"/>
          <w:i/>
          <w:sz w:val="22"/>
          <w:szCs w:val="22"/>
          <w:lang w:val="es" w:eastAsia="es-ES" w:bidi="ar-SA"/>
        </w:rPr>
        <w:t>os la constituirá el superávit anterior, si lo hubiere, las subvenciones o donativos que se recibieran y cualquier otro ingreso previsible, así como la participación del Cabildo de Tenerife y la previsión de las cuotas de los miembros.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3.</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Su partida de ga</w:t>
      </w:r>
      <w:r>
        <w:rPr>
          <w:rFonts w:ascii="Arial" w:eastAsia="Times New Roman" w:hAnsi="Arial" w:cs="Arial"/>
          <w:i/>
          <w:sz w:val="22"/>
          <w:szCs w:val="22"/>
          <w:lang w:val="es" w:eastAsia="es-ES" w:bidi="ar-SA"/>
        </w:rPr>
        <w:t>stos será constituida por los ordinarios y generales de funcionamiento de la entidad (gastos de personal, mobiliario, asesoría, teléfono, ordenador, material de oficina, mobiliario….); y los gastos de prestación de servicios y de ejecución de actuaciones p</w:t>
      </w:r>
      <w:r>
        <w:rPr>
          <w:rFonts w:ascii="Arial" w:eastAsia="Times New Roman" w:hAnsi="Arial" w:cs="Arial"/>
          <w:i/>
          <w:sz w:val="22"/>
          <w:szCs w:val="22"/>
          <w:lang w:val="es" w:eastAsia="es-ES" w:bidi="ar-SA"/>
        </w:rPr>
        <w:t>ara la consecución de los fines de conservación de esta Entidad.</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27°.</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Recaudación:</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En defecto de acuerdo expreso, las cuotas económicas que han de satisfacer los miembros de la Entidad se recaudarán por meses (dentro de los diez primeros días</w:t>
      </w:r>
      <w:r>
        <w:rPr>
          <w:rFonts w:ascii="Arial" w:eastAsia="Times New Roman" w:hAnsi="Arial" w:cs="Arial"/>
          <w:i/>
          <w:sz w:val="22"/>
          <w:szCs w:val="22"/>
          <w:lang w:val="es" w:eastAsia="es-ES" w:bidi="ar-SA"/>
        </w:rPr>
        <w:t xml:space="preserve"> de cada mes), respecto a las previsiones del presupuesto anual, debiendo verificarse el abono de la cantidad correspondiente dentro del plazo de los quince días siguientes al de la recepción del requerimiento de pago.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Transcurrido el período de pago v</w:t>
      </w:r>
      <w:r>
        <w:rPr>
          <w:rFonts w:ascii="Arial" w:eastAsia="Times New Roman" w:hAnsi="Arial" w:cs="Arial"/>
          <w:i/>
          <w:sz w:val="22"/>
          <w:szCs w:val="22"/>
          <w:lang w:val="es" w:eastAsia="es-ES" w:bidi="ar-SA"/>
        </w:rPr>
        <w:t>oluntario, atendiendo por analogía a la normativa de haciendas locales de régimen local, las cuotas podrán exigirse al propietario moroso por la recaudación municipal, por la vía de apremio, derivando su recaudación al Consorcio de Tributos conforme al con</w:t>
      </w:r>
      <w:r>
        <w:rPr>
          <w:rFonts w:ascii="Arial" w:eastAsia="Times New Roman" w:hAnsi="Arial" w:cs="Arial"/>
          <w:i/>
          <w:sz w:val="22"/>
          <w:szCs w:val="22"/>
          <w:lang w:val="es" w:eastAsia="es-ES" w:bidi="ar-SA"/>
        </w:rPr>
        <w:t>venio que tenga establecido el Ayuntamiento.</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28°.</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Contabilidad:</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La entidad llevará la contabilidad de la gestión económica de los libros adecuados para que, en cada momento, pueda darse razón de las operaciones efectuadas y se deduzcan de </w:t>
      </w:r>
      <w:r>
        <w:rPr>
          <w:rFonts w:ascii="Arial" w:eastAsia="Times New Roman" w:hAnsi="Arial" w:cs="Arial"/>
          <w:i/>
          <w:sz w:val="22"/>
          <w:szCs w:val="22"/>
          <w:lang w:val="es" w:eastAsia="es-ES" w:bidi="ar-SA"/>
        </w:rPr>
        <w:t>ellos las cuentas que han de rendirse.</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Obligatoriamente la contabilidad contará, como mínimo, de libros de ingresos, gastos y caja, que estarán a cargo del Gerente de la entidad.</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29°.</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Liquidación anual:</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 xml:space="preserve">El Presidente elevará a la Asamblea </w:t>
      </w:r>
      <w:r>
        <w:rPr>
          <w:rFonts w:ascii="Arial" w:eastAsia="Times New Roman" w:hAnsi="Arial" w:cs="Arial"/>
          <w:i/>
          <w:sz w:val="22"/>
          <w:szCs w:val="22"/>
          <w:lang w:val="es" w:eastAsia="es-ES" w:bidi="ar-SA"/>
        </w:rPr>
        <w:t xml:space="preserve">General la liquidación anual del presupuesto del ejercicio </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cerrado, por años naturales y los presentará junto al proyecto de presupuesto para el ejercicio en curso.</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30°.</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Fondo de reserva:</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El presupuesto ordinario se incrementará en cada ejerc</w:t>
      </w:r>
      <w:r>
        <w:rPr>
          <w:rFonts w:ascii="Arial" w:eastAsia="Times New Roman" w:hAnsi="Arial" w:cs="Arial"/>
          <w:i/>
          <w:sz w:val="22"/>
          <w:szCs w:val="22"/>
          <w:lang w:val="es" w:eastAsia="es-ES" w:bidi="ar-SA"/>
        </w:rPr>
        <w:t xml:space="preserve">icio en un 5% de su importe, que pasará a constituir y aumentar un fondo de reserva hasta el límite que fije la Asamblea General. Este incremento será repartido a cargo de los propietarios con igual criterio al de las cuotas y se recaudará al mismo tiempo </w:t>
      </w:r>
      <w:r>
        <w:rPr>
          <w:rFonts w:ascii="Arial" w:eastAsia="Times New Roman" w:hAnsi="Arial" w:cs="Arial"/>
          <w:i/>
          <w:sz w:val="22"/>
          <w:szCs w:val="22"/>
          <w:lang w:val="es" w:eastAsia="es-ES" w:bidi="ar-SA"/>
        </w:rPr>
        <w:t>que éstas. El fondo de reserva se destinará a hacer frente a las reparaciones extraordinarias de conservación o mejora de bienes y servicios comunes.</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Deberá comunicarse al Cabildo de Tenerife, así como a los Ayuntamientos, los acuerdos referidos en los art</w:t>
      </w:r>
      <w:r>
        <w:rPr>
          <w:rFonts w:ascii="Arial" w:eastAsia="Times New Roman" w:hAnsi="Arial" w:cs="Arial"/>
          <w:i/>
          <w:sz w:val="22"/>
          <w:szCs w:val="22"/>
          <w:lang w:val="es" w:eastAsia="es-ES" w:bidi="ar-SA"/>
        </w:rPr>
        <w:t>ículos 27 a 29 de los presentes estatutos.</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CAPÍTULO VII</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Sistema de garantía</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31°.</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Régimen de recursos: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Contra los acuerdos o resoluciones de los órganos de gobierno de la Entidad podrá interponerse, potestativamente, reclamación ante el mismo</w:t>
      </w:r>
      <w:r>
        <w:rPr>
          <w:rFonts w:ascii="Arial" w:eastAsia="Times New Roman" w:hAnsi="Arial" w:cs="Arial"/>
          <w:i/>
          <w:sz w:val="22"/>
          <w:szCs w:val="22"/>
          <w:lang w:val="es" w:eastAsia="es-ES" w:bidi="ar-SA"/>
        </w:rPr>
        <w:t xml:space="preserve"> órgano que los hubiese dictado o bien ser impugnados directamente ante el Cabildo de Tenerife, como administración tutelante, mediante Recurso de Alzada. Si el asunto afectara a aspectos de carácter municipal, se solicitará informe a los ayuntamientos afe</w:t>
      </w:r>
      <w:r>
        <w:rPr>
          <w:rFonts w:ascii="Arial" w:eastAsia="Times New Roman" w:hAnsi="Arial" w:cs="Arial"/>
          <w:i/>
          <w:sz w:val="22"/>
          <w:szCs w:val="22"/>
          <w:lang w:val="es" w:eastAsia="es-ES" w:bidi="ar-SA"/>
        </w:rPr>
        <w:t>ctados en aras a la resolución del recurso.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El plazo para interponer Reclamación Potestativa será de quince días hábiles a contar desde el día siguiente a su notificación o desde el siguiente a su adopción si el recurrente fuera un asociado presente en</w:t>
      </w:r>
      <w:r>
        <w:rPr>
          <w:rFonts w:ascii="Arial" w:eastAsia="Times New Roman" w:hAnsi="Arial" w:cs="Arial"/>
          <w:i/>
          <w:sz w:val="22"/>
          <w:szCs w:val="22"/>
          <w:lang w:val="es" w:eastAsia="es-ES" w:bidi="ar-SA"/>
        </w:rPr>
        <w:t xml:space="preserve"> dichos órganos. Transcurrido un mes desde su interposición sin que hubiera recaído resolución expresa, dicha Reclamación se entenderá desestimada.</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3.</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El plazo para interponer Recurso de Alzada será de un mes a contar desde el día siguiente al de la notif</w:t>
      </w:r>
      <w:r>
        <w:rPr>
          <w:rFonts w:ascii="Arial" w:eastAsia="Times New Roman" w:hAnsi="Arial" w:cs="Arial"/>
          <w:i/>
          <w:sz w:val="22"/>
          <w:szCs w:val="22"/>
          <w:lang w:val="es" w:eastAsia="es-ES" w:bidi="ar-SA"/>
        </w:rPr>
        <w:t xml:space="preserve">icación del acuerdo o desde el momento de su adopción por un órgano colegiado de la Entidad, si el recurrente fuera un asociado presente en dichos órganos. </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No obstante, en caso de que previamente se hubiese interpuesto Reclamación Potestativa, el plazo pa</w:t>
      </w:r>
      <w:r>
        <w:rPr>
          <w:rFonts w:ascii="Arial" w:eastAsia="Times New Roman" w:hAnsi="Arial" w:cs="Arial"/>
          <w:i/>
          <w:sz w:val="22"/>
          <w:szCs w:val="22"/>
          <w:lang w:val="es" w:eastAsia="es-ES" w:bidi="ar-SA"/>
        </w:rPr>
        <w:t>ra interponer el Recurso de Alzada será de un mes desde el día siguiente a la notificación de la resolución de dicha Reclamación o desde el día siguiente a aquél en que deba entenderse desestimada por silencio.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4.</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Los acuerdos, sin perjuicio de los recurs</w:t>
      </w:r>
      <w:r>
        <w:rPr>
          <w:rFonts w:ascii="Arial" w:eastAsia="Times New Roman" w:hAnsi="Arial" w:cs="Arial"/>
          <w:i/>
          <w:sz w:val="22"/>
          <w:szCs w:val="22"/>
          <w:lang w:val="es" w:eastAsia="es-ES" w:bidi="ar-SA"/>
        </w:rPr>
        <w:t>os procedentes, serán inmediatamente ejecutivos. En todo caso, no se podrá interponer Recurso de Alzada ante la Administración actuante hasta que sea resuelta expresamente o se haya producido la desestimación por silencio de la Reclamación Potestativa que,</w:t>
      </w:r>
      <w:r>
        <w:rPr>
          <w:rFonts w:ascii="Arial" w:eastAsia="Times New Roman" w:hAnsi="Arial" w:cs="Arial"/>
          <w:i/>
          <w:sz w:val="22"/>
          <w:szCs w:val="22"/>
          <w:lang w:val="es" w:eastAsia="es-ES" w:bidi="ar-SA"/>
        </w:rPr>
        <w:t xml:space="preserve"> en su caso, se interponga.</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32°.</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Legitimación:</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Están legitimados para interponer recursos contra los acuerdos o resoluciones de esta Entidad, además de todos los asociados que no hayan votado a favor de los mismos o bien estando presentes en la</w:t>
      </w:r>
      <w:r>
        <w:rPr>
          <w:rFonts w:ascii="Arial" w:eastAsia="Times New Roman" w:hAnsi="Arial" w:cs="Arial"/>
          <w:i/>
          <w:sz w:val="22"/>
          <w:szCs w:val="22"/>
          <w:lang w:val="es" w:eastAsia="es-ES" w:bidi="ar-SA"/>
        </w:rPr>
        <w:t xml:space="preserve"> reunión se hayan abstenido, aquellos a quienes el régimen jurídico</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administrativo vigente les reconozca legitimación para recurrir.</w:t>
      </w:r>
    </w:p>
    <w:p w:rsidR="00061CF1" w:rsidRDefault="00061CF1">
      <w:pPr>
        <w:autoSpaceDE w:val="0"/>
        <w:spacing w:before="180" w:after="180" w:line="276" w:lineRule="auto"/>
        <w:jc w:val="both"/>
        <w:textAlignment w:val="auto"/>
        <w:rPr>
          <w:rFonts w:ascii="Arial" w:eastAsia="Times New Roman" w:hAnsi="Arial" w:cs="Arial"/>
          <w:i/>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CAPÍTULO VIII</w:t>
      </w:r>
    </w:p>
    <w:p w:rsidR="00061CF1" w:rsidRDefault="004E6D5A">
      <w:pPr>
        <w:autoSpaceDE w:val="0"/>
        <w:spacing w:before="180" w:after="180" w:line="276" w:lineRule="auto"/>
        <w:jc w:val="both"/>
        <w:textAlignment w:val="auto"/>
        <w:rPr>
          <w:rFonts w:ascii="Arial" w:eastAsia="Times New Roman" w:hAnsi="Arial" w:cs="Arial"/>
          <w:b/>
          <w:i/>
          <w:sz w:val="22"/>
          <w:szCs w:val="22"/>
          <w:lang w:val="es" w:eastAsia="es-ES" w:bidi="ar-SA"/>
        </w:rPr>
      </w:pPr>
      <w:r>
        <w:rPr>
          <w:rFonts w:ascii="Arial" w:eastAsia="Times New Roman" w:hAnsi="Arial" w:cs="Arial"/>
          <w:b/>
          <w:i/>
          <w:sz w:val="22"/>
          <w:szCs w:val="22"/>
          <w:lang w:val="es" w:eastAsia="es-ES" w:bidi="ar-SA"/>
        </w:rPr>
        <w:t>Disolución y liquidación de la Entidad.</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33°.</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Disolución de la Entidad:</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La Entidad de Conservación</w:t>
      </w:r>
      <w:r>
        <w:rPr>
          <w:rFonts w:ascii="Arial" w:eastAsia="Times New Roman" w:hAnsi="Arial" w:cs="Arial"/>
          <w:i/>
          <w:sz w:val="22"/>
          <w:szCs w:val="22"/>
          <w:lang w:val="es" w:eastAsia="es-ES" w:bidi="ar-SA"/>
        </w:rPr>
        <w:t xml:space="preserve"> procederá su disolución cuando concurra alguna de las siguientes causas:</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1.</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Cuando así se determine mediante disposición legal.</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2.</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Cuando no existiendo disposición legal o reglamentaria al respecto se produzcan causas de fuerza mayor o razones de </w:t>
      </w:r>
      <w:r>
        <w:rPr>
          <w:rFonts w:ascii="Arial" w:eastAsia="Times New Roman" w:hAnsi="Arial" w:cs="Arial"/>
          <w:i/>
          <w:sz w:val="22"/>
          <w:szCs w:val="22"/>
          <w:lang w:val="es" w:eastAsia="es-ES" w:bidi="ar-SA"/>
        </w:rPr>
        <w:t>interés legal, debidamente justificadas, que aconsejen solicitar la indicada disolución mediante acuerdo tomado en Asamblea Extraordinaria convocada al efecto.</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3.</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Cuando por los órganos urbanísticos competentes se establezca un sistema distinto para la co</w:t>
      </w:r>
      <w:r>
        <w:rPr>
          <w:rFonts w:ascii="Arial" w:eastAsia="Times New Roman" w:hAnsi="Arial" w:cs="Arial"/>
          <w:i/>
          <w:sz w:val="22"/>
          <w:szCs w:val="22"/>
          <w:lang w:val="es" w:eastAsia="es-ES" w:bidi="ar-SA"/>
        </w:rPr>
        <w:t>nservación de aquellos bienes que constituyen el objeto de la Entidad.</w:t>
      </w:r>
    </w:p>
    <w:p w:rsidR="00061CF1" w:rsidRDefault="004E6D5A">
      <w:pPr>
        <w:autoSpaceDE w:val="0"/>
        <w:spacing w:before="180" w:after="180" w:line="276" w:lineRule="auto"/>
        <w:jc w:val="both"/>
        <w:textAlignment w:val="auto"/>
      </w:pPr>
      <w:r>
        <w:rPr>
          <w:rFonts w:ascii="Arial" w:eastAsia="Times New Roman" w:hAnsi="Arial" w:cs="Arial"/>
          <w:i/>
          <w:sz w:val="22"/>
          <w:szCs w:val="22"/>
          <w:lang w:val="es" w:eastAsia="es-ES" w:bidi="ar-SA"/>
        </w:rPr>
        <w:t>4.</w:t>
      </w:r>
      <w:r>
        <w:rPr>
          <w:rFonts w:ascii="Cambria Math" w:eastAsia="Times New Roman" w:hAnsi="Cambria Math" w:cs="Cambria Math"/>
          <w:i/>
          <w:sz w:val="22"/>
          <w:szCs w:val="22"/>
          <w:lang w:val="es" w:eastAsia="es-ES" w:bidi="ar-SA"/>
        </w:rPr>
        <w:t>‐</w:t>
      </w:r>
      <w:r>
        <w:rPr>
          <w:rFonts w:ascii="Arial" w:eastAsia="Times New Roman" w:hAnsi="Arial" w:cs="Arial"/>
          <w:i/>
          <w:sz w:val="22"/>
          <w:szCs w:val="22"/>
          <w:lang w:val="es" w:eastAsia="es-ES" w:bidi="ar-SA"/>
        </w:rPr>
        <w:t xml:space="preserve"> En cualquier caso, la disolución de la Entidad requerirá acuerdo de los plenos municipales como administraciones actuantes, y del Cabildo de Tenerife como Administración tutelante.</w:t>
      </w:r>
    </w:p>
    <w:p w:rsidR="00061CF1" w:rsidRDefault="004E6D5A">
      <w:pPr>
        <w:autoSpaceDE w:val="0"/>
        <w:spacing w:before="180" w:after="180" w:line="276" w:lineRule="auto"/>
        <w:jc w:val="both"/>
        <w:textAlignment w:val="auto"/>
      </w:pPr>
      <w:r>
        <w:rPr>
          <w:rFonts w:ascii="Arial" w:eastAsia="Times New Roman" w:hAnsi="Arial" w:cs="Arial"/>
          <w:b/>
          <w:i/>
          <w:sz w:val="22"/>
          <w:szCs w:val="22"/>
          <w:lang w:val="es" w:eastAsia="es-ES" w:bidi="ar-SA"/>
        </w:rPr>
        <w:t>Artículo 34º.</w:t>
      </w:r>
      <w:r>
        <w:rPr>
          <w:rFonts w:ascii="Cambria Math" w:eastAsia="Times New Roman" w:hAnsi="Cambria Math" w:cs="Cambria Math"/>
          <w:b/>
          <w:i/>
          <w:sz w:val="22"/>
          <w:szCs w:val="22"/>
          <w:lang w:val="es" w:eastAsia="es-ES" w:bidi="ar-SA"/>
        </w:rPr>
        <w:t>‐</w:t>
      </w:r>
      <w:r>
        <w:rPr>
          <w:rFonts w:ascii="Arial" w:eastAsia="Times New Roman" w:hAnsi="Arial" w:cs="Arial"/>
          <w:b/>
          <w:i/>
          <w:sz w:val="22"/>
          <w:szCs w:val="22"/>
          <w:lang w:val="es" w:eastAsia="es-ES" w:bidi="ar-SA"/>
        </w:rPr>
        <w:t xml:space="preserve"> Liquidación de la Entidad y extinción:</w:t>
      </w:r>
    </w:p>
    <w:p w:rsidR="00061CF1" w:rsidRDefault="004E6D5A">
      <w:pPr>
        <w:autoSpaceDE w:val="0"/>
        <w:spacing w:before="180" w:after="180" w:line="276" w:lineRule="auto"/>
        <w:jc w:val="both"/>
        <w:textAlignment w:val="auto"/>
        <w:rPr>
          <w:rFonts w:ascii="Arial" w:eastAsia="Times New Roman" w:hAnsi="Arial" w:cs="Arial"/>
          <w:i/>
          <w:sz w:val="22"/>
          <w:szCs w:val="22"/>
          <w:lang w:val="es" w:eastAsia="es-ES" w:bidi="ar-SA"/>
        </w:rPr>
      </w:pPr>
      <w:r>
        <w:rPr>
          <w:rFonts w:ascii="Arial" w:eastAsia="Times New Roman" w:hAnsi="Arial" w:cs="Arial"/>
          <w:i/>
          <w:sz w:val="22"/>
          <w:szCs w:val="22"/>
          <w:lang w:val="es" w:eastAsia="es-ES" w:bidi="ar-SA"/>
        </w:rPr>
        <w:t>Acordada válidamente la disolución de la Entidad, la Gerencia de la entidad procederá a efectuar la liquidación de la misma mediante el cobro de crédito y pago de deudas pendientes. Si hubiera remanente</w:t>
      </w:r>
      <w:r>
        <w:rPr>
          <w:rFonts w:ascii="Arial" w:eastAsia="Times New Roman" w:hAnsi="Arial" w:cs="Arial"/>
          <w:i/>
          <w:sz w:val="22"/>
          <w:szCs w:val="22"/>
          <w:lang w:val="es" w:eastAsia="es-ES" w:bidi="ar-SA"/>
        </w:rPr>
        <w:t>, lo distribuirá entre los asociados, en proporción a sus cuotas o carga de participación. A continuación, la Gerencia deberá de realizar los trámites para que el Cabildo de Tenerife y los Ayuntamientos apruebe la disolución y se proceda a la cancelación d</w:t>
      </w:r>
      <w:r>
        <w:rPr>
          <w:rFonts w:ascii="Arial" w:eastAsia="Times New Roman" w:hAnsi="Arial" w:cs="Arial"/>
          <w:i/>
          <w:sz w:val="22"/>
          <w:szCs w:val="22"/>
          <w:lang w:val="es" w:eastAsia="es-ES" w:bidi="ar-SA"/>
        </w:rPr>
        <w:t>e la inscripción en el Registro de Entidades Urbanísticas Colaboradoras.</w:t>
      </w: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061CF1">
      <w:pPr>
        <w:spacing w:after="120"/>
        <w:jc w:val="both"/>
        <w:textAlignment w:val="auto"/>
        <w:rPr>
          <w:rFonts w:ascii="Arial" w:eastAsia="Lucida Sans Unicode" w:hAnsi="Arial" w:cs="Arial"/>
          <w:b/>
          <w:color w:val="000000"/>
          <w:lang w:bidi="ar-SA"/>
        </w:rPr>
      </w:pPr>
    </w:p>
    <w:p w:rsidR="00061CF1" w:rsidRDefault="004E6D5A">
      <w:pPr>
        <w:spacing w:after="120"/>
        <w:jc w:val="both"/>
        <w:textAlignment w:val="auto"/>
        <w:rPr>
          <w:rFonts w:ascii="Arial" w:eastAsia="Lucida Sans Unicode" w:hAnsi="Arial" w:cs="Arial"/>
          <w:b/>
          <w:color w:val="000000"/>
          <w:lang w:bidi="ar-SA"/>
        </w:rPr>
      </w:pPr>
      <w:r>
        <w:rPr>
          <w:rFonts w:ascii="Arial" w:eastAsia="Lucida Sans Unicode" w:hAnsi="Arial" w:cs="Arial"/>
          <w:b/>
          <w:color w:val="000000"/>
          <w:lang w:bidi="ar-SA"/>
        </w:rPr>
        <w:t>Consta en el expediente informe de Intervención de fecha 22 de octubre de 2025 que transcrito literalmente dice:</w:t>
      </w:r>
    </w:p>
    <w:p w:rsidR="00061CF1" w:rsidRDefault="00061CF1">
      <w:pPr>
        <w:widowControl/>
        <w:suppressAutoHyphens w:val="0"/>
        <w:autoSpaceDE w:val="0"/>
        <w:textAlignment w:val="auto"/>
        <w:rPr>
          <w:rFonts w:ascii="Liberation Sans" w:eastAsia="Times New Roman" w:hAnsi="Liberation Sans" w:cs="Liberation Sans"/>
          <w:color w:val="000000"/>
          <w:kern w:val="0"/>
          <w:lang w:eastAsia="es-ES" w:bidi="ar-SA"/>
        </w:rPr>
      </w:pPr>
    </w:p>
    <w:p w:rsidR="00061CF1" w:rsidRDefault="004E6D5A">
      <w:pPr>
        <w:widowControl/>
        <w:suppressAutoHyphens w:val="0"/>
        <w:autoSpaceDE w:val="0"/>
        <w:spacing w:before="7"/>
        <w:ind w:firstLine="709"/>
        <w:jc w:val="both"/>
        <w:textAlignment w:val="auto"/>
      </w:pPr>
      <w:r>
        <w:rPr>
          <w:rFonts w:ascii="Arial" w:eastAsia="Times New Roman" w:hAnsi="Arial" w:cs="Arial"/>
          <w:bCs/>
          <w:i/>
          <w:color w:val="000000"/>
          <w:kern w:val="0"/>
          <w:sz w:val="22"/>
          <w:szCs w:val="22"/>
          <w:lang w:eastAsia="es-ES" w:bidi="ar-SA"/>
        </w:rPr>
        <w:t xml:space="preserve">PRIMERO: </w:t>
      </w:r>
      <w:r>
        <w:rPr>
          <w:rFonts w:ascii="Arial" w:eastAsia="Times New Roman" w:hAnsi="Arial" w:cs="Arial"/>
          <w:i/>
          <w:color w:val="000000"/>
          <w:kern w:val="0"/>
          <w:sz w:val="22"/>
          <w:szCs w:val="22"/>
          <w:lang w:eastAsia="es-ES" w:bidi="ar-SA"/>
        </w:rPr>
        <w:t xml:space="preserve">Vistos los Estatutos de la Entidad Urbanística de </w:t>
      </w:r>
      <w:r>
        <w:rPr>
          <w:rFonts w:ascii="Arial" w:eastAsia="Times New Roman" w:hAnsi="Arial" w:cs="Arial"/>
          <w:i/>
          <w:color w:val="000000"/>
          <w:kern w:val="0"/>
          <w:sz w:val="22"/>
          <w:szCs w:val="22"/>
          <w:lang w:eastAsia="es-ES" w:bidi="ar-SA"/>
        </w:rPr>
        <w:t>Conservación bajo la denominación de “ENTIDAD URBANÍSTICA DE CONSERVACIÓN DEL POLÍGONO INDUSTRIAL VALLE DE GÜÏMAR (E.U.C. POLÍGONO VALLE GÜÍMAR)”, con la finalidad de asumir la conservación y mantenimiento de la zona industrial “Polígono Industrial Valle d</w:t>
      </w:r>
      <w:r>
        <w:rPr>
          <w:rFonts w:ascii="Arial" w:eastAsia="Times New Roman" w:hAnsi="Arial" w:cs="Arial"/>
          <w:i/>
          <w:color w:val="000000"/>
          <w:kern w:val="0"/>
          <w:sz w:val="22"/>
          <w:szCs w:val="22"/>
          <w:lang w:eastAsia="es-ES" w:bidi="ar-SA"/>
        </w:rPr>
        <w:t xml:space="preserve">e Güímar”, integrada por el Cabildo </w:t>
      </w:r>
    </w:p>
    <w:p w:rsidR="00061CF1" w:rsidRDefault="00061CF1">
      <w:pPr>
        <w:widowControl/>
        <w:suppressAutoHyphens w:val="0"/>
        <w:autoSpaceDE w:val="0"/>
        <w:spacing w:before="7"/>
        <w:ind w:firstLine="709"/>
        <w:jc w:val="both"/>
        <w:textAlignment w:val="auto"/>
        <w:rPr>
          <w:rFonts w:ascii="Arial" w:eastAsia="Times New Roman" w:hAnsi="Arial" w:cs="Arial"/>
          <w:i/>
          <w:color w:val="000000"/>
          <w:kern w:val="0"/>
          <w:sz w:val="22"/>
          <w:szCs w:val="22"/>
          <w:lang w:eastAsia="es-ES" w:bidi="ar-SA"/>
        </w:rPr>
      </w:pPr>
    </w:p>
    <w:p w:rsidR="00061CF1" w:rsidRDefault="00061CF1">
      <w:pPr>
        <w:widowControl/>
        <w:suppressAutoHyphens w:val="0"/>
        <w:autoSpaceDE w:val="0"/>
        <w:spacing w:before="7"/>
        <w:ind w:firstLine="709"/>
        <w:jc w:val="both"/>
        <w:textAlignment w:val="auto"/>
        <w:rPr>
          <w:rFonts w:ascii="Arial" w:eastAsia="Times New Roman" w:hAnsi="Arial" w:cs="Arial"/>
          <w:i/>
          <w:color w:val="000000"/>
          <w:kern w:val="0"/>
          <w:sz w:val="22"/>
          <w:szCs w:val="22"/>
          <w:lang w:eastAsia="es-ES" w:bidi="ar-SA"/>
        </w:rPr>
      </w:pPr>
    </w:p>
    <w:p w:rsidR="00061CF1" w:rsidRDefault="004E6D5A">
      <w:pPr>
        <w:widowControl/>
        <w:suppressAutoHyphens w:val="0"/>
        <w:autoSpaceDE w:val="0"/>
        <w:spacing w:before="7"/>
        <w:ind w:firstLine="709"/>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de Tenerife, los Ayuntamientos de Arafo, Candelaria y Güímar y por los propietarios de terreno/parcelas/solares dentro de la zona industrial “Polígono Industrial Valle de Güímar”, cuya financiación se calculará en fun</w:t>
      </w:r>
      <w:r>
        <w:rPr>
          <w:rFonts w:ascii="Arial" w:eastAsia="Times New Roman" w:hAnsi="Arial" w:cs="Arial"/>
          <w:i/>
          <w:color w:val="000000"/>
          <w:kern w:val="0"/>
          <w:sz w:val="22"/>
          <w:szCs w:val="22"/>
          <w:lang w:eastAsia="es-ES" w:bidi="ar-SA"/>
        </w:rPr>
        <w:t>ción del importe que se pretenda recaudar para la conservación y mantenimiento del polígono industrial, siendo la siguiente participación:</w:t>
      </w:r>
    </w:p>
    <w:p w:rsidR="00061CF1" w:rsidRDefault="00061CF1">
      <w:pPr>
        <w:widowControl/>
        <w:suppressAutoHyphens w:val="0"/>
        <w:autoSpaceDE w:val="0"/>
        <w:spacing w:before="9"/>
        <w:ind w:left="7"/>
        <w:jc w:val="both"/>
        <w:textAlignment w:val="auto"/>
        <w:rPr>
          <w:rFonts w:ascii="Arial" w:eastAsia="Times New Roman" w:hAnsi="Arial" w:cs="Arial"/>
          <w:i/>
          <w:color w:val="000000"/>
          <w:kern w:val="0"/>
          <w:sz w:val="22"/>
          <w:szCs w:val="22"/>
          <w:lang w:eastAsia="es-ES" w:bidi="ar-SA"/>
        </w:rPr>
      </w:pPr>
    </w:p>
    <w:p w:rsidR="00061CF1" w:rsidRDefault="004E6D5A">
      <w:pPr>
        <w:widowControl/>
        <w:suppressAutoHyphens w:val="0"/>
        <w:autoSpaceDE w:val="0"/>
        <w:spacing w:before="9"/>
        <w:ind w:left="7"/>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-Cabildo de Tenerife y Ayuntamientos 55%</w:t>
      </w:r>
    </w:p>
    <w:p w:rsidR="00061CF1" w:rsidRDefault="00061CF1">
      <w:pPr>
        <w:widowControl/>
        <w:suppressAutoHyphens w:val="0"/>
        <w:autoSpaceDE w:val="0"/>
        <w:spacing w:before="9"/>
        <w:jc w:val="both"/>
        <w:textAlignment w:val="auto"/>
        <w:rPr>
          <w:rFonts w:ascii="Arial" w:eastAsia="Times New Roman" w:hAnsi="Arial" w:cs="Arial"/>
          <w:i/>
          <w:color w:val="000000"/>
          <w:kern w:val="0"/>
          <w:sz w:val="22"/>
          <w:szCs w:val="22"/>
          <w:lang w:eastAsia="es-ES" w:bidi="ar-SA"/>
        </w:rPr>
      </w:pPr>
    </w:p>
    <w:p w:rsidR="00061CF1" w:rsidRDefault="004E6D5A">
      <w:pPr>
        <w:widowControl/>
        <w:suppressAutoHyphens w:val="0"/>
        <w:autoSpaceDE w:val="0"/>
        <w:spacing w:before="8"/>
        <w:ind w:left="7"/>
        <w:jc w:val="both"/>
        <w:textAlignment w:val="auto"/>
        <w:rPr>
          <w:rFonts w:ascii="Arial" w:eastAsia="Times New Roman" w:hAnsi="Arial" w:cs="Arial"/>
          <w:i/>
          <w:color w:val="000000"/>
          <w:kern w:val="0"/>
          <w:sz w:val="22"/>
          <w:szCs w:val="22"/>
          <w:lang w:eastAsia="es-ES" w:bidi="ar-SA"/>
        </w:rPr>
      </w:pPr>
      <w:r>
        <w:rPr>
          <w:rFonts w:ascii="Arial" w:eastAsia="Times New Roman" w:hAnsi="Arial" w:cs="Arial"/>
          <w:i/>
          <w:color w:val="000000"/>
          <w:kern w:val="0"/>
          <w:sz w:val="22"/>
          <w:szCs w:val="22"/>
          <w:lang w:eastAsia="es-ES" w:bidi="ar-SA"/>
        </w:rPr>
        <w:t>-Cuotas de los propietarios 45%</w:t>
      </w:r>
    </w:p>
    <w:p w:rsidR="00061CF1" w:rsidRDefault="00061CF1">
      <w:pPr>
        <w:widowControl/>
        <w:suppressAutoHyphens w:val="0"/>
        <w:autoSpaceDE w:val="0"/>
        <w:textAlignment w:val="auto"/>
        <w:rPr>
          <w:rFonts w:ascii="Arial" w:eastAsia="Times New Roman" w:hAnsi="Arial" w:cs="Arial"/>
          <w:i/>
          <w:color w:val="000000"/>
          <w:kern w:val="0"/>
          <w:sz w:val="22"/>
          <w:szCs w:val="22"/>
          <w:lang w:eastAsia="es-ES" w:bidi="ar-SA"/>
        </w:rPr>
      </w:pPr>
    </w:p>
    <w:p w:rsidR="00061CF1" w:rsidRDefault="004E6D5A">
      <w:pPr>
        <w:spacing w:after="120"/>
        <w:jc w:val="both"/>
        <w:textAlignment w:val="auto"/>
      </w:pPr>
      <w:r>
        <w:rPr>
          <w:rFonts w:ascii="Arial" w:eastAsia="Times New Roman" w:hAnsi="Arial" w:cs="Arial"/>
          <w:i/>
          <w:color w:val="000000"/>
          <w:kern w:val="0"/>
          <w:sz w:val="22"/>
          <w:szCs w:val="22"/>
          <w:lang w:eastAsia="es-ES" w:bidi="ar-SA"/>
        </w:rPr>
        <w:t xml:space="preserve">En ningún caso el porcentaje de </w:t>
      </w:r>
      <w:r>
        <w:rPr>
          <w:rFonts w:ascii="Arial" w:eastAsia="Times New Roman" w:hAnsi="Arial" w:cs="Arial"/>
          <w:i/>
          <w:color w:val="000000"/>
          <w:kern w:val="0"/>
          <w:sz w:val="22"/>
          <w:szCs w:val="22"/>
          <w:lang w:eastAsia="es-ES" w:bidi="ar-SA"/>
        </w:rPr>
        <w:t>participación económica del Cabildo de Tenerife y de los ayuntamientos podrá ser superior al 55% del total de la previsión de ingresos de la entidad, estableciéndose éste como un máximo.</w:t>
      </w:r>
    </w:p>
    <w:p w:rsidR="00061CF1" w:rsidRDefault="00061CF1">
      <w:pPr>
        <w:spacing w:after="120"/>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SEGUNDO: Conforme el artículo 13 de los Estatutos, los Ayuntamientos</w:t>
      </w:r>
      <w:r>
        <w:rPr>
          <w:rFonts w:ascii="Arial" w:eastAsia="Lucida Sans Unicode" w:hAnsi="Arial" w:cs="Arial"/>
          <w:i/>
          <w:sz w:val="22"/>
          <w:szCs w:val="22"/>
          <w:lang w:bidi="ar-SA"/>
        </w:rPr>
        <w:t xml:space="preserve"> deberán abonar las cuotas correspondientes como titular de las parcelas que posea en el Polígono, igual que cualquier otro propietario privado, en función de los metros cuadrados que tiene cada propietario según su referencia catastral a efectos de lo est</w:t>
      </w:r>
      <w:r>
        <w:rPr>
          <w:rFonts w:ascii="Arial" w:eastAsia="Lucida Sans Unicode" w:hAnsi="Arial" w:cs="Arial"/>
          <w:i/>
          <w:sz w:val="22"/>
          <w:szCs w:val="22"/>
          <w:lang w:bidi="ar-SA"/>
        </w:rPr>
        <w:t xml:space="preserve">ablecido en el Catastro, denominándose a la misma como “superficie contable”. </w:t>
      </w:r>
    </w:p>
    <w:p w:rsidR="00061CF1" w:rsidRDefault="00061CF1">
      <w:pPr>
        <w:spacing w:after="120"/>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TERCERO: Vista la Memoria Económica del cálculo de las cuotas de participación para la constitución de la entidad urbanística de conservación del polígono Industrial, de los pr</w:t>
      </w:r>
      <w:r>
        <w:rPr>
          <w:rFonts w:ascii="Arial" w:eastAsia="Lucida Sans Unicode" w:hAnsi="Arial" w:cs="Arial"/>
          <w:i/>
          <w:sz w:val="22"/>
          <w:szCs w:val="22"/>
          <w:lang w:bidi="ar-SA"/>
        </w:rPr>
        <w:t xml:space="preserve">opietarios de las parcelas e inmuebles situados en el ámbito espacial del polígono Industrial, se espera una recaudación de cuotas de 369.105,32 Euros, de los que corresponde al Ayuntamiento de Candelaria, la cantidad de 1.020,68 Euros anuales en concepto </w:t>
      </w:r>
      <w:r>
        <w:rPr>
          <w:rFonts w:ascii="Arial" w:eastAsia="Lucida Sans Unicode" w:hAnsi="Arial" w:cs="Arial"/>
          <w:i/>
          <w:sz w:val="22"/>
          <w:szCs w:val="22"/>
          <w:lang w:bidi="ar-SA"/>
        </w:rPr>
        <w:t xml:space="preserve">de cuotas de participación, en calidad de propietario de un total de 2.686,00 m2 de superficie contable. </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CUARTO: En el ejercicio 2025, únicamente se aportará las siguientes cantidades: </w:t>
      </w: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 xml:space="preserve">-DOSCIENTOS MIL EUROS (200.000,00 €) como subvención nominativa por </w:t>
      </w:r>
      <w:r>
        <w:rPr>
          <w:rFonts w:ascii="Arial" w:eastAsia="Lucida Sans Unicode" w:hAnsi="Arial" w:cs="Arial"/>
          <w:i/>
          <w:sz w:val="22"/>
          <w:szCs w:val="22"/>
          <w:lang w:bidi="ar-SA"/>
        </w:rPr>
        <w:t xml:space="preserve">Resolución del Consejero con competencias en industria con cargo a los presupuestos del Cabildo de Tenerife del 2025. </w:t>
      </w: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-DOSCIENTOS CINCUENTA MIL EUROS (250.000,00 €) aportación por la Asociación Mixta Polígono de Güímar (en disolución), conforme compromiso</w:t>
      </w:r>
      <w:r>
        <w:rPr>
          <w:rFonts w:ascii="Arial" w:eastAsia="Lucida Sans Unicode" w:hAnsi="Arial" w:cs="Arial"/>
          <w:i/>
          <w:sz w:val="22"/>
          <w:szCs w:val="22"/>
          <w:lang w:bidi="ar-SA"/>
        </w:rPr>
        <w:t>s adquiridos. Para los años sucesivos a la constitución de la entidad, las administraciones públicas intervinientes, aportarán ese 55% de financiación establecidos en los presentes estatutos que, por agilidad y celeridad procedimental se hará a través de u</w:t>
      </w:r>
      <w:r>
        <w:rPr>
          <w:rFonts w:ascii="Arial" w:eastAsia="Lucida Sans Unicode" w:hAnsi="Arial" w:cs="Arial"/>
          <w:i/>
          <w:sz w:val="22"/>
          <w:szCs w:val="22"/>
          <w:lang w:bidi="ar-SA"/>
        </w:rPr>
        <w:t>na única administración, que será el Cabildo de Tenerife, dentro de los tres primeros meses de cada año natural, previa memoria económica presentada por la Entidad Urbanística de Conservación, quedando pendiente el reparto exacto entre el cabildo de Teneri</w:t>
      </w:r>
      <w:r>
        <w:rPr>
          <w:rFonts w:ascii="Arial" w:eastAsia="Lucida Sans Unicode" w:hAnsi="Arial" w:cs="Arial"/>
          <w:i/>
          <w:sz w:val="22"/>
          <w:szCs w:val="22"/>
          <w:lang w:bidi="ar-SA"/>
        </w:rPr>
        <w:t>fe y los tres Ayuntamientos.</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QUINTO: El Ayuntamiento de Candelaria, participa como Administración Pública, dentro del 55 % del coste asumido por el Cabildo de Tenerife y los tres Ayuntamientos y como propietario, pagando la cuota anual por las parcelas de</w:t>
      </w:r>
      <w:r>
        <w:rPr>
          <w:rFonts w:ascii="Arial" w:eastAsia="Lucida Sans Unicode" w:hAnsi="Arial" w:cs="Arial"/>
          <w:i/>
          <w:sz w:val="22"/>
          <w:szCs w:val="22"/>
          <w:lang w:bidi="ar-SA"/>
        </w:rPr>
        <w:t xml:space="preserve"> su titularidad, según los metros cuadrados. En consecuencia, en el año 2025, el Ayuntamiento de Candelaria, no realizará aportación económica alguna de financiación de la Entidad Urbanística de Financiación, que será asumida por el Cabildo de Tenerife, si</w:t>
      </w:r>
      <w:r>
        <w:rPr>
          <w:rFonts w:ascii="Arial" w:eastAsia="Lucida Sans Unicode" w:hAnsi="Arial" w:cs="Arial"/>
          <w:i/>
          <w:sz w:val="22"/>
          <w:szCs w:val="22"/>
          <w:lang w:bidi="ar-SA"/>
        </w:rPr>
        <w:t xml:space="preserve">n perjuicio que en los ejercicios siguientes, asuma su parte de financiación, una vez </w:t>
      </w:r>
    </w:p>
    <w:p w:rsidR="00061CF1" w:rsidRDefault="00061CF1">
      <w:pPr>
        <w:spacing w:after="120"/>
        <w:ind w:firstLine="709"/>
        <w:jc w:val="both"/>
        <w:textAlignment w:val="auto"/>
        <w:rPr>
          <w:rFonts w:ascii="Arial" w:eastAsia="Lucida Sans Unicode" w:hAnsi="Arial" w:cs="Arial"/>
          <w:i/>
          <w:sz w:val="22"/>
          <w:szCs w:val="22"/>
          <w:lang w:bidi="ar-SA"/>
        </w:rPr>
      </w:pPr>
    </w:p>
    <w:p w:rsidR="00061CF1" w:rsidRDefault="004E6D5A">
      <w:pPr>
        <w:spacing w:after="120"/>
        <w:ind w:firstLine="709"/>
        <w:jc w:val="both"/>
        <w:textAlignment w:val="auto"/>
        <w:rPr>
          <w:rFonts w:ascii="Arial" w:eastAsia="Lucida Sans Unicode" w:hAnsi="Arial" w:cs="Arial"/>
          <w:i/>
          <w:sz w:val="22"/>
          <w:szCs w:val="22"/>
          <w:lang w:bidi="ar-SA"/>
        </w:rPr>
      </w:pPr>
      <w:r>
        <w:rPr>
          <w:rFonts w:ascii="Arial" w:eastAsia="Lucida Sans Unicode" w:hAnsi="Arial" w:cs="Arial"/>
          <w:i/>
          <w:sz w:val="22"/>
          <w:szCs w:val="22"/>
          <w:lang w:bidi="ar-SA"/>
        </w:rPr>
        <w:t>concretado el reparto exacto de ese 55 % entre las cuatro administraciones públicas.</w:t>
      </w:r>
    </w:p>
    <w:p w:rsidR="00061CF1" w:rsidRDefault="004E6D5A">
      <w:pPr>
        <w:spacing w:after="120"/>
        <w:jc w:val="both"/>
        <w:textAlignment w:val="auto"/>
      </w:pPr>
      <w:r>
        <w:rPr>
          <w:rFonts w:ascii="Arial" w:eastAsia="Lucida Sans Unicode" w:hAnsi="Arial" w:cs="Arial"/>
          <w:i/>
          <w:sz w:val="22"/>
          <w:szCs w:val="22"/>
          <w:lang w:bidi="ar-SA"/>
        </w:rPr>
        <w:t xml:space="preserve"> </w:t>
      </w:r>
      <w:r>
        <w:rPr>
          <w:rFonts w:ascii="Arial" w:eastAsia="Lucida Sans Unicode" w:hAnsi="Arial" w:cs="Arial"/>
          <w:i/>
          <w:sz w:val="22"/>
          <w:szCs w:val="22"/>
          <w:lang w:bidi="ar-SA"/>
        </w:rPr>
        <w:tab/>
        <w:t>En consecuencia, este interventor informa favorablemente el presente expediente.</w:t>
      </w:r>
    </w:p>
    <w:p w:rsidR="00061CF1" w:rsidRDefault="00061CF1">
      <w:pPr>
        <w:spacing w:after="120"/>
        <w:jc w:val="both"/>
        <w:textAlignment w:val="auto"/>
        <w:rPr>
          <w:rFonts w:ascii="Arial" w:eastAsia="Lucida Sans Unicode" w:hAnsi="Arial" w:cs="Arial"/>
          <w:b/>
          <w:color w:val="000000"/>
          <w:sz w:val="22"/>
          <w:szCs w:val="22"/>
          <w:lang w:bidi="ar-SA"/>
        </w:rPr>
      </w:pPr>
    </w:p>
    <w:p w:rsidR="00061CF1" w:rsidRDefault="004E6D5A">
      <w:pPr>
        <w:spacing w:after="120"/>
        <w:jc w:val="both"/>
        <w:textAlignment w:val="auto"/>
        <w:rPr>
          <w:rFonts w:ascii="Arial" w:eastAsia="Lucida Sans Unicode" w:hAnsi="Arial" w:cs="Arial"/>
          <w:b/>
          <w:color w:val="000000"/>
          <w:sz w:val="22"/>
          <w:szCs w:val="22"/>
          <w:lang w:bidi="ar-SA"/>
        </w:rPr>
      </w:pPr>
      <w:r>
        <w:rPr>
          <w:rFonts w:ascii="Arial" w:eastAsia="Lucida Sans Unicode" w:hAnsi="Arial" w:cs="Arial"/>
          <w:b/>
          <w:color w:val="000000"/>
          <w:sz w:val="22"/>
          <w:szCs w:val="22"/>
          <w:lang w:bidi="ar-SA"/>
        </w:rPr>
        <w:t>Consta en el expediente propuesta de la Alcaldesa-Presidenta de fecha 22 de octubre de 2025 al Pleno que en su parte resolutiva dispone:</w:t>
      </w:r>
    </w:p>
    <w:p w:rsidR="00061CF1" w:rsidRDefault="004E6D5A">
      <w:pPr>
        <w:autoSpaceDE w:val="0"/>
        <w:spacing w:before="180" w:after="180" w:line="276" w:lineRule="auto"/>
        <w:jc w:val="both"/>
        <w:textAlignment w:val="auto"/>
        <w:rPr>
          <w:rFonts w:ascii="Arial" w:eastAsia="Lucida Sans Unicode" w:hAnsi="Arial" w:cs="Times New Roman"/>
          <w:i/>
          <w:sz w:val="22"/>
          <w:szCs w:val="22"/>
          <w:lang w:bidi="ar-SA"/>
        </w:rPr>
      </w:pPr>
      <w:r>
        <w:rPr>
          <w:rFonts w:ascii="Arial" w:eastAsia="Lucida Sans Unicode" w:hAnsi="Arial" w:cs="Times New Roman"/>
          <w:i/>
          <w:sz w:val="22"/>
          <w:szCs w:val="22"/>
          <w:lang w:bidi="ar-SA"/>
        </w:rPr>
        <w:t>“(…)</w:t>
      </w:r>
    </w:p>
    <w:p w:rsidR="00061CF1" w:rsidRDefault="004E6D5A">
      <w:pPr>
        <w:autoSpaceDE w:val="0"/>
        <w:spacing w:before="180" w:after="180" w:line="276" w:lineRule="auto"/>
        <w:jc w:val="both"/>
        <w:textAlignment w:val="auto"/>
        <w:rPr>
          <w:rFonts w:ascii="Arial" w:eastAsia="Lucida Sans Unicode" w:hAnsi="Arial" w:cs="Times New Roman"/>
          <w:i/>
          <w:sz w:val="22"/>
          <w:szCs w:val="22"/>
          <w:lang w:bidi="ar-SA"/>
        </w:rPr>
      </w:pPr>
      <w:r>
        <w:rPr>
          <w:rFonts w:ascii="Arial" w:eastAsia="Lucida Sans Unicode" w:hAnsi="Arial" w:cs="Times New Roman"/>
          <w:i/>
          <w:sz w:val="22"/>
          <w:szCs w:val="22"/>
          <w:lang w:bidi="ar-SA"/>
        </w:rPr>
        <w:t>ESTA ALCALDÍA-PRESIDENCIA ELEVA AL PLENO LA SIGUIENTE PROPUESTA:</w:t>
      </w:r>
    </w:p>
    <w:p w:rsidR="00061CF1" w:rsidRDefault="004E6D5A">
      <w:pPr>
        <w:spacing w:after="120" w:line="248" w:lineRule="atLeast"/>
        <w:ind w:left="1134" w:firstLine="1134"/>
        <w:jc w:val="both"/>
        <w:rPr>
          <w:rFonts w:ascii="Arial" w:eastAsia="Times New Roman" w:hAnsi="Arial" w:cs="Arial"/>
          <w:i/>
          <w:lang w:eastAsia="es-ES" w:bidi="ar-SA"/>
        </w:rPr>
      </w:pPr>
      <w:r>
        <w:rPr>
          <w:rFonts w:ascii="Arial" w:eastAsia="Times New Roman" w:hAnsi="Arial" w:cs="Arial"/>
          <w:i/>
          <w:lang w:eastAsia="es-ES" w:bidi="ar-SA"/>
        </w:rPr>
        <w:t>PROPUESTA DE ACUERDO AL PLENO</w:t>
      </w:r>
    </w:p>
    <w:p w:rsidR="00061CF1" w:rsidRDefault="004E6D5A">
      <w:pPr>
        <w:widowControl/>
        <w:suppressAutoHyphens w:val="0"/>
        <w:autoSpaceDE w:val="0"/>
        <w:ind w:firstLine="1134"/>
        <w:jc w:val="both"/>
        <w:textAlignment w:val="auto"/>
        <w:rPr>
          <w:rFonts w:ascii="Arial" w:eastAsia="Times New Roman" w:hAnsi="Arial" w:cs="Arial"/>
          <w:i/>
          <w:lang w:eastAsia="es-ES" w:bidi="ar-SA"/>
        </w:rPr>
      </w:pPr>
      <w:r>
        <w:rPr>
          <w:rFonts w:ascii="Arial" w:eastAsia="Times New Roman" w:hAnsi="Arial" w:cs="Arial"/>
          <w:i/>
          <w:lang w:eastAsia="es-ES" w:bidi="ar-SA"/>
        </w:rPr>
        <w:t xml:space="preserve">Primera.- Aprobar </w:t>
      </w:r>
      <w:r>
        <w:rPr>
          <w:rFonts w:ascii="Arial" w:eastAsia="Times New Roman" w:hAnsi="Arial" w:cs="Arial"/>
          <w:i/>
          <w:lang w:eastAsia="es-ES" w:bidi="ar-SA"/>
        </w:rPr>
        <w:t>inicialmente los estatutos para la constitución de una entidad urbanística de conservación del Polígono Industrial del Valle de Güímar, (E.U.C. Polígono de Güímar) negociados entre el Cabildo Insular de Tenerife y los Ayuntamientos de Arafo, Candelaria y G</w:t>
      </w:r>
      <w:r>
        <w:rPr>
          <w:rFonts w:ascii="Arial" w:eastAsia="Times New Roman" w:hAnsi="Arial" w:cs="Arial"/>
          <w:i/>
          <w:lang w:eastAsia="es-ES" w:bidi="ar-SA"/>
        </w:rPr>
        <w:t>üímar, que constan en el expediente fechados a 15 de septiembre de 2025 y que se incluyen como Anexo a este acuerdo.</w:t>
      </w:r>
    </w:p>
    <w:p w:rsidR="00061CF1" w:rsidRDefault="00061CF1">
      <w:pPr>
        <w:widowControl/>
        <w:suppressAutoHyphens w:val="0"/>
        <w:autoSpaceDE w:val="0"/>
        <w:ind w:firstLine="1134"/>
        <w:jc w:val="both"/>
        <w:textAlignment w:val="auto"/>
        <w:rPr>
          <w:rFonts w:ascii="Arial" w:eastAsia="Times New Roman" w:hAnsi="Arial" w:cs="Arial"/>
          <w:i/>
          <w:lang w:eastAsia="es-ES" w:bidi="ar-SA"/>
        </w:rPr>
      </w:pPr>
    </w:p>
    <w:p w:rsidR="00061CF1" w:rsidRDefault="004E6D5A">
      <w:pPr>
        <w:widowControl/>
        <w:suppressAutoHyphens w:val="0"/>
        <w:autoSpaceDE w:val="0"/>
        <w:ind w:firstLine="1134"/>
        <w:jc w:val="both"/>
        <w:textAlignment w:val="auto"/>
      </w:pPr>
      <w:r>
        <w:rPr>
          <w:rFonts w:ascii="Arial" w:eastAsia="Times New Roman" w:hAnsi="Arial" w:cs="Arial"/>
          <w:i/>
          <w:lang w:eastAsia="es-ES" w:bidi="ar-SA"/>
        </w:rPr>
        <w:t xml:space="preserve">Segundo.- Someter el expediente a información pública </w:t>
      </w:r>
      <w:r>
        <w:rPr>
          <w:rFonts w:ascii="Arial" w:eastAsia="Lucida Sans Unicode" w:hAnsi="Arial" w:cs="Arial"/>
          <w:i/>
          <w:lang w:bidi="ar-SA"/>
        </w:rPr>
        <w:t>y audiencia a los interesados por el plazo de treinta días hábiles para la presentac</w:t>
      </w:r>
      <w:r>
        <w:rPr>
          <w:rFonts w:ascii="Arial" w:eastAsia="Lucida Sans Unicode" w:hAnsi="Arial" w:cs="Arial"/>
          <w:i/>
          <w:lang w:bidi="ar-SA"/>
        </w:rPr>
        <w:t>ión de reclamaciones y sugerencias mediante la inserción del correspondiente anuncio en el Boletín Oficial de la Provincia.</w:t>
      </w:r>
    </w:p>
    <w:p w:rsidR="00061CF1" w:rsidRDefault="00061CF1">
      <w:pPr>
        <w:widowControl/>
        <w:suppressAutoHyphens w:val="0"/>
        <w:autoSpaceDE w:val="0"/>
        <w:ind w:firstLine="1134"/>
        <w:jc w:val="both"/>
        <w:textAlignment w:val="auto"/>
        <w:rPr>
          <w:rFonts w:ascii="Arial" w:eastAsia="Lucida Sans Unicode" w:hAnsi="Arial" w:cs="Arial"/>
          <w:i/>
          <w:lang w:bidi="ar-SA"/>
        </w:rPr>
      </w:pPr>
    </w:p>
    <w:p w:rsidR="00061CF1" w:rsidRDefault="004E6D5A">
      <w:pPr>
        <w:widowControl/>
        <w:suppressAutoHyphens w:val="0"/>
        <w:autoSpaceDE w:val="0"/>
        <w:ind w:firstLine="1134"/>
        <w:jc w:val="both"/>
        <w:textAlignment w:val="auto"/>
        <w:rPr>
          <w:rFonts w:ascii="Arial" w:eastAsia="Lucida Sans Unicode" w:hAnsi="Arial" w:cs="Arial"/>
          <w:i/>
          <w:lang w:bidi="ar-SA"/>
        </w:rPr>
      </w:pPr>
      <w:r>
        <w:rPr>
          <w:rFonts w:ascii="Arial" w:eastAsia="Lucida Sans Unicode" w:hAnsi="Arial" w:cs="Arial"/>
          <w:i/>
          <w:lang w:bidi="ar-SA"/>
        </w:rPr>
        <w:t>En el caso de que no se hubiera presentado ninguna reclamación o sugerencia, se entenderá definitivamente adoptado el acuerdo hasta</w:t>
      </w:r>
      <w:r>
        <w:rPr>
          <w:rFonts w:ascii="Arial" w:eastAsia="Lucida Sans Unicode" w:hAnsi="Arial" w:cs="Arial"/>
          <w:i/>
          <w:lang w:bidi="ar-SA"/>
        </w:rPr>
        <w:t xml:space="preserve"> entonces provisional.</w:t>
      </w:r>
    </w:p>
    <w:p w:rsidR="00061CF1" w:rsidRDefault="004E6D5A">
      <w:pPr>
        <w:widowControl/>
        <w:suppressAutoHyphens w:val="0"/>
        <w:autoSpaceDE w:val="0"/>
        <w:ind w:firstLine="1134"/>
        <w:jc w:val="both"/>
        <w:textAlignment w:val="auto"/>
        <w:rPr>
          <w:rFonts w:ascii="Arial" w:eastAsia="Lucida Sans Unicode" w:hAnsi="Arial" w:cs="Arial"/>
          <w:i/>
          <w:lang w:bidi="ar-SA"/>
        </w:rPr>
      </w:pPr>
      <w:r>
        <w:rPr>
          <w:rFonts w:ascii="Arial" w:eastAsia="Lucida Sans Unicode" w:hAnsi="Arial" w:cs="Arial"/>
          <w:i/>
          <w:lang w:bidi="ar-SA"/>
        </w:rPr>
        <w:t xml:space="preserve">En caso contrario, el Pleno de forma definitiva tendrá que resolver de forma motivada las alegaciones que se hayan presentado y aprobar de forma definitiva un texto, para lo cual será imprescindible que se coordinen tanto el Cabildo </w:t>
      </w:r>
      <w:r>
        <w:rPr>
          <w:rFonts w:ascii="Arial" w:eastAsia="Lucida Sans Unicode" w:hAnsi="Arial" w:cs="Arial"/>
          <w:i/>
          <w:lang w:bidi="ar-SA"/>
        </w:rPr>
        <w:t>Insular junto a los Ayuntamiento de Arafo, Candelaria y Güímar para aprobar el mismo texto con carácter definitivo por sus correspondientes plenos.(..)</w:t>
      </w:r>
    </w:p>
    <w:p w:rsidR="00061CF1" w:rsidRDefault="00061CF1">
      <w:pPr>
        <w:spacing w:after="120"/>
        <w:jc w:val="both"/>
        <w:textAlignment w:val="auto"/>
        <w:rPr>
          <w:rFonts w:ascii="Arial" w:eastAsia="Lucida Sans Unicode" w:hAnsi="Arial" w:cs="Arial"/>
          <w:i/>
          <w:color w:val="000000"/>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FAVORABLE DE LA COMISIÓN INFORMATIVA DE URBANISMO APLAZADA AL 28 DE OCTUBRE DE 2025 POR EL </w:t>
      </w:r>
      <w:r>
        <w:rPr>
          <w:rFonts w:ascii="Arial" w:eastAsia="Lucida Sans Unicode" w:hAnsi="Arial" w:cs="Arial"/>
          <w:b/>
          <w:sz w:val="22"/>
          <w:szCs w:val="22"/>
          <w:lang w:bidi="ar-SA"/>
        </w:rPr>
        <w:t>FALLO INFORMÁTICO EL LUNES 27 DE OCTUBRE, DEL SISTEMA “CLAVE” DE ACCESO A LA SEDE ELECTRÓNICA Y DE ESTA FORMA QUEDÓ SUBSANADA LA COMISIÓN CON SU CELEBRACIÓN EL 28 DE OCTUBRE.</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4.</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w:t>
      </w:r>
      <w:r>
        <w:rPr>
          <w:rFonts w:ascii="Arial" w:eastAsia="Lucida Sans Unicode" w:hAnsi="Arial" w:cs="Arial"/>
          <w:sz w:val="22"/>
          <w:szCs w:val="22"/>
          <w:lang w:bidi="ar-SA"/>
        </w:rPr>
        <w:t xml:space="preserve"> Don José 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 de la concejal del Grupo Mixto, Doña Violeta López Jiménez.</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JUNTA DE PORTAVOCES PREVISTA PARA EL DÍA 27 DE OCTUBRE Y QUE</w:t>
      </w:r>
      <w:r>
        <w:rPr>
          <w:rFonts w:ascii="Arial" w:eastAsia="Lucida Sans Unicode" w:hAnsi="Arial" w:cs="Arial"/>
          <w:b/>
          <w:sz w:val="22"/>
          <w:szCs w:val="22"/>
          <w:lang w:bidi="ar-SA"/>
        </w:rPr>
        <w:t xml:space="preserve"> FUE APLAZADA AL 28 DE OCTUBRE DE 2025 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17.</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11 concejales del Grupo Socialista: Doña María Concepción Brito Núñez, Don Jorge Baute Delgado, </w:t>
      </w:r>
      <w:r>
        <w:rPr>
          <w:rFonts w:ascii="Arial" w:eastAsia="Lucida Sans Unicode" w:hAnsi="Arial" w:cs="Arial"/>
          <w:sz w:val="22"/>
          <w:szCs w:val="22"/>
          <w:lang w:bidi="ar-SA"/>
        </w:rPr>
        <w:t>Don José Francisco Pinto Ramos, Doña Olivia Concepción Pérez Díaz, Don Reinaldo José Triviño Blanco, Don Manuel Alberto González Pestano, Doña Margarita Eva Tendero Barroso, Don Airam Pérez Chinea, Doña María del Carmen Clemente Díaz, Don Olegario Francisc</w:t>
      </w:r>
      <w:r>
        <w:rPr>
          <w:rFonts w:ascii="Arial" w:eastAsia="Lucida Sans Unicode" w:hAnsi="Arial" w:cs="Arial"/>
          <w:sz w:val="22"/>
          <w:szCs w:val="22"/>
          <w:lang w:bidi="ar-SA"/>
        </w:rPr>
        <w:t xml:space="preserve">o Alonso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5 concejales del Grupo Popular: Don Jacobo López Fariña,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 del conceja</w:t>
      </w:r>
      <w:r>
        <w:rPr>
          <w:rFonts w:ascii="Arial" w:eastAsia="Lucida Sans Unicode" w:hAnsi="Arial" w:cs="Arial"/>
          <w:sz w:val="22"/>
          <w:szCs w:val="22"/>
          <w:lang w:bidi="ar-SA"/>
        </w:rPr>
        <w:t xml:space="preserve">l Don José Tortosa Pallarés (VOX)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Doña Violeta López Jiménez (USP).</w:t>
      </w:r>
    </w:p>
    <w:p w:rsidR="00061CF1" w:rsidRDefault="004E6D5A">
      <w:pPr>
        <w:tabs>
          <w:tab w:val="left" w:pos="1289"/>
        </w:tabs>
        <w:spacing w:after="120"/>
        <w:textAlignment w:val="auto"/>
        <w:rPr>
          <w:rFonts w:ascii="Arial" w:eastAsia="Lucida Sans Unicode" w:hAnsi="Arial" w:cs="Arial"/>
          <w:sz w:val="22"/>
          <w:szCs w:val="22"/>
          <w:lang w:bidi="ar-SA"/>
        </w:rPr>
      </w:pP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4E6D5A">
      <w:pPr>
        <w:tabs>
          <w:tab w:val="left" w:pos="1289"/>
        </w:tabs>
        <w:spacing w:after="120"/>
        <w:textAlignment w:val="auto"/>
        <w:rPr>
          <w:rFonts w:ascii="Arial" w:eastAsia="Lucida Sans Unicode" w:hAnsi="Arial" w:cs="Arial"/>
          <w:sz w:val="22"/>
          <w:szCs w:val="22"/>
          <w:lang w:bidi="ar-SA"/>
        </w:rPr>
      </w:pP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061CF1">
      <w:pPr>
        <w:tabs>
          <w:tab w:val="left" w:pos="1289"/>
        </w:tabs>
        <w:spacing w:after="120"/>
        <w:textAlignment w:val="auto"/>
        <w:rPr>
          <w:rFonts w:ascii="Arial" w:eastAsia="Lucida Sans Unicode" w:hAnsi="Arial" w:cs="Arial"/>
          <w:sz w:val="22"/>
          <w:szCs w:val="22"/>
          <w:lang w:bidi="ar-SA"/>
        </w:rPr>
      </w:pPr>
    </w:p>
    <w:p w:rsidR="00061CF1" w:rsidRDefault="004E6D5A">
      <w:pPr>
        <w:tabs>
          <w:tab w:val="left" w:pos="1289"/>
        </w:tabs>
        <w:spacing w:after="120"/>
        <w:textAlignment w:val="auto"/>
      </w:pP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b/>
          <w:sz w:val="22"/>
          <w:szCs w:val="22"/>
          <w:lang w:bidi="ar-SA"/>
        </w:rPr>
        <w:t>ACUERDO DEL PLENO</w:t>
      </w:r>
    </w:p>
    <w:p w:rsidR="00061CF1" w:rsidRDefault="004E6D5A">
      <w:pPr>
        <w:widowControl/>
        <w:suppressAutoHyphens w:val="0"/>
        <w:autoSpaceDE w:val="0"/>
        <w:ind w:firstLine="709"/>
        <w:jc w:val="both"/>
        <w:textAlignment w:val="auto"/>
        <w:rPr>
          <w:rFonts w:ascii="Arial" w:eastAsia="Times New Roman" w:hAnsi="Arial" w:cs="Arial"/>
          <w:b/>
          <w:sz w:val="22"/>
          <w:szCs w:val="22"/>
          <w:lang w:eastAsia="es-ES" w:bidi="ar-SA"/>
        </w:rPr>
      </w:pPr>
      <w:r>
        <w:rPr>
          <w:rFonts w:ascii="Arial" w:eastAsia="Times New Roman" w:hAnsi="Arial" w:cs="Arial"/>
          <w:b/>
          <w:sz w:val="22"/>
          <w:szCs w:val="22"/>
          <w:lang w:eastAsia="es-ES" w:bidi="ar-SA"/>
        </w:rPr>
        <w:t>Primera.- Aprobar inicialmente los estatutos para la constitución de una entidad urbanística de conservación</w:t>
      </w:r>
      <w:r>
        <w:rPr>
          <w:rFonts w:ascii="Arial" w:eastAsia="Times New Roman" w:hAnsi="Arial" w:cs="Arial"/>
          <w:b/>
          <w:sz w:val="22"/>
          <w:szCs w:val="22"/>
          <w:lang w:eastAsia="es-ES" w:bidi="ar-SA"/>
        </w:rPr>
        <w:t xml:space="preserve"> del Polígono Industrial del Valle de Güímar, (E.U.C. Polígono de Güímar) negociados entre el Cabildo Insular de Tenerife y los Ayuntamientos de Arafo, Candelaria y Güímar, que constan en el expediente fechados a 15 de septiembre de 2025 y que se incluyen </w:t>
      </w:r>
      <w:r>
        <w:rPr>
          <w:rFonts w:ascii="Arial" w:eastAsia="Times New Roman" w:hAnsi="Arial" w:cs="Arial"/>
          <w:b/>
          <w:sz w:val="22"/>
          <w:szCs w:val="22"/>
          <w:lang w:eastAsia="es-ES" w:bidi="ar-SA"/>
        </w:rPr>
        <w:t>como Anexo a este acuerdo.</w:t>
      </w:r>
    </w:p>
    <w:p w:rsidR="00061CF1" w:rsidRDefault="00061CF1">
      <w:pPr>
        <w:widowControl/>
        <w:suppressAutoHyphens w:val="0"/>
        <w:autoSpaceDE w:val="0"/>
        <w:ind w:firstLine="1134"/>
        <w:jc w:val="both"/>
        <w:textAlignment w:val="auto"/>
        <w:rPr>
          <w:rFonts w:ascii="Arial" w:eastAsia="Times New Roman" w:hAnsi="Arial" w:cs="Arial"/>
          <w:b/>
          <w:sz w:val="22"/>
          <w:szCs w:val="22"/>
          <w:lang w:eastAsia="es-ES" w:bidi="ar-SA"/>
        </w:rPr>
      </w:pPr>
    </w:p>
    <w:p w:rsidR="00061CF1" w:rsidRDefault="004E6D5A">
      <w:pPr>
        <w:widowControl/>
        <w:suppressAutoHyphens w:val="0"/>
        <w:autoSpaceDE w:val="0"/>
        <w:ind w:firstLine="1134"/>
        <w:jc w:val="both"/>
        <w:textAlignment w:val="auto"/>
      </w:pPr>
      <w:r>
        <w:rPr>
          <w:rFonts w:ascii="Arial" w:eastAsia="Times New Roman" w:hAnsi="Arial" w:cs="Arial"/>
          <w:b/>
          <w:sz w:val="22"/>
          <w:szCs w:val="22"/>
          <w:lang w:eastAsia="es-ES" w:bidi="ar-SA"/>
        </w:rPr>
        <w:t xml:space="preserve">Segundo.- Someter el expediente a información pública </w:t>
      </w:r>
      <w:r>
        <w:rPr>
          <w:rFonts w:ascii="Arial" w:eastAsia="Lucida Sans Unicode" w:hAnsi="Arial" w:cs="Arial"/>
          <w:b/>
          <w:sz w:val="22"/>
          <w:szCs w:val="22"/>
          <w:lang w:bidi="ar-SA"/>
        </w:rPr>
        <w:t>y audiencia a los interesados por el plazo de treinta días hábiles para la presentación de reclamaciones y sugerencias mediante la inserción del correspondiente anuncio en el</w:t>
      </w:r>
      <w:r>
        <w:rPr>
          <w:rFonts w:ascii="Arial" w:eastAsia="Lucida Sans Unicode" w:hAnsi="Arial" w:cs="Arial"/>
          <w:b/>
          <w:sz w:val="22"/>
          <w:szCs w:val="22"/>
          <w:lang w:bidi="ar-SA"/>
        </w:rPr>
        <w:t xml:space="preserve"> Boletín Oficial de la Provincia.</w:t>
      </w:r>
    </w:p>
    <w:p w:rsidR="00061CF1" w:rsidRDefault="00061CF1">
      <w:pPr>
        <w:widowControl/>
        <w:suppressAutoHyphens w:val="0"/>
        <w:autoSpaceDE w:val="0"/>
        <w:ind w:firstLine="1134"/>
        <w:jc w:val="both"/>
        <w:textAlignment w:val="auto"/>
        <w:rPr>
          <w:rFonts w:ascii="Arial" w:eastAsia="Lucida Sans Unicode" w:hAnsi="Arial" w:cs="Arial"/>
          <w:b/>
          <w:sz w:val="22"/>
          <w:szCs w:val="22"/>
          <w:lang w:bidi="ar-SA"/>
        </w:rPr>
      </w:pPr>
    </w:p>
    <w:p w:rsidR="00061CF1" w:rsidRDefault="004E6D5A">
      <w:pPr>
        <w:widowControl/>
        <w:suppressAutoHyphens w:val="0"/>
        <w:autoSpaceDE w:val="0"/>
        <w:ind w:firstLine="1134"/>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En el caso de que no se hubiera presentado ninguna reclamación o sugerencia, se entenderá definitivamente adoptado el acuerdo hasta entonces provisional.</w:t>
      </w:r>
    </w:p>
    <w:p w:rsidR="00061CF1" w:rsidRDefault="00061CF1">
      <w:pPr>
        <w:widowControl/>
        <w:suppressAutoHyphens w:val="0"/>
        <w:autoSpaceDE w:val="0"/>
        <w:ind w:firstLine="1134"/>
        <w:jc w:val="both"/>
        <w:textAlignment w:val="auto"/>
        <w:rPr>
          <w:rFonts w:ascii="Arial" w:eastAsia="Lucida Sans Unicode" w:hAnsi="Arial" w:cs="Arial"/>
          <w:b/>
          <w:sz w:val="22"/>
          <w:szCs w:val="22"/>
          <w:lang w:bidi="ar-SA"/>
        </w:rPr>
      </w:pPr>
    </w:p>
    <w:p w:rsidR="00061CF1" w:rsidRDefault="004E6D5A">
      <w:pPr>
        <w:widowControl/>
        <w:suppressAutoHyphens w:val="0"/>
        <w:autoSpaceDE w:val="0"/>
        <w:ind w:firstLine="1134"/>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En caso contrario, el Pleno de forma definitiva tendrá que resolve</w:t>
      </w:r>
      <w:r>
        <w:rPr>
          <w:rFonts w:ascii="Arial" w:eastAsia="Lucida Sans Unicode" w:hAnsi="Arial" w:cs="Arial"/>
          <w:b/>
          <w:sz w:val="22"/>
          <w:szCs w:val="22"/>
          <w:lang w:bidi="ar-SA"/>
        </w:rPr>
        <w:t>r de forma motivada las alegaciones que se hayan presentado y aprobar de forma definitiva un texto, para lo cual será imprescindible que se coordinen tanto el Cabildo Insular junto a los Ayuntamiento de Arafo, Candelaria y Güímar para aprobar el mismo text</w:t>
      </w:r>
      <w:r>
        <w:rPr>
          <w:rFonts w:ascii="Arial" w:eastAsia="Lucida Sans Unicode" w:hAnsi="Arial" w:cs="Arial"/>
          <w:b/>
          <w:sz w:val="22"/>
          <w:szCs w:val="22"/>
          <w:lang w:bidi="ar-SA"/>
        </w:rPr>
        <w:t>o con carácter definitivo por sus correspondientes plenos.(..)</w:t>
      </w:r>
    </w:p>
    <w:p w:rsidR="00061CF1" w:rsidRDefault="00061CF1">
      <w:pPr>
        <w:spacing w:after="120"/>
        <w:jc w:val="both"/>
        <w:textAlignment w:val="auto"/>
        <w:rPr>
          <w:rFonts w:ascii="Arial" w:eastAsia="Lucida Sans Unicode" w:hAnsi="Arial" w:cs="Arial"/>
          <w:b/>
          <w:color w:val="000000"/>
          <w:sz w:val="22"/>
          <w:szCs w:val="22"/>
          <w:lang w:bidi="ar-SA"/>
        </w:rPr>
      </w:pPr>
    </w:p>
    <w:p w:rsidR="00061CF1" w:rsidRDefault="00061CF1">
      <w:pPr>
        <w:spacing w:after="120"/>
        <w:jc w:val="both"/>
        <w:textAlignment w:val="auto"/>
        <w:rPr>
          <w:rFonts w:ascii="Arial" w:eastAsia="Lucida Sans Unicode" w:hAnsi="Arial" w:cs="Arial"/>
          <w:b/>
          <w:i/>
          <w:color w:val="000000"/>
          <w:sz w:val="22"/>
          <w:szCs w:val="22"/>
          <w:lang w:bidi="ar-SA"/>
        </w:rPr>
      </w:pPr>
    </w:p>
    <w:p w:rsidR="00061CF1" w:rsidRDefault="004E6D5A">
      <w:pPr>
        <w:widowControl/>
        <w:shd w:val="clear" w:color="auto" w:fill="FFFFFF"/>
        <w:suppressAutoHyphens w:val="0"/>
        <w:spacing w:before="120" w:after="120" w:line="276" w:lineRule="auto"/>
        <w:jc w:val="both"/>
        <w:textAlignment w:val="auto"/>
      </w:pPr>
      <w:r>
        <w:rPr>
          <w:rFonts w:ascii="Arial" w:eastAsia="Cambria" w:hAnsi="Arial" w:cs="Arial"/>
          <w:b/>
          <w:bCs/>
          <w:kern w:val="0"/>
          <w:sz w:val="22"/>
          <w:szCs w:val="22"/>
          <w:lang w:val="es-ES_tradnl" w:eastAsia="en-US" w:bidi="ar-SA"/>
        </w:rPr>
        <w:t xml:space="preserve">“ESTATUTOS DE LA ENTIDAD URBANÍSTICA DE CONSERVACIÓN DEL POLÍGONO INDUSTRIAL VALLE DE GÜÏMAR (E.U.C. POLÍGONO VALLE </w:t>
      </w:r>
      <w:r>
        <w:rPr>
          <w:rFonts w:ascii="Arial" w:eastAsia="Cambria" w:hAnsi="Arial" w:cs="Arial"/>
          <w:b/>
          <w:bCs/>
          <w:caps/>
          <w:kern w:val="0"/>
          <w:sz w:val="22"/>
          <w:szCs w:val="22"/>
          <w:lang w:val="es-ES_tradnl" w:eastAsia="en-US" w:bidi="ar-SA"/>
        </w:rPr>
        <w:t>Güímar)</w:t>
      </w:r>
      <w:r>
        <w:rPr>
          <w:rFonts w:ascii="Arial" w:eastAsia="Cambria" w:hAnsi="Arial" w:cs="Arial"/>
          <w:b/>
          <w:bCs/>
          <w:kern w:val="0"/>
          <w:sz w:val="22"/>
          <w:szCs w:val="22"/>
          <w:lang w:val="es-ES_tradnl" w:eastAsia="en-US" w:bidi="ar-SA"/>
        </w:rPr>
        <w:t>”</w:t>
      </w:r>
    </w:p>
    <w:p w:rsidR="00061CF1" w:rsidRDefault="004E6D5A">
      <w:pPr>
        <w:widowControl/>
        <w:shd w:val="clear" w:color="auto" w:fill="FFFFFF"/>
        <w:suppressAutoHyphens w:val="0"/>
        <w:spacing w:before="120" w:after="120" w:line="276" w:lineRule="auto"/>
        <w:jc w:val="both"/>
        <w:textAlignment w:val="auto"/>
      </w:pPr>
      <w:r>
        <w:rPr>
          <w:rFonts w:ascii="Arial" w:eastAsia="Cambria" w:hAnsi="Arial" w:cs="Arial"/>
          <w:b/>
          <w:bCs/>
          <w:noProof/>
          <w:kern w:val="0"/>
          <w:sz w:val="22"/>
          <w:szCs w:val="22"/>
          <w:lang w:eastAsia="es-ES" w:bidi="ar-SA"/>
        </w:rPr>
        <w:drawing>
          <wp:inline distT="0" distB="0" distL="0" distR="0">
            <wp:extent cx="6119493" cy="15243"/>
            <wp:effectExtent l="0" t="0" r="0" b="3807"/>
            <wp:docPr id="23" name="Horizontal Line 8" descr="Línea predetermina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119493" cy="15243"/>
                    </a:xfrm>
                    <a:prstGeom prst="rect">
                      <a:avLst/>
                    </a:prstGeom>
                    <a:noFill/>
                    <a:ln>
                      <a:noFill/>
                      <a:prstDash/>
                    </a:ln>
                  </pic:spPr>
                </pic:pic>
              </a:graphicData>
            </a:graphic>
          </wp:inline>
        </w:drawing>
      </w:r>
    </w:p>
    <w:p w:rsidR="00061CF1" w:rsidRDefault="004E6D5A">
      <w:pPr>
        <w:autoSpaceDE w:val="0"/>
        <w:spacing w:before="120" w:after="120" w:line="276" w:lineRule="auto"/>
        <w:jc w:val="both"/>
        <w:textAlignment w:val="auto"/>
        <w:rPr>
          <w:rFonts w:ascii="Arial" w:eastAsia="Times New Roman" w:hAnsi="Arial" w:cs="Arial"/>
          <w:b/>
          <w:sz w:val="22"/>
          <w:szCs w:val="22"/>
          <w:shd w:val="clear" w:color="auto" w:fill="FFFFFF"/>
          <w:lang w:val="es" w:eastAsia="es-ES" w:bidi="ar-SA"/>
        </w:rPr>
      </w:pPr>
      <w:r>
        <w:rPr>
          <w:rFonts w:ascii="Arial" w:eastAsia="Times New Roman" w:hAnsi="Arial" w:cs="Arial"/>
          <w:b/>
          <w:sz w:val="22"/>
          <w:szCs w:val="22"/>
          <w:shd w:val="clear" w:color="auto" w:fill="FFFFFF"/>
          <w:lang w:val="es" w:eastAsia="es-ES" w:bidi="ar-SA"/>
        </w:rPr>
        <w:t>CAPÍTULO I</w:t>
      </w:r>
    </w:p>
    <w:p w:rsidR="00061CF1" w:rsidRDefault="004E6D5A">
      <w:pPr>
        <w:autoSpaceDE w:val="0"/>
        <w:spacing w:before="120" w:after="120" w:line="276" w:lineRule="auto"/>
        <w:jc w:val="both"/>
        <w:textAlignment w:val="auto"/>
        <w:rPr>
          <w:rFonts w:ascii="Arial" w:eastAsia="Times New Roman" w:hAnsi="Arial" w:cs="Arial"/>
          <w:b/>
          <w:sz w:val="22"/>
          <w:szCs w:val="22"/>
          <w:shd w:val="clear" w:color="auto" w:fill="FFFFFF"/>
          <w:lang w:val="es" w:eastAsia="es-ES" w:bidi="ar-SA"/>
        </w:rPr>
      </w:pPr>
      <w:r>
        <w:rPr>
          <w:rFonts w:ascii="Arial" w:eastAsia="Times New Roman" w:hAnsi="Arial" w:cs="Arial"/>
          <w:b/>
          <w:sz w:val="22"/>
          <w:szCs w:val="22"/>
          <w:shd w:val="clear" w:color="auto" w:fill="FFFFFF"/>
          <w:lang w:val="es" w:eastAsia="es-ES" w:bidi="ar-SA"/>
        </w:rPr>
        <w:t xml:space="preserve">Disposiciones generales </w:t>
      </w:r>
    </w:p>
    <w:p w:rsidR="00061CF1" w:rsidRDefault="004E6D5A">
      <w:pPr>
        <w:autoSpaceDE w:val="0"/>
        <w:spacing w:before="240" w:after="24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1º.- Constitución y</w:t>
      </w:r>
      <w:r>
        <w:rPr>
          <w:rFonts w:ascii="Arial" w:eastAsia="Times New Roman" w:hAnsi="Arial" w:cs="Arial"/>
          <w:b/>
          <w:sz w:val="22"/>
          <w:szCs w:val="22"/>
          <w:lang w:val="es" w:eastAsia="es-ES" w:bidi="ar-SA"/>
        </w:rPr>
        <w:t xml:space="preserve"> denominación:</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virtud de las gestiones previas realizadas por el Cabildo de Tenerife con los Ayuntamientos de Arafo, Candelaria y Güímar, así como con los propietarios de la zona industrial, con la finalidad de que se asuma la conservación y mantenimien</w:t>
      </w:r>
      <w:r>
        <w:rPr>
          <w:rFonts w:ascii="Arial" w:eastAsia="Times New Roman" w:hAnsi="Arial" w:cs="Arial"/>
          <w:sz w:val="22"/>
          <w:szCs w:val="22"/>
          <w:lang w:val="es" w:eastAsia="es-ES" w:bidi="ar-SA"/>
        </w:rPr>
        <w:t>to de la zona industrial “Polígono Industrial Valle de Güímar”, mediante los presentes Estatutos se constituye una Entidad Urbanística de Conservación bajo la denominación de “ENTIDAD URBANÍSTICA DE CONSERVACIÓN DEL POLÍGONO INDUSTRIAL VALLE DE GÜÏMAR (E.U</w:t>
      </w:r>
      <w:r>
        <w:rPr>
          <w:rFonts w:ascii="Arial" w:eastAsia="Times New Roman" w:hAnsi="Arial" w:cs="Arial"/>
          <w:sz w:val="22"/>
          <w:szCs w:val="22"/>
          <w:lang w:val="es" w:eastAsia="es-ES" w:bidi="ar-SA"/>
        </w:rPr>
        <w:t>.C. POLÍGONO VALLE GÜÍMAR)”, que habrá de regirse por los mismos y por las disposiciones legales que sean de aplicación en cada momento.</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La pertenencia a la E.U.C es obligatoria para todas aquellos que sean propietarios de terreno/parcelas/solares dentro </w:t>
      </w:r>
      <w:r>
        <w:rPr>
          <w:rFonts w:ascii="Arial" w:eastAsia="Times New Roman" w:hAnsi="Arial" w:cs="Arial"/>
          <w:sz w:val="22"/>
          <w:szCs w:val="22"/>
          <w:lang w:val="es" w:eastAsia="es-ES" w:bidi="ar-SA"/>
        </w:rPr>
        <w:t>de la zona industrial “Polígono Industrial Valle de Güímar”, la cual se delimita en el plano que se adjunta como ANEXO I, y respecto al listado de las parcelas identificadas a la fecha de elaboración de los presentes estatutos como ANEXO II. Teniendo en cu</w:t>
      </w:r>
      <w:r>
        <w:rPr>
          <w:rFonts w:ascii="Arial" w:eastAsia="Times New Roman" w:hAnsi="Arial" w:cs="Arial"/>
          <w:sz w:val="22"/>
          <w:szCs w:val="22"/>
          <w:lang w:val="es" w:eastAsia="es-ES" w:bidi="ar-SA"/>
        </w:rPr>
        <w:t>enta la obligatoriedad de la adscripción a la presente entidad, de todos los propietarios actuales, así como para quienes los adquieran por cualquier título en el futuro, comprometiéndose los propietarios, en caso de transmisión onerosa, a hacer constar es</w:t>
      </w:r>
      <w:r>
        <w:rPr>
          <w:rFonts w:ascii="Arial" w:eastAsia="Times New Roman" w:hAnsi="Arial" w:cs="Arial"/>
          <w:sz w:val="22"/>
          <w:szCs w:val="22"/>
          <w:lang w:val="es" w:eastAsia="es-ES" w:bidi="ar-SA"/>
        </w:rPr>
        <w:t xml:space="preserve">ta circunstancia en los documentos en que se formalice la misma. Asimismo, será obligatorio para nuevos propietarios y segregación de parcelas, siempre y cuando se encuentren dentro del ámbito geográfico referenciado en el plano indicado. </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Asimismo, en el </w:t>
      </w:r>
      <w:r>
        <w:rPr>
          <w:rFonts w:ascii="Arial" w:eastAsia="Times New Roman" w:hAnsi="Arial" w:cs="Arial"/>
          <w:sz w:val="22"/>
          <w:szCs w:val="22"/>
          <w:lang w:val="es" w:eastAsia="es-ES" w:bidi="ar-SA"/>
        </w:rPr>
        <w:t xml:space="preserve">año 2001 se modificó el Plan Parcial del Polígono de Valle de Güímar, y en su artículo 11.2 se estableció que el sistema de conservación de las obras de urbanización le correspondería a los propietarios a través de una Entidad Urbanística de Conservación. </w:t>
      </w:r>
      <w:r>
        <w:rPr>
          <w:rFonts w:ascii="Arial" w:eastAsia="Times New Roman" w:hAnsi="Arial" w:cs="Arial"/>
          <w:sz w:val="22"/>
          <w:szCs w:val="22"/>
          <w:lang w:val="es" w:eastAsia="es-ES" w:bidi="ar-SA"/>
        </w:rPr>
        <w:t>En este sentido, el Plan General de Arafo: Adaptación Básica 2005, aprobado por acuerdo de la COTMAC el 26 de enero de 2005 (BOC de 18 de abril de 2005), recoge en su artículo 1.1.2.2, c), d), e) y f) del documento de Normas y Anexos que se mantiene la vig</w:t>
      </w:r>
      <w:r>
        <w:rPr>
          <w:rFonts w:ascii="Arial" w:eastAsia="Times New Roman" w:hAnsi="Arial" w:cs="Arial"/>
          <w:sz w:val="22"/>
          <w:szCs w:val="22"/>
          <w:lang w:val="es" w:eastAsia="es-ES" w:bidi="ar-SA"/>
        </w:rPr>
        <w:t>encia con carácter transitorio de las determinaciones de gestión y desarrollo del mismo, así como de las obligaciones y derechos en cuanto a su ejecución. Igualmente, el Plan General de Ordenación de Güímar, publicado en el BOC n.º 130, martes 5 de julio d</w:t>
      </w:r>
      <w:r>
        <w:rPr>
          <w:rFonts w:ascii="Arial" w:eastAsia="Times New Roman" w:hAnsi="Arial" w:cs="Arial"/>
          <w:sz w:val="22"/>
          <w:szCs w:val="22"/>
          <w:lang w:val="es" w:eastAsia="es-ES" w:bidi="ar-SA"/>
        </w:rPr>
        <w:t>e 2005, en el documento Normas Urbanísticas, establece en su artículo 2.2 y 3 que se mantiene la vigencia con carácter transitorio de las determinaciones de gestión y desarrollo del mismo, así como de las obligaciones y derechos en cuanto a su ejecución. E</w:t>
      </w:r>
      <w:r>
        <w:rPr>
          <w:rFonts w:ascii="Arial" w:eastAsia="Times New Roman" w:hAnsi="Arial" w:cs="Arial"/>
          <w:sz w:val="22"/>
          <w:szCs w:val="22"/>
          <w:lang w:val="es" w:eastAsia="es-ES" w:bidi="ar-SA"/>
        </w:rPr>
        <w:t>l Plan General de Ordenación de Candelaria establece en sus Normas, concretamente en el artículo 1.0.7, artículo 8.6 y artículo 1 del Anexo 1 sobre las Condiciones Particulares de la Edificación Industrial en el Polígono del Valle de Güímar que se mantendr</w:t>
      </w:r>
      <w:r>
        <w:rPr>
          <w:rFonts w:ascii="Arial" w:eastAsia="Times New Roman" w:hAnsi="Arial" w:cs="Arial"/>
          <w:sz w:val="22"/>
          <w:szCs w:val="22"/>
          <w:lang w:val="es" w:eastAsia="es-ES" w:bidi="ar-SA"/>
        </w:rPr>
        <w:t xml:space="preserve">án con carácter subsidiario las Ordenanzas del Plan Parcial, en aquellos casos que presenten vacíos respecto al nuevo planeamiento. Por tanto, desde el año 2001, el Plan Parcial y desde el año 2005, los Planes </w:t>
      </w:r>
    </w:p>
    <w:p w:rsidR="00061CF1" w:rsidRDefault="00061CF1">
      <w:pPr>
        <w:autoSpaceDE w:val="0"/>
        <w:spacing w:before="240" w:after="24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Generales de Ordenación de los tres </w:t>
      </w:r>
      <w:r>
        <w:rPr>
          <w:rFonts w:ascii="Arial" w:eastAsia="Times New Roman" w:hAnsi="Arial" w:cs="Arial"/>
          <w:sz w:val="22"/>
          <w:szCs w:val="22"/>
          <w:lang w:val="es" w:eastAsia="es-ES" w:bidi="ar-SA"/>
        </w:rPr>
        <w:t>municipios han establecido la forma de conservación del polígono, los cual recogen el carácter forzoso y obligatorio de la constitución de una Entidad Urbanística de Conservación”.</w:t>
      </w:r>
    </w:p>
    <w:p w:rsidR="00061CF1" w:rsidRDefault="004E6D5A">
      <w:pPr>
        <w:autoSpaceDE w:val="0"/>
        <w:spacing w:before="240" w:after="24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2º.- Naturaleza, régimen jurídico y capacidad:</w:t>
      </w:r>
    </w:p>
    <w:p w:rsidR="00061CF1" w:rsidRDefault="004E6D5A">
      <w:pPr>
        <w:autoSpaceDE w:val="0"/>
        <w:spacing w:before="240" w:after="240" w:line="276" w:lineRule="auto"/>
        <w:jc w:val="both"/>
        <w:textAlignment w:val="auto"/>
      </w:pPr>
      <w:r>
        <w:rPr>
          <w:rFonts w:ascii="Arial" w:eastAsia="Times New Roman" w:hAnsi="Arial" w:cs="Arial"/>
          <w:sz w:val="22"/>
          <w:szCs w:val="22"/>
          <w:lang w:val="es" w:eastAsia="es-ES" w:bidi="ar-SA"/>
        </w:rPr>
        <w:t>La Entidad urbaníst</w:t>
      </w:r>
      <w:r>
        <w:rPr>
          <w:rFonts w:ascii="Arial" w:eastAsia="Times New Roman" w:hAnsi="Arial" w:cs="Arial"/>
          <w:sz w:val="22"/>
          <w:szCs w:val="22"/>
          <w:lang w:val="es" w:eastAsia="es-ES" w:bidi="ar-SA"/>
        </w:rPr>
        <w:t xml:space="preserve">ica de conservación es una </w:t>
      </w:r>
      <w:r>
        <w:rPr>
          <w:rFonts w:ascii="Arial" w:eastAsia="Calibri" w:hAnsi="Arial" w:cs="Arial"/>
          <w:iCs/>
          <w:sz w:val="22"/>
          <w:szCs w:val="22"/>
          <w:lang w:bidi="ar-SA"/>
        </w:rPr>
        <w:t>asociación administrativa de propietarios, de adscripción obligatoria, con personalidad y capacidad jurídica propia para el cumplimiento de sus fines, que adquieren personalidad jurídica desde su inscripción en el registro admini</w:t>
      </w:r>
      <w:r>
        <w:rPr>
          <w:rFonts w:ascii="Arial" w:eastAsia="Calibri" w:hAnsi="Arial" w:cs="Arial"/>
          <w:iCs/>
          <w:sz w:val="22"/>
          <w:szCs w:val="22"/>
          <w:lang w:bidi="ar-SA"/>
        </w:rPr>
        <w:t xml:space="preserve">strativo de Entidades Colaboradoras de la Comunidad Autónoma de Canarias, previa aprobación de sus estatutos por el órgano correspondiente del Cabildo de Tenerife, y posteriormente por los tres Ayuntamientos de Arafo, Candelaria y Güímar. </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cuanto a su r</w:t>
      </w:r>
      <w:r>
        <w:rPr>
          <w:rFonts w:ascii="Arial" w:eastAsia="Times New Roman" w:hAnsi="Arial" w:cs="Arial"/>
          <w:sz w:val="22"/>
          <w:szCs w:val="22"/>
          <w:lang w:val="es" w:eastAsia="es-ES" w:bidi="ar-SA"/>
        </w:rPr>
        <w:t>égimen jurídico se regirá por los presentes Estatutos, por los artículos 266 y siguientes de la Ley 4/2017, de 13 de julio, del Suelo y de los Espacios Naturales Protegidos de Canarias, por los artículos 134 y siguientes del Decreto 183/2018, de 26 de dici</w:t>
      </w:r>
      <w:r>
        <w:rPr>
          <w:rFonts w:ascii="Arial" w:eastAsia="Times New Roman" w:hAnsi="Arial" w:cs="Arial"/>
          <w:sz w:val="22"/>
          <w:szCs w:val="22"/>
          <w:lang w:val="es" w:eastAsia="es-ES" w:bidi="ar-SA"/>
        </w:rPr>
        <w:t>embre, por el que se aprueba el Reglamento de Gestión y Ejecución del Planeamiento de Canarias, por los artículos 24 y siguientes del Real Decreto 3288/1978, de 25 de agosto, por el que se aprueba el Reglamento de Gestión Urbanística para el desarrollo y a</w:t>
      </w:r>
      <w:r>
        <w:rPr>
          <w:rFonts w:ascii="Arial" w:eastAsia="Times New Roman" w:hAnsi="Arial" w:cs="Arial"/>
          <w:sz w:val="22"/>
          <w:szCs w:val="22"/>
          <w:lang w:val="es" w:eastAsia="es-ES" w:bidi="ar-SA"/>
        </w:rPr>
        <w:t>plicación de la Ley sobre Régimen del Suelo y Ordenación Urbana y así como demás legislación urbanística aplicable, estatal y autonómica que pudiera resultarle de aplicación a las Entidades Urbanísticas de Conservación.</w:t>
      </w:r>
    </w:p>
    <w:p w:rsidR="00061CF1" w:rsidRDefault="004E6D5A">
      <w:pPr>
        <w:autoSpaceDE w:val="0"/>
        <w:spacing w:before="240" w:after="24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3º.- Ámbito y domicilio:</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1.</w:t>
      </w:r>
      <w:r>
        <w:rPr>
          <w:rFonts w:ascii="Arial" w:eastAsia="Times New Roman" w:hAnsi="Arial" w:cs="Arial"/>
          <w:sz w:val="22"/>
          <w:szCs w:val="22"/>
          <w:lang w:val="es" w:eastAsia="es-ES" w:bidi="ar-SA"/>
        </w:rPr>
        <w:t>- El ámbito espacial de actuación de la entidad, es el correspondiente a todos los terrenos incluidos en el “Polígono Industrial Valle de Güímar” según queda delimitado con el plano anexo a los presentes estatutos. Todo ello, sin perjuicio que, por acuerdo</w:t>
      </w:r>
      <w:r>
        <w:rPr>
          <w:rFonts w:ascii="Arial" w:eastAsia="Times New Roman" w:hAnsi="Arial" w:cs="Arial"/>
          <w:sz w:val="22"/>
          <w:szCs w:val="22"/>
          <w:lang w:val="es" w:eastAsia="es-ES" w:bidi="ar-SA"/>
        </w:rPr>
        <w:t xml:space="preserve"> de la Asamblea General, se modifique el ámbito de actuación para incorporar o suprimir terrenos, o incluso incluir nuevas áreas industriales cercanas de cualquiera de los tres municipios para una eficaz y eficiente gestión. Asimismo, se incorpora como ane</w:t>
      </w:r>
      <w:r>
        <w:rPr>
          <w:rFonts w:ascii="Arial" w:eastAsia="Times New Roman" w:hAnsi="Arial" w:cs="Arial"/>
          <w:sz w:val="22"/>
          <w:szCs w:val="22"/>
          <w:lang w:val="es" w:eastAsia="es-ES" w:bidi="ar-SA"/>
        </w:rPr>
        <w:t>xo listado de todas las referencias catastrales incluidas en el ámbito espacial de esta entidad a la fecha de redacción de los presentes Estatutos.</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2.- El domicilio social de la Entidad está ubicado en Arafo, en la Calle…………………….Edificio Tatusa, cuya titul</w:t>
      </w:r>
      <w:r>
        <w:rPr>
          <w:rFonts w:ascii="Arial" w:eastAsia="Times New Roman" w:hAnsi="Arial" w:cs="Arial"/>
          <w:sz w:val="22"/>
          <w:szCs w:val="22"/>
          <w:lang w:val="es" w:eastAsia="es-ES" w:bidi="ar-SA"/>
        </w:rPr>
        <w:t>aridad, según catastro, le corresponde a los Ayuntamientos de Arafo, Candelaria y Güímar. El traslado de domicilio a otro lugar, dentro de la localidad, requerirá acuerdo de la Asamblea General, dando cuenta al Cabildo de Tenerife, a los Ayuntamientos y al</w:t>
      </w:r>
      <w:r>
        <w:rPr>
          <w:rFonts w:ascii="Arial" w:eastAsia="Times New Roman" w:hAnsi="Arial" w:cs="Arial"/>
          <w:sz w:val="22"/>
          <w:szCs w:val="22"/>
          <w:lang w:val="es" w:eastAsia="es-ES" w:bidi="ar-SA"/>
        </w:rPr>
        <w:t xml:space="preserve"> Registro de Entidades Urbanísticas Colaboradoras.</w:t>
      </w:r>
    </w:p>
    <w:p w:rsidR="00061CF1" w:rsidRDefault="004E6D5A">
      <w:pPr>
        <w:autoSpaceDE w:val="0"/>
        <w:spacing w:before="240" w:after="24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4º.- Objeto y Fines:</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Esta Entidad tiene como objeto el mantenimiento y conservación de las obras de urbanización y el mantenimiento de las dotaciones e instalaciones de los servicios públicos corr</w:t>
      </w:r>
      <w:r>
        <w:rPr>
          <w:rFonts w:ascii="Arial" w:eastAsia="Times New Roman" w:hAnsi="Arial" w:cs="Arial"/>
          <w:sz w:val="22"/>
          <w:szCs w:val="22"/>
          <w:lang w:val="es" w:eastAsia="es-ES" w:bidi="ar-SA"/>
        </w:rPr>
        <w:t xml:space="preserve">espondientes a su ámbito territorial establecido en el anexo de los presentes Estatutos, o bien, por acuerdo de la Asamblea General, en los términos y alcance que con carácter general se recogen en el cuadro </w:t>
      </w:r>
    </w:p>
    <w:p w:rsidR="00061CF1" w:rsidRDefault="00061CF1">
      <w:pPr>
        <w:autoSpaceDE w:val="0"/>
        <w:spacing w:before="240" w:after="24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siguiente:</w:t>
      </w:r>
    </w:p>
    <w:tbl>
      <w:tblPr>
        <w:tblW w:w="8505" w:type="dxa"/>
        <w:tblInd w:w="-5" w:type="dxa"/>
        <w:tblCellMar>
          <w:left w:w="10" w:type="dxa"/>
          <w:right w:w="10" w:type="dxa"/>
        </w:tblCellMar>
        <w:tblLook w:val="0000" w:firstRow="0" w:lastRow="0" w:firstColumn="0" w:lastColumn="0" w:noHBand="0" w:noVBand="0"/>
      </w:tblPr>
      <w:tblGrid>
        <w:gridCol w:w="4395"/>
        <w:gridCol w:w="4110"/>
      </w:tblGrid>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CONSERVACIÓN Y MANTENIMIENTO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CONTRA</w:t>
            </w:r>
            <w:r>
              <w:rPr>
                <w:rFonts w:ascii="Arial" w:eastAsia="Times New Roman" w:hAnsi="Arial" w:cs="Arial"/>
                <w:sz w:val="22"/>
                <w:szCs w:val="22"/>
                <w:lang w:val="es" w:eastAsia="es-ES" w:bidi="ar-SA"/>
              </w:rPr>
              <w:t>TACIÓN Y FINANCIACIÓN</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Red viaria, acerado y señalización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Zonas verdes, jardines y zonas comunes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Red de hidrantes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Alumbrado público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Otras infraestructuras de servicio común</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bl>
    <w:p w:rsidR="00061CF1" w:rsidRDefault="00061CF1">
      <w:pPr>
        <w:autoSpaceDE w:val="0"/>
        <w:spacing w:before="240" w:after="240" w:line="276" w:lineRule="auto"/>
        <w:jc w:val="both"/>
        <w:textAlignment w:val="auto"/>
        <w:rPr>
          <w:rFonts w:ascii="Arial" w:eastAsia="Times New Roman" w:hAnsi="Arial" w:cs="Arial"/>
          <w:sz w:val="22"/>
          <w:szCs w:val="22"/>
          <w:lang w:val="es" w:eastAsia="es-ES" w:bidi="ar-SA"/>
        </w:rPr>
      </w:pPr>
    </w:p>
    <w:tbl>
      <w:tblPr>
        <w:tblW w:w="8505" w:type="dxa"/>
        <w:tblInd w:w="-5" w:type="dxa"/>
        <w:tblCellMar>
          <w:left w:w="10" w:type="dxa"/>
          <w:right w:w="10" w:type="dxa"/>
        </w:tblCellMar>
        <w:tblLook w:val="0000" w:firstRow="0" w:lastRow="0" w:firstColumn="0" w:lastColumn="0" w:noHBand="0" w:noVBand="0"/>
      </w:tblPr>
      <w:tblGrid>
        <w:gridCol w:w="4395"/>
        <w:gridCol w:w="4110"/>
      </w:tblGrid>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SERVICIOS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CONTRATACIÓN Y FINANCIACIÓN</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Desratización y control de plagas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Limpieza viaria y recogida de residuos no domésticos (industrial)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Vigilancia privada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E.U.C.</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Abastecimiento de agua y saneamiento (ciclo integral del agua)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Ayuntamientos</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Suministro y consumo del alumbrado </w:t>
            </w:r>
            <w:r>
              <w:rPr>
                <w:rFonts w:ascii="Arial" w:eastAsia="Times New Roman" w:hAnsi="Arial" w:cs="Arial"/>
                <w:sz w:val="22"/>
                <w:szCs w:val="22"/>
                <w:lang w:val="es" w:eastAsia="es-ES" w:bidi="ar-SA"/>
              </w:rPr>
              <w:t>público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Ayuntamientos</w:t>
            </w:r>
          </w:p>
        </w:tc>
      </w:tr>
      <w:tr w:rsidR="00061CF1">
        <w:tblPrEx>
          <w:tblCellMar>
            <w:top w:w="0" w:type="dxa"/>
            <w:bottom w:w="0" w:type="dxa"/>
          </w:tblCellMar>
        </w:tblPrEx>
        <w:trPr>
          <w:trHeight w:val="576"/>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Seguridad pública (fuerzas de seguridad)</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1CF1" w:rsidRDefault="004E6D5A">
            <w:pPr>
              <w:autoSpaceDE w:val="0"/>
              <w:spacing w:before="240" w:after="240" w:line="276" w:lineRule="auto"/>
              <w:jc w:val="center"/>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Ayuntamientos</w:t>
            </w:r>
          </w:p>
        </w:tc>
      </w:tr>
    </w:tbl>
    <w:p w:rsidR="00061CF1" w:rsidRDefault="00061CF1">
      <w:pPr>
        <w:autoSpaceDE w:val="0"/>
        <w:spacing w:before="240" w:after="24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 continuación, se definen algunos de los conceptos:</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 conservación y mantenimiento: conjunto de actividades, actuaciones y recursos técnicos destinados a preservar, reparar y </w:t>
      </w:r>
      <w:r>
        <w:rPr>
          <w:rFonts w:ascii="Arial" w:eastAsia="Times New Roman" w:hAnsi="Arial" w:cs="Arial"/>
          <w:sz w:val="22"/>
          <w:szCs w:val="22"/>
          <w:lang w:val="es" w:eastAsia="es-ES" w:bidi="ar-SA"/>
        </w:rPr>
        <w:t>mantener en buen estado de los elementos urbanísticos de uso común dentro del ámbito establecido en la entidad, sin que ello suponga la ejecución de actuaciones y/u obras nuevas o de gran envergadura que no obedezcan a los estrictos términos de conservació</w:t>
      </w:r>
      <w:r>
        <w:rPr>
          <w:rFonts w:ascii="Arial" w:eastAsia="Times New Roman" w:hAnsi="Arial" w:cs="Arial"/>
          <w:sz w:val="22"/>
          <w:szCs w:val="22"/>
          <w:lang w:val="es" w:eastAsia="es-ES" w:bidi="ar-SA"/>
        </w:rPr>
        <w:t>n. Corresponde a aquellas tareas que tienen la finalidad de garantizar la funcionalidad y la seguridad de las infraestructuras comunes del polígono.</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alumbrado público: a la Entidad urbanística le corresponderá el mantenimiento y reposición del mismo, cor</w:t>
      </w:r>
      <w:r>
        <w:rPr>
          <w:rFonts w:ascii="Arial" w:eastAsia="Times New Roman" w:hAnsi="Arial" w:cs="Arial"/>
          <w:sz w:val="22"/>
          <w:szCs w:val="22"/>
          <w:lang w:val="es" w:eastAsia="es-ES" w:bidi="ar-SA"/>
        </w:rPr>
        <w:t>respondiéndole a cada Ayuntamiento el suministro, gestión y costes del consumo del mismo.</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ayuntamientos: se refiere a que le corresponderá el mantenimiento y conservación a los Ayuntamientos de Arafo, Candelaria y Güímar, según corresponda conforme su té</w:t>
      </w:r>
      <w:r>
        <w:rPr>
          <w:rFonts w:ascii="Arial" w:eastAsia="Times New Roman" w:hAnsi="Arial" w:cs="Arial"/>
          <w:sz w:val="22"/>
          <w:szCs w:val="22"/>
          <w:lang w:val="es" w:eastAsia="es-ES" w:bidi="ar-SA"/>
        </w:rPr>
        <w:t xml:space="preserve">rmino municipal, en los mismos e idénticos términos que lo venían haciendo con anterioridad a la aprobación de los presentes estatutos. </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cuanto a los fines de la E.U.C. POLÍGONO VALLE GÜÍMAR, se basa en una colaboración pública-privada para paliar los e</w:t>
      </w:r>
      <w:r>
        <w:rPr>
          <w:rFonts w:ascii="Arial" w:eastAsia="Times New Roman" w:hAnsi="Arial" w:cs="Arial"/>
          <w:sz w:val="22"/>
          <w:szCs w:val="22"/>
          <w:lang w:val="es" w:eastAsia="es-ES" w:bidi="ar-SA"/>
        </w:rPr>
        <w:t>levados costes de la conservación y mantenimiento de un polígono industrial de grandes dimensiones ante la imposibilidad económica de que sea atendido de forma exclusiva por los municipios, en base al principio de equidistribución de beneficios y cargas en</w:t>
      </w:r>
      <w:r>
        <w:rPr>
          <w:rFonts w:ascii="Arial" w:eastAsia="Times New Roman" w:hAnsi="Arial" w:cs="Arial"/>
          <w:sz w:val="22"/>
          <w:szCs w:val="22"/>
          <w:lang w:val="es" w:eastAsia="es-ES" w:bidi="ar-SA"/>
        </w:rPr>
        <w:t>tre la comunidad y los propietarios de suelo en un determinado ámbito, como se ha invocado en numerosas ocasiones por la legislación urbanística. Y ello es así, como ocurre en otros polígonos industriales, porque los servicios que necesita un polígono y el</w:t>
      </w:r>
      <w:r>
        <w:rPr>
          <w:rFonts w:ascii="Arial" w:eastAsia="Times New Roman" w:hAnsi="Arial" w:cs="Arial"/>
          <w:sz w:val="22"/>
          <w:szCs w:val="22"/>
          <w:lang w:val="es" w:eastAsia="es-ES" w:bidi="ar-SA"/>
        </w:rPr>
        <w:t xml:space="preserve"> desgaste de las infraestructuras por los usuarios del mismo, conlleva un coste económico elevado que no puede asumir el municipio y menos aún repercutir ese gasto al resto de los habitantes del municipio, que no desarrollan actividad económica en el políg</w:t>
      </w:r>
      <w:r>
        <w:rPr>
          <w:rFonts w:ascii="Arial" w:eastAsia="Times New Roman" w:hAnsi="Arial" w:cs="Arial"/>
          <w:sz w:val="22"/>
          <w:szCs w:val="22"/>
          <w:lang w:val="es" w:eastAsia="es-ES" w:bidi="ar-SA"/>
        </w:rPr>
        <w:t>ono.</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Por consiguiente, son fines de la E.U.C. POLÍGONO GÜÍMAR los siguientes:</w:t>
      </w:r>
    </w:p>
    <w:p w:rsidR="00061CF1" w:rsidRDefault="004E6D5A">
      <w:pPr>
        <w:autoSpaceDE w:val="0"/>
        <w:spacing w:before="240" w:after="240" w:line="276" w:lineRule="auto"/>
        <w:jc w:val="both"/>
        <w:textAlignment w:val="auto"/>
      </w:pPr>
      <w:r>
        <w:rPr>
          <w:rFonts w:ascii="Arial" w:eastAsia="Times New Roman" w:hAnsi="Arial" w:cs="Arial"/>
          <w:sz w:val="22"/>
          <w:szCs w:val="22"/>
          <w:lang w:val="es" w:eastAsia="es-ES" w:bidi="ar-SA"/>
        </w:rPr>
        <w:t>1.</w:t>
      </w:r>
      <w:r>
        <w:rPr>
          <w:rFonts w:ascii="Times-Roman" w:eastAsia="Times New Roman" w:hAnsi="Times-Roman" w:cs="Times-Roman"/>
          <w:sz w:val="22"/>
          <w:szCs w:val="22"/>
          <w:lang w:eastAsia="es-ES" w:bidi="ar-SA"/>
        </w:rPr>
        <w:t xml:space="preserve"> </w:t>
      </w:r>
      <w:r>
        <w:rPr>
          <w:rFonts w:ascii="Arial" w:eastAsia="Times New Roman" w:hAnsi="Arial" w:cs="Arial"/>
          <w:sz w:val="22"/>
          <w:szCs w:val="22"/>
          <w:lang w:eastAsia="es-ES" w:bidi="ar-SA"/>
        </w:rPr>
        <w:t xml:space="preserve">Contribuir con todos los medios a su alcance y con la colaboración de los Ayuntamientos de </w:t>
      </w:r>
      <w:r>
        <w:rPr>
          <w:rFonts w:ascii="Arial" w:eastAsia="Times New Roman" w:hAnsi="Arial" w:cs="Arial"/>
          <w:sz w:val="22"/>
          <w:szCs w:val="22"/>
          <w:lang w:val="es" w:eastAsia="es-ES" w:bidi="ar-SA"/>
        </w:rPr>
        <w:t>Arafo, Candelaria y Güímar</w:t>
      </w:r>
      <w:r>
        <w:rPr>
          <w:rFonts w:ascii="Arial" w:eastAsia="Times New Roman" w:hAnsi="Arial" w:cs="Arial"/>
          <w:sz w:val="22"/>
          <w:szCs w:val="22"/>
          <w:lang w:eastAsia="es-ES" w:bidi="ar-SA"/>
        </w:rPr>
        <w:t xml:space="preserve">, así como del Cabildo de Tenerife, a lograr que el </w:t>
      </w:r>
      <w:r>
        <w:rPr>
          <w:rFonts w:ascii="Arial" w:eastAsia="Times New Roman" w:hAnsi="Arial" w:cs="Arial"/>
          <w:sz w:val="22"/>
          <w:szCs w:val="22"/>
          <w:lang w:eastAsia="es-ES" w:bidi="ar-SA"/>
        </w:rPr>
        <w:t>Polígono Industrial del Valle de Güímar sea un referente en el ámbito industrial.</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2. Dirigir, controlar y supervisar todos los servicios comunes de mantenimiento y conservación establecidos en los presentes estatutos, así como aquellos otros que se incorpo</w:t>
      </w:r>
      <w:r>
        <w:rPr>
          <w:rFonts w:ascii="Arial" w:eastAsia="Times New Roman" w:hAnsi="Arial" w:cs="Arial"/>
          <w:sz w:val="22"/>
          <w:szCs w:val="22"/>
          <w:lang w:eastAsia="es-ES" w:bidi="ar-SA"/>
        </w:rPr>
        <w:t>ren.</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3. Recaudar las cuotas de todos los propietarios de los terrenos incluidos en la E.U.C. POLÍGONO GÜÍMAR de forma objetiva y con la diligencia debida, con la finalidad de que se distribuyan exclusivamente para los gastos de mantenimiento y conservación</w:t>
      </w:r>
      <w:r>
        <w:rPr>
          <w:rFonts w:ascii="Arial" w:eastAsia="Times New Roman" w:hAnsi="Arial" w:cs="Arial"/>
          <w:sz w:val="22"/>
          <w:szCs w:val="22"/>
          <w:lang w:eastAsia="es-ES" w:bidi="ar-SA"/>
        </w:rPr>
        <w:t xml:space="preserve"> del polígono conforme a los acuerdos adoptados con una distribución equitativa.</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 xml:space="preserve">4. La creación de una estructura técnica-administrativa objetiva y real que de soporte a las </w:t>
      </w:r>
    </w:p>
    <w:p w:rsidR="00061CF1" w:rsidRDefault="00061CF1">
      <w:pPr>
        <w:autoSpaceDE w:val="0"/>
        <w:spacing w:before="240" w:after="240" w:line="276" w:lineRule="auto"/>
        <w:jc w:val="both"/>
        <w:textAlignment w:val="auto"/>
        <w:rPr>
          <w:rFonts w:ascii="Arial" w:eastAsia="Times New Roman" w:hAnsi="Arial" w:cs="Arial"/>
          <w:sz w:val="22"/>
          <w:szCs w:val="22"/>
          <w:lang w:eastAsia="es-ES" w:bidi="ar-SA"/>
        </w:rPr>
      </w:pP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necesidades de la entidad, en lo que se refiere a gastos de personal, gastos cor</w:t>
      </w:r>
      <w:r>
        <w:rPr>
          <w:rFonts w:ascii="Arial" w:eastAsia="Times New Roman" w:hAnsi="Arial" w:cs="Arial"/>
          <w:sz w:val="22"/>
          <w:szCs w:val="22"/>
          <w:lang w:eastAsia="es-ES" w:bidi="ar-SA"/>
        </w:rPr>
        <w:t>rientes…</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5. Velar por el estricto cumplimiento de la normativa de aplicación a la entidad, ya sea de forma directa o indirecta de toda la legislación correspondiente, en concreto, de los presentes estatutos, de las ordenanzas municipales y del planeamiento</w:t>
      </w:r>
      <w:r>
        <w:rPr>
          <w:rFonts w:ascii="Arial" w:eastAsia="Times New Roman" w:hAnsi="Arial" w:cs="Arial"/>
          <w:sz w:val="22"/>
          <w:szCs w:val="22"/>
          <w:lang w:eastAsia="es-ES" w:bidi="ar-SA"/>
        </w:rPr>
        <w:t>.</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6. Promover la convivencia social de los miembros de la entidad dirimiendo las diferencias que pudieran surgir entre ellos/as con relación al uso y disfrute de los elementos propios y comunes.</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 xml:space="preserve">7. Adoptar las medidas y ejercitar, en su caso, las acciones </w:t>
      </w:r>
      <w:r>
        <w:rPr>
          <w:rFonts w:ascii="Arial" w:eastAsia="Times New Roman" w:hAnsi="Arial" w:cs="Arial"/>
          <w:sz w:val="22"/>
          <w:szCs w:val="22"/>
          <w:lang w:eastAsia="es-ES" w:bidi="ar-SA"/>
        </w:rPr>
        <w:t>correspondientes frente a los/as miembros de la entidad o terceras personas, para exigir el adecuado cumplimiento de las obligaciones contraídas.</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8. Actuar en coordinación con las estipulaciones marcadas por los ayuntamientos implicados y por el Cabildo de</w:t>
      </w:r>
      <w:r>
        <w:rPr>
          <w:rFonts w:ascii="Arial" w:eastAsia="Times New Roman" w:hAnsi="Arial" w:cs="Arial"/>
          <w:sz w:val="22"/>
          <w:szCs w:val="22"/>
          <w:lang w:eastAsia="es-ES" w:bidi="ar-SA"/>
        </w:rPr>
        <w:t xml:space="preserve"> Tenerife en base a garantizar los intereses públicos.</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9. Solicitar subvenciones cuyo objetivo sea la mejora del espacio industrial.</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10. Cualquier otra finalidad que se acuerde por la Asamblea General siempre dentro de los ámbitos competenciales de la pres</w:t>
      </w:r>
      <w:r>
        <w:rPr>
          <w:rFonts w:ascii="Arial" w:eastAsia="Times New Roman" w:hAnsi="Arial" w:cs="Arial"/>
          <w:sz w:val="22"/>
          <w:szCs w:val="22"/>
          <w:lang w:eastAsia="es-ES" w:bidi="ar-SA"/>
        </w:rPr>
        <w:t>ente entidad urbanística de conservación y en cumplimiento de la legislación existente.</w:t>
      </w:r>
    </w:p>
    <w:p w:rsidR="00061CF1" w:rsidRDefault="004E6D5A">
      <w:pPr>
        <w:autoSpaceDE w:val="0"/>
        <w:spacing w:before="240" w:after="240" w:line="276" w:lineRule="auto"/>
        <w:jc w:val="both"/>
        <w:textAlignment w:val="auto"/>
      </w:pPr>
      <w:r>
        <w:rPr>
          <w:rFonts w:ascii="Arial" w:eastAsia="Times New Roman" w:hAnsi="Arial" w:cs="Arial"/>
          <w:b/>
          <w:sz w:val="22"/>
          <w:szCs w:val="22"/>
          <w:lang w:eastAsia="es-ES" w:bidi="ar-SA"/>
        </w:rPr>
        <w:t xml:space="preserve">Artículo 5°. </w:t>
      </w:r>
      <w:r>
        <w:rPr>
          <w:rFonts w:ascii="Cambria Math" w:eastAsia="Times New Roman" w:hAnsi="Cambria Math" w:cs="Cambria Math"/>
          <w:b/>
          <w:sz w:val="22"/>
          <w:szCs w:val="22"/>
          <w:lang w:eastAsia="es-ES" w:bidi="ar-SA"/>
        </w:rPr>
        <w:t>‐</w:t>
      </w:r>
      <w:r>
        <w:rPr>
          <w:rFonts w:ascii="Arial" w:eastAsia="Times New Roman" w:hAnsi="Arial" w:cs="Arial"/>
          <w:b/>
          <w:sz w:val="22"/>
          <w:szCs w:val="22"/>
          <w:lang w:eastAsia="es-ES" w:bidi="ar-SA"/>
        </w:rPr>
        <w:t xml:space="preserve"> Duración:</w:t>
      </w:r>
    </w:p>
    <w:p w:rsidR="00061CF1" w:rsidRDefault="004E6D5A">
      <w:pPr>
        <w:autoSpaceDE w:val="0"/>
        <w:spacing w:before="240" w:after="24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La duración de esta Entidad será a partir de la inscripción de estos Estatutos en el correspondiente Registro de Entidades Colaboradoras y tend</w:t>
      </w:r>
      <w:r>
        <w:rPr>
          <w:rFonts w:ascii="Arial" w:eastAsia="Times New Roman" w:hAnsi="Arial" w:cs="Arial"/>
          <w:sz w:val="22"/>
          <w:szCs w:val="22"/>
          <w:lang w:eastAsia="es-ES" w:bidi="ar-SA"/>
        </w:rPr>
        <w:t>rá duración indefinida, salvo que se acuerde su disolución por acuerdo de la Asamblea General.</w:t>
      </w:r>
    </w:p>
    <w:p w:rsidR="00061CF1" w:rsidRDefault="004E6D5A">
      <w:pPr>
        <w:autoSpaceDE w:val="0"/>
        <w:spacing w:before="240" w:after="240" w:line="276" w:lineRule="auto"/>
        <w:jc w:val="both"/>
        <w:textAlignment w:val="auto"/>
      </w:pPr>
      <w:r>
        <w:rPr>
          <w:rFonts w:ascii="Arial" w:eastAsia="Times New Roman" w:hAnsi="Arial" w:cs="Arial"/>
          <w:b/>
          <w:sz w:val="22"/>
          <w:szCs w:val="22"/>
          <w:lang w:val="es" w:eastAsia="es-ES" w:bidi="ar-SA"/>
        </w:rPr>
        <w:t>CAPÍTULO II</w:t>
      </w:r>
    </w:p>
    <w:p w:rsidR="00061CF1" w:rsidRDefault="004E6D5A">
      <w:pPr>
        <w:autoSpaceDE w:val="0"/>
        <w:spacing w:before="240" w:after="24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De los miembros de la entidad</w:t>
      </w:r>
    </w:p>
    <w:p w:rsidR="00061CF1" w:rsidRDefault="004E6D5A">
      <w:pPr>
        <w:autoSpaceDE w:val="0"/>
        <w:spacing w:before="240" w:after="240" w:line="276" w:lineRule="auto"/>
        <w:jc w:val="both"/>
        <w:textAlignment w:val="auto"/>
      </w:pPr>
      <w:r>
        <w:rPr>
          <w:rFonts w:ascii="Arial" w:eastAsia="Times New Roman" w:hAnsi="Arial" w:cs="Arial"/>
          <w:b/>
          <w:sz w:val="22"/>
          <w:szCs w:val="22"/>
          <w:lang w:val="es" w:eastAsia="es-ES" w:bidi="ar-SA"/>
        </w:rPr>
        <w:t xml:space="preserve">Artículo 6°. </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Miembros:</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Son miembros de la Entidad Urbanística de Conservación, todas aquellas personas físicas y </w:t>
      </w:r>
      <w:r>
        <w:rPr>
          <w:rFonts w:ascii="Arial" w:eastAsia="Times New Roman" w:hAnsi="Arial" w:cs="Arial"/>
          <w:sz w:val="22"/>
          <w:szCs w:val="22"/>
          <w:lang w:val="es" w:eastAsia="es-ES" w:bidi="ar-SA"/>
        </w:rPr>
        <w:t>jurídicas de naturaleza pública o privada que sean propietarias de parcelas conforme el registro de la propiedad y/o el catastro, y se encuentren en el ámbito definido en el artículo 3 de estos Estatutos.</w:t>
      </w: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Como administraciones actuantes, y como miembros de</w:t>
      </w:r>
      <w:r>
        <w:rPr>
          <w:rFonts w:ascii="Arial" w:eastAsia="Times New Roman" w:hAnsi="Arial" w:cs="Arial"/>
          <w:sz w:val="22"/>
          <w:szCs w:val="22"/>
          <w:lang w:val="es" w:eastAsia="es-ES" w:bidi="ar-SA"/>
        </w:rPr>
        <w:t xml:space="preserve"> naturaleza constitutiva, lo serán los Ayuntamientos de Arafo, Candelaria y Güímar, así como el Cabildo de Tenerife como impulsor de la creación de la entidad urbanística de conservación, con el número de representantes que se determinen. Sin perjuicio de </w:t>
      </w:r>
      <w:r>
        <w:rPr>
          <w:rFonts w:ascii="Arial" w:eastAsia="Times New Roman" w:hAnsi="Arial" w:cs="Arial"/>
          <w:sz w:val="22"/>
          <w:szCs w:val="22"/>
          <w:lang w:val="es" w:eastAsia="es-ES" w:bidi="ar-SA"/>
        </w:rPr>
        <w:t xml:space="preserve">su representación correspondiente como titulares de las parcelas de las que pudieran ser propietarios. </w:t>
      </w:r>
    </w:p>
    <w:p w:rsidR="00061CF1" w:rsidRDefault="00061CF1">
      <w:pPr>
        <w:autoSpaceDE w:val="0"/>
        <w:spacing w:before="240" w:after="24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240" w:after="24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cuanto a la participación de los miembros, con carácter general, se hacen las siguientes aclaraciones:</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 xml:space="preserve">En los casos de cotitulares de una </w:t>
      </w:r>
      <w:r>
        <w:rPr>
          <w:rFonts w:ascii="Arial" w:eastAsia="Times New Roman" w:hAnsi="Arial" w:cs="Arial"/>
          <w:kern w:val="0"/>
          <w:sz w:val="22"/>
          <w:szCs w:val="22"/>
          <w:lang w:val="es" w:eastAsia="es-ES" w:bidi="ar-SA"/>
        </w:rPr>
        <w:t>finca/parcela con una misma referencia catastral única habrán de designar a una sola persona para el ejercicio de las facultades como miembro de la Entidad, respondiendo solidariamente frente a ella de cuantas obligaciones dimanen de dicha condición.</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Si lo</w:t>
      </w:r>
      <w:r>
        <w:rPr>
          <w:rFonts w:ascii="Arial" w:eastAsia="Times New Roman" w:hAnsi="Arial" w:cs="Arial"/>
          <w:kern w:val="0"/>
          <w:sz w:val="22"/>
          <w:szCs w:val="22"/>
          <w:lang w:val="es" w:eastAsia="es-ES" w:bidi="ar-SA"/>
        </w:rPr>
        <w:t>s titulares de las fincas/parcelas son personas jurídicas, empresas, entidades, ya sean públicas o privadas, o administraciones u organismos públicos se designará una persona como representante de la misma ante la Entidad (igualmente tendrán representación</w:t>
      </w:r>
      <w:r>
        <w:rPr>
          <w:rFonts w:ascii="Arial" w:eastAsia="Times New Roman" w:hAnsi="Arial" w:cs="Arial"/>
          <w:kern w:val="0"/>
          <w:sz w:val="22"/>
          <w:szCs w:val="22"/>
          <w:lang w:val="es" w:eastAsia="es-ES" w:bidi="ar-SA"/>
        </w:rPr>
        <w:t xml:space="preserve"> los Ayuntamientos de Arafo, Candelaria y Güímar, o el Cabildo de Tenerife, si fueran titulares de terrenos del polígono)</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 xml:space="preserve">En el caso de existir regímenes de propiedad horizontal con la existencia o no de una Comunidad de propietarios, serán miembros de la </w:t>
      </w:r>
      <w:r>
        <w:rPr>
          <w:rFonts w:ascii="Arial" w:eastAsia="Times New Roman" w:hAnsi="Arial" w:cs="Arial"/>
          <w:kern w:val="0"/>
          <w:sz w:val="22"/>
          <w:szCs w:val="22"/>
          <w:lang w:val="es" w:eastAsia="es-ES" w:bidi="ar-SA"/>
        </w:rPr>
        <w:t>entidad urbanística de conservación, cada uno de los propietarios de la finca/parcela/bien inmueble con referencia catastral.</w:t>
      </w:r>
    </w:p>
    <w:p w:rsidR="00061CF1" w:rsidRDefault="004E6D5A">
      <w:pPr>
        <w:numPr>
          <w:ilvl w:val="0"/>
          <w:numId w:val="15"/>
        </w:numPr>
        <w:suppressAutoHyphens w:val="0"/>
        <w:autoSpaceDE w:val="0"/>
        <w:spacing w:before="240" w:after="24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 xml:space="preserve">En cualquier caso, cualquiera de los miembros de la entidad, podrá delegar su voto a otro miembro, o bien delegarlo al Presidente </w:t>
      </w:r>
      <w:r>
        <w:rPr>
          <w:rFonts w:ascii="Arial" w:eastAsia="Times New Roman" w:hAnsi="Arial" w:cs="Arial"/>
          <w:kern w:val="0"/>
          <w:sz w:val="22"/>
          <w:szCs w:val="22"/>
          <w:lang w:val="es" w:eastAsia="es-ES" w:bidi="ar-SA"/>
        </w:rPr>
        <w:t>de la Comunidad de Propietarios (si la hubiera) o bien, si existiera, al representante de una asociación legalmente constituida que tuviera intereses y relacionada con el ámbito territorial del Polígono del Valle de Güímar, o a un representante legal debid</w:t>
      </w:r>
      <w:r>
        <w:rPr>
          <w:rFonts w:ascii="Arial" w:eastAsia="Times New Roman" w:hAnsi="Arial" w:cs="Arial"/>
          <w:kern w:val="0"/>
          <w:sz w:val="22"/>
          <w:szCs w:val="22"/>
          <w:lang w:val="es" w:eastAsia="es-ES" w:bidi="ar-SA"/>
        </w:rPr>
        <w:t>amente constituido como pudiera ser abogado o asesoría. Todo ello con el correspondiente documento válido y fehaciente en derecho, supervisado por el/la Gerente de la entidad.</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7º.- Transmisión por cualquier título: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transmisión de la titularidad</w:t>
      </w:r>
      <w:r>
        <w:rPr>
          <w:rFonts w:ascii="Arial" w:eastAsia="Times New Roman" w:hAnsi="Arial" w:cs="Arial"/>
          <w:sz w:val="22"/>
          <w:szCs w:val="22"/>
          <w:lang w:val="es" w:eastAsia="es-ES" w:bidi="ar-SA"/>
        </w:rPr>
        <w:t xml:space="preserve"> de la propiedad de fincas/parcelas llevará consigo la subrogación automática en los derechos y obligaciones del enajenante, entre ellas la obligación del pago de la cuota que corresponda, entendiéndose incorporado el adquirente a la Entidad a partir del m</w:t>
      </w:r>
      <w:r>
        <w:rPr>
          <w:rFonts w:ascii="Arial" w:eastAsia="Times New Roman" w:hAnsi="Arial" w:cs="Arial"/>
          <w:sz w:val="22"/>
          <w:szCs w:val="22"/>
          <w:lang w:val="es" w:eastAsia="es-ES" w:bidi="ar-SA"/>
        </w:rPr>
        <w:t>omento de la transmisión. Asimismo, en base al principio de buena fe y diligencia debida, todo propietario, en caso de trasmisión, tiene la obligación de comunicar e informar al nuevo adquirente la existencia de la presente EUC así como, entre otras obliga</w:t>
      </w:r>
      <w:r>
        <w:rPr>
          <w:rFonts w:ascii="Arial" w:eastAsia="Times New Roman" w:hAnsi="Arial" w:cs="Arial"/>
          <w:sz w:val="22"/>
          <w:szCs w:val="22"/>
          <w:lang w:val="es" w:eastAsia="es-ES" w:bidi="ar-SA"/>
        </w:rPr>
        <w:t>ciones, el importe de la cuota correspondiente.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 este efecto, en el título de transmisión deberá expresarse el compromiso relativo a la conservación de las obras y servicios de la urbanización, con expresa aceptación de los mismos por el adquirente. No ob</w:t>
      </w:r>
      <w:r>
        <w:rPr>
          <w:rFonts w:ascii="Arial" w:eastAsia="Times New Roman" w:hAnsi="Arial" w:cs="Arial"/>
          <w:sz w:val="22"/>
          <w:szCs w:val="22"/>
          <w:lang w:val="es" w:eastAsia="es-ES" w:bidi="ar-SA"/>
        </w:rPr>
        <w:t>stante, la ausencia de esta cláusula no eximirá del cumplimiento de las obligaciones previstas en el primer párrafo.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Tanto los asociados iniciales de la Entidad como los incorporados con posterioridad a ella tendrán los mismos derechos y obligaciones.</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 xml:space="preserve">El </w:t>
      </w:r>
      <w:r>
        <w:rPr>
          <w:rFonts w:ascii="Arial" w:eastAsia="Times New Roman" w:hAnsi="Arial" w:cs="Arial"/>
          <w:sz w:val="22"/>
          <w:szCs w:val="22"/>
          <w:lang w:eastAsia="es-ES" w:bidi="ar-SA"/>
        </w:rPr>
        <w:t xml:space="preserve">propietario saliente deberá comunicar a la EUC, de manera fehaciente, dentro del mes de la extinción, la transmisión de la titularidad, principalmente en aras a no devengar las cuotas que </w:t>
      </w:r>
    </w:p>
    <w:p w:rsidR="00061CF1" w:rsidRDefault="00061CF1">
      <w:pPr>
        <w:autoSpaceDE w:val="0"/>
        <w:spacing w:before="180" w:after="180" w:line="276" w:lineRule="auto"/>
        <w:jc w:val="both"/>
        <w:textAlignment w:val="auto"/>
        <w:rPr>
          <w:rFonts w:ascii="Arial" w:eastAsia="Times New Roman" w:hAnsi="Arial" w:cs="Arial"/>
          <w:sz w:val="22"/>
          <w:szCs w:val="22"/>
          <w:lang w:eastAsia="es-ES" w:bidi="ar-SA"/>
        </w:rPr>
      </w:pPr>
    </w:p>
    <w:p w:rsidR="00061CF1" w:rsidRDefault="004E6D5A">
      <w:pPr>
        <w:autoSpaceDE w:val="0"/>
        <w:spacing w:before="180" w:after="180" w:line="276" w:lineRule="auto"/>
        <w:jc w:val="both"/>
        <w:textAlignment w:val="auto"/>
      </w:pPr>
      <w:r>
        <w:rPr>
          <w:rFonts w:ascii="Arial" w:eastAsia="Times New Roman" w:hAnsi="Arial" w:cs="Arial"/>
          <w:sz w:val="22"/>
          <w:szCs w:val="22"/>
          <w:lang w:eastAsia="es-ES" w:bidi="ar-SA"/>
        </w:rPr>
        <w:t>venían recaudándose. Los adquirentes de parcelas, dentro del mes d</w:t>
      </w:r>
      <w:r>
        <w:rPr>
          <w:rFonts w:ascii="Arial" w:eastAsia="Times New Roman" w:hAnsi="Arial" w:cs="Arial"/>
          <w:sz w:val="22"/>
          <w:szCs w:val="22"/>
          <w:lang w:eastAsia="es-ES" w:bidi="ar-SA"/>
        </w:rPr>
        <w:t>e su adquisición, quedan obligados de comunicar a la EUC su</w:t>
      </w:r>
      <w:r>
        <w:rPr>
          <w:rFonts w:ascii="Arial" w:eastAsia="Times New Roman" w:hAnsi="Arial" w:cs="Arial"/>
          <w:b/>
          <w:sz w:val="22"/>
          <w:szCs w:val="22"/>
          <w:lang w:eastAsia="es-ES" w:bidi="ar-SA"/>
        </w:rPr>
        <w:t xml:space="preserve"> </w:t>
      </w:r>
      <w:r>
        <w:rPr>
          <w:rFonts w:ascii="Arial" w:eastAsia="Times New Roman" w:hAnsi="Arial" w:cs="Arial"/>
          <w:sz w:val="22"/>
          <w:szCs w:val="22"/>
          <w:lang w:eastAsia="es-ES" w:bidi="ar-SA"/>
        </w:rPr>
        <w:t>condición de nuevos propietarios mediante el acompañamiento de la escritura pública acreditativa de dicha adquisición. El incumplimiento de esta obligación, permitirá igualmente a la EUC exigir el</w:t>
      </w:r>
      <w:r>
        <w:rPr>
          <w:rFonts w:ascii="Arial" w:eastAsia="Times New Roman" w:hAnsi="Arial" w:cs="Arial"/>
          <w:sz w:val="22"/>
          <w:szCs w:val="22"/>
          <w:lang w:eastAsia="es-ES" w:bidi="ar-SA"/>
        </w:rPr>
        <w:t xml:space="preserve"> abono de las cuotas que correspondan a partir de la adquisición de la propiedad, así como su reclamación en vía ejecutiva a través de los ayuntamientos.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todo caso, de conformidad con la legislación urbanística vigente, la responsabilidad de los propiet</w:t>
      </w:r>
      <w:r>
        <w:rPr>
          <w:rFonts w:ascii="Arial" w:eastAsia="Times New Roman" w:hAnsi="Arial" w:cs="Arial"/>
          <w:sz w:val="22"/>
          <w:szCs w:val="22"/>
          <w:lang w:val="es" w:eastAsia="es-ES" w:bidi="ar-SA"/>
        </w:rPr>
        <w:t>arios frente a la Entidad de Conservación tendrá carácter real, respondiendo por ello las fincas de las que sean titulares en cada momento de las obligaciones asumidas por aquéllos ante la Entidad.</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8º.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Derechos: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a).</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El uso y disfrute de los </w:t>
      </w:r>
      <w:r>
        <w:rPr>
          <w:rFonts w:ascii="Arial" w:eastAsia="Times New Roman" w:hAnsi="Arial" w:cs="Arial"/>
          <w:sz w:val="22"/>
          <w:szCs w:val="22"/>
          <w:lang w:val="es" w:eastAsia="es-ES" w:bidi="ar-SA"/>
        </w:rPr>
        <w:t>servicios y pertenencias comunes de acuerdo con su naturaleza y las normas y ordenanzas que regulen el ejercicio de estos derechos, cuando las hubiere.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b).- Ser elector y elegible para los cargos de los distintos órganos de la Entidad de Conservación. </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c).</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Asistir a las reuniones de la Asamblea General, e intervenir en la adopción de acuerdos con voz y el voto proporcional al coeficiente de participación económica asignado a las parcelas respectivas.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Para el ejercicio del derecho al voto, los propietarios </w:t>
      </w:r>
      <w:r>
        <w:rPr>
          <w:rFonts w:ascii="Arial" w:eastAsia="Times New Roman" w:hAnsi="Arial" w:cs="Arial"/>
          <w:sz w:val="22"/>
          <w:szCs w:val="22"/>
          <w:lang w:val="es" w:eastAsia="es-ES" w:bidi="ar-SA"/>
        </w:rPr>
        <w:t xml:space="preserve">deben estar al corriente de pago de las cuotas vencidas, que tendrán derecho a voz pero no al voto. Están exceptuados los casos en que las hayan impugnado y hayan garantizado el pago, o bien, las hayan consignado notarialmente o judicialmente. </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d).</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Solici</w:t>
      </w:r>
      <w:r>
        <w:rPr>
          <w:rFonts w:ascii="Arial" w:eastAsia="Times New Roman" w:hAnsi="Arial" w:cs="Arial"/>
          <w:sz w:val="22"/>
          <w:szCs w:val="22"/>
          <w:lang w:val="es" w:eastAsia="es-ES" w:bidi="ar-SA"/>
        </w:rPr>
        <w:t>tar la intervención de los órganos de la Entidad de Conservación para dirimir las diferencias que pudieran surgir con otros propietarios de la urbanización.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e).</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Obtener copia y certificaciones acreditativas de los acuerdos sociales, consultar los archivos</w:t>
      </w:r>
      <w:r>
        <w:rPr>
          <w:rFonts w:ascii="Arial" w:eastAsia="Times New Roman" w:hAnsi="Arial" w:cs="Arial"/>
          <w:sz w:val="22"/>
          <w:szCs w:val="22"/>
          <w:lang w:val="es" w:eastAsia="es-ES" w:bidi="ar-SA"/>
        </w:rPr>
        <w:t xml:space="preserve"> y registro de la Entidad y cuanta información requieran de la misma y de sus órganos.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f).</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Presentar propuestas y sugerencias.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g).</w:t>
      </w:r>
      <w:r>
        <w:rPr>
          <w:rFonts w:ascii="Cambria Math" w:eastAsia="Times New Roman" w:hAnsi="Cambria Math" w:cs="Cambria Math"/>
          <w:sz w:val="22"/>
          <w:szCs w:val="22"/>
          <w:lang w:val="es" w:eastAsia="es-ES" w:bidi="ar-SA"/>
        </w:rPr>
        <w:t xml:space="preserve">‐ </w:t>
      </w:r>
      <w:r>
        <w:rPr>
          <w:rFonts w:ascii="Arial" w:eastAsia="Lucida Sans Unicode" w:hAnsi="Arial" w:cs="Arial"/>
          <w:sz w:val="22"/>
          <w:lang w:bidi="ar-SA"/>
        </w:rPr>
        <w:t xml:space="preserve"> </w:t>
      </w:r>
      <w:r>
        <w:rPr>
          <w:rFonts w:ascii="Arial" w:eastAsia="Times New Roman" w:hAnsi="Arial" w:cs="Arial"/>
          <w:sz w:val="22"/>
          <w:szCs w:val="22"/>
          <w:lang w:val="es" w:eastAsia="es-ES" w:bidi="ar-SA"/>
        </w:rPr>
        <w:t>Ser notificados electrónicamente de los acuerdos adoptados por los órganos de Gobierno y administración, así como notifica</w:t>
      </w:r>
      <w:r>
        <w:rPr>
          <w:rFonts w:ascii="Arial" w:eastAsia="Times New Roman" w:hAnsi="Arial" w:cs="Arial"/>
          <w:sz w:val="22"/>
          <w:szCs w:val="22"/>
          <w:lang w:val="es" w:eastAsia="es-ES" w:bidi="ar-SA"/>
        </w:rPr>
        <w:t>rles electrónicamente de cuantas actividades afecten a la Entidad, y de cualquier asunto que les concierne en relación a sus intereses.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h)- Ser atendidos por la/el Gerente de la EUC para consultarle y asesorarse de cuantos asuntos le afecten como miembros </w:t>
      </w:r>
      <w:r>
        <w:rPr>
          <w:rFonts w:ascii="Arial" w:eastAsia="Times New Roman" w:hAnsi="Arial" w:cs="Arial"/>
          <w:sz w:val="22"/>
          <w:szCs w:val="22"/>
          <w:lang w:val="es" w:eastAsia="es-ES" w:bidi="ar-SA"/>
        </w:rPr>
        <w:t xml:space="preserve">de la presente EUC y en relación al Polígono donde se encuentran. Los miembros de la entidad no tendrán asesoramiento técnico-jurídico de los asuntos e intereses privados que nada tengan que ver con el objeto y fines de esta EUC.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i) Ejercer cualquier dere</w:t>
      </w:r>
      <w:r>
        <w:rPr>
          <w:rFonts w:ascii="Arial" w:eastAsia="Times New Roman" w:hAnsi="Arial" w:cs="Arial"/>
          <w:sz w:val="22"/>
          <w:szCs w:val="22"/>
          <w:lang w:val="es" w:eastAsia="es-ES" w:bidi="ar-SA"/>
        </w:rPr>
        <w:t>cho derivado de los presentes Estatutos y disposiciones legales aplicables.</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9º.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Obligaciones: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a).</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Cumplir los Estatutos, los reglamentos aprobados por la Asamblea General para el uso y disfrute de las instalaciones y servicios comunes y los de</w:t>
      </w:r>
      <w:r>
        <w:rPr>
          <w:rFonts w:ascii="Arial" w:eastAsia="Times New Roman" w:hAnsi="Arial" w:cs="Arial"/>
          <w:sz w:val="22"/>
          <w:szCs w:val="22"/>
          <w:lang w:val="es" w:eastAsia="es-ES" w:bidi="ar-SA"/>
        </w:rPr>
        <w:t>más acuerdos válidamente adoptados por los órganos rectores de la entidad, en el ámbito de sus respectivas competencias.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 Abonar, dentro de los plazos establecidos, las cuotas establecidas proporcionalmente en los presentes estatutos, o bien, las estab</w:t>
      </w:r>
      <w:r>
        <w:rPr>
          <w:rFonts w:ascii="Arial" w:eastAsia="Times New Roman" w:hAnsi="Arial" w:cs="Arial"/>
          <w:sz w:val="22"/>
          <w:szCs w:val="22"/>
          <w:lang w:val="es" w:eastAsia="es-ES" w:bidi="ar-SA"/>
        </w:rPr>
        <w:t>lecidas por la Asamblea General, en caso de modificación. Asimismo, están obligados, en los mismos términos, al abono de las derramas que con carácter ordinario o extraordinario se establezcan por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La obligación de contribuir a los </w:t>
      </w:r>
      <w:r>
        <w:rPr>
          <w:rFonts w:ascii="Arial" w:eastAsia="Times New Roman" w:hAnsi="Arial" w:cs="Arial"/>
          <w:sz w:val="22"/>
          <w:szCs w:val="22"/>
          <w:lang w:val="es" w:eastAsia="es-ES" w:bidi="ar-SA"/>
        </w:rPr>
        <w:t>gastos establecidos por la EUC en las proporciones y condiciones fijadas por estos Estatutos, o por las que determine la Asamblea General, corresponderá en todo caso, con independencia de que las parcelas estuviesen sin edificar o los inmuebles sin habitar</w:t>
      </w:r>
      <w:r>
        <w:rPr>
          <w:rFonts w:ascii="Arial" w:eastAsia="Times New Roman" w:hAnsi="Arial" w:cs="Arial"/>
          <w:sz w:val="22"/>
          <w:szCs w:val="22"/>
          <w:lang w:val="es" w:eastAsia="es-ES" w:bidi="ar-SA"/>
        </w:rPr>
        <w:t>, sin alquilar, o ocupados ilegalmente, unas y otros, aun tratándose de causas de fuerza mayor, a todos los propietarios de las parcelas. No será admisible la renuncia a los bienes de uso común, o a los servicios comunes asumidos y acordados por la Entidad</w:t>
      </w:r>
      <w:r>
        <w:rPr>
          <w:rFonts w:ascii="Arial" w:eastAsia="Times New Roman" w:hAnsi="Arial" w:cs="Arial"/>
          <w:sz w:val="22"/>
          <w:szCs w:val="22"/>
          <w:lang w:val="es" w:eastAsia="es-ES" w:bidi="ar-SA"/>
        </w:rPr>
        <w:t>, así como la declaración de no participar en ellos o de privarse de tales servicios a los solos efectos de eximirse del pago de cuotas participación en los gastos comunes.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c).</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Comunicar a la entidad las transmisiones realizadas por los propietarios en lo</w:t>
      </w:r>
      <w:r>
        <w:rPr>
          <w:rFonts w:ascii="Arial" w:eastAsia="Times New Roman" w:hAnsi="Arial" w:cs="Arial"/>
          <w:sz w:val="22"/>
          <w:szCs w:val="22"/>
          <w:lang w:val="es" w:eastAsia="es-ES" w:bidi="ar-SA"/>
        </w:rPr>
        <w:t>s términos establecidos en el artículo 7 de los presentes estatutos.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d).- Comunicar cualquier tipo de modificación que afecte a las parcelas/solares/inmuebles de su titularidad, como pudiera ser la división horizontal de una parcela, la construcción de una</w:t>
      </w:r>
      <w:r>
        <w:rPr>
          <w:rFonts w:ascii="Arial" w:eastAsia="Times New Roman" w:hAnsi="Arial" w:cs="Arial"/>
          <w:sz w:val="22"/>
          <w:szCs w:val="22"/>
          <w:lang w:val="es" w:eastAsia="es-ES" w:bidi="ar-SA"/>
        </w:rPr>
        <w:t xml:space="preserve"> nave industrial, la segregación de una finca o cualquier de las parcelas, que pudiera afectar a la superficie contable a los efectos del cómputo de la cuota establecida. Deberá comunicarse a la entidad en el plazo de un mes. El incumplimiento de dicha obl</w:t>
      </w:r>
      <w:r>
        <w:rPr>
          <w:rFonts w:ascii="Arial" w:eastAsia="Times New Roman" w:hAnsi="Arial" w:cs="Arial"/>
          <w:sz w:val="22"/>
          <w:szCs w:val="22"/>
          <w:lang w:val="es" w:eastAsia="es-ES" w:bidi="ar-SA"/>
        </w:rPr>
        <w:t xml:space="preserve">igación, no será una condición para la regularización y exigencia de las cuotas que deberán de abonarse a la entidad.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 Proporcionar a la entidad urbanística el correo electrónico correspondiente como medio de notificación oficial, así como cualquier c</w:t>
      </w:r>
      <w:r>
        <w:rPr>
          <w:rFonts w:ascii="Arial" w:eastAsia="Times New Roman" w:hAnsi="Arial" w:cs="Arial"/>
          <w:sz w:val="22"/>
          <w:szCs w:val="22"/>
          <w:lang w:val="es" w:eastAsia="es-ES" w:bidi="ar-SA"/>
        </w:rPr>
        <w:t>ambio que pudiera existir, a los efectos de mantener actualizados los datos de contacto. Además de tener actualizados los domicilios, a efectos de la entidad, de cada uno de los propietarios (en su defecto, se considerará, el de la propiedad existente en e</w:t>
      </w:r>
      <w:r>
        <w:rPr>
          <w:rFonts w:ascii="Arial" w:eastAsia="Times New Roman" w:hAnsi="Arial" w:cs="Arial"/>
          <w:sz w:val="22"/>
          <w:szCs w:val="22"/>
          <w:lang w:val="es" w:eastAsia="es-ES" w:bidi="ar-SA"/>
        </w:rPr>
        <w:t xml:space="preserve">l ámbito de la Entidad).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f).- Proporcionar y facilitar a la entidad toda aquella documentación que contenga información y datos registrales y catastrales que pudieran ser necesarios para la correcta gestión de esta entidad urbanística de conservación. En </w:t>
      </w:r>
      <w:r>
        <w:rPr>
          <w:rFonts w:ascii="Arial" w:eastAsia="Times New Roman" w:hAnsi="Arial" w:cs="Arial"/>
          <w:sz w:val="22"/>
          <w:szCs w:val="22"/>
          <w:lang w:val="es" w:eastAsia="es-ES" w:bidi="ar-SA"/>
        </w:rPr>
        <w:t>caso de no presentar la documentación solicitada o bien, se considere que existen obstáculos en relación a facilitar dicha información, la cuestión será resuelta en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g).- Mantener en buen estado de conservación las fincas privativas, re</w:t>
      </w:r>
      <w:r>
        <w:rPr>
          <w:rFonts w:ascii="Arial" w:eastAsia="Times New Roman" w:hAnsi="Arial" w:cs="Arial"/>
          <w:sz w:val="22"/>
          <w:szCs w:val="22"/>
          <w:lang w:val="es" w:eastAsia="es-ES" w:bidi="ar-SA"/>
        </w:rPr>
        <w:t>sarciendo cualquier daño que ocasionen en las obras e instalaciones conservadas por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h).- Cumplir los acuerdos adoptados por la Asamblea General y la Junta General, sin perjuicio de los recursos a que hubiere lugar.</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i).</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Facilitar el acceso a la</w:t>
      </w:r>
      <w:r>
        <w:rPr>
          <w:rFonts w:ascii="Arial" w:eastAsia="Times New Roman" w:hAnsi="Arial" w:cs="Arial"/>
          <w:sz w:val="22"/>
          <w:szCs w:val="22"/>
          <w:lang w:val="es" w:eastAsia="es-ES" w:bidi="ar-SA"/>
        </w:rPr>
        <w:t>s fincas privativas, previa comunicación al propietario, siempre que así lo requieran las actividades de conservación de la entidad, sin perjuicio de que, en todo caso, las actuaciones se realicen ocasionando las menores molestias y daños que sea posible y</w:t>
      </w:r>
      <w:r>
        <w:rPr>
          <w:rFonts w:ascii="Arial" w:eastAsia="Times New Roman" w:hAnsi="Arial" w:cs="Arial"/>
          <w:sz w:val="22"/>
          <w:szCs w:val="22"/>
          <w:lang w:val="es" w:eastAsia="es-ES" w:bidi="ar-SA"/>
        </w:rPr>
        <w:t xml:space="preserve"> resarciendo los que singularmente se produjeren.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j).</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Cumplir con todas las obligaciones que se deriven de la aplicación y eficacia de los presentes Estatutos y de las disposiciones legales que sean de aplicación.</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10º.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w:t>
      </w:r>
      <w:r>
        <w:rPr>
          <w:rFonts w:ascii="Arial" w:eastAsia="Lucida Sans Unicode" w:hAnsi="Arial" w:cs="Arial"/>
          <w:b/>
          <w:sz w:val="22"/>
          <w:szCs w:val="22"/>
          <w:lang w:bidi="ar-SA"/>
        </w:rPr>
        <w:t>De los miembros de natural</w:t>
      </w:r>
      <w:r>
        <w:rPr>
          <w:rFonts w:ascii="Arial" w:eastAsia="Lucida Sans Unicode" w:hAnsi="Arial" w:cs="Arial"/>
          <w:b/>
          <w:sz w:val="22"/>
          <w:szCs w:val="22"/>
          <w:lang w:bidi="ar-SA"/>
        </w:rPr>
        <w:t>eza constitutiva: Cabildo de Tenerife,</w:t>
      </w:r>
      <w:r>
        <w:rPr>
          <w:rFonts w:ascii="Arial" w:eastAsia="Times New Roman" w:hAnsi="Arial" w:cs="Arial"/>
          <w:b/>
          <w:sz w:val="22"/>
          <w:szCs w:val="22"/>
          <w:lang w:val="es" w:eastAsia="es-ES" w:bidi="ar-SA"/>
        </w:rPr>
        <w:t xml:space="preserve"> </w:t>
      </w:r>
      <w:r>
        <w:rPr>
          <w:rFonts w:ascii="Arial" w:eastAsia="Lucida Sans Unicode" w:hAnsi="Arial" w:cs="Arial"/>
          <w:b/>
          <w:sz w:val="22"/>
          <w:szCs w:val="22"/>
          <w:lang w:val="es" w:bidi="ar-SA"/>
        </w:rPr>
        <w:t>Arafo, Candelaria y Güímar</w:t>
      </w:r>
      <w:r>
        <w:rPr>
          <w:rFonts w:ascii="Arial" w:eastAsia="Lucida Sans Unicode" w:hAnsi="Arial" w:cs="Arial"/>
          <w:b/>
          <w:sz w:val="22"/>
          <w:szCs w:val="22"/>
          <w:lang w:bidi="ar-SA"/>
        </w:rPr>
        <w:t>:</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1.- El Cabildo de Tenerife y los Ayuntamientos actuantes de Arafo, Candelaria y Güímar ejercerán las funciones determinadas en los presentes estatutos, así como todas aquellas determinadas </w:t>
      </w:r>
      <w:r>
        <w:rPr>
          <w:rFonts w:ascii="Arial" w:eastAsia="Times New Roman" w:hAnsi="Arial" w:cs="Arial"/>
          <w:sz w:val="22"/>
          <w:szCs w:val="22"/>
          <w:lang w:val="es" w:eastAsia="es-ES" w:bidi="ar-SA"/>
        </w:rPr>
        <w:t>legal y reglamentariamente.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2.- En el supuesto de que fuera, asimismo, titular de parcelas lucrativas o no lucrativas con coeficiente de participación en los gastos asignados, sus derechos y obligaciones, en este aspecto concreto, serán los correspondiente</w:t>
      </w:r>
      <w:r>
        <w:rPr>
          <w:rFonts w:ascii="Arial" w:eastAsia="Times New Roman" w:hAnsi="Arial" w:cs="Arial"/>
          <w:sz w:val="22"/>
          <w:szCs w:val="22"/>
          <w:lang w:val="es" w:eastAsia="es-ES" w:bidi="ar-SA"/>
        </w:rPr>
        <w:t>s a cualquier propietario miembro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3.- Facilitarán la comunicación y gestión de la Entidad Urbanística de Conservación, a través de su representante, con las administraciones intervinientes.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4.- En caso de discrepancias entre los propietarios</w:t>
      </w:r>
      <w:r>
        <w:rPr>
          <w:rFonts w:ascii="Arial" w:eastAsia="Times New Roman" w:hAnsi="Arial" w:cs="Arial"/>
          <w:sz w:val="22"/>
          <w:szCs w:val="22"/>
          <w:lang w:val="es" w:eastAsia="es-ES" w:bidi="ar-SA"/>
        </w:rPr>
        <w:t xml:space="preserve"> y los ayuntamientos, en lo que se refiere a asuntos de competencia de la Entidad Urbanística de Conservación, el Cabildo de Tenerife tendrá la obligación de dirimir entre ambos para que se llegue a un acuerdo con el máximo decoro y respeto. De no ser así,</w:t>
      </w:r>
      <w:r>
        <w:rPr>
          <w:rFonts w:ascii="Arial" w:eastAsia="Times New Roman" w:hAnsi="Arial" w:cs="Arial"/>
          <w:sz w:val="22"/>
          <w:szCs w:val="22"/>
          <w:lang w:val="es" w:eastAsia="es-ES" w:bidi="ar-SA"/>
        </w:rPr>
        <w:t xml:space="preserve"> será el Cabildo el que tomará la decisión más ajustada a derecho atendiendo a razones de interés general.</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CAPÍTULO III</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Financiación de la Entidad Urbanística de Conservación:</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11º.- Financiación pública-privada:</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De conformidad con el artículo 266</w:t>
      </w:r>
      <w:r>
        <w:rPr>
          <w:rFonts w:ascii="Arial" w:eastAsia="Times New Roman" w:hAnsi="Arial" w:cs="Arial"/>
          <w:sz w:val="22"/>
          <w:szCs w:val="22"/>
          <w:lang w:val="es" w:eastAsia="es-ES" w:bidi="ar-SA"/>
        </w:rPr>
        <w:t xml:space="preserve">.4.c) de la Ley 4/2017 </w:t>
      </w:r>
      <w:r>
        <w:rPr>
          <w:rFonts w:ascii="Arial" w:eastAsia="Times New Roman" w:hAnsi="Arial" w:cs="Arial"/>
          <w:sz w:val="22"/>
          <w:szCs w:val="22"/>
          <w:lang w:eastAsia="es-ES" w:bidi="ar-SA"/>
        </w:rPr>
        <w:t>de 13 de julio, del Suelo y de los Espacios Naturales Protegidos de Canarias,</w:t>
      </w:r>
      <w:r>
        <w:rPr>
          <w:rFonts w:ascii="Verdana" w:eastAsia="Lucida Sans Unicode" w:hAnsi="Verdana" w:cs="Times New Roman"/>
          <w:color w:val="000000"/>
          <w:sz w:val="22"/>
          <w:shd w:val="clear" w:color="auto" w:fill="FFFFFF"/>
          <w:lang w:bidi="ar-SA"/>
        </w:rPr>
        <w:t xml:space="preserve"> </w:t>
      </w:r>
      <w:r>
        <w:rPr>
          <w:rFonts w:ascii="Arial" w:eastAsia="Times New Roman" w:hAnsi="Arial" w:cs="Arial"/>
          <w:sz w:val="22"/>
          <w:szCs w:val="22"/>
          <w:lang w:eastAsia="es-ES" w:bidi="ar-SA"/>
        </w:rPr>
        <w:t>la participación de los propietarios en los gastos de conservación se determinará a tenor de lo que dispongan los estatutos de la entidad urbanística de co</w:t>
      </w:r>
      <w:r>
        <w:rPr>
          <w:rFonts w:ascii="Arial" w:eastAsia="Times New Roman" w:hAnsi="Arial" w:cs="Arial"/>
          <w:sz w:val="22"/>
          <w:szCs w:val="22"/>
          <w:lang w:eastAsia="es-ES" w:bidi="ar-SA"/>
        </w:rPr>
        <w:t>nservación.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Entidad Urbanística de Conservación “EUC Polígono Valle Güímar” se financiará por el Cabildo de Tenerife, por los Ayuntamientos y por las cuotas de los propietarios de las parcelas/solares/inmuebles situados en el ámbito territorial definido</w:t>
      </w:r>
      <w:r>
        <w:rPr>
          <w:rFonts w:ascii="Arial" w:eastAsia="Times New Roman" w:hAnsi="Arial" w:cs="Arial"/>
          <w:sz w:val="22"/>
          <w:szCs w:val="22"/>
          <w:lang w:val="es" w:eastAsia="es-ES" w:bidi="ar-SA"/>
        </w:rPr>
        <w:t xml:space="preserve"> del Polígono Industrial Valle de Güímar y del listado de propietarios identificados al momento de la aprobación de los presentes estatutos.</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La financiación se calculará en función del importe que se pretenda recaudar para la conservación y mantenimiento </w:t>
      </w:r>
      <w:r>
        <w:rPr>
          <w:rFonts w:ascii="Arial" w:eastAsia="Times New Roman" w:hAnsi="Arial" w:cs="Arial"/>
          <w:sz w:val="22"/>
          <w:szCs w:val="22"/>
          <w:lang w:val="es" w:eastAsia="es-ES" w:bidi="ar-SA"/>
        </w:rPr>
        <w:t>del polígono industrial por acuerdo de la Asamblea General, siendo la siguiente participación:</w:t>
      </w: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Cabildo de Tenerife y Ayuntamientos 55%</w:t>
      </w: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Cuotas de los propietarios 45%</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En ningún caso el porcentaje de participación económica del Cabildo de Tenerife y de los </w:t>
      </w:r>
      <w:r>
        <w:rPr>
          <w:rFonts w:ascii="Arial" w:eastAsia="Times New Roman" w:hAnsi="Arial" w:cs="Arial"/>
          <w:sz w:val="22"/>
          <w:szCs w:val="22"/>
          <w:lang w:val="es" w:eastAsia="es-ES" w:bidi="ar-SA"/>
        </w:rPr>
        <w:t>ayuntamientos podrá ser superior al 55% del total de la previsión de ingresos de la entidad, estableciéndose éste como un máximo.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cualquier caso, la Asamblea General, podrá modificar el porcentaje de participación en la financiación, minorando el de las</w:t>
      </w:r>
      <w:r>
        <w:rPr>
          <w:rFonts w:ascii="Arial" w:eastAsia="Times New Roman" w:hAnsi="Arial" w:cs="Arial"/>
          <w:sz w:val="22"/>
          <w:szCs w:val="22"/>
          <w:lang w:val="es" w:eastAsia="es-ES" w:bidi="ar-SA"/>
        </w:rPr>
        <w:t xml:space="preserve"> administraciones públicas intervinientes y aumentando el de los propietarios, que repercutirá también de forma proporcional en el grado de participación de los representantes del Cabildo en los órganos de gobierno, así como en la cuota de participación de</w:t>
      </w:r>
      <w:r>
        <w:rPr>
          <w:rFonts w:ascii="Arial" w:eastAsia="Times New Roman" w:hAnsi="Arial" w:cs="Arial"/>
          <w:sz w:val="22"/>
          <w:szCs w:val="22"/>
          <w:lang w:val="es" w:eastAsia="es-ES" w:bidi="ar-SA"/>
        </w:rPr>
        <w:t>l voto en la toma de decisiones.</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12º.- Participación del Cabildo de Tenerife: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El Cabildo y los Ayuntamientos de Arafo, Candelaria y Güímar aportarán cada año el 55% del importe total que se pretenda recaudar anualmente por la Entidad de Conservaci</w:t>
      </w:r>
      <w:r>
        <w:rPr>
          <w:rFonts w:ascii="Arial" w:eastAsia="Times New Roman" w:hAnsi="Arial" w:cs="Arial"/>
          <w:sz w:val="22"/>
          <w:szCs w:val="22"/>
          <w:lang w:val="es" w:eastAsia="es-ES" w:bidi="ar-SA"/>
        </w:rPr>
        <w:t xml:space="preserve">ón, correspondiendo un 45% el importe recaudado por cuotas de participación de los propietarios. En ningún caso, el importe a consignar por el Cabildo y los ayuntamientos podrá ser superior al importe consignado el primer año de la creación de la EUC, que </w:t>
      </w:r>
      <w:r>
        <w:rPr>
          <w:rFonts w:ascii="Arial" w:eastAsia="Times New Roman" w:hAnsi="Arial" w:cs="Arial"/>
          <w:sz w:val="22"/>
          <w:szCs w:val="22"/>
          <w:lang w:val="es" w:eastAsia="es-ES" w:bidi="ar-SA"/>
        </w:rPr>
        <w:t>tendrá en todo caso y para todos los años, el carácter de máximo.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Este mismo porcentaje de participación será tenido en cuenta en la representación del Cabildo de Tenerife y los ayuntamientos en los órganos de gobierno, así como en la cuota de participació</w:t>
      </w:r>
      <w:r>
        <w:rPr>
          <w:rFonts w:ascii="Arial" w:eastAsia="Times New Roman" w:hAnsi="Arial" w:cs="Arial"/>
          <w:sz w:val="22"/>
          <w:szCs w:val="22"/>
          <w:lang w:val="es" w:eastAsia="es-ES" w:bidi="ar-SA"/>
        </w:rPr>
        <w:t>n del voto en la toma de decisiones que será proporcional a su aportación económica. En cualquier caso, el sentido de la votación de la Corporación Insular se realizará siempre en aras al interés público y si fuera necesario, se contará con el correspondie</w:t>
      </w:r>
      <w:r>
        <w:rPr>
          <w:rFonts w:ascii="Arial" w:eastAsia="Times New Roman" w:hAnsi="Arial" w:cs="Arial"/>
          <w:sz w:val="22"/>
          <w:szCs w:val="22"/>
          <w:lang w:val="es" w:eastAsia="es-ES" w:bidi="ar-SA"/>
        </w:rPr>
        <w:t>nte asesoramiento técnico-jurídico.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Cualquier toma de decisión por los órganos de gobierno de la Entidad Urbanística de Conservación, que afecte a la consignación económica del Cabildo de Tenerife o de los Ayuntamientos implicados, ya sea respecto a la for</w:t>
      </w:r>
      <w:r>
        <w:rPr>
          <w:rFonts w:ascii="Arial" w:eastAsia="Times New Roman" w:hAnsi="Arial" w:cs="Arial"/>
          <w:sz w:val="22"/>
          <w:szCs w:val="22"/>
          <w:lang w:val="es" w:eastAsia="es-ES" w:bidi="ar-SA"/>
        </w:rPr>
        <w:t>ma de financiación, a una modificación al alza o a la baja de su importe, porcentaje o cualquier tipo de decisión que afecte a la carga presupuestaria de la Corporación Insular, u otro tipo, deberá contar en todo caso con el voto favorable unánime de todos</w:t>
      </w:r>
      <w:r>
        <w:rPr>
          <w:rFonts w:ascii="Arial" w:eastAsia="Times New Roman" w:hAnsi="Arial" w:cs="Arial"/>
          <w:sz w:val="22"/>
          <w:szCs w:val="22"/>
          <w:lang w:val="es" w:eastAsia="es-ES" w:bidi="ar-SA"/>
        </w:rPr>
        <w:t xml:space="preserve"> los representantes designados por el Cabildo de Tenerife o por las Administraciones municipales.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aportación económica el primer año de constitución, que será, para todas las anualidades, siempre un máximo que no podrá superarse, por parte del Cabildo d</w:t>
      </w:r>
      <w:r>
        <w:rPr>
          <w:rFonts w:ascii="Arial" w:eastAsia="Times New Roman" w:hAnsi="Arial" w:cs="Arial"/>
          <w:sz w:val="22"/>
          <w:szCs w:val="22"/>
          <w:lang w:val="es" w:eastAsia="es-ES" w:bidi="ar-SA"/>
        </w:rPr>
        <w:t>e Tenerife, para el año 2025 será la siguiente:</w:t>
      </w: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DOSCIENTOS MIL EUROS (200.000,00 €) como subvención nominativa por Resolución del Consejero con competencias en industria con cargo a los presupuestos del Cabildo de Tenerife del 2025.</w:t>
      </w:r>
    </w:p>
    <w:p w:rsidR="00061CF1" w:rsidRDefault="00061CF1">
      <w:pPr>
        <w:suppressAutoHyphens w:val="0"/>
        <w:autoSpaceDE w:val="0"/>
        <w:spacing w:before="180" w:after="180" w:line="276" w:lineRule="auto"/>
        <w:ind w:left="720"/>
        <w:jc w:val="both"/>
        <w:textAlignment w:val="auto"/>
        <w:rPr>
          <w:rFonts w:ascii="Arial" w:eastAsia="Times New Roman" w:hAnsi="Arial" w:cs="Arial"/>
          <w:kern w:val="0"/>
          <w:sz w:val="22"/>
          <w:szCs w:val="22"/>
          <w:lang w:val="es" w:eastAsia="es-ES" w:bidi="ar-SA"/>
        </w:rPr>
      </w:pPr>
    </w:p>
    <w:p w:rsidR="00061CF1" w:rsidRDefault="004E6D5A">
      <w:pPr>
        <w:numPr>
          <w:ilvl w:val="0"/>
          <w:numId w:val="16"/>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DOSCIENTOS CINCUENTA M</w:t>
      </w:r>
      <w:r>
        <w:rPr>
          <w:rFonts w:ascii="Arial" w:eastAsia="Times New Roman" w:hAnsi="Arial" w:cs="Arial"/>
          <w:kern w:val="0"/>
          <w:sz w:val="22"/>
          <w:szCs w:val="22"/>
          <w:lang w:val="es" w:eastAsia="es-ES" w:bidi="ar-SA"/>
        </w:rPr>
        <w:t>IL EUROS (250.000,00 €) aportación por la Asociación Mixta Polígono de Güímar (en disolución), conforme compromisos adquiridos.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 xml:space="preserve">Sin perjuicio de los acuerdos económicos que realicen las administraciones públicas referidas, y siempre en cumplimiento de los </w:t>
      </w:r>
      <w:r>
        <w:rPr>
          <w:rFonts w:ascii="Arial" w:eastAsia="Times New Roman" w:hAnsi="Arial" w:cs="Arial"/>
          <w:sz w:val="22"/>
          <w:szCs w:val="22"/>
          <w:lang w:val="es" w:eastAsia="es-ES" w:bidi="ar-SA"/>
        </w:rPr>
        <w:t xml:space="preserve">principios de estabilidad presupuestaria y sostenibilidad financiera, para los años sucesivos a la constitución de la entidad, las administraciones públicas intervinientes, aportarán ese 55% de financiación establecidos en los presentes estatutos que, por </w:t>
      </w:r>
      <w:r>
        <w:rPr>
          <w:rFonts w:ascii="Arial" w:eastAsia="Times New Roman" w:hAnsi="Arial" w:cs="Arial"/>
          <w:sz w:val="22"/>
          <w:szCs w:val="22"/>
          <w:lang w:val="es" w:eastAsia="es-ES" w:bidi="ar-SA"/>
        </w:rPr>
        <w:t>agilidad y celeridad procedimental se hará a través de una única administración, que será el Cabildo de Tenerife, dentro de los tres primeros meses de cada año natural, previa memoria económica presentada por la Entidad Urbanística de Conservación.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Si la a</w:t>
      </w:r>
      <w:r>
        <w:rPr>
          <w:rFonts w:ascii="Arial" w:eastAsia="Times New Roman" w:hAnsi="Arial" w:cs="Arial"/>
          <w:sz w:val="22"/>
          <w:szCs w:val="22"/>
          <w:lang w:val="es" w:eastAsia="es-ES" w:bidi="ar-SA"/>
        </w:rPr>
        <w:t>portación económica en concepto de cuotas de los propietarios se minora, de forma proporcional se minorará la aportación económica del Cabildo y de los Ayuntamientos, con la finalidad de que se mantenga un 55% por aportación económica del Cabildo de Teneri</w:t>
      </w:r>
      <w:r>
        <w:rPr>
          <w:rFonts w:ascii="Arial" w:eastAsia="Times New Roman" w:hAnsi="Arial" w:cs="Arial"/>
          <w:sz w:val="22"/>
          <w:szCs w:val="22"/>
          <w:lang w:val="es" w:eastAsia="es-ES" w:bidi="ar-SA"/>
        </w:rPr>
        <w:t>fe y de los Ayuntamientos y un 45% del resto de</w:t>
      </w:r>
      <w:r>
        <w:rPr>
          <w:rFonts w:ascii="Arial" w:eastAsia="Times New Roman" w:hAnsi="Arial" w:cs="Arial"/>
          <w:b/>
          <w:sz w:val="22"/>
          <w:szCs w:val="22"/>
          <w:lang w:val="es" w:eastAsia="es-ES" w:bidi="ar-SA"/>
        </w:rPr>
        <w:t xml:space="preserve"> </w:t>
      </w:r>
      <w:r>
        <w:rPr>
          <w:rFonts w:ascii="Arial" w:eastAsia="Times New Roman" w:hAnsi="Arial" w:cs="Arial"/>
          <w:sz w:val="22"/>
          <w:szCs w:val="22"/>
          <w:lang w:val="es" w:eastAsia="es-ES" w:bidi="ar-SA"/>
        </w:rPr>
        <w:t>cuotas de los propietarios. Se podrá modificar dicho porcentaje por la Asamblea General.</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13º.- Participación de los Ayuntamientos de Arafo, Candelaria y Güímar:</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Los Ayuntamientos de Arafo, Candelaria</w:t>
      </w:r>
      <w:r>
        <w:rPr>
          <w:rFonts w:ascii="Arial" w:eastAsia="Times New Roman" w:hAnsi="Arial" w:cs="Arial"/>
          <w:sz w:val="22"/>
          <w:szCs w:val="22"/>
          <w:lang w:val="es" w:eastAsia="es-ES" w:bidi="ar-SA"/>
        </w:rPr>
        <w:t xml:space="preserve"> y Güímar, mientras exista la Entidad Urbanística de Conservación, cederán gratuitamente el uso de las oficinas ubicadas en el Edificio Tastusa, en el municipio de Arafo, sin que le corresponda a estas corporaciones locales abonar los gastos corrientes com</w:t>
      </w:r>
      <w:r>
        <w:rPr>
          <w:rFonts w:ascii="Arial" w:eastAsia="Times New Roman" w:hAnsi="Arial" w:cs="Arial"/>
          <w:sz w:val="22"/>
          <w:szCs w:val="22"/>
          <w:lang w:val="es" w:eastAsia="es-ES" w:bidi="ar-SA"/>
        </w:rPr>
        <w:t>o teléfono, internet, agua, luz y similares, que irán a cargo de la Entidad Urbanística de Conservación.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Estos ayuntamientos abonaran las cuotas que les correspondan como propietarios de las parcelas que tengan titularidad como cualquier otro propietario, </w:t>
      </w:r>
      <w:r>
        <w:rPr>
          <w:rFonts w:ascii="Arial" w:eastAsia="Times New Roman" w:hAnsi="Arial" w:cs="Arial"/>
          <w:sz w:val="22"/>
          <w:szCs w:val="22"/>
          <w:lang w:val="es" w:eastAsia="es-ES" w:bidi="ar-SA"/>
        </w:rPr>
        <w:t>y en consecuencia le corresponderá el voto en su proporción económica.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Su participación como representantes municipales en los órganos de gobierno designados de forma directa por los presentes estatutos, tendrán derecho a voz y a voto. Teniendo en cuenta q</w:t>
      </w:r>
      <w:r>
        <w:rPr>
          <w:rFonts w:ascii="Arial" w:eastAsia="Times New Roman" w:hAnsi="Arial" w:cs="Arial"/>
          <w:sz w:val="22"/>
          <w:szCs w:val="22"/>
          <w:lang w:val="es" w:eastAsia="es-ES" w:bidi="ar-SA"/>
        </w:rPr>
        <w:t xml:space="preserve">ue el voto va ligado a la aportación económica por la cual se financia a la entidad.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Las obligaciones y la prestación de servicios por las entidades locales se recogen en la tabla incorporada en el artículo 4 de los presentes estatutos.</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14º.- Cuo</w:t>
      </w:r>
      <w:r>
        <w:rPr>
          <w:rFonts w:ascii="Arial" w:eastAsia="Times New Roman" w:hAnsi="Arial" w:cs="Arial"/>
          <w:b/>
          <w:sz w:val="22"/>
          <w:szCs w:val="22"/>
          <w:lang w:val="es" w:eastAsia="es-ES" w:bidi="ar-SA"/>
        </w:rPr>
        <w:t>tas de participación: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 xml:space="preserve">‐ </w:t>
      </w:r>
      <w:r>
        <w:rPr>
          <w:rFonts w:ascii="Arial" w:eastAsia="Times New Roman" w:hAnsi="Arial" w:cs="Arial"/>
          <w:sz w:val="22"/>
          <w:szCs w:val="22"/>
          <w:lang w:val="es" w:eastAsia="es-ES" w:bidi="ar-SA"/>
        </w:rPr>
        <w:t>Para determinar los derechos y obligaciones de los propietarios, cada titular de parcela/finca/inmueble identificada por la referencia catastral establecida, tendrá una cuota de participación conforme al cálculo establecido en los</w:t>
      </w:r>
      <w:r>
        <w:rPr>
          <w:rFonts w:ascii="Arial" w:eastAsia="Times New Roman" w:hAnsi="Arial" w:cs="Arial"/>
          <w:sz w:val="22"/>
          <w:szCs w:val="22"/>
          <w:lang w:val="es" w:eastAsia="es-ES" w:bidi="ar-SA"/>
        </w:rPr>
        <w:t xml:space="preserve"> presentes estatutos.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2.- La cuota determinará, por un lado, el importe mensual a satisfacer por cada propietario a la entidad urbanística de conservación y, por otro lado, el grado porcentual de participación de cada propietario en los órganos de represen</w:t>
      </w:r>
      <w:r>
        <w:rPr>
          <w:rFonts w:ascii="Arial" w:eastAsia="Times New Roman" w:hAnsi="Arial" w:cs="Arial"/>
          <w:sz w:val="22"/>
          <w:szCs w:val="22"/>
          <w:lang w:val="es" w:eastAsia="es-ES" w:bidi="ar-SA"/>
        </w:rPr>
        <w:t>tación de la entidad en el momento de la votación.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3.- El cálculo de la cuota de participación se ha ideado buscando una fórmula justa y equilibrada </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en función de la fisionomía y especialidad de este polígono, atendiendo a cada referencia catastral, </w:t>
      </w:r>
      <w:r>
        <w:rPr>
          <w:rFonts w:ascii="Arial" w:eastAsia="Times New Roman" w:hAnsi="Arial" w:cs="Arial"/>
          <w:sz w:val="22"/>
          <w:szCs w:val="22"/>
          <w:lang w:val="es" w:eastAsia="es-ES" w:bidi="ar-SA"/>
        </w:rPr>
        <w:t>conforme a los datos existentes en el Catastro como documento oficial. Asimismo, se ha tenido en cuenta la superficie total en metros cuadrados (m2) que posee cada titular, conforme a la referencia catastral, ya esté construido, se encuentre en una propied</w:t>
      </w:r>
      <w:r>
        <w:rPr>
          <w:rFonts w:ascii="Arial" w:eastAsia="Times New Roman" w:hAnsi="Arial" w:cs="Arial"/>
          <w:sz w:val="22"/>
          <w:szCs w:val="22"/>
          <w:lang w:val="es" w:eastAsia="es-ES" w:bidi="ar-SA"/>
        </w:rPr>
        <w:t>ad con división horizontal o sin construir, denominándose a la misma “superficie contable”.</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 xml:space="preserve">4.- La recaudación de las cuotas de participación tendrán naturaleza finalista, es decir, se destinarán exclusivamente a los gastos de conservación y mantenimiento </w:t>
      </w:r>
      <w:r>
        <w:rPr>
          <w:rFonts w:ascii="Arial" w:eastAsia="Times New Roman" w:hAnsi="Arial" w:cs="Arial"/>
          <w:sz w:val="22"/>
          <w:szCs w:val="22"/>
          <w:lang w:val="es" w:eastAsia="es-ES" w:bidi="ar-SA"/>
        </w:rPr>
        <w:t>del ámbito territorial definido en el plano adjunto del Polígono Industrial Valle de Güímar, así como para los gastos estructurales y de personal</w:t>
      </w:r>
      <w:r>
        <w:rPr>
          <w:rFonts w:ascii="Arial" w:eastAsia="Times New Roman" w:hAnsi="Arial" w:cs="Arial"/>
          <w:b/>
          <w:sz w:val="22"/>
          <w:szCs w:val="22"/>
          <w:lang w:val="es" w:eastAsia="es-ES" w:bidi="ar-SA"/>
        </w:rPr>
        <w:t xml:space="preserve"> </w:t>
      </w:r>
      <w:r>
        <w:rPr>
          <w:rFonts w:ascii="Arial" w:eastAsia="Times New Roman" w:hAnsi="Arial" w:cs="Arial"/>
          <w:sz w:val="22"/>
          <w:szCs w:val="22"/>
          <w:lang w:val="es" w:eastAsia="es-ES" w:bidi="ar-SA"/>
        </w:rPr>
        <w:t>propios de la Entidad Urbanística de Conservación.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5.- En todo caso, deberá determinarse el coste total de los</w:t>
      </w:r>
      <w:r>
        <w:rPr>
          <w:rFonts w:ascii="Arial" w:eastAsia="Times New Roman" w:hAnsi="Arial" w:cs="Arial"/>
          <w:sz w:val="22"/>
          <w:szCs w:val="22"/>
          <w:lang w:val="es" w:eastAsia="es-ES" w:bidi="ar-SA"/>
        </w:rPr>
        <w:t xml:space="preserve"> gastos de conservación y mantenimiento del área industrial, en aras a determinar el importe a recaudar y en consecuencia el ajuste de la cuota de cada propietario, todo ello según se determine por la Asamblea General.</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15ª.-  Cálculo de la cuota d</w:t>
      </w:r>
      <w:r>
        <w:rPr>
          <w:rFonts w:ascii="Arial" w:eastAsia="Times New Roman" w:hAnsi="Arial" w:cs="Arial"/>
          <w:b/>
          <w:sz w:val="22"/>
          <w:szCs w:val="22"/>
          <w:lang w:val="es" w:eastAsia="es-ES" w:bidi="ar-SA"/>
        </w:rPr>
        <w:t xml:space="preserve">e participación: </w:t>
      </w:r>
    </w:p>
    <w:p w:rsidR="00061CF1" w:rsidRDefault="004E6D5A">
      <w:pPr>
        <w:shd w:val="clear" w:color="auto" w:fill="FFFFFF"/>
        <w:spacing w:before="120" w:after="160"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El cálculo de la cuota se determinará por los metros cuadrados que tiene cada propietario según su referencia catastral a efectos de lo establecido en el Catastro, denominándose a la misma como “superficie contable”.</w:t>
      </w:r>
    </w:p>
    <w:p w:rsidR="00061CF1" w:rsidRDefault="00061CF1">
      <w:pPr>
        <w:shd w:val="clear" w:color="auto" w:fill="FFFFFF"/>
        <w:spacing w:before="120" w:after="160" w:line="244" w:lineRule="auto"/>
        <w:ind w:right="-8"/>
        <w:jc w:val="both"/>
        <w:textAlignment w:val="auto"/>
        <w:rPr>
          <w:rFonts w:ascii="Arial" w:eastAsia="Lucida Sans Unicode" w:hAnsi="Arial" w:cs="Arial"/>
          <w:bCs/>
          <w:sz w:val="22"/>
          <w:szCs w:val="22"/>
          <w:lang w:bidi="ar-SA"/>
        </w:rPr>
      </w:pPr>
    </w:p>
    <w:p w:rsidR="00061CF1" w:rsidRDefault="004E6D5A">
      <w:pPr>
        <w:shd w:val="clear" w:color="auto" w:fill="FFFFFF"/>
        <w:spacing w:before="120" w:after="160"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 xml:space="preserve">En primer lugar, se </w:t>
      </w:r>
      <w:r>
        <w:rPr>
          <w:rFonts w:ascii="Arial" w:eastAsia="Lucida Sans Unicode" w:hAnsi="Arial" w:cs="Arial"/>
          <w:bCs/>
          <w:sz w:val="22"/>
          <w:szCs w:val="22"/>
          <w:lang w:bidi="ar-SA"/>
        </w:rPr>
        <w:t>debe determinar la superficie contable, que será la base de cálculo, conforme la siguiente tabla:</w:t>
      </w:r>
    </w:p>
    <w:p w:rsidR="00061CF1" w:rsidRDefault="00061CF1">
      <w:pPr>
        <w:shd w:val="clear" w:color="auto" w:fill="FFFFFF"/>
        <w:spacing w:before="120" w:after="160" w:line="244" w:lineRule="auto"/>
        <w:ind w:right="-8"/>
        <w:jc w:val="both"/>
        <w:textAlignment w:val="auto"/>
        <w:rPr>
          <w:rFonts w:ascii="Arial" w:eastAsia="Lucida Sans Unicode" w:hAnsi="Arial" w:cs="Arial"/>
          <w:bCs/>
          <w:sz w:val="22"/>
          <w:szCs w:val="22"/>
          <w:lang w:bidi="ar-SA"/>
        </w:rPr>
      </w:pPr>
    </w:p>
    <w:tbl>
      <w:tblPr>
        <w:tblW w:w="9354" w:type="dxa"/>
        <w:tblCellMar>
          <w:left w:w="10" w:type="dxa"/>
          <w:right w:w="10" w:type="dxa"/>
        </w:tblCellMar>
        <w:tblLook w:val="0000" w:firstRow="0" w:lastRow="0" w:firstColumn="0" w:lastColumn="0" w:noHBand="0" w:noVBand="0"/>
      </w:tblPr>
      <w:tblGrid>
        <w:gridCol w:w="4677"/>
        <w:gridCol w:w="4677"/>
      </w:tblGrid>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Tipo de bien</w:t>
            </w:r>
          </w:p>
        </w:tc>
        <w:tc>
          <w:tcPr>
            <w:tcW w:w="46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Superficie contable</w:t>
            </w:r>
          </w:p>
        </w:tc>
      </w:tr>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Referencia catastral correspondiente a una parcela sin construir y sin división horizontal.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 xml:space="preserve">Superficie de la parcela según </w:t>
            </w:r>
            <w:r>
              <w:rPr>
                <w:rFonts w:ascii="Arial" w:eastAsia="Lucida Sans Unicode" w:hAnsi="Arial" w:cs="Arial"/>
                <w:bCs/>
                <w:sz w:val="22"/>
                <w:szCs w:val="22"/>
                <w:lang w:bidi="ar-SA"/>
              </w:rPr>
              <w:t>el catastro.</w:t>
            </w:r>
          </w:p>
        </w:tc>
      </w:tr>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Referencia catastral correspondiente a una parcela construida sin división horizontal.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La mayor ente las superficies entre la superficie de la parcela y la superficie construida según el catastro</w:t>
            </w:r>
          </w:p>
        </w:tc>
      </w:tr>
      <w:tr w:rsidR="00061CF1">
        <w:tblPrEx>
          <w:tblCellMar>
            <w:top w:w="0" w:type="dxa"/>
            <w:bottom w:w="0" w:type="dxa"/>
          </w:tblCellMar>
        </w:tblPrEx>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Referencias catastrales que forman parte de u</w:t>
            </w:r>
            <w:r>
              <w:rPr>
                <w:rFonts w:ascii="Arial" w:eastAsia="Lucida Sans Unicode" w:hAnsi="Arial" w:cs="Arial"/>
                <w:bCs/>
                <w:sz w:val="22"/>
                <w:szCs w:val="22"/>
                <w:lang w:bidi="ar-SA"/>
              </w:rPr>
              <w:t>na parcela construida y con división horizontal.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Superficie construida según el catastro.</w:t>
            </w:r>
          </w:p>
        </w:tc>
      </w:tr>
    </w:tbl>
    <w:p w:rsidR="00061CF1" w:rsidRDefault="00061CF1">
      <w:pPr>
        <w:shd w:val="clear" w:color="auto" w:fill="FFFFFF"/>
        <w:spacing w:before="120" w:line="276" w:lineRule="auto"/>
        <w:ind w:right="-8"/>
        <w:jc w:val="both"/>
        <w:textAlignment w:val="auto"/>
        <w:rPr>
          <w:rFonts w:ascii="Arial" w:eastAsia="Lucida Sans Unicode" w:hAnsi="Arial" w:cs="Arial"/>
          <w:bCs/>
          <w:sz w:val="22"/>
          <w:szCs w:val="22"/>
          <w:lang w:bidi="ar-SA"/>
        </w:rPr>
      </w:pPr>
    </w:p>
    <w:p w:rsidR="00061CF1" w:rsidRDefault="004E6D5A">
      <w:pPr>
        <w:shd w:val="clear" w:color="auto" w:fill="FFFFFF"/>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La relación de referencias catastrales con sus superficies y propietarios debe mantenerse actualizada por la EUC, a través de la Gerencia, con la información propor</w:t>
      </w:r>
      <w:r>
        <w:rPr>
          <w:rFonts w:ascii="Arial" w:eastAsia="Lucida Sans Unicode" w:hAnsi="Arial" w:cs="Arial"/>
          <w:bCs/>
          <w:sz w:val="22"/>
          <w:szCs w:val="22"/>
          <w:lang w:bidi="ar-SA"/>
        </w:rPr>
        <w:t>cionada por los propietarios, para una correcta gestión de los cobros.</w:t>
      </w:r>
    </w:p>
    <w:p w:rsidR="00061CF1" w:rsidRDefault="004E6D5A">
      <w:pPr>
        <w:shd w:val="clear" w:color="auto" w:fill="FFFFFF"/>
        <w:spacing w:before="120" w:after="160"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 xml:space="preserve">En cuanto a la cuota anual, sin perjuicio que la Asamblea General establezca otro tipo de fórmula, a devengar por cada propietario de una referencia catastral se calcula al aplicar un </w:t>
      </w:r>
      <w:r>
        <w:rPr>
          <w:rFonts w:ascii="Arial" w:eastAsia="Lucida Sans Unicode" w:hAnsi="Arial" w:cs="Arial"/>
          <w:bCs/>
          <w:sz w:val="22"/>
          <w:szCs w:val="22"/>
          <w:lang w:bidi="ar-SA"/>
        </w:rPr>
        <w:t>precio por cada m2 organizados en tramos, usando la siguiente fórmula:</w:t>
      </w:r>
    </w:p>
    <w:p w:rsidR="00061CF1" w:rsidRDefault="00061CF1">
      <w:pPr>
        <w:shd w:val="clear" w:color="auto" w:fill="FFFFFF"/>
        <w:spacing w:before="120" w:after="160" w:line="244" w:lineRule="auto"/>
        <w:ind w:right="-8"/>
        <w:jc w:val="both"/>
        <w:textAlignment w:val="auto"/>
        <w:rPr>
          <w:rFonts w:ascii="Arial" w:eastAsia="Lucida Sans Unicode" w:hAnsi="Arial" w:cs="Arial"/>
          <w:bCs/>
          <w:sz w:val="22"/>
          <w:szCs w:val="22"/>
          <w:lang w:bidi="ar-SA"/>
        </w:rPr>
      </w:pPr>
    </w:p>
    <w:p w:rsidR="00061CF1" w:rsidRDefault="00061CF1">
      <w:pPr>
        <w:shd w:val="clear" w:color="auto" w:fill="FFFFFF"/>
        <w:spacing w:before="120" w:after="160" w:line="244" w:lineRule="auto"/>
        <w:ind w:right="-8"/>
        <w:jc w:val="both"/>
        <w:textAlignment w:val="auto"/>
        <w:rPr>
          <w:rFonts w:ascii="Arial" w:eastAsia="Lucida Sans Unicode" w:hAnsi="Arial" w:cs="Arial"/>
          <w:bCs/>
          <w:sz w:val="22"/>
          <w:szCs w:val="22"/>
          <w:lang w:bidi="ar-SA"/>
        </w:rPr>
      </w:pPr>
    </w:p>
    <w:p w:rsidR="00061CF1" w:rsidRDefault="00061CF1">
      <w:pPr>
        <w:shd w:val="clear" w:color="auto" w:fill="FFFFFF"/>
        <w:spacing w:before="120" w:after="160" w:line="244" w:lineRule="auto"/>
        <w:ind w:right="-8"/>
        <w:jc w:val="both"/>
        <w:textAlignment w:val="auto"/>
        <w:rPr>
          <w:rFonts w:ascii="Arial" w:eastAsia="Lucida Sans Unicode" w:hAnsi="Arial" w:cs="Arial"/>
          <w:bCs/>
          <w:sz w:val="22"/>
          <w:szCs w:val="22"/>
          <w:lang w:bidi="ar-SA"/>
        </w:rPr>
      </w:pPr>
    </w:p>
    <w:p w:rsidR="00061CF1" w:rsidRDefault="004E6D5A">
      <w:pPr>
        <w:shd w:val="clear" w:color="auto" w:fill="FFFFFF"/>
        <w:spacing w:before="240" w:after="240" w:line="360" w:lineRule="auto"/>
        <w:ind w:left="993" w:right="-8"/>
        <w:jc w:val="both"/>
        <w:textAlignment w:val="auto"/>
      </w:pPr>
      <m:oMath>
        <m:r>
          <m:rPr>
            <m:sty m:val="b"/>
          </m:rPr>
          <w:rPr>
            <w:rFonts w:ascii="Cambria Math" w:hAnsi="Cambria Math"/>
          </w:rPr>
          <m:t>CuotaRef</m:t>
        </m:r>
        <m:r>
          <w:rPr>
            <w:rFonts w:ascii="Cambria Math" w:hAnsi="Cambria Math"/>
          </w:rPr>
          <m:t>=</m:t>
        </m:r>
        <m:nary>
          <m:naryPr>
            <m:chr m:val="∑"/>
            <m:limLoc m:val="undOvr"/>
            <m:ctrlPr>
              <w:rPr>
                <w:rFonts w:ascii="Cambria Math" w:hAnsi="Cambria Math"/>
              </w:rPr>
            </m:ctrlPr>
          </m:naryPr>
          <m:sub>
            <m:r>
              <m:rPr>
                <m:sty m:val="b"/>
              </m:rPr>
              <w:rPr>
                <w:rFonts w:ascii="Cambria Math" w:hAnsi="Cambria Math"/>
              </w:rPr>
              <m:t>i</m:t>
            </m:r>
            <m:r>
              <w:rPr>
                <w:rFonts w:ascii="Cambria Math" w:hAnsi="Cambria Math"/>
              </w:rPr>
              <m:t>=1</m:t>
            </m:r>
          </m:sub>
          <m:sup>
            <m:r>
              <w:rPr>
                <w:rFonts w:ascii="Cambria Math" w:hAnsi="Cambria Math"/>
              </w:rPr>
              <m:t>7</m:t>
            </m:r>
          </m:sup>
          <m:e>
            <m:sSub>
              <m:sSubPr>
                <m:ctrlPr>
                  <w:rPr>
                    <w:rFonts w:ascii="Cambria Math" w:hAnsi="Cambria Math"/>
                  </w:rPr>
                </m:ctrlPr>
              </m:sSubPr>
              <m:e>
                <m:r>
                  <m:rPr>
                    <m:sty m:val="b"/>
                  </m:rPr>
                  <w:rPr>
                    <w:rFonts w:ascii="Cambria Math" w:hAnsi="Cambria Math"/>
                  </w:rPr>
                  <m:t>Sup</m:t>
                </m:r>
              </m:e>
              <m:sub>
                <m:r>
                  <m:rPr>
                    <m:sty m:val="b"/>
                  </m:rPr>
                  <w:rPr>
                    <w:rFonts w:ascii="Cambria Math" w:hAnsi="Cambria Math"/>
                  </w:rPr>
                  <m:t>Tramo</m:t>
                </m:r>
                <m:r>
                  <m:rPr>
                    <m:sty m:val="b"/>
                  </m:rPr>
                  <w:rPr>
                    <w:rFonts w:ascii="Cambria Math" w:hAnsi="Cambria Math"/>
                  </w:rPr>
                  <m:t xml:space="preserve"> </m:t>
                </m:r>
                <m:r>
                  <m:rPr>
                    <m:sty m:val="b"/>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
                  </m:rPr>
                  <w:rPr>
                    <w:rFonts w:ascii="Cambria Math" w:hAnsi="Cambria Math"/>
                  </w:rPr>
                  <m:t>Precio</m:t>
                </m:r>
              </m:e>
              <m:sub>
                <m:r>
                  <m:rPr>
                    <m:sty m:val="b"/>
                  </m:rPr>
                  <w:rPr>
                    <w:rFonts w:ascii="Cambria Math" w:hAnsi="Cambria Math"/>
                  </w:rPr>
                  <m:t>Tramo</m:t>
                </m:r>
                <m:r>
                  <m:rPr>
                    <m:sty m:val="b"/>
                  </m:rPr>
                  <w:rPr>
                    <w:rFonts w:ascii="Cambria Math" w:hAnsi="Cambria Math"/>
                  </w:rPr>
                  <m:t xml:space="preserve"> </m:t>
                </m:r>
                <m:r>
                  <m:rPr>
                    <m:sty m:val="b"/>
                  </m:rPr>
                  <w:rPr>
                    <w:rFonts w:ascii="Cambria Math" w:hAnsi="Cambria Math"/>
                  </w:rPr>
                  <m:t>i</m:t>
                </m:r>
              </m:sub>
            </m:sSub>
          </m:e>
        </m:nary>
      </m:oMath>
      <w:r>
        <w:rPr>
          <w:rFonts w:ascii="Arial" w:eastAsia="Lucida Sans Unicode" w:hAnsi="Arial" w:cs="Arial"/>
          <w:bCs/>
          <w:sz w:val="22"/>
          <w:szCs w:val="22"/>
          <w:lang w:bidi="ar-SA"/>
        </w:rPr>
        <w:t xml:space="preserve">  </w:t>
      </w:r>
    </w:p>
    <w:p w:rsidR="00061CF1" w:rsidRDefault="004E6D5A">
      <w:pPr>
        <w:shd w:val="clear" w:color="auto" w:fill="FFFFFF"/>
        <w:spacing w:before="240" w:after="240" w:line="360" w:lineRule="auto"/>
        <w:ind w:left="993"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Dónde:</w:t>
      </w:r>
    </w:p>
    <w:p w:rsidR="00061CF1" w:rsidRDefault="004E6D5A">
      <w:pPr>
        <w:shd w:val="clear" w:color="auto" w:fill="FFFFFF"/>
        <w:spacing w:before="120" w:after="120" w:line="276" w:lineRule="auto"/>
        <w:ind w:left="993"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Cuota Ref = Cuota anual a abonar por la referencia catastral</w:t>
      </w:r>
    </w:p>
    <w:p w:rsidR="00061CF1" w:rsidRDefault="004E6D5A">
      <w:pPr>
        <w:shd w:val="clear" w:color="auto" w:fill="FFFFFF"/>
        <w:spacing w:before="120" w:after="120" w:line="276" w:lineRule="auto"/>
        <w:ind w:left="993"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PrecioTramo i = €/m2 del tramo i.</w:t>
      </w:r>
    </w:p>
    <w:p w:rsidR="00061CF1" w:rsidRDefault="004E6D5A">
      <w:pPr>
        <w:shd w:val="clear" w:color="auto" w:fill="FFFFFF"/>
        <w:spacing w:before="120" w:after="120" w:line="276" w:lineRule="auto"/>
        <w:ind w:left="993"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SupTramo i = Superficie de la parcela dentro del tramo i.</w:t>
      </w:r>
    </w:p>
    <w:tbl>
      <w:tblPr>
        <w:tblW w:w="6374" w:type="dxa"/>
        <w:jc w:val="center"/>
        <w:tblCellMar>
          <w:left w:w="10" w:type="dxa"/>
          <w:right w:w="10" w:type="dxa"/>
        </w:tblCellMar>
        <w:tblLook w:val="0000" w:firstRow="0" w:lastRow="0" w:firstColumn="0" w:lastColumn="0" w:noHBand="0" w:noVBand="0"/>
      </w:tblPr>
      <w:tblGrid>
        <w:gridCol w:w="988"/>
        <w:gridCol w:w="3827"/>
        <w:gridCol w:w="1559"/>
      </w:tblGrid>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Tramo</w:t>
            </w:r>
          </w:p>
        </w:tc>
        <w:tc>
          <w:tcPr>
            <w:tcW w:w="3827"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Superficie</w:t>
            </w:r>
          </w:p>
        </w:tc>
        <w:tc>
          <w:tcPr>
            <w:tcW w:w="155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w:t>
            </w:r>
            <w:r>
              <w:rPr>
                <w:rFonts w:ascii="Arial" w:eastAsia="Lucida Sans Unicode" w:hAnsi="Arial" w:cs="Arial"/>
                <w:bCs/>
                <w:sz w:val="22"/>
                <w:szCs w:val="22"/>
                <w:lang w:bidi="ar-SA"/>
              </w:rPr>
              <w:t>m2</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 &lt; Sup &lt;= 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0,38</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2000 &lt; Sup &lt;= 4000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0,35</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4000 &lt; Sup &lt;= 6000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0,25</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6000 &lt; Sup &lt;= 8000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0,20</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8000 &lt; Sup &lt;= 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0,15</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10000 &lt; Sup &lt;= 12000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0,10</w:t>
            </w:r>
          </w:p>
        </w:tc>
      </w:tr>
      <w:tr w:rsidR="00061CF1">
        <w:tblPrEx>
          <w:tblCellMar>
            <w:top w:w="0" w:type="dxa"/>
            <w:bottom w:w="0" w:type="dxa"/>
          </w:tblCellMar>
        </w:tblPrEx>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center"/>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hd w:val="clear" w:color="auto" w:fill="FFFFFF"/>
              <w:spacing w:line="244"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 xml:space="preserve">12000 &lt; Sup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1CF1" w:rsidRDefault="004E6D5A">
            <w:pPr>
              <w:spacing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0,05</w:t>
            </w:r>
          </w:p>
        </w:tc>
      </w:tr>
    </w:tbl>
    <w:p w:rsidR="00061CF1" w:rsidRDefault="004E6D5A">
      <w:pPr>
        <w:shd w:val="clear" w:color="auto" w:fill="FFFFFF"/>
        <w:spacing w:before="120" w:after="120" w:line="276" w:lineRule="auto"/>
        <w:ind w:right="-8"/>
        <w:jc w:val="both"/>
        <w:textAlignment w:val="auto"/>
        <w:rPr>
          <w:rFonts w:ascii="Arial" w:eastAsia="Lucida Sans Unicode" w:hAnsi="Arial" w:cs="Arial"/>
          <w:bCs/>
          <w:sz w:val="22"/>
          <w:szCs w:val="22"/>
          <w:lang w:bidi="ar-SA"/>
        </w:rPr>
      </w:pPr>
      <w:r>
        <w:rPr>
          <w:rFonts w:ascii="Arial" w:eastAsia="Lucida Sans Unicode" w:hAnsi="Arial" w:cs="Arial"/>
          <w:bCs/>
          <w:sz w:val="22"/>
          <w:szCs w:val="22"/>
          <w:lang w:bidi="ar-SA"/>
        </w:rPr>
        <w:t xml:space="preserve">En los presentes Estatutos se han establecido unos importes </w:t>
      </w:r>
      <w:r>
        <w:rPr>
          <w:rFonts w:ascii="Arial" w:eastAsia="Lucida Sans Unicode" w:hAnsi="Arial" w:cs="Arial"/>
          <w:bCs/>
          <w:sz w:val="22"/>
          <w:szCs w:val="22"/>
          <w:lang w:bidi="ar-SA"/>
        </w:rPr>
        <w:t>económicos en aras a recaudar aproximadamente TRESCIENTOS CINCUENTA MIL EUROS (350.000,00 €), sin perjuicio de que por la Asamblea General pueda modificarse el precio del metro cuadrado así como la fórmula de recaudación de cuotas.</w:t>
      </w:r>
    </w:p>
    <w:p w:rsidR="00061CF1" w:rsidRDefault="004E6D5A">
      <w:pPr>
        <w:autoSpaceDE w:val="0"/>
        <w:spacing w:before="180" w:after="180" w:line="276" w:lineRule="auto"/>
        <w:jc w:val="both"/>
        <w:textAlignment w:val="auto"/>
      </w:pPr>
      <w:r>
        <w:rPr>
          <w:rFonts w:ascii="Arial" w:eastAsia="Lucida Sans Unicode" w:hAnsi="Arial" w:cs="Arial"/>
          <w:bCs/>
          <w:sz w:val="22"/>
          <w:szCs w:val="22"/>
          <w:lang w:bidi="ar-SA"/>
        </w:rPr>
        <w:t>Esta cuota</w:t>
      </w:r>
      <w:r>
        <w:rPr>
          <w:rFonts w:ascii="Arial" w:eastAsia="Times New Roman" w:hAnsi="Arial" w:cs="Arial"/>
          <w:sz w:val="22"/>
          <w:szCs w:val="22"/>
          <w:lang w:val="es" w:eastAsia="es-ES" w:bidi="ar-SA"/>
        </w:rPr>
        <w:t xml:space="preserve"> servirá de </w:t>
      </w:r>
      <w:r>
        <w:rPr>
          <w:rFonts w:ascii="Arial" w:eastAsia="Times New Roman" w:hAnsi="Arial" w:cs="Arial"/>
          <w:sz w:val="22"/>
          <w:szCs w:val="22"/>
          <w:lang w:val="es" w:eastAsia="es-ES" w:bidi="ar-SA"/>
        </w:rPr>
        <w:t>porcentaje para precisar la participación de cada propietario en los derechos y obligaciones comunes de la entidad de conservación, por un lado la financiación que debe aportar, así como el valor de porcentaje del voto en los órganos de gobierno y represen</w:t>
      </w:r>
      <w:r>
        <w:rPr>
          <w:rFonts w:ascii="Arial" w:eastAsia="Times New Roman" w:hAnsi="Arial" w:cs="Arial"/>
          <w:sz w:val="22"/>
          <w:szCs w:val="22"/>
          <w:lang w:val="es" w:eastAsia="es-ES" w:bidi="ar-SA"/>
        </w:rPr>
        <w:t>tación. Dichos cálculos deberán ser establecidos y supervisados de forma objetiva por la Gerencia de la entidad y ser accesible dicha información a los miembros.</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16ª.-  Exacción de cuotas:</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 xml:space="preserve">Las cuotas que deban abonar los propietarios para atender </w:t>
      </w:r>
      <w:r>
        <w:rPr>
          <w:rFonts w:ascii="Arial" w:eastAsia="Times New Roman" w:hAnsi="Arial" w:cs="Arial"/>
          <w:sz w:val="22"/>
          <w:szCs w:val="22"/>
          <w:lang w:eastAsia="es-ES" w:bidi="ar-SA"/>
        </w:rPr>
        <w:t>los gastos comunes se recaudarán en el plazo que se fije por los órganos rectores de la Entidad y tienen el carácter de obligatorias para todos aquellos que sean titulares de los terrenos ubicados en el ámbito espacial de la EUC.</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En caso de morosidad, la E</w:t>
      </w:r>
      <w:r>
        <w:rPr>
          <w:rFonts w:ascii="Arial" w:eastAsia="Times New Roman" w:hAnsi="Arial" w:cs="Arial"/>
          <w:sz w:val="22"/>
          <w:szCs w:val="22"/>
          <w:lang w:eastAsia="es-ES" w:bidi="ar-SA"/>
        </w:rPr>
        <w:t>UC podrá solicitar a los ayuntamientos correspondientes, o bien, directamente al Consorcio de Tributos (siempre que exista y se mantenga el convenio para ello con los ayuntamientos implicados) la vía de apremio para la exigencia de las cuotas de conservaci</w:t>
      </w:r>
      <w:r>
        <w:rPr>
          <w:rFonts w:ascii="Arial" w:eastAsia="Times New Roman" w:hAnsi="Arial" w:cs="Arial"/>
          <w:sz w:val="22"/>
          <w:szCs w:val="22"/>
          <w:lang w:eastAsia="es-ES" w:bidi="ar-SA"/>
        </w:rPr>
        <w:t>ón que corresponda satisfacer a los propietarios, en los términos previstos en el RDL 2/2004, de 2 de marzo, por el que se aprueba el Texto Refundido de la Ley Reguladora de las Haciendas Locales de Canarias, y en los mismos términos que establezca el Cons</w:t>
      </w:r>
      <w:r>
        <w:rPr>
          <w:rFonts w:ascii="Arial" w:eastAsia="Times New Roman" w:hAnsi="Arial" w:cs="Arial"/>
          <w:sz w:val="22"/>
          <w:szCs w:val="22"/>
          <w:lang w:eastAsia="es-ES" w:bidi="ar-SA"/>
        </w:rPr>
        <w:t xml:space="preserve">orcio de Tributos para los ayuntamientos, sin necesidad de establecer un nuevo convenio, ya que se actúa como una obligación del Ayuntamiento. </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 xml:space="preserve">La recaudación en vía de apremio será abonada por el Consorcio de Tributos directamente a la </w:t>
      </w:r>
    </w:p>
    <w:p w:rsidR="00061CF1" w:rsidRDefault="00061CF1">
      <w:pPr>
        <w:autoSpaceDE w:val="0"/>
        <w:spacing w:before="180" w:after="180" w:line="276" w:lineRule="auto"/>
        <w:jc w:val="both"/>
        <w:textAlignment w:val="auto"/>
        <w:rPr>
          <w:rFonts w:ascii="Arial" w:eastAsia="Times New Roman" w:hAnsi="Arial" w:cs="Arial"/>
          <w:sz w:val="22"/>
          <w:szCs w:val="22"/>
          <w:lang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entidad por el im</w:t>
      </w:r>
      <w:r>
        <w:rPr>
          <w:rFonts w:ascii="Arial" w:eastAsia="Times New Roman" w:hAnsi="Arial" w:cs="Arial"/>
          <w:sz w:val="22"/>
          <w:szCs w:val="22"/>
          <w:lang w:eastAsia="es-ES" w:bidi="ar-SA"/>
        </w:rPr>
        <w:t>porte que se debió abonar en vía voluntaria, sin que se le abone el recargo ni intereses.</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Capítulo IV</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Constitución de la E.U.C.</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17º.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Administración competente para la constitución y puesta en funcionamiento: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En cuanto al impulso, coordinación y </w:t>
      </w:r>
      <w:r>
        <w:rPr>
          <w:rFonts w:ascii="Arial" w:eastAsia="Times New Roman" w:hAnsi="Arial" w:cs="Arial"/>
          <w:sz w:val="22"/>
          <w:szCs w:val="22"/>
          <w:lang w:val="es" w:eastAsia="es-ES" w:bidi="ar-SA"/>
        </w:rPr>
        <w:t>puesta en funcionamiento de la Entidad Urbanística de Conservación (EUC), visto que el ámbito espacial de la misma ocupa terrenos en tres municipios, Arafo, Candelaria y Güímar, teniendo un carácter supramunicipal, así como su calificación por el Plan Insu</w:t>
      </w:r>
      <w:r>
        <w:rPr>
          <w:rFonts w:ascii="Arial" w:eastAsia="Times New Roman" w:hAnsi="Arial" w:cs="Arial"/>
          <w:sz w:val="22"/>
          <w:szCs w:val="22"/>
          <w:lang w:val="es" w:eastAsia="es-ES" w:bidi="ar-SA"/>
        </w:rPr>
        <w:t>lar de Tenerife de carácter insular, le corresponderá al Cabildo de Tenerife. La coordinación e impulso de la constitución y la organización de las reuniones con los propietarios, se realizará por el Cabildo de Tenerife. Una vez creada la entidad, se nombr</w:t>
      </w:r>
      <w:r>
        <w:rPr>
          <w:rFonts w:ascii="Arial" w:eastAsia="Times New Roman" w:hAnsi="Arial" w:cs="Arial"/>
          <w:sz w:val="22"/>
          <w:szCs w:val="22"/>
          <w:lang w:val="es" w:eastAsia="es-ES" w:bidi="ar-SA"/>
        </w:rPr>
        <w:t>ará a una Gerencia por el órgano competente y en los términos de la legislación vigente en cada momento, cuyas retribuciones serán abonadas con cargo al presupuesto.</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18.- Acto de constitución:</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Una vez aprobados definitivamente los Estatutos por l</w:t>
      </w:r>
      <w:r>
        <w:rPr>
          <w:rFonts w:ascii="Arial" w:eastAsia="Times New Roman" w:hAnsi="Arial" w:cs="Arial"/>
          <w:sz w:val="22"/>
          <w:szCs w:val="22"/>
          <w:lang w:eastAsia="es-ES" w:bidi="ar-SA"/>
        </w:rPr>
        <w:t>os Plenos de los tres Ayuntamientos y por el órgano competente del Cabildo de Tenerife y publicados en el Boletín Oficial de la Provincia de Santa Cruz de Tenerife, expresando, si las hubiera, las modificaciones realizadas a consecuencia del trámite de inf</w:t>
      </w:r>
      <w:r>
        <w:rPr>
          <w:rFonts w:ascii="Arial" w:eastAsia="Times New Roman" w:hAnsi="Arial" w:cs="Arial"/>
          <w:sz w:val="22"/>
          <w:szCs w:val="22"/>
          <w:lang w:eastAsia="es-ES" w:bidi="ar-SA"/>
        </w:rPr>
        <w:t>ormación pública, las Administraciones actuantes o, en su caso, la facultada por las mismas para este trámite procederá a realizar la inscripción en el Registro de Entidades Urbanísticas Colaboradoras adscrito a la consejería correspondiente del Gobierno d</w:t>
      </w:r>
      <w:r>
        <w:rPr>
          <w:rFonts w:ascii="Arial" w:eastAsia="Times New Roman" w:hAnsi="Arial" w:cs="Arial"/>
          <w:sz w:val="22"/>
          <w:szCs w:val="22"/>
          <w:lang w:eastAsia="es-ES" w:bidi="ar-SA"/>
        </w:rPr>
        <w:t>e Canarias.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Administración facultada expresamente procederá a elevar en escritura pública la siguiente documentación para proceder a la inscripción en el Registro de Entidades Urbanísticas:</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Certificado del acuerdo del Cabildo de Tenerife y Certificado d</w:t>
      </w:r>
      <w:r>
        <w:rPr>
          <w:rFonts w:ascii="Arial" w:eastAsia="Times New Roman" w:hAnsi="Arial" w:cs="Arial"/>
          <w:kern w:val="0"/>
          <w:sz w:val="22"/>
          <w:szCs w:val="22"/>
          <w:lang w:val="es" w:eastAsia="es-ES" w:bidi="ar-SA"/>
        </w:rPr>
        <w:t>e cada uno de los acuerdos de cada Ayuntamiento en el que se aprueban definitivamente los Estatutos de la Entidad Urbanística de Conservación. Asimismo indicar la designación de el/la Gerente de la entidad.</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Plano del ámbito espacial de la EUC.</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 xml:space="preserve">Relación de </w:t>
      </w:r>
      <w:r>
        <w:rPr>
          <w:rFonts w:ascii="Arial" w:eastAsia="Times New Roman" w:hAnsi="Arial" w:cs="Arial"/>
          <w:kern w:val="0"/>
          <w:sz w:val="22"/>
          <w:szCs w:val="22"/>
          <w:lang w:val="es" w:eastAsia="es-ES" w:bidi="ar-SA"/>
        </w:rPr>
        <w:t>propietarios con indicación de las referencias catastrales.</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Acta de la Asamblea General constitutiva de la entidad.</w:t>
      </w:r>
    </w:p>
    <w:p w:rsidR="00061CF1" w:rsidRDefault="004E6D5A">
      <w:pPr>
        <w:numPr>
          <w:ilvl w:val="0"/>
          <w:numId w:val="17"/>
        </w:numPr>
        <w:suppressAutoHyphens w:val="0"/>
        <w:autoSpaceDE w:val="0"/>
        <w:spacing w:before="180" w:after="180" w:line="276" w:lineRule="auto"/>
        <w:jc w:val="both"/>
        <w:textAlignment w:val="auto"/>
        <w:rPr>
          <w:rFonts w:ascii="Arial" w:eastAsia="Times New Roman" w:hAnsi="Arial" w:cs="Arial"/>
          <w:kern w:val="0"/>
          <w:sz w:val="22"/>
          <w:szCs w:val="22"/>
          <w:lang w:val="es" w:eastAsia="es-ES" w:bidi="ar-SA"/>
        </w:rPr>
      </w:pPr>
      <w:r>
        <w:rPr>
          <w:rFonts w:ascii="Arial" w:eastAsia="Times New Roman" w:hAnsi="Arial" w:cs="Arial"/>
          <w:kern w:val="0"/>
          <w:sz w:val="22"/>
          <w:szCs w:val="22"/>
          <w:lang w:val="es" w:eastAsia="es-ES" w:bidi="ar-SA"/>
        </w:rPr>
        <w:t>Así como cualquier otro documento necesario para la inscripción.</w:t>
      </w:r>
    </w:p>
    <w:p w:rsidR="00061CF1" w:rsidRDefault="00061CF1">
      <w:pPr>
        <w:suppressAutoHyphens w:val="0"/>
        <w:autoSpaceDE w:val="0"/>
        <w:spacing w:before="180" w:after="180" w:line="276" w:lineRule="auto"/>
        <w:ind w:left="1077"/>
        <w:jc w:val="both"/>
        <w:textAlignment w:val="auto"/>
        <w:rPr>
          <w:rFonts w:ascii="Arial" w:eastAsia="Times New Roman" w:hAnsi="Arial" w:cs="Arial"/>
          <w:kern w:val="0"/>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Asamblea General constitutiva, por ser la primera, será convocada por e</w:t>
      </w:r>
      <w:r>
        <w:rPr>
          <w:rFonts w:ascii="Arial" w:eastAsia="Times New Roman" w:hAnsi="Arial" w:cs="Arial"/>
          <w:sz w:val="22"/>
          <w:szCs w:val="22"/>
          <w:lang w:val="es" w:eastAsia="es-ES" w:bidi="ar-SA"/>
        </w:rPr>
        <w:t>l Cabildo de Tenerife o por el Ayuntamiento designado, por medios electrónicos a todos los propietarios, conforme a los correos electrónicos proporcionados. Esta notificación se realizará con los días suficientes de antelación a la fecha en que haya de cel</w:t>
      </w:r>
      <w:r>
        <w:rPr>
          <w:rFonts w:ascii="Arial" w:eastAsia="Times New Roman" w:hAnsi="Arial" w:cs="Arial"/>
          <w:sz w:val="22"/>
          <w:szCs w:val="22"/>
          <w:lang w:val="es" w:eastAsia="es-ES" w:bidi="ar-SA"/>
        </w:rPr>
        <w:t>ebrarse la reunión.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Una vez puesta en funcionamiento, las convocatorias se realizarán por correo electrónico por la Entidad Urbanística de Conservación.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Esta primera Asamblea quedará válidamente constituida en primera convocatoria cuando concurran a ella </w:t>
      </w:r>
      <w:r>
        <w:rPr>
          <w:rFonts w:ascii="Arial" w:eastAsia="Times New Roman" w:hAnsi="Arial" w:cs="Arial"/>
          <w:sz w:val="22"/>
          <w:szCs w:val="22"/>
          <w:lang w:val="es" w:eastAsia="es-ES" w:bidi="ar-SA"/>
        </w:rPr>
        <w:t>propietarios que representen, al menos, el 50% de las cuotas de participación (en proporción a su contribución económica). En segunda convocatoria, que se celebrará media hora después que la primera, será válida la constitución, cualquiera que sea el númer</w:t>
      </w:r>
      <w:r>
        <w:rPr>
          <w:rFonts w:ascii="Arial" w:eastAsia="Times New Roman" w:hAnsi="Arial" w:cs="Arial"/>
          <w:sz w:val="22"/>
          <w:szCs w:val="22"/>
          <w:lang w:val="es" w:eastAsia="es-ES" w:bidi="ar-SA"/>
        </w:rPr>
        <w:t>o de miembros.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la Asamblea Constitutiva actuarán como Presidente/a y Vicepresidente/a dos propietarios/as con las cuotas de mayor participación económica que estuvieran presentes, un representante de cada administración municipal, y dos representantes d</w:t>
      </w:r>
      <w:r>
        <w:rPr>
          <w:rFonts w:ascii="Arial" w:eastAsia="Times New Roman" w:hAnsi="Arial" w:cs="Arial"/>
          <w:sz w:val="22"/>
          <w:szCs w:val="22"/>
          <w:lang w:val="es" w:eastAsia="es-ES" w:bidi="ar-SA"/>
        </w:rPr>
        <w:t>e la administración insular. La persona designada por el Cabildo de Tenerife acudirá a la misma encargándose de las funciones correspondientes al Secretario/a, encargándose de todos los trámites administrativos de la constitución y de levantar acta.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Los ac</w:t>
      </w:r>
      <w:r>
        <w:rPr>
          <w:rFonts w:ascii="Arial" w:eastAsia="Times New Roman" w:hAnsi="Arial" w:cs="Arial"/>
          <w:sz w:val="22"/>
          <w:szCs w:val="22"/>
          <w:lang w:val="es" w:eastAsia="es-ES" w:bidi="ar-SA"/>
        </w:rPr>
        <w:t>uerdos se adoptarán por mayoría simple de las cuotas de participación (calculándose en proporción a su aportación económica). En caso de discrepancia el Cabildo de Tenerife tendrá el voto de calidad.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esta Asamblea constitutiva se procederá a lo siguient</w:t>
      </w:r>
      <w:r>
        <w:rPr>
          <w:rFonts w:ascii="Arial" w:eastAsia="Times New Roman" w:hAnsi="Arial" w:cs="Arial"/>
          <w:sz w:val="22"/>
          <w:szCs w:val="22"/>
          <w:lang w:val="es" w:eastAsia="es-ES" w:bidi="ar-SA"/>
        </w:rPr>
        <w: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Ratificación de los estatutos aprobados por el Cabildo de Tenerife.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 Iniciación del procedimiento para la designación de el/la Gerente que le corresponderá a la Junta Directiva de la entidad.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Hasta el nombramiento de la/el Gerente, de sus funciones </w:t>
      </w:r>
      <w:r>
        <w:rPr>
          <w:rFonts w:ascii="Arial" w:eastAsia="Times New Roman" w:hAnsi="Arial" w:cs="Arial"/>
          <w:sz w:val="22"/>
          <w:szCs w:val="22"/>
          <w:lang w:val="es" w:eastAsia="es-ES" w:bidi="ar-SA"/>
        </w:rPr>
        <w:t xml:space="preserve">se encargará la persona designada por el Cabildo de Tenerife mencionada anteriormente y actuará como secretario y levantará el acta de la constitución de la Entidad Urbanística de Conservación, que habrá de ser aprobada en la misma reunión; y que constará </w:t>
      </w:r>
      <w:r>
        <w:rPr>
          <w:rFonts w:ascii="Arial" w:eastAsia="Times New Roman" w:hAnsi="Arial" w:cs="Arial"/>
          <w:sz w:val="22"/>
          <w:szCs w:val="22"/>
          <w:lang w:val="es" w:eastAsia="es-ES" w:bidi="ar-SA"/>
        </w:rPr>
        <w:t>en el Libro de Actas que habrá de llevar el/la Gerente de la Entidad. Dicha acta deberá estar firmada por el Presidente y el/a Gerente (actuando como secretario/a) en la sesión constitutiva, y por todos los socios que hayan asistido a la misma. Asimismo, s</w:t>
      </w:r>
      <w:r>
        <w:rPr>
          <w:rFonts w:ascii="Arial" w:eastAsia="Times New Roman" w:hAnsi="Arial" w:cs="Arial"/>
          <w:sz w:val="22"/>
          <w:szCs w:val="22"/>
          <w:lang w:val="es" w:eastAsia="es-ES" w:bidi="ar-SA"/>
        </w:rPr>
        <w:t>erá el/la Gerente el encargado de realizar los trámites administrativos de constitución previstos en el presente artículo, así como aquellos otros inherentes al mismo.</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CAPÍTULO V</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Del Gobierno de la Entidad</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19º.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Órganos de Gobierno: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Los órganos</w:t>
      </w:r>
      <w:r>
        <w:rPr>
          <w:rFonts w:ascii="Arial" w:eastAsia="Times New Roman" w:hAnsi="Arial" w:cs="Arial"/>
          <w:sz w:val="22"/>
          <w:szCs w:val="22"/>
          <w:lang w:val="es" w:eastAsia="es-ES" w:bidi="ar-SA"/>
        </w:rPr>
        <w:t xml:space="preserve"> de gobierno de la Entidad Urbanística de Conservación son:</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w:t>
      </w:r>
      <w:r>
        <w:rPr>
          <w:rFonts w:ascii="Arial" w:eastAsia="Times New Roman" w:hAnsi="Arial" w:cs="Arial"/>
          <w:sz w:val="22"/>
          <w:szCs w:val="22"/>
          <w:lang w:val="es" w:eastAsia="es-ES" w:bidi="ar-SA"/>
        </w:rPr>
        <w:tab/>
        <w:t>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w:t>
      </w:r>
      <w:r>
        <w:rPr>
          <w:rFonts w:ascii="Arial" w:eastAsia="Times New Roman" w:hAnsi="Arial" w:cs="Arial"/>
          <w:sz w:val="22"/>
          <w:szCs w:val="22"/>
          <w:lang w:val="es" w:eastAsia="es-ES" w:bidi="ar-SA"/>
        </w:rPr>
        <w:tab/>
        <w:t>La Junta Directiva.</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La Asamblea General es el órgano supremo de la Entidad y está constituida por la totalidad de sus miembros.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3.</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La Junta Directiva es el órgano </w:t>
      </w:r>
      <w:r>
        <w:rPr>
          <w:rFonts w:ascii="Arial" w:eastAsia="Times New Roman" w:hAnsi="Arial" w:cs="Arial"/>
          <w:sz w:val="22"/>
          <w:szCs w:val="22"/>
          <w:lang w:val="es" w:eastAsia="es-ES" w:bidi="ar-SA"/>
        </w:rPr>
        <w:t>ejecutivo de la Entidad y está constituida por:</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El/La Presidente/a (propietario de parcelas del ámbito espacial de la entidad), que tendrá voz y voto.</w:t>
      </w:r>
      <w:r>
        <w:rPr>
          <w:rFonts w:ascii="Arial" w:eastAsia="Lucida Sans Unicode" w:hAnsi="Arial" w:cs="Times New Roman"/>
          <w:sz w:val="22"/>
          <w:lang w:bidi="ar-SA"/>
        </w:rPr>
        <w:t xml:space="preserve"> </w:t>
      </w:r>
      <w:r>
        <w:rPr>
          <w:rFonts w:ascii="Arial" w:eastAsia="Times New Roman" w:hAnsi="Arial" w:cs="Arial"/>
          <w:sz w:val="22"/>
          <w:szCs w:val="22"/>
          <w:lang w:val="es" w:eastAsia="es-ES" w:bidi="ar-SA"/>
        </w:rPr>
        <w:t>Teniendo voto de calidad en caso de empate.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El/La Vicepresidente/a (propietario de parcelas del ámbit</w:t>
      </w:r>
      <w:r>
        <w:rPr>
          <w:rFonts w:ascii="Arial" w:eastAsia="Times New Roman" w:hAnsi="Arial" w:cs="Arial"/>
          <w:sz w:val="22"/>
          <w:szCs w:val="22"/>
          <w:lang w:val="es" w:eastAsia="es-ES" w:bidi="ar-SA"/>
        </w:rPr>
        <w:t>o espacial de la entidad), que tendrá voz y voto.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Un Vocal (propietario de parcelas del ámbito espacial de la entidad),</w:t>
      </w:r>
      <w:r>
        <w:rPr>
          <w:rFonts w:ascii="Arial" w:eastAsia="Lucida Sans Unicode" w:hAnsi="Arial" w:cs="Times New Roman"/>
          <w:sz w:val="22"/>
          <w:lang w:bidi="ar-SA"/>
        </w:rPr>
        <w:t xml:space="preserve"> </w:t>
      </w:r>
      <w:r>
        <w:rPr>
          <w:rFonts w:ascii="Arial" w:eastAsia="Times New Roman" w:hAnsi="Arial" w:cs="Arial"/>
          <w:sz w:val="22"/>
          <w:szCs w:val="22"/>
          <w:lang w:val="es" w:eastAsia="es-ES" w:bidi="ar-SA"/>
        </w:rPr>
        <w:t>que tendrá voz y voto.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 xml:space="preserve">El/La Gerente con voz pero sin voto (sin que ostente la titularidad de ninguna propiedad del ámbito espacial </w:t>
      </w:r>
      <w:r>
        <w:rPr>
          <w:rFonts w:ascii="Arial" w:eastAsia="Times New Roman" w:hAnsi="Arial" w:cs="Arial"/>
          <w:sz w:val="22"/>
          <w:szCs w:val="22"/>
          <w:lang w:val="es" w:eastAsia="es-ES" w:bidi="ar-SA"/>
        </w:rPr>
        <w:t>de la EUC)</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_          El Secretario</w:t>
      </w:r>
      <w:r>
        <w:rPr>
          <w:rFonts w:ascii="Arial" w:eastAsia="Lucida Sans Unicode" w:hAnsi="Arial" w:cs="Times New Roman"/>
          <w:sz w:val="22"/>
          <w:lang w:bidi="ar-SA"/>
        </w:rPr>
        <w:t xml:space="preserve"> </w:t>
      </w:r>
      <w:r>
        <w:rPr>
          <w:rFonts w:ascii="Arial" w:eastAsia="Times New Roman" w:hAnsi="Arial" w:cs="Arial"/>
          <w:sz w:val="22"/>
          <w:szCs w:val="22"/>
          <w:lang w:val="es" w:eastAsia="es-ES" w:bidi="ar-SA"/>
        </w:rPr>
        <w:t>con voz pero sin voto (sin que ostente la titularidad de ninguna propiedad del ámbito espacial de la EUC)</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_          El Tesorero con voz pero sin voto (sin que ostente la titularidad de ninguna propiedad del ámbito espac</w:t>
      </w:r>
      <w:r>
        <w:rPr>
          <w:rFonts w:ascii="Arial" w:eastAsia="Times New Roman" w:hAnsi="Arial" w:cs="Arial"/>
          <w:sz w:val="22"/>
          <w:szCs w:val="22"/>
          <w:lang w:val="es" w:eastAsia="es-ES" w:bidi="ar-SA"/>
        </w:rPr>
        <w:t>ial de la EUC)</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Tres representantes por el Cabildo de Tenerife, que tendrán voz y voto.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Tres representantes municipales, uno por cada Ayuntamiento, que tendrán voz y voto.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composición de la Junta Directiva podrá ampliarse o minorarse por dec</w:t>
      </w:r>
      <w:r>
        <w:rPr>
          <w:rFonts w:ascii="Arial" w:eastAsia="Times New Roman" w:hAnsi="Arial" w:cs="Arial"/>
          <w:sz w:val="22"/>
          <w:szCs w:val="22"/>
          <w:lang w:val="es" w:eastAsia="es-ES" w:bidi="ar-SA"/>
        </w:rPr>
        <w:t>isión de la Asamblea General, estableciendo la participación de las administraciones públicas en la misma proporción a su aportación económica a la entidad, sin perjuicio que, en todo caso, siempre haya un mínimo de un representante por cada administración</w:t>
      </w:r>
      <w:r>
        <w:rPr>
          <w:rFonts w:ascii="Arial" w:eastAsia="Times New Roman" w:hAnsi="Arial" w:cs="Arial"/>
          <w:sz w:val="22"/>
          <w:szCs w:val="22"/>
          <w:lang w:val="es" w:eastAsia="es-ES" w:bidi="ar-SA"/>
        </w:rPr>
        <w:t xml:space="preserve"> pública.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La Junta Directiva, a petición de la misma, podrá permitir la asistencia de cualquier miembro de la entidad que considere relevante, como a cualquier persona para la asistencia técnica-jurídica o bien, cualquier persona o representante que, por </w:t>
      </w:r>
      <w:r>
        <w:rPr>
          <w:rFonts w:ascii="Arial" w:eastAsia="Times New Roman" w:hAnsi="Arial" w:cs="Arial"/>
          <w:sz w:val="22"/>
          <w:szCs w:val="22"/>
          <w:lang w:val="es" w:eastAsia="es-ES" w:bidi="ar-SA"/>
        </w:rPr>
        <w:t>mayoría simple, consideren necesaria su intervención, con voz pero sin voto.</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20º.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La Asamblea General: </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Constitución y convocatoria: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w:t>
      </w:r>
      <w:r>
        <w:rPr>
          <w:rFonts w:ascii="Arial" w:eastAsia="Times New Roman" w:hAnsi="Arial" w:cs="Arial"/>
          <w:sz w:val="22"/>
          <w:szCs w:val="22"/>
          <w:lang w:val="es" w:eastAsia="es-ES" w:bidi="ar-SA"/>
        </w:rPr>
        <w:tab/>
        <w:t xml:space="preserve">Las Asambleas Generales, tanto ordinarias como extraordinarias quedarán válidamente constituidas en </w:t>
      </w:r>
      <w:r>
        <w:rPr>
          <w:rFonts w:ascii="Arial" w:eastAsia="Times New Roman" w:hAnsi="Arial" w:cs="Arial"/>
          <w:sz w:val="22"/>
          <w:szCs w:val="22"/>
          <w:lang w:val="es" w:eastAsia="es-ES" w:bidi="ar-SA"/>
        </w:rPr>
        <w:t>primera convocatoria cuando concurran presentes o debidamente representados, titulares que lo sean, al menos, del 50% de la superficie contable total (indicador a efectos de las aportaciones económicas a la entidad) del ámbito territorial de la Entidad. En</w:t>
      </w:r>
      <w:r>
        <w:rPr>
          <w:rFonts w:ascii="Arial" w:eastAsia="Times New Roman" w:hAnsi="Arial" w:cs="Arial"/>
          <w:sz w:val="22"/>
          <w:szCs w:val="22"/>
          <w:lang w:val="es" w:eastAsia="es-ES" w:bidi="ar-SA"/>
        </w:rPr>
        <w:t xml:space="preserve"> segunda convocatoria, será válida cualquiera que sea la representación presente.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w:t>
      </w:r>
      <w:r>
        <w:rPr>
          <w:rFonts w:ascii="Arial" w:eastAsia="Times New Roman" w:hAnsi="Arial" w:cs="Arial"/>
          <w:sz w:val="22"/>
          <w:szCs w:val="22"/>
          <w:lang w:val="es" w:eastAsia="es-ES" w:bidi="ar-SA"/>
        </w:rPr>
        <w:tab/>
        <w:t>Las convocatorias de la Asamblea General se realizarán a través del correo electrónico proporcionado con una anticipación no inferior a 15 días naturales y a ellas habrá d</w:t>
      </w:r>
      <w:r>
        <w:rPr>
          <w:rFonts w:ascii="Arial" w:eastAsia="Times New Roman" w:hAnsi="Arial" w:cs="Arial"/>
          <w:sz w:val="22"/>
          <w:szCs w:val="22"/>
          <w:lang w:val="es" w:eastAsia="es-ES" w:bidi="ar-SA"/>
        </w:rPr>
        <w:t>e adjuntarse el orden del día previsto. Dicha convocatoria habrá de prever y fijar la fecha de la segunda convocatoria, la cual no podrá ser antes de media hora después de la prevista para la primera.</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Sesiones ordinarias y extraordinarias: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w:t>
      </w:r>
      <w:r>
        <w:rPr>
          <w:rFonts w:ascii="Arial" w:eastAsia="Times New Roman" w:hAnsi="Arial" w:cs="Arial"/>
          <w:sz w:val="22"/>
          <w:szCs w:val="22"/>
          <w:lang w:val="es" w:eastAsia="es-ES" w:bidi="ar-SA"/>
        </w:rPr>
        <w:tab/>
        <w:t>La Asambl</w:t>
      </w:r>
      <w:r>
        <w:rPr>
          <w:rFonts w:ascii="Arial" w:eastAsia="Times New Roman" w:hAnsi="Arial" w:cs="Arial"/>
          <w:sz w:val="22"/>
          <w:szCs w:val="22"/>
          <w:lang w:val="es" w:eastAsia="es-ES" w:bidi="ar-SA"/>
        </w:rPr>
        <w:t>ea General se reunirá telemática (con exigencia obligatoria de cámara web), presencial o de forma mixta en la sede de la entidad, en sesión ordinaria como mínimo una vez cada año, previa convocatoria cursada por el Presidente, a través del Gerente de la en</w:t>
      </w:r>
      <w:r>
        <w:rPr>
          <w:rFonts w:ascii="Arial" w:eastAsia="Times New Roman" w:hAnsi="Arial" w:cs="Arial"/>
          <w:sz w:val="22"/>
          <w:szCs w:val="22"/>
          <w:lang w:val="es" w:eastAsia="es-ES" w:bidi="ar-SA"/>
        </w:rPr>
        <w:t>tidad que actuará como Secretario.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w:t>
      </w:r>
      <w:r>
        <w:rPr>
          <w:rFonts w:ascii="Arial" w:eastAsia="Times New Roman" w:hAnsi="Arial" w:cs="Arial"/>
          <w:sz w:val="22"/>
          <w:szCs w:val="22"/>
          <w:lang w:val="es" w:eastAsia="es-ES" w:bidi="ar-SA"/>
        </w:rPr>
        <w:tab/>
        <w:t>Podrán celebrarse tantas sesiones extraordinarias como acuerde la Junta Directiva por mayoría simple de sus miembros.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También podrán solicitar sesión extraordinaria los miembros de la Entidad siempre que la solicitud c</w:t>
      </w:r>
      <w:r>
        <w:rPr>
          <w:rFonts w:ascii="Arial" w:eastAsia="Times New Roman" w:hAnsi="Arial" w:cs="Arial"/>
          <w:sz w:val="22"/>
          <w:szCs w:val="22"/>
          <w:lang w:val="es" w:eastAsia="es-ES" w:bidi="ar-SA"/>
        </w:rPr>
        <w:t>umpla los siguientes requisitos: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Escrito razonado suscrito por una cuarta parte de los miembros (a tener en cuenta el porcentaje en función de la superficie contable que posee cada miembro) de la Entidad. Y ello porque cada cuota se identificará con un p</w:t>
      </w:r>
      <w:r>
        <w:rPr>
          <w:rFonts w:ascii="Arial" w:eastAsia="Times New Roman" w:hAnsi="Arial" w:cs="Arial"/>
          <w:sz w:val="22"/>
          <w:szCs w:val="22"/>
          <w:lang w:val="es" w:eastAsia="es-ES" w:bidi="ar-SA"/>
        </w:rPr>
        <w:t>orcentaje de participación en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Inclusión del orden del día.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Anticipación mínima de 15 días a la fecha propuesta.</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3.</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Adopción de acuerdos: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Los acuerdos de la Asamblea General se adoptarán siempre por mayoría de los votos de los miembros pres</w:t>
      </w:r>
      <w:r>
        <w:rPr>
          <w:rFonts w:ascii="Arial" w:eastAsia="Times New Roman" w:hAnsi="Arial" w:cs="Arial"/>
          <w:sz w:val="22"/>
          <w:szCs w:val="22"/>
          <w:lang w:val="es" w:eastAsia="es-ES" w:bidi="ar-SA"/>
        </w:rPr>
        <w:t xml:space="preserve">entes o debidamente representados. En las votaciones, el valor de las mismas, irá siempre en función de la aportación económica que se realice a la entidad. Teniendo en cuenta que el voto de cada miembro tendrá un valor porcentual en proporción a la cuota </w:t>
      </w:r>
      <w:r>
        <w:rPr>
          <w:rFonts w:ascii="Arial" w:eastAsia="Times New Roman" w:hAnsi="Arial" w:cs="Arial"/>
          <w:sz w:val="22"/>
          <w:szCs w:val="22"/>
          <w:lang w:val="es" w:eastAsia="es-ES" w:bidi="ar-SA"/>
        </w:rPr>
        <w:t>económica a satisfacer a la entidad. El Cabildo de Tenerife y los Ayuntamientos participará en las votaciones cuyo voto tendrá el porcentaje correspondiente en función a su aportación económica. El cálculo del mismo y su control, se llevará a cabo por la G</w:t>
      </w:r>
      <w:r>
        <w:rPr>
          <w:rFonts w:ascii="Arial" w:eastAsia="Times New Roman" w:hAnsi="Arial" w:cs="Arial"/>
          <w:sz w:val="22"/>
          <w:szCs w:val="22"/>
          <w:lang w:val="es" w:eastAsia="es-ES" w:bidi="ar-SA"/>
        </w:rPr>
        <w:t>erencia.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caso de empate el voto del Presidente resolverá la discrepancia.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No podrá tomarse ningún tipo de acuerdo que afecte a los servicios públicos municipales o insulares así como a la financiación económica de los Ayuntamientos y del Cabildo, inclus</w:t>
      </w:r>
      <w:r>
        <w:rPr>
          <w:rFonts w:ascii="Arial" w:eastAsia="Times New Roman" w:hAnsi="Arial" w:cs="Arial"/>
          <w:sz w:val="22"/>
          <w:szCs w:val="22"/>
          <w:lang w:val="es" w:eastAsia="es-ES" w:bidi="ar-SA"/>
        </w:rPr>
        <w:t>o teniendo la mayoría o unanimidad de los votos, siempre y cuando no cuente con autorización favorable de las administraciones intervinientes.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El valor del voto tendrá un régimen proporcional a la aportación económica que se realice a la entidad conforme l</w:t>
      </w:r>
      <w:r>
        <w:rPr>
          <w:rFonts w:ascii="Arial" w:eastAsia="Times New Roman" w:hAnsi="Arial" w:cs="Arial"/>
          <w:sz w:val="22"/>
          <w:szCs w:val="22"/>
          <w:lang w:val="es" w:eastAsia="es-ES" w:bidi="ar-SA"/>
        </w:rPr>
        <w:t xml:space="preserve">a superficie contable. Cada propietario tendrá un porcentaje igual al que le corresponda en el coeficiente de participación, en los gastos de mantenimiento, conservación y comunes en general, asignado a su parcela y conforme a su cuota económica.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Es decir</w:t>
      </w:r>
      <w:r>
        <w:rPr>
          <w:rFonts w:ascii="Arial" w:eastAsia="Times New Roman" w:hAnsi="Arial" w:cs="Arial"/>
          <w:sz w:val="22"/>
          <w:szCs w:val="22"/>
          <w:lang w:val="es" w:eastAsia="es-ES" w:bidi="ar-SA"/>
        </w:rPr>
        <w:t xml:space="preserve">, el voto tendrá el peso que corresponda en función de la aportación económica, en función de su cuota a la Entidad Urbanística. El/La Gerente de la entidad establecerá la fórmula correspondiente y deberá de controlar y supervisar estos cálculos, así como </w:t>
      </w:r>
      <w:r>
        <w:rPr>
          <w:rFonts w:ascii="Arial" w:eastAsia="Times New Roman" w:hAnsi="Arial" w:cs="Arial"/>
          <w:sz w:val="22"/>
          <w:szCs w:val="22"/>
          <w:lang w:val="es" w:eastAsia="es-ES" w:bidi="ar-SA"/>
        </w:rPr>
        <w:t>ser transparente de todos los datos con la finalidad de esclarecer la proporción del voto de cada uno de los miembros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Cada propietario podrá delegar sus votos en cualquier persona/entidad/empresa/asociación, siempre que se haga mediante docu</w:t>
      </w:r>
      <w:r>
        <w:rPr>
          <w:rFonts w:ascii="Arial" w:eastAsia="Times New Roman" w:hAnsi="Arial" w:cs="Arial"/>
          <w:sz w:val="22"/>
          <w:szCs w:val="22"/>
          <w:lang w:val="es" w:eastAsia="es-ES" w:bidi="ar-SA"/>
        </w:rPr>
        <w:t>mento fehaciente y válido en derecho, con la supervisión del Gerente de la entidad. Se mostrará este documento a cualquier miembro de la entidad que lo solicite.</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4.</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Funciones: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1.</w:t>
      </w:r>
      <w:r>
        <w:rPr>
          <w:rFonts w:ascii="Arial" w:eastAsia="Times New Roman" w:hAnsi="Arial" w:cs="Arial"/>
          <w:sz w:val="22"/>
          <w:szCs w:val="22"/>
          <w:lang w:val="es" w:eastAsia="es-ES" w:bidi="ar-SA"/>
        </w:rPr>
        <w:tab/>
        <w:t xml:space="preserve">Modificación de los estatutos, sin perjuicio de la necesidad del voto </w:t>
      </w:r>
      <w:r>
        <w:rPr>
          <w:rFonts w:ascii="Arial" w:eastAsia="Times New Roman" w:hAnsi="Arial" w:cs="Arial"/>
          <w:sz w:val="22"/>
          <w:szCs w:val="22"/>
          <w:lang w:val="es" w:eastAsia="es-ES" w:bidi="ar-SA"/>
        </w:rPr>
        <w:t>favorable de los representantes de los Ayuntamientos de Arafo, Candelaria y Güímar y del Cabildo Insular de Tenerife, cuando proceda. Y en su caso, proceder a la aprobación de la modificación por el órgano competente del Cabildo de Tenerife, previa fase de</w:t>
      </w:r>
      <w:r>
        <w:rPr>
          <w:rFonts w:ascii="Arial" w:eastAsia="Times New Roman" w:hAnsi="Arial" w:cs="Arial"/>
          <w:sz w:val="22"/>
          <w:szCs w:val="22"/>
          <w:lang w:val="es" w:eastAsia="es-ES" w:bidi="ar-SA"/>
        </w:rPr>
        <w:t xml:space="preserve"> información pública.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2.</w:t>
      </w:r>
      <w:r>
        <w:rPr>
          <w:rFonts w:ascii="Arial" w:eastAsia="Times New Roman" w:hAnsi="Arial" w:cs="Arial"/>
          <w:sz w:val="22"/>
          <w:szCs w:val="22"/>
          <w:lang w:val="es" w:eastAsia="es-ES" w:bidi="ar-SA"/>
        </w:rPr>
        <w:tab/>
        <w:t xml:space="preserve">Elección, nombramiento y cese de los miembros de la Junta Directiva.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3.</w:t>
      </w:r>
      <w:r>
        <w:rPr>
          <w:rFonts w:ascii="Arial" w:eastAsia="Times New Roman" w:hAnsi="Arial" w:cs="Arial"/>
          <w:sz w:val="22"/>
          <w:szCs w:val="22"/>
          <w:lang w:val="es" w:eastAsia="es-ES" w:bidi="ar-SA"/>
        </w:rPr>
        <w:tab/>
        <w:t>Aprobación y modificación, así como el establecimiento de otra fórmula de recaudación de cuotas de las aportaciones económicas con las que deban de contribuir</w:t>
      </w:r>
      <w:r>
        <w:rPr>
          <w:rFonts w:ascii="Arial" w:eastAsia="Times New Roman" w:hAnsi="Arial" w:cs="Arial"/>
          <w:sz w:val="22"/>
          <w:szCs w:val="22"/>
          <w:lang w:val="es" w:eastAsia="es-ES" w:bidi="ar-SA"/>
        </w:rPr>
        <w:t xml:space="preserve"> los miembros de la EUC. Sin que puedan tomarse acuerdos en relación a las aportaciones de carácter municipal e insular, ni a la financiación económica de los ayuntamientos ni del Cabildo de Tenerife, ya que deberán contar con la autorización de estas admi</w:t>
      </w:r>
      <w:r>
        <w:rPr>
          <w:rFonts w:ascii="Arial" w:eastAsia="Times New Roman" w:hAnsi="Arial" w:cs="Arial"/>
          <w:sz w:val="22"/>
          <w:szCs w:val="22"/>
          <w:lang w:val="es" w:eastAsia="es-ES" w:bidi="ar-SA"/>
        </w:rPr>
        <w:t>nistraciones.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4.</w:t>
      </w:r>
      <w:r>
        <w:rPr>
          <w:rFonts w:ascii="Arial" w:eastAsia="Times New Roman" w:hAnsi="Arial" w:cs="Arial"/>
          <w:sz w:val="22"/>
          <w:szCs w:val="22"/>
          <w:lang w:val="es" w:eastAsia="es-ES" w:bidi="ar-SA"/>
        </w:rPr>
        <w:tab/>
        <w:t>Aprobación anual de los presupuestos de gastos e inversiones, ordinarios y extraordinarios, así como los servicios a contratar en el próximo ejercicio, o bien modificación de los existentes. En el caso de que afecten a competencias municip</w:t>
      </w:r>
      <w:r>
        <w:rPr>
          <w:rFonts w:ascii="Arial" w:eastAsia="Times New Roman" w:hAnsi="Arial" w:cs="Arial"/>
          <w:sz w:val="22"/>
          <w:szCs w:val="22"/>
          <w:lang w:val="es" w:eastAsia="es-ES" w:bidi="ar-SA"/>
        </w:rPr>
        <w:t>ales o insulares, se necesitará en todo caso, la conformidad de las Administraciones implicadas.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5.</w:t>
      </w:r>
      <w:r>
        <w:rPr>
          <w:rFonts w:ascii="Arial" w:eastAsia="Times New Roman" w:hAnsi="Arial" w:cs="Arial"/>
          <w:sz w:val="22"/>
          <w:szCs w:val="22"/>
          <w:lang w:val="es" w:eastAsia="es-ES" w:bidi="ar-SA"/>
        </w:rPr>
        <w:tab/>
        <w:t>Aprobación de la Memoria anual y de las cuentas.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6.</w:t>
      </w:r>
      <w:r>
        <w:rPr>
          <w:rFonts w:ascii="Arial" w:eastAsia="Times New Roman" w:hAnsi="Arial" w:cs="Arial"/>
          <w:sz w:val="22"/>
          <w:szCs w:val="22"/>
          <w:lang w:val="es" w:eastAsia="es-ES" w:bidi="ar-SA"/>
        </w:rPr>
        <w:tab/>
        <w:t>Propuesta de disolución de la EUC.</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7.         Aprobación de normativa interna para el buen gobierno y de</w:t>
      </w:r>
      <w:r>
        <w:rPr>
          <w:rFonts w:ascii="Arial" w:eastAsia="Times New Roman" w:hAnsi="Arial" w:cs="Arial"/>
          <w:sz w:val="22"/>
          <w:szCs w:val="22"/>
          <w:lang w:val="es" w:eastAsia="es-ES" w:bidi="ar-SA"/>
        </w:rPr>
        <w:t>coro de la entidad.</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21º.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La Junta Directiva:</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Elección de sus miembros: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La elección de la Junta Directiva, a excepción de los representantes de las administraciones, se realizará por la Asamblea General por medio de voto directo y secreto de </w:t>
      </w:r>
      <w:r>
        <w:rPr>
          <w:rFonts w:ascii="Arial" w:eastAsia="Times New Roman" w:hAnsi="Arial" w:cs="Arial"/>
          <w:sz w:val="22"/>
          <w:szCs w:val="22"/>
          <w:lang w:val="es" w:eastAsia="es-ES" w:bidi="ar-SA"/>
        </w:rPr>
        <w:t>todos y cada uno de sus miembros.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El período de mandato será de dos años con la renovación de la totalidad de sus miembros, los cuales podrán ser candidatos a la reelección.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Todos los cargos serán honoríficos y gratuitos, salvo el de la gerencia, que será </w:t>
      </w:r>
      <w:r>
        <w:rPr>
          <w:rFonts w:ascii="Arial" w:eastAsia="Times New Roman" w:hAnsi="Arial" w:cs="Arial"/>
          <w:sz w:val="22"/>
          <w:szCs w:val="22"/>
          <w:lang w:val="es" w:eastAsia="es-ES" w:bidi="ar-SA"/>
        </w:rPr>
        <w:t>retribuido como personal propio de la EUC por el salario que se determine, sin derecho a dietas por asistencia a las sesiones que se convoquen.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Por el carácter condicionante de los nombramientos, las personas designadas cesarán en sus puestos en el momento</w:t>
      </w:r>
      <w:r>
        <w:rPr>
          <w:rFonts w:ascii="Arial" w:eastAsia="Times New Roman" w:hAnsi="Arial" w:cs="Arial"/>
          <w:sz w:val="22"/>
          <w:szCs w:val="22"/>
          <w:lang w:val="es" w:eastAsia="es-ES" w:bidi="ar-SA"/>
        </w:rPr>
        <w:t xml:space="preserve"> que no sean titulares de los terrenos que constituyan el ámbito espacial de la EUC.</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Régimen de sesiones: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La Junta Directiva se reunirá</w:t>
      </w:r>
      <w:r>
        <w:rPr>
          <w:rFonts w:ascii="Arial" w:eastAsia="Lucida Sans Unicode" w:hAnsi="Arial" w:cs="Times New Roman"/>
          <w:sz w:val="22"/>
          <w:lang w:bidi="ar-SA"/>
        </w:rPr>
        <w:t xml:space="preserve"> </w:t>
      </w:r>
      <w:r>
        <w:rPr>
          <w:rFonts w:ascii="Arial" w:eastAsia="Times New Roman" w:hAnsi="Arial" w:cs="Arial"/>
          <w:sz w:val="22"/>
          <w:szCs w:val="22"/>
          <w:lang w:val="es" w:eastAsia="es-ES" w:bidi="ar-SA"/>
        </w:rPr>
        <w:t xml:space="preserve">telemática (con exigencia obligatoria de cámara web), presencial o de forma mixta en la sede de la entidad, como </w:t>
      </w:r>
      <w:r>
        <w:rPr>
          <w:rFonts w:ascii="Arial" w:eastAsia="Times New Roman" w:hAnsi="Arial" w:cs="Arial"/>
          <w:sz w:val="22"/>
          <w:szCs w:val="22"/>
          <w:lang w:val="es" w:eastAsia="es-ES" w:bidi="ar-SA"/>
        </w:rPr>
        <w:t>mínimo, una vez cada tres meses, además de las veces que lo estime oportuno su Presidente, ya por iniciativa propia, o por requerimiento de dos de sus miembros.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En quorum de constitución será por la asistencia de un mínimo de la mitad más uno de sus miembr</w:t>
      </w:r>
      <w:r>
        <w:rPr>
          <w:rFonts w:ascii="Arial" w:eastAsia="Times New Roman" w:hAnsi="Arial" w:cs="Arial"/>
          <w:sz w:val="22"/>
          <w:szCs w:val="22"/>
          <w:lang w:val="es" w:eastAsia="es-ES" w:bidi="ar-SA"/>
        </w:rPr>
        <w:t>os. La asistencia a sus sesiones es obligatoria para todos sus miembros. De no acudir a las sesiones tres veces en un año, o bien dos veces sucesivas, podrá ser sustituido por algún vocal nombrado en reserva de forma automática, sin que sea necesaria la co</w:t>
      </w:r>
      <w:r>
        <w:rPr>
          <w:rFonts w:ascii="Arial" w:eastAsia="Times New Roman" w:hAnsi="Arial" w:cs="Arial"/>
          <w:sz w:val="22"/>
          <w:szCs w:val="22"/>
          <w:lang w:val="es" w:eastAsia="es-ES" w:bidi="ar-SA"/>
        </w:rPr>
        <w:t>nvocatoria de Asamblea General. Se pondrá en conocimiento de ello en la siguiente Asamblea General que se celebre para su ratificación o bien nueva elección del puesto.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3.</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Funciones (previa elaboración de la Gerencia):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Convocar las sesiones de las Asambl</w:t>
      </w:r>
      <w:r>
        <w:rPr>
          <w:rFonts w:ascii="Arial" w:eastAsia="Times New Roman" w:hAnsi="Arial" w:cs="Arial"/>
          <w:sz w:val="22"/>
          <w:szCs w:val="22"/>
          <w:lang w:val="es" w:eastAsia="es-ES" w:bidi="ar-SA"/>
        </w:rPr>
        <w:t>eas Generales.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Proponer a la Asamblea General los programas de actuación y presupuestos necesarios.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Redactar los balances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Ejecutar, gestionar, desarrollar y organizar los acuerdos adoptados por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Nombrar la Gerenci</w:t>
      </w:r>
      <w:r>
        <w:rPr>
          <w:rFonts w:ascii="Arial" w:eastAsia="Times New Roman" w:hAnsi="Arial" w:cs="Arial"/>
          <w:sz w:val="22"/>
          <w:szCs w:val="22"/>
          <w:lang w:val="es" w:eastAsia="es-ES" w:bidi="ar-SA"/>
        </w:rPr>
        <w:t>a y contratar todos aquellos servicios que sean necesarios para el cumplimiento de las funciones propias de la entidad, tanto de funcionamiento interno, pudiendo contratar personal en plantilla o bien personal externo, como de la prestación de los servicio</w:t>
      </w:r>
      <w:r>
        <w:rPr>
          <w:rFonts w:ascii="Arial" w:eastAsia="Times New Roman" w:hAnsi="Arial" w:cs="Arial"/>
          <w:sz w:val="22"/>
          <w:szCs w:val="22"/>
          <w:lang w:val="es" w:eastAsia="es-ES" w:bidi="ar-SA"/>
        </w:rPr>
        <w:t>s de mantenimiento y conservación. La contratación de personal en plantilla autorización favorable de las administraciones intervinientes.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Ejercer las acciones legales convenientes en defensa de la Entidad, previa aprobación de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Ins</w:t>
      </w:r>
      <w:r>
        <w:rPr>
          <w:rFonts w:ascii="Arial" w:eastAsia="Times New Roman" w:hAnsi="Arial" w:cs="Arial"/>
          <w:sz w:val="22"/>
          <w:szCs w:val="22"/>
          <w:lang w:val="es" w:eastAsia="es-ES" w:bidi="ar-SA"/>
        </w:rPr>
        <w:t>tar al Ayuntamiento que corresponda para que a su vez, inste al Consorcio de Tributos, para que proceda al cobro de las cuotas por la vía de apremio, cuando corresponda.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Vigilar y controlar el desarrollo de las actuaciones que se realicen en el ámbito de</w:t>
      </w:r>
      <w:r>
        <w:rPr>
          <w:rFonts w:ascii="Arial" w:eastAsia="Times New Roman" w:hAnsi="Arial" w:cs="Arial"/>
          <w:sz w:val="22"/>
          <w:szCs w:val="22"/>
          <w:lang w:val="es" w:eastAsia="es-ES" w:bidi="ar-SA"/>
        </w:rPr>
        <w:t xml:space="preserve"> la Entidad.</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Denunciar los defectos que se observen en la prestación de servicios y realización de obras.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w:t>
      </w:r>
      <w:r>
        <w:rPr>
          <w:rFonts w:ascii="Arial" w:eastAsia="Times New Roman" w:hAnsi="Arial" w:cs="Arial"/>
          <w:sz w:val="22"/>
          <w:szCs w:val="22"/>
          <w:lang w:val="es" w:eastAsia="es-ES" w:bidi="ar-SA"/>
        </w:rPr>
        <w:tab/>
        <w:t>Gestionar la concesión de los beneficios fiscales que fueren aplicables.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Acordar la solicitud de cualquier tipo de subvención a cualqui</w:t>
      </w:r>
      <w:r>
        <w:rPr>
          <w:rFonts w:ascii="Arial" w:eastAsia="Times New Roman" w:hAnsi="Arial" w:cs="Arial"/>
          <w:sz w:val="22"/>
          <w:szCs w:val="22"/>
          <w:lang w:val="es" w:eastAsia="es-ES" w:bidi="ar-SA"/>
        </w:rPr>
        <w:t>er tipo de Administración Pública a través de la persona que ocupe el cargo de Gerente, previa autorización.</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Velar por el correcto funcionamiento de la Entidad y la prestación de los servicios.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Solicitar o presentar, en su caso, en los Ayunt</w:t>
      </w:r>
      <w:r>
        <w:rPr>
          <w:rFonts w:ascii="Arial" w:eastAsia="Times New Roman" w:hAnsi="Arial" w:cs="Arial"/>
          <w:sz w:val="22"/>
          <w:szCs w:val="22"/>
          <w:lang w:val="es" w:eastAsia="es-ES" w:bidi="ar-SA"/>
        </w:rPr>
        <w:t>amientos las comunicaciones, autorizaciones y/o licencias que sean necesarias para la ejecución de las actuaciones que lo requieran en aplicación de la normativa.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      Interpretar los Estatutos en caso de duda, sin perjuicio de las facultades propias de </w:t>
      </w:r>
      <w:r>
        <w:rPr>
          <w:rFonts w:ascii="Arial" w:eastAsia="Times New Roman" w:hAnsi="Arial" w:cs="Arial"/>
          <w:sz w:val="22"/>
          <w:szCs w:val="22"/>
          <w:lang w:val="es" w:eastAsia="es-ES" w:bidi="ar-SA"/>
        </w:rPr>
        <w:t>las administraciones intervinientes.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Delegar en la Gerencia aquellas funciones propias de la Junta General que considere conveniente con el fin de agilizar el funcionamiento interno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Cualquier otra función que le haya sido encome</w:t>
      </w:r>
      <w:r>
        <w:rPr>
          <w:rFonts w:ascii="Arial" w:eastAsia="Times New Roman" w:hAnsi="Arial" w:cs="Arial"/>
          <w:sz w:val="22"/>
          <w:szCs w:val="22"/>
          <w:lang w:val="es" w:eastAsia="es-ES" w:bidi="ar-SA"/>
        </w:rPr>
        <w:t>ndada por la Asamblea General. Asimismo, le corresponderá las demás facultades de gobierno y administración de la Entidad no reservadas expresamente a aquélla.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anterior determinación de competencias de la Junta Directiva es meramente enunciativa y no ex</w:t>
      </w:r>
      <w:r>
        <w:rPr>
          <w:rFonts w:ascii="Arial" w:eastAsia="Times New Roman" w:hAnsi="Arial" w:cs="Arial"/>
          <w:sz w:val="22"/>
          <w:szCs w:val="22"/>
          <w:lang w:val="es" w:eastAsia="es-ES" w:bidi="ar-SA"/>
        </w:rPr>
        <w:t>cluye en manera alguna las amplias facultades que le competen para el cumplimiento de los fines de la Entidad, sin más limitaciones que las señaladas en la Ley y en los presentes Estatutos.</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22º.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Funciones propias del Presidente y del </w:t>
      </w:r>
      <w:r>
        <w:rPr>
          <w:rFonts w:ascii="Arial" w:eastAsia="Times New Roman" w:hAnsi="Arial" w:cs="Arial"/>
          <w:b/>
          <w:sz w:val="22"/>
          <w:szCs w:val="22"/>
          <w:lang w:val="es" w:eastAsia="es-ES" w:bidi="ar-SA"/>
        </w:rPr>
        <w:t>Vicepresidente: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w:t>
      </w:r>
      <w:r>
        <w:rPr>
          <w:rFonts w:ascii="Arial" w:eastAsia="Times New Roman" w:hAnsi="Arial" w:cs="Arial"/>
          <w:sz w:val="22"/>
          <w:szCs w:val="22"/>
          <w:lang w:val="es" w:eastAsia="es-ES" w:bidi="ar-SA"/>
        </w:rPr>
        <w:tab/>
        <w:t>Ostentar la legal representación de la Entidad Urbanística de Conservación ante las Autoridades, Tribunales, Administración y Organismos Públicos e Instituciones y Entidades Privadas.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b)</w:t>
      </w:r>
      <w:r>
        <w:rPr>
          <w:rFonts w:ascii="Arial" w:eastAsia="Times New Roman" w:hAnsi="Arial" w:cs="Arial"/>
          <w:sz w:val="22"/>
          <w:szCs w:val="22"/>
          <w:lang w:val="es" w:eastAsia="es-ES" w:bidi="ar-SA"/>
        </w:rPr>
        <w:tab/>
        <w:t>Convocar la Asamblea General y la Junta Directiva,</w:t>
      </w:r>
      <w:r>
        <w:rPr>
          <w:rFonts w:ascii="Arial" w:eastAsia="Times New Roman" w:hAnsi="Arial" w:cs="Arial"/>
          <w:sz w:val="22"/>
          <w:szCs w:val="22"/>
          <w:lang w:val="es" w:eastAsia="es-ES" w:bidi="ar-SA"/>
        </w:rPr>
        <w:t xml:space="preserve"> presidiendo sus sesiones, a través del secretario. Asimismo,</w:t>
      </w:r>
      <w:r>
        <w:rPr>
          <w:rFonts w:ascii="Arial" w:eastAsia="Lucida Sans Unicode" w:hAnsi="Arial" w:cs="Times New Roman"/>
          <w:sz w:val="22"/>
          <w:lang w:bidi="ar-SA"/>
        </w:rPr>
        <w:t xml:space="preserve"> </w:t>
      </w:r>
      <w:r>
        <w:rPr>
          <w:rFonts w:ascii="Arial" w:eastAsia="Times New Roman" w:hAnsi="Arial" w:cs="Arial"/>
          <w:sz w:val="22"/>
          <w:szCs w:val="22"/>
          <w:lang w:val="es" w:eastAsia="es-ES" w:bidi="ar-SA"/>
        </w:rPr>
        <w:t>dirigir las deliberaciones, dirimir los empates con su voto de calidad y levantar las sesiones.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w:t>
      </w:r>
      <w:r>
        <w:rPr>
          <w:rFonts w:ascii="Arial" w:eastAsia="Times New Roman" w:hAnsi="Arial" w:cs="Arial"/>
          <w:sz w:val="22"/>
          <w:szCs w:val="22"/>
          <w:lang w:val="es" w:eastAsia="es-ES" w:bidi="ar-SA"/>
        </w:rPr>
        <w:tab/>
        <w:t>Suscribir los compromisos que conjuntamente con los Ayuntamientos o el Cabildo se tomen en orde</w:t>
      </w:r>
      <w:r>
        <w:rPr>
          <w:rFonts w:ascii="Arial" w:eastAsia="Times New Roman" w:hAnsi="Arial" w:cs="Arial"/>
          <w:sz w:val="22"/>
          <w:szCs w:val="22"/>
          <w:lang w:val="es" w:eastAsia="es-ES" w:bidi="ar-SA"/>
        </w:rPr>
        <w:t>n a las finalidades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d)</w:t>
      </w:r>
      <w:r>
        <w:rPr>
          <w:rFonts w:ascii="Arial" w:eastAsia="Times New Roman" w:hAnsi="Arial" w:cs="Arial"/>
          <w:sz w:val="22"/>
          <w:szCs w:val="22"/>
          <w:lang w:val="es" w:eastAsia="es-ES" w:bidi="ar-SA"/>
        </w:rPr>
        <w:tab/>
        <w:t>La jefatura del personal contratado o adscrito, en su caso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w:t>
      </w:r>
      <w:r>
        <w:rPr>
          <w:rFonts w:ascii="Arial" w:eastAsia="Times New Roman" w:hAnsi="Arial" w:cs="Arial"/>
          <w:sz w:val="22"/>
          <w:szCs w:val="22"/>
          <w:lang w:val="es" w:eastAsia="es-ES" w:bidi="ar-SA"/>
        </w:rPr>
        <w:tab/>
        <w:t>Cuantas funciones sean inherentes a su cargo o le sean delegadas por la Asamblea General o la Junta Directiva.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En caso de ausencia o enfermedad o cualquier </w:t>
      </w:r>
      <w:r>
        <w:rPr>
          <w:rFonts w:ascii="Arial" w:eastAsia="Times New Roman" w:hAnsi="Arial" w:cs="Arial"/>
          <w:sz w:val="22"/>
          <w:szCs w:val="22"/>
          <w:lang w:val="es" w:eastAsia="es-ES" w:bidi="ar-SA"/>
        </w:rPr>
        <w:t>otro impedimento legal, el Presidente podrá ser sustituido por el Vicepresidente o, en su ausencia, por el Vocal que establezca la Junta Directiva.</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23°.</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El/La Gerente, el/la Secretario/a y el/la Tesorero/a: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 El/La Gerente: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1.- La selección de </w:t>
      </w:r>
      <w:r>
        <w:rPr>
          <w:rFonts w:ascii="Arial" w:eastAsia="Times New Roman" w:hAnsi="Arial" w:cs="Arial"/>
          <w:sz w:val="22"/>
          <w:szCs w:val="22"/>
          <w:lang w:val="es" w:eastAsia="es-ES" w:bidi="ar-SA"/>
        </w:rPr>
        <w:t>la Gerencia se realizará por la Junta General basándose en los principios de mérito, capacidad, concurrencia y publicidad, con el fin de que se elabore un procedimiento de selección ágil y eficaz para designar una persona profesionalmente cualificada y con</w:t>
      </w:r>
      <w:r>
        <w:rPr>
          <w:rFonts w:ascii="Arial" w:eastAsia="Times New Roman" w:hAnsi="Arial" w:cs="Arial"/>
          <w:sz w:val="22"/>
          <w:szCs w:val="22"/>
          <w:lang w:val="es" w:eastAsia="es-ES" w:bidi="ar-SA"/>
        </w:rPr>
        <w:t xml:space="preserve"> titulación universitaria. Tiene el deber de ejecutar los acuerdos tomados por los órganos de gobierno del a entidad y velar por su cumplimiento. Tiene el deber del seguimiento, control y supervisión de todos los servicios contratados por la entidad con la</w:t>
      </w:r>
      <w:r>
        <w:rPr>
          <w:rFonts w:ascii="Arial" w:eastAsia="Times New Roman" w:hAnsi="Arial" w:cs="Arial"/>
          <w:sz w:val="22"/>
          <w:szCs w:val="22"/>
          <w:lang w:val="es" w:eastAsia="es-ES" w:bidi="ar-SA"/>
        </w:rPr>
        <w:t xml:space="preserve"> finalidad de conservar y mantener el polígono.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2.- El cargo de Gerente será retribuido en la cuantía que se determine en los presupuestos de la Entidad determinado por la Junta Directiva. El/La Gerente desempeñará el cargo con dedicación exclusiva para la</w:t>
      </w:r>
      <w:r>
        <w:rPr>
          <w:rFonts w:ascii="Arial" w:eastAsia="Times New Roman" w:hAnsi="Arial" w:cs="Arial"/>
          <w:sz w:val="22"/>
          <w:szCs w:val="22"/>
          <w:lang w:val="es" w:eastAsia="es-ES" w:bidi="ar-SA"/>
        </w:rPr>
        <w:t xml:space="preserve"> Entidad, siendo incompatible con cualquier otro tipo de profesión o actividad. Asimismo, deberá de ser una persona imparcial sin conflicto de intereses, por lo que no podrá ser propietario de terrenos/parcelas que pertenezcan al ámbito espacial de la enti</w:t>
      </w:r>
      <w:r>
        <w:rPr>
          <w:rFonts w:ascii="Arial" w:eastAsia="Times New Roman" w:hAnsi="Arial" w:cs="Arial"/>
          <w:sz w:val="22"/>
          <w:szCs w:val="22"/>
          <w:lang w:val="es" w:eastAsia="es-ES" w:bidi="ar-SA"/>
        </w:rPr>
        <w:t>dad, y por consiguiente, no se le devengará cuota de participación alguna.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3.- El/La Gerente tendrá derecho a voz en los asuntos propios de su cargo, pero no voto. Asimismo, será civilmente responsable de las funciones encomendadas por la Asamblea General,</w:t>
      </w:r>
      <w:r>
        <w:rPr>
          <w:rFonts w:ascii="Arial" w:eastAsia="Times New Roman" w:hAnsi="Arial" w:cs="Arial"/>
          <w:sz w:val="22"/>
          <w:szCs w:val="22"/>
          <w:lang w:val="es" w:eastAsia="es-ES" w:bidi="ar-SA"/>
        </w:rPr>
        <w:t xml:space="preserve"> por la Junta Directiva o la Presidencia.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4.- Son funciones de el/la Gerente las siguientes.</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a) Organizar y dirigir la oficina y personal de la entidad.</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b) Coordinación y seguimiento de los servicios contratados.</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c) Ejecutar los acuerdos del Consejo Rector</w:t>
      </w:r>
      <w:r>
        <w:rPr>
          <w:rFonts w:ascii="Arial" w:eastAsia="Times New Roman" w:hAnsi="Arial" w:cs="Arial"/>
          <w:sz w:val="22"/>
          <w:szCs w:val="22"/>
          <w:lang w:eastAsia="es-ES" w:bidi="ar-SA"/>
        </w:rPr>
        <w:t xml:space="preserve"> y de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d) Elaborar una Memoria Anual, que rendirá ante el Consejo Rector y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e) Adoptar todas las determinaciones necesarias para el mejor funcionamiento de la entidad, cuya competencia no esté reservada a otro órgano.</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f) Los aspectos económicos, jurídicos y administrativos de la preparación y organización de conferencias, reuniones, exposiciones, congresos…</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g) Mantener actualizadas las cuantías económicas de las cuotas, así como realizar los cálculos numéricos y económi</w:t>
      </w:r>
      <w:r>
        <w:rPr>
          <w:rFonts w:ascii="Arial" w:eastAsia="Times New Roman" w:hAnsi="Arial" w:cs="Arial"/>
          <w:sz w:val="22"/>
          <w:szCs w:val="22"/>
          <w:lang w:eastAsia="es-ES" w:bidi="ar-SA"/>
        </w:rPr>
        <w:t>cos correspondientes para determinar el porcentaje de cada miembro de la entidad de su cuota de participación en función de la titularidad de sus terrenos. Asimismo, proporcionar la información a todos los miembros en relación al porcentaje de participació</w:t>
      </w:r>
      <w:r>
        <w:rPr>
          <w:rFonts w:ascii="Arial" w:eastAsia="Times New Roman" w:hAnsi="Arial" w:cs="Arial"/>
          <w:sz w:val="22"/>
          <w:szCs w:val="22"/>
          <w:lang w:eastAsia="es-ES" w:bidi="ar-SA"/>
        </w:rPr>
        <w:t>n de las cuotas.</w:t>
      </w:r>
    </w:p>
    <w:p w:rsidR="00061CF1" w:rsidRDefault="004E6D5A">
      <w:pPr>
        <w:autoSpaceDE w:val="0"/>
        <w:spacing w:before="180" w:after="180" w:line="276" w:lineRule="auto"/>
        <w:jc w:val="both"/>
        <w:textAlignment w:val="auto"/>
        <w:rPr>
          <w:rFonts w:ascii="Arial" w:eastAsia="Times New Roman" w:hAnsi="Arial" w:cs="Arial"/>
          <w:sz w:val="22"/>
          <w:szCs w:val="22"/>
          <w:lang w:eastAsia="es-ES" w:bidi="ar-SA"/>
        </w:rPr>
      </w:pPr>
      <w:r>
        <w:rPr>
          <w:rFonts w:ascii="Arial" w:eastAsia="Times New Roman" w:hAnsi="Arial" w:cs="Arial"/>
          <w:sz w:val="22"/>
          <w:szCs w:val="22"/>
          <w:lang w:eastAsia="es-ES" w:bidi="ar-SA"/>
        </w:rPr>
        <w:t>h) Mantener una línea de comunicación e información con todos los miembros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 El/La Secretario/a: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1.- Las funciones de el/la Secretario/a serán las siguientes:</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w:t>
      </w:r>
      <w:r>
        <w:rPr>
          <w:rFonts w:ascii="Arial" w:eastAsia="Times New Roman" w:hAnsi="Arial" w:cs="Arial"/>
          <w:sz w:val="22"/>
          <w:szCs w:val="22"/>
          <w:lang w:val="es" w:eastAsia="es-ES" w:bidi="ar-SA"/>
        </w:rPr>
        <w:tab/>
        <w:t>Redactar las actas de la Asamblea General y de la Junta Dire</w:t>
      </w:r>
      <w:r>
        <w:rPr>
          <w:rFonts w:ascii="Arial" w:eastAsia="Times New Roman" w:hAnsi="Arial" w:cs="Arial"/>
          <w:sz w:val="22"/>
          <w:szCs w:val="22"/>
          <w:lang w:val="es" w:eastAsia="es-ES" w:bidi="ar-SA"/>
        </w:rPr>
        <w:t>ctiva, de las cuales dará fe y firmará conjuntamente con el Presidente, previa supervisión del Gerente.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w:t>
      </w:r>
      <w:r>
        <w:rPr>
          <w:rFonts w:ascii="Arial" w:eastAsia="Times New Roman" w:hAnsi="Arial" w:cs="Arial"/>
          <w:sz w:val="22"/>
          <w:szCs w:val="22"/>
          <w:lang w:val="es" w:eastAsia="es-ES" w:bidi="ar-SA"/>
        </w:rPr>
        <w:tab/>
        <w:t>Custodiar los libros y documentos de la Entidad que sean físicos, así como de los ficheros informáticos en los que se vuelca la información de la ent</w:t>
      </w:r>
      <w:r>
        <w:rPr>
          <w:rFonts w:ascii="Arial" w:eastAsia="Times New Roman" w:hAnsi="Arial" w:cs="Arial"/>
          <w:sz w:val="22"/>
          <w:szCs w:val="22"/>
          <w:lang w:val="es" w:eastAsia="es-ES" w:bidi="ar-SA"/>
        </w:rPr>
        <w: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w:t>
      </w:r>
      <w:r>
        <w:rPr>
          <w:rFonts w:ascii="Arial" w:eastAsia="Times New Roman" w:hAnsi="Arial" w:cs="Arial"/>
          <w:sz w:val="22"/>
          <w:szCs w:val="22"/>
          <w:lang w:val="es" w:eastAsia="es-ES" w:bidi="ar-SA"/>
        </w:rPr>
        <w:tab/>
        <w:t>Certificar los acuerdos y cualquier documento que se le requiera.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d)</w:t>
      </w:r>
      <w:r>
        <w:rPr>
          <w:rFonts w:ascii="Arial" w:eastAsia="Times New Roman" w:hAnsi="Arial" w:cs="Arial"/>
          <w:sz w:val="22"/>
          <w:szCs w:val="22"/>
          <w:lang w:val="es" w:eastAsia="es-ES" w:bidi="ar-SA"/>
        </w:rPr>
        <w:tab/>
        <w:t>Notificar mediante correo electrónico las convocatorias a los miembros de la entidad, así como el resto de notificaciones electrónicas que procedan, así como cualquier otra corre</w:t>
      </w:r>
      <w:r>
        <w:rPr>
          <w:rFonts w:ascii="Arial" w:eastAsia="Times New Roman" w:hAnsi="Arial" w:cs="Arial"/>
          <w:sz w:val="22"/>
          <w:szCs w:val="22"/>
          <w:lang w:val="es" w:eastAsia="es-ES" w:bidi="ar-SA"/>
        </w:rPr>
        <w:t>spondencia.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w:t>
      </w:r>
      <w:r>
        <w:rPr>
          <w:rFonts w:ascii="Arial" w:eastAsia="Times New Roman" w:hAnsi="Arial" w:cs="Arial"/>
          <w:sz w:val="22"/>
          <w:szCs w:val="22"/>
          <w:lang w:val="es" w:eastAsia="es-ES" w:bidi="ar-SA"/>
        </w:rPr>
        <w:tab/>
        <w:t>Cualquier otra función que, dentro de sus competencias, le encomiende la asamblea General, la Junta Directiva o el Presidente.</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 El/La Tesorero/a: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w:t>
      </w:r>
      <w:r>
        <w:rPr>
          <w:rFonts w:ascii="Arial" w:eastAsia="Times New Roman" w:hAnsi="Arial" w:cs="Arial"/>
          <w:sz w:val="22"/>
          <w:szCs w:val="22"/>
          <w:lang w:val="es" w:eastAsia="es-ES" w:bidi="ar-SA"/>
        </w:rPr>
        <w:tab/>
        <w:t xml:space="preserve">Firma de recibos así como la autorización en las cuentas de la entidad, junto con el </w:t>
      </w:r>
      <w:r>
        <w:rPr>
          <w:rFonts w:ascii="Arial" w:eastAsia="Times New Roman" w:hAnsi="Arial" w:cs="Arial"/>
          <w:sz w:val="22"/>
          <w:szCs w:val="22"/>
          <w:lang w:val="es" w:eastAsia="es-ES" w:bidi="ar-SA"/>
        </w:rPr>
        <w:t>Presidente y el Vicepresidente, y llevar el control de las cuentas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        Así como cualquier otra función correspondiente a la tesorería que le sea delegada por los órganos de la entidad.</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24°.</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Personal de apoyo administrativo:</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Una vez creada la Entidad, la Gerencia podrá solicitar la contratación de un personal de apoyo administrativo, con el voto favorable de la Junta General. En todo caso, cualquier contratación de personal de plantilla de la Entidad, deberá de solicitarse aut</w:t>
      </w:r>
      <w:r>
        <w:rPr>
          <w:rFonts w:ascii="Arial" w:eastAsia="Times New Roman" w:hAnsi="Arial" w:cs="Arial"/>
          <w:sz w:val="22"/>
          <w:szCs w:val="22"/>
          <w:lang w:val="es" w:eastAsia="es-ES" w:bidi="ar-SA"/>
        </w:rPr>
        <w:t>orización al Cabildo de Tenerife o en su caso, a los Ayuntamientos, a través de sus representantes. Todo ello sin perjuicio de que en la Asamblea General se tome otro tipo de decisión al respecto.</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CAPÍTULO VI</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Régimen económico.</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25°.</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Medios econó</w:t>
      </w:r>
      <w:r>
        <w:rPr>
          <w:rFonts w:ascii="Arial" w:eastAsia="Times New Roman" w:hAnsi="Arial" w:cs="Arial"/>
          <w:b/>
          <w:sz w:val="22"/>
          <w:szCs w:val="22"/>
          <w:lang w:val="es" w:eastAsia="es-ES" w:bidi="ar-SA"/>
        </w:rPr>
        <w:t>micos: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La Entidad se financiará, conforme lo establecido en el Capítulo III de los presentes estatutos, por los siguientes ingresos: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a) Las cuotas de toda índole de los miembros, cuya cuantía y periodicidad podrá variar la Asamblea General.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b) De las ap</w:t>
      </w:r>
      <w:r>
        <w:rPr>
          <w:rFonts w:ascii="Arial" w:eastAsia="Times New Roman" w:hAnsi="Arial" w:cs="Arial"/>
          <w:sz w:val="22"/>
          <w:szCs w:val="22"/>
          <w:lang w:val="es" w:eastAsia="es-ES" w:bidi="ar-SA"/>
        </w:rPr>
        <w:t>ortaciones anuales del Cabildo de Tenerife y de los Ayuntamientos en los términos previstos en el artículo 12.</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c) Otras aportaciones como subvenciones, auxilios, donativos y otros ingresos.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Si durante el ejercicio surgiera una necesidad imprevista que</w:t>
      </w:r>
      <w:r>
        <w:rPr>
          <w:rFonts w:ascii="Arial" w:eastAsia="Times New Roman" w:hAnsi="Arial" w:cs="Arial"/>
          <w:sz w:val="22"/>
          <w:szCs w:val="22"/>
          <w:lang w:val="es" w:eastAsia="es-ES" w:bidi="ar-SA"/>
        </w:rPr>
        <w:t xml:space="preserve"> exigiere un gasto extraordinario, será preciso acuerdo de la Asamblea especialmente convocada a este objeto.</w:t>
      </w:r>
    </w:p>
    <w:p w:rsidR="00061CF1" w:rsidRDefault="00061CF1">
      <w:pPr>
        <w:autoSpaceDE w:val="0"/>
        <w:spacing w:before="180" w:after="180" w:line="276" w:lineRule="auto"/>
        <w:jc w:val="both"/>
        <w:textAlignment w:val="auto"/>
        <w:rPr>
          <w:rFonts w:ascii="Arial" w:eastAsia="Times New Roman" w:hAnsi="Arial" w:cs="Arial"/>
          <w:sz w:val="22"/>
          <w:szCs w:val="22"/>
          <w:lang w:val="es" w:eastAsia="es-ES" w:bidi="ar-SA"/>
        </w:rPr>
      </w:pPr>
    </w:p>
    <w:p w:rsidR="00061CF1" w:rsidRDefault="00061CF1">
      <w:pPr>
        <w:autoSpaceDE w:val="0"/>
        <w:spacing w:before="180" w:after="180" w:line="276" w:lineRule="auto"/>
        <w:jc w:val="both"/>
        <w:textAlignment w:val="auto"/>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26°.</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Presupuesto: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Se redactará y aprobará anualmente presupuesto un ordinario.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Su partida de ingresos la constituirá el </w:t>
      </w:r>
      <w:r>
        <w:rPr>
          <w:rFonts w:ascii="Arial" w:eastAsia="Times New Roman" w:hAnsi="Arial" w:cs="Arial"/>
          <w:sz w:val="22"/>
          <w:szCs w:val="22"/>
          <w:lang w:val="es" w:eastAsia="es-ES" w:bidi="ar-SA"/>
        </w:rPr>
        <w:t>superávit anterior, si lo hubiere, las subvenciones o donativos que se recibieran y cualquier otro ingreso previsible, así como la participación del Cabildo de Tenerife y la previsión de las cuotas de los miembros.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3.</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Su partida de gastos será constituida</w:t>
      </w:r>
      <w:r>
        <w:rPr>
          <w:rFonts w:ascii="Arial" w:eastAsia="Times New Roman" w:hAnsi="Arial" w:cs="Arial"/>
          <w:sz w:val="22"/>
          <w:szCs w:val="22"/>
          <w:lang w:val="es" w:eastAsia="es-ES" w:bidi="ar-SA"/>
        </w:rPr>
        <w:t xml:space="preserve"> por los ordinarios y generales de funcionamiento de la entidad (gastos de personal, mobiliario, asesoría, teléfono, ordenador, material de oficina, mobiliario); y los gastos de prestación de servicios y de ejecución de actuaciones para la consecución de l</w:t>
      </w:r>
      <w:r>
        <w:rPr>
          <w:rFonts w:ascii="Arial" w:eastAsia="Times New Roman" w:hAnsi="Arial" w:cs="Arial"/>
          <w:sz w:val="22"/>
          <w:szCs w:val="22"/>
          <w:lang w:val="es" w:eastAsia="es-ES" w:bidi="ar-SA"/>
        </w:rPr>
        <w:t>os fines de conservación de esta Entidad.</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27°.</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Recaudación: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En defecto de acuerdo expreso, las cuotas económicas que han de satisfacer los miembros de la Entidad se recaudarán por meses (dentro de los diez primeros días de cada mes), respecto</w:t>
      </w:r>
      <w:r>
        <w:rPr>
          <w:rFonts w:ascii="Arial" w:eastAsia="Times New Roman" w:hAnsi="Arial" w:cs="Arial"/>
          <w:sz w:val="22"/>
          <w:szCs w:val="22"/>
          <w:lang w:val="es" w:eastAsia="es-ES" w:bidi="ar-SA"/>
        </w:rPr>
        <w:t xml:space="preserve"> a las previsiones del presupuesto anual, debiendo verificarse el abono de la cantidad correspondiente dentro del plazo de los quince días siguientes al de la recepción del requerimiento de pago.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Transcurrido el período de pago voluntario, atendiendo p</w:t>
      </w:r>
      <w:r>
        <w:rPr>
          <w:rFonts w:ascii="Arial" w:eastAsia="Times New Roman" w:hAnsi="Arial" w:cs="Arial"/>
          <w:sz w:val="22"/>
          <w:szCs w:val="22"/>
          <w:lang w:val="es" w:eastAsia="es-ES" w:bidi="ar-SA"/>
        </w:rPr>
        <w:t>or analogía a la normativa de haciendas locales de régimen local, las cuotas podrán exigirse al propietario moroso por la recaudación municipal, por la vía de apremio, derivando su recaudación al Consorcio de Tributos conforme al convenio que tenga estable</w:t>
      </w:r>
      <w:r>
        <w:rPr>
          <w:rFonts w:ascii="Arial" w:eastAsia="Times New Roman" w:hAnsi="Arial" w:cs="Arial"/>
          <w:sz w:val="22"/>
          <w:szCs w:val="22"/>
          <w:lang w:val="es" w:eastAsia="es-ES" w:bidi="ar-SA"/>
        </w:rPr>
        <w:t>cido el Ayuntamiento.</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28°.</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Contabilidad:</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La entidad llevará la contabilidad de la gestión económica de los libros adecuados para que, en cada momento, pueda darse razón de las operaciones efectuadas y se deduzcan de ellos las cuentas que han</w:t>
      </w:r>
      <w:r>
        <w:rPr>
          <w:rFonts w:ascii="Arial" w:eastAsia="Times New Roman" w:hAnsi="Arial" w:cs="Arial"/>
          <w:sz w:val="22"/>
          <w:szCs w:val="22"/>
          <w:lang w:val="es" w:eastAsia="es-ES" w:bidi="ar-SA"/>
        </w:rPr>
        <w:t xml:space="preserve"> de rendirse.</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Obligatoriamente la contabilidad contará, como mínimo, de libros de ingresos, gastos y caja, que estarán a cargo del Gerente de la entidad.</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29°.</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Liquidación anual:</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El Presidente elevará a la Asamblea General la liquidación </w:t>
      </w:r>
      <w:r>
        <w:rPr>
          <w:rFonts w:ascii="Arial" w:eastAsia="Times New Roman" w:hAnsi="Arial" w:cs="Arial"/>
          <w:sz w:val="22"/>
          <w:szCs w:val="22"/>
          <w:lang w:val="es" w:eastAsia="es-ES" w:bidi="ar-SA"/>
        </w:rPr>
        <w:t>anual del presupuesto del ejercicio cerrado, por años naturales y los presentará junto al proyecto de presupuesto para el ejercicio en curso.</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30°.</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Fondo de reserva:</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El presupuesto ordinario se incrementará en cada ejercicio en un 5% de su import</w:t>
      </w:r>
      <w:r>
        <w:rPr>
          <w:rFonts w:ascii="Arial" w:eastAsia="Times New Roman" w:hAnsi="Arial" w:cs="Arial"/>
          <w:sz w:val="22"/>
          <w:szCs w:val="22"/>
          <w:lang w:val="es" w:eastAsia="es-ES" w:bidi="ar-SA"/>
        </w:rPr>
        <w:t>e, que pasará a constituir y aumentar un fondo de reserva hasta el límite que fije la Asamblea General. Este incremento será repartido a cargo de los propietarios con igual criterio al de las cuotas y se recaudará al mismo tiempo que éstas. El fondo de res</w:t>
      </w:r>
      <w:r>
        <w:rPr>
          <w:rFonts w:ascii="Arial" w:eastAsia="Times New Roman" w:hAnsi="Arial" w:cs="Arial"/>
          <w:sz w:val="22"/>
          <w:szCs w:val="22"/>
          <w:lang w:val="es" w:eastAsia="es-ES" w:bidi="ar-SA"/>
        </w:rPr>
        <w:t>erva se destinará a hacer frente a las reparaciones extraordinarias de conservación o mejora de bienes y servicios comunes.</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Deberá comunicarse al Cabildo de Tenerife, así como a los Ayuntamientos, los acuerdos referidos en los artículos 27 a 29 de los pres</w:t>
      </w:r>
      <w:r>
        <w:rPr>
          <w:rFonts w:ascii="Arial" w:eastAsia="Times New Roman" w:hAnsi="Arial" w:cs="Arial"/>
          <w:sz w:val="22"/>
          <w:szCs w:val="22"/>
          <w:lang w:val="es" w:eastAsia="es-ES" w:bidi="ar-SA"/>
        </w:rPr>
        <w:t>entes estatutos.</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CAPÍTULO VII</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Sistema de garantía</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Artículo 31°.- Régimen de recursos: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Contra los acuerdos o resoluciones de los órganos de gobierno de la Entidad podrá interponerse, potestativamente, reclamación ante el mismo órgano que los hubiese d</w:t>
      </w:r>
      <w:r>
        <w:rPr>
          <w:rFonts w:ascii="Arial" w:eastAsia="Times New Roman" w:hAnsi="Arial" w:cs="Arial"/>
          <w:sz w:val="22"/>
          <w:szCs w:val="22"/>
          <w:lang w:val="es" w:eastAsia="es-ES" w:bidi="ar-SA"/>
        </w:rPr>
        <w:t>ictado o bien ser impugnados directamente ante el Cabildo de Tenerife, como administración tutelante, mediante Recurso de Alzada. Si el asunto afectara a aspectos de carácter municipal, se solicitará informe a los ayuntamientos afectados en aras a la resol</w:t>
      </w:r>
      <w:r>
        <w:rPr>
          <w:rFonts w:ascii="Arial" w:eastAsia="Times New Roman" w:hAnsi="Arial" w:cs="Arial"/>
          <w:sz w:val="22"/>
          <w:szCs w:val="22"/>
          <w:lang w:val="es" w:eastAsia="es-ES" w:bidi="ar-SA"/>
        </w:rPr>
        <w:t>ución del recurso.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El plazo para interponer Reclamación Potestativa será de quince días hábiles a contar desde el día siguiente a su notificación o desde el siguiente a su adopción si el recurrente fuera un asociado presente en dichos órganos. Transcur</w:t>
      </w:r>
      <w:r>
        <w:rPr>
          <w:rFonts w:ascii="Arial" w:eastAsia="Times New Roman" w:hAnsi="Arial" w:cs="Arial"/>
          <w:sz w:val="22"/>
          <w:szCs w:val="22"/>
          <w:lang w:val="es" w:eastAsia="es-ES" w:bidi="ar-SA"/>
        </w:rPr>
        <w:t>rido un mes desde su interposición sin que hubiera recaído resolución expresa, dicha Reclamación se entenderá desestimada.</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3.</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El plazo para interponer Recurso de Alzada será de un mes a contar desde el día siguiente al de la notificación del acuerdo o des</w:t>
      </w:r>
      <w:r>
        <w:rPr>
          <w:rFonts w:ascii="Arial" w:eastAsia="Times New Roman" w:hAnsi="Arial" w:cs="Arial"/>
          <w:sz w:val="22"/>
          <w:szCs w:val="22"/>
          <w:lang w:val="es" w:eastAsia="es-ES" w:bidi="ar-SA"/>
        </w:rPr>
        <w:t xml:space="preserve">de el momento de su adopción por un órgano colegiado de la Entidad, si el recurrente fuera un asociado presente en dichos órganos. </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 xml:space="preserve">No obstante, en caso de que previamente se hubiese interpuesto Reclamación Potestativa, el plazo para interponer el Recurso </w:t>
      </w:r>
      <w:r>
        <w:rPr>
          <w:rFonts w:ascii="Arial" w:eastAsia="Times New Roman" w:hAnsi="Arial" w:cs="Arial"/>
          <w:sz w:val="22"/>
          <w:szCs w:val="22"/>
          <w:lang w:val="es" w:eastAsia="es-ES" w:bidi="ar-SA"/>
        </w:rPr>
        <w:t>de Alzada será de un mes desde el día siguiente a la notificación de la resolución de dicha Reclamación o desde el día siguiente a aquél en que deba entenderse desestimada por silencio.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4.</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Los acuerdos, sin perjuicio de los recursos procedentes, serán inm</w:t>
      </w:r>
      <w:r>
        <w:rPr>
          <w:rFonts w:ascii="Arial" w:eastAsia="Times New Roman" w:hAnsi="Arial" w:cs="Arial"/>
          <w:sz w:val="22"/>
          <w:szCs w:val="22"/>
          <w:lang w:val="es" w:eastAsia="es-ES" w:bidi="ar-SA"/>
        </w:rPr>
        <w:t>ediatamente ejecutivos. En todo caso, no se podrá interponer Recurso de Alzada ante la Administración actuante hasta que sea resuelta expresamente o se haya producido la desestimación por silencio de la Reclamación Potestativa que, en su caso, se interpong</w:t>
      </w:r>
      <w:r>
        <w:rPr>
          <w:rFonts w:ascii="Arial" w:eastAsia="Times New Roman" w:hAnsi="Arial" w:cs="Arial"/>
          <w:sz w:val="22"/>
          <w:szCs w:val="22"/>
          <w:lang w:val="es" w:eastAsia="es-ES" w:bidi="ar-SA"/>
        </w:rPr>
        <w:t>a.</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32°.</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Legitimación: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Están legitimados para interponer recursos contra los acuerdos o resoluciones de esta Entidad, además de todos los asociados que no hayan votado a favor de los mismos o bien estando presentes en la reunión se hayan absteni</w:t>
      </w:r>
      <w:r>
        <w:rPr>
          <w:rFonts w:ascii="Arial" w:eastAsia="Times New Roman" w:hAnsi="Arial" w:cs="Arial"/>
          <w:sz w:val="22"/>
          <w:szCs w:val="22"/>
          <w:lang w:val="es" w:eastAsia="es-ES" w:bidi="ar-SA"/>
        </w:rPr>
        <w:t>do, aquellos a quienes el régimen jurídico</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administrativo vigente les reconozca legitimación para recurrir.</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CAPÍTULO VIII</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Disolución y liquidación de la Entidad.</w:t>
      </w: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33°.</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Disolución de la Entidad:</w:t>
      </w:r>
    </w:p>
    <w:p w:rsidR="00061CF1" w:rsidRDefault="004E6D5A">
      <w:pPr>
        <w:autoSpaceDE w:val="0"/>
        <w:spacing w:before="180" w:after="180" w:line="276" w:lineRule="auto"/>
        <w:jc w:val="both"/>
        <w:textAlignment w:val="auto"/>
        <w:rPr>
          <w:rFonts w:ascii="Arial" w:eastAsia="Times New Roman" w:hAnsi="Arial" w:cs="Arial"/>
          <w:sz w:val="22"/>
          <w:szCs w:val="22"/>
          <w:lang w:val="es" w:eastAsia="es-ES" w:bidi="ar-SA"/>
        </w:rPr>
      </w:pPr>
      <w:r>
        <w:rPr>
          <w:rFonts w:ascii="Arial" w:eastAsia="Times New Roman" w:hAnsi="Arial" w:cs="Arial"/>
          <w:sz w:val="22"/>
          <w:szCs w:val="22"/>
          <w:lang w:val="es" w:eastAsia="es-ES" w:bidi="ar-SA"/>
        </w:rPr>
        <w:t>La Entidad de Conservación procederá su disolución</w:t>
      </w:r>
      <w:r>
        <w:rPr>
          <w:rFonts w:ascii="Arial" w:eastAsia="Times New Roman" w:hAnsi="Arial" w:cs="Arial"/>
          <w:sz w:val="22"/>
          <w:szCs w:val="22"/>
          <w:lang w:val="es" w:eastAsia="es-ES" w:bidi="ar-SA"/>
        </w:rPr>
        <w:t xml:space="preserve"> cuando concurra alguna de las siguientes causas:</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1.</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Cuando así se determine mediante disposición legal.</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2.</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Cuando no existiendo disposición legal o reglamentaria al respecto se produzcan causas de fuerza mayor o razones de interés legal, debidamente </w:t>
      </w:r>
      <w:r>
        <w:rPr>
          <w:rFonts w:ascii="Arial" w:eastAsia="Times New Roman" w:hAnsi="Arial" w:cs="Arial"/>
          <w:sz w:val="22"/>
          <w:szCs w:val="22"/>
          <w:lang w:val="es" w:eastAsia="es-ES" w:bidi="ar-SA"/>
        </w:rPr>
        <w:t>justificadas, que aconsejen solicitar la indicada disolución mediante acuerdo tomado en Asamblea Extraordinaria convocada al efecto.</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3.</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Cuando por los órganos urbanísticos competentes se establezca un sistema distinto para la conservación de aquellos bien</w:t>
      </w:r>
      <w:r>
        <w:rPr>
          <w:rFonts w:ascii="Arial" w:eastAsia="Times New Roman" w:hAnsi="Arial" w:cs="Arial"/>
          <w:sz w:val="22"/>
          <w:szCs w:val="22"/>
          <w:lang w:val="es" w:eastAsia="es-ES" w:bidi="ar-SA"/>
        </w:rPr>
        <w:t>es que constituyen el objeto de la Entidad.</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4.</w:t>
      </w:r>
      <w:r>
        <w:rPr>
          <w:rFonts w:ascii="Cambria Math" w:eastAsia="Times New Roman" w:hAnsi="Cambria Math" w:cs="Cambria Math"/>
          <w:sz w:val="22"/>
          <w:szCs w:val="22"/>
          <w:lang w:val="es" w:eastAsia="es-ES" w:bidi="ar-SA"/>
        </w:rPr>
        <w:t>‐</w:t>
      </w:r>
      <w:r>
        <w:rPr>
          <w:rFonts w:ascii="Arial" w:eastAsia="Times New Roman" w:hAnsi="Arial" w:cs="Arial"/>
          <w:sz w:val="22"/>
          <w:szCs w:val="22"/>
          <w:lang w:val="es" w:eastAsia="es-ES" w:bidi="ar-SA"/>
        </w:rPr>
        <w:t xml:space="preserve"> En cualquier caso, la disolución de la Entidad requerirá acuerdo de los plenos municipales como administraciones actuantes, y del Cabildo de Tenerife como Administración tutelante.</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pPr>
      <w:r>
        <w:rPr>
          <w:rFonts w:ascii="Arial" w:eastAsia="Times New Roman" w:hAnsi="Arial" w:cs="Arial"/>
          <w:b/>
          <w:sz w:val="22"/>
          <w:szCs w:val="22"/>
          <w:lang w:val="es" w:eastAsia="es-ES" w:bidi="ar-SA"/>
        </w:rPr>
        <w:t>Artículo 34º.</w:t>
      </w:r>
      <w:r>
        <w:rPr>
          <w:rFonts w:ascii="Cambria Math" w:eastAsia="Times New Roman" w:hAnsi="Cambria Math" w:cs="Cambria Math"/>
          <w:b/>
          <w:sz w:val="22"/>
          <w:szCs w:val="22"/>
          <w:lang w:val="es" w:eastAsia="es-ES" w:bidi="ar-SA"/>
        </w:rPr>
        <w:t>‐</w:t>
      </w:r>
      <w:r>
        <w:rPr>
          <w:rFonts w:ascii="Arial" w:eastAsia="Times New Roman" w:hAnsi="Arial" w:cs="Arial"/>
          <w:b/>
          <w:sz w:val="22"/>
          <w:szCs w:val="22"/>
          <w:lang w:val="es" w:eastAsia="es-ES" w:bidi="ar-SA"/>
        </w:rPr>
        <w:t xml:space="preserve"> Liquidación</w:t>
      </w:r>
      <w:r>
        <w:rPr>
          <w:rFonts w:ascii="Arial" w:eastAsia="Times New Roman" w:hAnsi="Arial" w:cs="Arial"/>
          <w:b/>
          <w:sz w:val="22"/>
          <w:szCs w:val="22"/>
          <w:lang w:val="es" w:eastAsia="es-ES" w:bidi="ar-SA"/>
        </w:rPr>
        <w:t xml:space="preserve"> de la Entidad y extinción:</w:t>
      </w:r>
    </w:p>
    <w:p w:rsidR="00061CF1" w:rsidRDefault="004E6D5A">
      <w:pPr>
        <w:autoSpaceDE w:val="0"/>
        <w:spacing w:before="180" w:after="180" w:line="276" w:lineRule="auto"/>
        <w:jc w:val="both"/>
        <w:textAlignment w:val="auto"/>
      </w:pPr>
      <w:r>
        <w:rPr>
          <w:rFonts w:ascii="Arial" w:eastAsia="Times New Roman" w:hAnsi="Arial" w:cs="Arial"/>
          <w:sz w:val="22"/>
          <w:szCs w:val="22"/>
          <w:lang w:val="es" w:eastAsia="es-ES" w:bidi="ar-SA"/>
        </w:rPr>
        <w:t>Acordada válidamente la disolución de la Entidad, la Gerencia de la entidad procederá a efectuar la liquidación de la misma mediante el cobro de crédito y pago de deudas pendientes. Si hubiera remanente, lo distribuirá entre los</w:t>
      </w:r>
      <w:r>
        <w:rPr>
          <w:rFonts w:ascii="Arial" w:eastAsia="Times New Roman" w:hAnsi="Arial" w:cs="Arial"/>
          <w:sz w:val="22"/>
          <w:szCs w:val="22"/>
          <w:lang w:val="es" w:eastAsia="es-ES" w:bidi="ar-SA"/>
        </w:rPr>
        <w:t xml:space="preserve"> asociados, en proporción a sus cuotas o carga de participación. A continuación, la Gerencia deberá de realizar los trámites para que el Cabildo de Tenerife</w:t>
      </w:r>
      <w:r>
        <w:rPr>
          <w:rFonts w:ascii="Arial" w:eastAsia="Times New Roman" w:hAnsi="Arial" w:cs="Arial"/>
          <w:b/>
          <w:sz w:val="22"/>
          <w:szCs w:val="22"/>
          <w:lang w:val="es" w:eastAsia="es-ES" w:bidi="ar-SA"/>
        </w:rPr>
        <w:t xml:space="preserve"> </w:t>
      </w:r>
      <w:r>
        <w:rPr>
          <w:rFonts w:ascii="Arial" w:eastAsia="Times New Roman" w:hAnsi="Arial" w:cs="Arial"/>
          <w:sz w:val="22"/>
          <w:szCs w:val="22"/>
          <w:lang w:val="es" w:eastAsia="es-ES" w:bidi="ar-SA"/>
        </w:rPr>
        <w:t>y los Ayuntamientos apruebe la disolución y se proceda a la cancelación de la inscripción en el Reg</w:t>
      </w:r>
      <w:r>
        <w:rPr>
          <w:rFonts w:ascii="Arial" w:eastAsia="Times New Roman" w:hAnsi="Arial" w:cs="Arial"/>
          <w:sz w:val="22"/>
          <w:szCs w:val="22"/>
          <w:lang w:val="es" w:eastAsia="es-ES" w:bidi="ar-SA"/>
        </w:rPr>
        <w:t>istro de Entidades Urbanísticas Colaboradoras.</w:t>
      </w:r>
    </w:p>
    <w:p w:rsidR="00061CF1" w:rsidRDefault="004E6D5A">
      <w:pPr>
        <w:autoSpaceDE w:val="0"/>
        <w:spacing w:before="180" w:after="180" w:line="276" w:lineRule="auto"/>
        <w:ind w:firstLine="709"/>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 xml:space="preserve">Anexo I del Acuerdo del Consejo de Gobierno del Cabildo Insular de Tenerife de 29 de octubre de 2025 notificado al Ayuntamiento de Candelaria por registro de entrada de 31 de octubre de 2025 que se incorporan </w:t>
      </w:r>
      <w:r>
        <w:rPr>
          <w:rFonts w:ascii="Arial" w:eastAsia="Times New Roman" w:hAnsi="Arial" w:cs="Arial"/>
          <w:b/>
          <w:sz w:val="22"/>
          <w:szCs w:val="22"/>
          <w:lang w:val="es" w:eastAsia="es-ES" w:bidi="ar-SA"/>
        </w:rPr>
        <w:t>al texto de los estatutos.</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 xml:space="preserve">ANEXO I.- </w:t>
      </w:r>
    </w:p>
    <w:p w:rsidR="00061CF1" w:rsidRDefault="00061CF1">
      <w:pPr>
        <w:autoSpaceDE w:val="0"/>
        <w:spacing w:before="180" w:after="180" w:line="276" w:lineRule="auto"/>
        <w:jc w:val="both"/>
        <w:textAlignment w:val="auto"/>
        <w:rPr>
          <w:rFonts w:ascii="Arial" w:eastAsia="Times New Roman" w:hAnsi="Arial" w:cs="Arial"/>
          <w:b/>
          <w:sz w:val="22"/>
          <w:szCs w:val="22"/>
          <w:lang w:val="es" w:eastAsia="es-ES" w:bidi="ar-SA"/>
        </w:rPr>
      </w:pP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Censo de propietarios del ámbito de actuación de la EUC.</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El listado no se expone al público porque tiene datos personales como son las referencias catastrales, superficies de cada parcela, NIF, etc. que están protegid</w:t>
      </w:r>
      <w:r>
        <w:rPr>
          <w:rFonts w:ascii="Arial" w:eastAsia="Times New Roman" w:hAnsi="Arial" w:cs="Arial"/>
          <w:b/>
          <w:sz w:val="22"/>
          <w:szCs w:val="22"/>
          <w:lang w:val="es" w:eastAsia="es-ES" w:bidi="ar-SA"/>
        </w:rPr>
        <w:t>os por la Ley Orgánica 3/2018, de 5 de diciembre, Protección de datos personales y Garantías de los derechos digitales (LOPDGDD) y no se tiene el consentimiento de los interesados para su publicación y difusión pública.</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w:t>
      </w:r>
    </w:p>
    <w:p w:rsidR="00061CF1" w:rsidRDefault="004E6D5A">
      <w:pPr>
        <w:autoSpaceDE w:val="0"/>
        <w:spacing w:before="180" w:after="180" w:line="276" w:lineRule="auto"/>
        <w:jc w:val="both"/>
        <w:textAlignment w:val="auto"/>
        <w:rPr>
          <w:rFonts w:ascii="Arial" w:eastAsia="Times New Roman" w:hAnsi="Arial" w:cs="Arial"/>
          <w:b/>
          <w:sz w:val="22"/>
          <w:szCs w:val="22"/>
          <w:lang w:val="es" w:eastAsia="es-ES" w:bidi="ar-SA"/>
        </w:rPr>
      </w:pPr>
      <w:r>
        <w:rPr>
          <w:rFonts w:ascii="Arial" w:eastAsia="Times New Roman" w:hAnsi="Arial" w:cs="Arial"/>
          <w:b/>
          <w:sz w:val="22"/>
          <w:szCs w:val="22"/>
          <w:lang w:val="es" w:eastAsia="es-ES" w:bidi="ar-SA"/>
        </w:rPr>
        <w:t>Plano del ámbito de actuación:</w:t>
      </w:r>
    </w:p>
    <w:p w:rsidR="00061CF1" w:rsidRDefault="004E6D5A">
      <w:pPr>
        <w:autoSpaceDE w:val="0"/>
        <w:spacing w:before="180" w:after="180" w:line="276" w:lineRule="auto"/>
        <w:jc w:val="both"/>
        <w:textAlignment w:val="auto"/>
      </w:pPr>
      <w:r>
        <w:rPr>
          <w:rFonts w:ascii="Arial" w:eastAsia="Lucida Sans Unicode" w:hAnsi="Arial" w:cs="Times New Roman"/>
          <w:noProof/>
          <w:sz w:val="22"/>
          <w:lang w:eastAsia="es-ES" w:bidi="ar-SA"/>
        </w:rPr>
        <w:drawing>
          <wp:inline distT="0" distB="0" distL="0" distR="0">
            <wp:extent cx="5493605" cy="3875565"/>
            <wp:effectExtent l="0" t="0" r="0" b="0"/>
            <wp:docPr id="24" name="Imagen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493605" cy="3875565"/>
                    </a:xfrm>
                    <a:prstGeom prst="rect">
                      <a:avLst/>
                    </a:prstGeom>
                    <a:noFill/>
                    <a:ln>
                      <a:noFill/>
                      <a:prstDash/>
                    </a:ln>
                  </pic:spPr>
                </pic:pic>
              </a:graphicData>
            </a:graphic>
          </wp:inline>
        </w:drawing>
      </w: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spacing w:after="120"/>
        <w:ind w:firstLine="709"/>
        <w:jc w:val="both"/>
        <w:textAlignment w:val="auto"/>
      </w:pPr>
      <w:r>
        <w:rPr>
          <w:rFonts w:ascii="Arial" w:eastAsia="Lucida Sans Unicode" w:hAnsi="Arial" w:cs="Arial"/>
          <w:b/>
          <w:color w:val="000000"/>
          <w:shd w:val="clear" w:color="auto" w:fill="F5F7F9"/>
          <w:lang w:bidi="ar-SA"/>
        </w:rPr>
        <w:t xml:space="preserve">8.- </w:t>
      </w:r>
      <w:r>
        <w:rPr>
          <w:rFonts w:ascii="Arial" w:eastAsia="Lucida Sans Unicode" w:hAnsi="Arial" w:cs="Arial"/>
          <w:b/>
          <w:color w:val="000000"/>
          <w:u w:val="single"/>
          <w:shd w:val="clear" w:color="auto" w:fill="F5F7F9"/>
          <w:lang w:bidi="ar-SA"/>
        </w:rPr>
        <w:t>Expediente 10288/2025</w:t>
      </w:r>
      <w:r>
        <w:rPr>
          <w:rFonts w:ascii="Arial" w:eastAsia="Lucida Sans Unicode" w:hAnsi="Arial" w:cs="Arial"/>
          <w:b/>
          <w:color w:val="000000"/>
          <w:shd w:val="clear" w:color="auto" w:fill="F5F7F9"/>
          <w:lang w:bidi="ar-SA"/>
        </w:rPr>
        <w:t>. Moción del Grupo Popular para impulsar medidas de apoyo efectivo al comercio local de Candelaria.</w:t>
      </w:r>
    </w:p>
    <w:p w:rsidR="00061CF1" w:rsidRDefault="00061CF1">
      <w:pPr>
        <w:jc w:val="both"/>
        <w:textAlignment w:val="auto"/>
        <w:rPr>
          <w:rFonts w:ascii="Arial" w:eastAsia="Lucida Sans Unicode" w:hAnsi="Arial" w:cs="Arial"/>
          <w:b/>
          <w:sz w:val="22"/>
          <w:szCs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Consta en el expediente moción presentada por el Grupo Popular de fecha 21 de octubre de 2025 que transcrita </w:t>
      </w:r>
      <w:r>
        <w:rPr>
          <w:rFonts w:ascii="Arial" w:eastAsia="Lucida Sans Unicode" w:hAnsi="Arial" w:cs="Arial"/>
          <w:b/>
          <w:sz w:val="22"/>
          <w:szCs w:val="22"/>
          <w:lang w:bidi="ar-SA"/>
        </w:rPr>
        <w:t>literalmente dice:</w:t>
      </w:r>
    </w:p>
    <w:p w:rsidR="00061CF1" w:rsidRDefault="00061CF1">
      <w:pPr>
        <w:widowControl/>
        <w:suppressAutoHyphens w:val="0"/>
        <w:autoSpaceDE w:val="0"/>
        <w:textAlignment w:val="auto"/>
        <w:rPr>
          <w:rFonts w:ascii="Arial" w:eastAsia="Times New Roman" w:hAnsi="Arial" w:cs="Arial"/>
          <w:color w:val="000000"/>
          <w:kern w:val="0"/>
          <w:lang w:eastAsia="es-ES" w:bidi="ar-SA"/>
        </w:rPr>
      </w:pPr>
    </w:p>
    <w:p w:rsidR="00061CF1" w:rsidRDefault="004E6D5A">
      <w:pPr>
        <w:widowControl/>
        <w:suppressAutoHyphens w:val="0"/>
        <w:autoSpaceDE w:val="0"/>
        <w:ind w:firstLine="709"/>
        <w:textAlignment w:val="auto"/>
      </w:pPr>
      <w:r>
        <w:rPr>
          <w:rFonts w:ascii="Arial" w:eastAsia="Times New Roman" w:hAnsi="Arial" w:cs="Arial"/>
          <w:color w:val="000000"/>
          <w:kern w:val="0"/>
          <w:lang w:eastAsia="es-ES" w:bidi="ar-SA"/>
        </w:rPr>
        <w:t>“</w:t>
      </w:r>
      <w:r>
        <w:rPr>
          <w:rFonts w:ascii="Arial" w:eastAsia="Times New Roman" w:hAnsi="Arial" w:cs="Arial"/>
          <w:b/>
          <w:bCs/>
          <w:i/>
          <w:iCs/>
          <w:color w:val="000000"/>
          <w:kern w:val="0"/>
          <w:sz w:val="23"/>
          <w:szCs w:val="23"/>
          <w:lang w:eastAsia="es-ES" w:bidi="ar-SA"/>
        </w:rPr>
        <w:t xml:space="preserve">MOCIÓN GRUPO MUNICIPAL POPULAR </w:t>
      </w:r>
    </w:p>
    <w:p w:rsidR="00061CF1" w:rsidRDefault="00061CF1">
      <w:pPr>
        <w:widowControl/>
        <w:suppressAutoHyphens w:val="0"/>
        <w:autoSpaceDE w:val="0"/>
        <w:jc w:val="both"/>
        <w:textAlignment w:val="auto"/>
        <w:rPr>
          <w:rFonts w:ascii="Arial" w:eastAsia="Times New Roman" w:hAnsi="Arial" w:cs="Arial"/>
          <w:i/>
          <w:color w:val="000000"/>
          <w:kern w:val="0"/>
          <w:sz w:val="23"/>
          <w:szCs w:val="23"/>
          <w:lang w:eastAsia="es-ES" w:bidi="ar-SA"/>
        </w:rPr>
      </w:pPr>
    </w:p>
    <w:p w:rsidR="00061CF1" w:rsidRDefault="004E6D5A">
      <w:pPr>
        <w:widowControl/>
        <w:suppressAutoHyphens w:val="0"/>
        <w:autoSpaceDE w:val="0"/>
        <w:ind w:firstLine="709"/>
        <w:jc w:val="both"/>
        <w:textAlignment w:val="auto"/>
        <w:rPr>
          <w:rFonts w:ascii="Arial" w:eastAsia="Times New Roman" w:hAnsi="Arial" w:cs="Arial"/>
          <w:b/>
          <w:i/>
          <w:color w:val="000000"/>
          <w:kern w:val="0"/>
          <w:sz w:val="23"/>
          <w:szCs w:val="23"/>
          <w:lang w:eastAsia="es-ES" w:bidi="ar-SA"/>
        </w:rPr>
      </w:pPr>
      <w:r>
        <w:rPr>
          <w:rFonts w:ascii="Arial" w:eastAsia="Times New Roman" w:hAnsi="Arial" w:cs="Arial"/>
          <w:b/>
          <w:i/>
          <w:color w:val="000000"/>
          <w:kern w:val="0"/>
          <w:sz w:val="23"/>
          <w:szCs w:val="23"/>
          <w:lang w:eastAsia="es-ES" w:bidi="ar-SA"/>
        </w:rPr>
        <w:t xml:space="preserve">D. JACOBO LÓPEZ FARIÑA, con DNI 78707763-S, en calidad de portavoz del Grupo Municipal Partido Popular (PP), conforme establece el artículo 97.3 del Reglamento de Organización, Funcionamiento y Régimen </w:t>
      </w:r>
      <w:r>
        <w:rPr>
          <w:rFonts w:ascii="Arial" w:eastAsia="Times New Roman" w:hAnsi="Arial" w:cs="Arial"/>
          <w:b/>
          <w:i/>
          <w:color w:val="000000"/>
          <w:kern w:val="0"/>
          <w:sz w:val="23"/>
          <w:szCs w:val="23"/>
          <w:lang w:eastAsia="es-ES" w:bidi="ar-SA"/>
        </w:rPr>
        <w:t xml:space="preserve">Jurídico de las Entidades Locales, aprobado por R.D. 2568/1986, de 28 de noviembre, presenta: </w:t>
      </w:r>
    </w:p>
    <w:p w:rsidR="00061CF1" w:rsidRDefault="00061CF1">
      <w:pPr>
        <w:widowControl/>
        <w:suppressAutoHyphens w:val="0"/>
        <w:autoSpaceDE w:val="0"/>
        <w:jc w:val="both"/>
        <w:textAlignment w:val="auto"/>
        <w:rPr>
          <w:rFonts w:ascii="Arial" w:eastAsia="Times New Roman" w:hAnsi="Arial" w:cs="Arial"/>
          <w:b/>
          <w:i/>
          <w:color w:val="000000"/>
          <w:kern w:val="0"/>
          <w:sz w:val="23"/>
          <w:szCs w:val="23"/>
          <w:lang w:eastAsia="es-ES" w:bidi="ar-SA"/>
        </w:rPr>
      </w:pPr>
    </w:p>
    <w:p w:rsidR="00061CF1" w:rsidRDefault="004E6D5A">
      <w:pPr>
        <w:widowControl/>
        <w:suppressAutoHyphens w:val="0"/>
        <w:autoSpaceDE w:val="0"/>
        <w:ind w:firstLine="709"/>
        <w:textAlignment w:val="auto"/>
      </w:pPr>
      <w:r>
        <w:rPr>
          <w:rFonts w:ascii="Arial" w:eastAsia="Times New Roman" w:hAnsi="Arial" w:cs="Arial"/>
          <w:b/>
          <w:bCs/>
          <w:i/>
          <w:color w:val="000000"/>
          <w:kern w:val="0"/>
          <w:sz w:val="23"/>
          <w:szCs w:val="23"/>
          <w:lang w:eastAsia="es-ES" w:bidi="ar-SA"/>
        </w:rPr>
        <w:t xml:space="preserve">MOCIÓN PARA IMPULSAR MEDIDAS DE APOYO EFECTIVO AL COMERCIO LOCAL EN CANDELARIA </w:t>
      </w:r>
    </w:p>
    <w:p w:rsidR="00061CF1" w:rsidRDefault="00061CF1">
      <w:pPr>
        <w:widowControl/>
        <w:suppressAutoHyphens w:val="0"/>
        <w:autoSpaceDE w:val="0"/>
        <w:textAlignment w:val="auto"/>
        <w:rPr>
          <w:rFonts w:ascii="Arial" w:eastAsia="Times New Roman" w:hAnsi="Arial" w:cs="Arial"/>
          <w:b/>
          <w:bCs/>
          <w:i/>
          <w:color w:val="000000"/>
          <w:kern w:val="0"/>
          <w:sz w:val="23"/>
          <w:szCs w:val="23"/>
          <w:lang w:eastAsia="es-ES" w:bidi="ar-SA"/>
        </w:rPr>
      </w:pPr>
    </w:p>
    <w:p w:rsidR="00061CF1" w:rsidRDefault="004E6D5A">
      <w:pPr>
        <w:widowControl/>
        <w:suppressAutoHyphens w:val="0"/>
        <w:autoSpaceDE w:val="0"/>
        <w:ind w:firstLine="709"/>
        <w:textAlignment w:val="auto"/>
      </w:pPr>
      <w:r>
        <w:rPr>
          <w:rFonts w:ascii="Arial" w:eastAsia="Times New Roman" w:hAnsi="Arial" w:cs="Arial"/>
          <w:b/>
          <w:bCs/>
          <w:i/>
          <w:color w:val="000000"/>
          <w:kern w:val="0"/>
          <w:sz w:val="23"/>
          <w:szCs w:val="23"/>
          <w:lang w:eastAsia="es-ES" w:bidi="ar-SA"/>
        </w:rPr>
        <w:t xml:space="preserve">EXPOSICIÓN DE MOTIVOS: </w:t>
      </w:r>
    </w:p>
    <w:p w:rsidR="00061CF1" w:rsidRDefault="00061CF1">
      <w:pPr>
        <w:widowControl/>
        <w:suppressAutoHyphens w:val="0"/>
        <w:autoSpaceDE w:val="0"/>
        <w:ind w:firstLine="709"/>
        <w:textAlignment w:val="auto"/>
        <w:rPr>
          <w:rFonts w:ascii="Arial" w:eastAsia="Times New Roman" w:hAnsi="Arial" w:cs="Arial"/>
          <w:i/>
          <w:color w:val="000000"/>
          <w:kern w:val="0"/>
          <w:sz w:val="23"/>
          <w:szCs w:val="23"/>
          <w:lang w:eastAsia="es-ES" w:bidi="ar-SA"/>
        </w:rPr>
      </w:pPr>
    </w:p>
    <w:p w:rsidR="00061CF1" w:rsidRDefault="004E6D5A">
      <w:pPr>
        <w:widowControl/>
        <w:suppressAutoHyphens w:val="0"/>
        <w:autoSpaceDE w:val="0"/>
        <w:ind w:firstLine="709"/>
        <w:jc w:val="both"/>
        <w:textAlignment w:val="auto"/>
        <w:rPr>
          <w:rFonts w:ascii="Arial" w:eastAsia="Times New Roman" w:hAnsi="Arial" w:cs="Arial"/>
          <w:i/>
          <w:color w:val="000000"/>
          <w:kern w:val="0"/>
          <w:sz w:val="23"/>
          <w:szCs w:val="23"/>
          <w:lang w:eastAsia="es-ES" w:bidi="ar-SA"/>
        </w:rPr>
      </w:pPr>
      <w:r>
        <w:rPr>
          <w:rFonts w:ascii="Arial" w:eastAsia="Times New Roman" w:hAnsi="Arial" w:cs="Arial"/>
          <w:i/>
          <w:color w:val="000000"/>
          <w:kern w:val="0"/>
          <w:sz w:val="23"/>
          <w:szCs w:val="23"/>
          <w:lang w:eastAsia="es-ES" w:bidi="ar-SA"/>
        </w:rPr>
        <w:t xml:space="preserve">El comercio local de Candelaria constituye uno de los </w:t>
      </w:r>
      <w:r>
        <w:rPr>
          <w:rFonts w:ascii="Arial" w:eastAsia="Times New Roman" w:hAnsi="Arial" w:cs="Arial"/>
          <w:i/>
          <w:color w:val="000000"/>
          <w:kern w:val="0"/>
          <w:sz w:val="23"/>
          <w:szCs w:val="23"/>
          <w:lang w:eastAsia="es-ES" w:bidi="ar-SA"/>
        </w:rPr>
        <w:t>principales motores de empleo, cohesión social y vida en los pueblos. Sin embargo, pese a las múltiples campañas municipales desarrolladas en los últimos años, la percepción generalizada entre comerciantes y vecinos es que los resultados obtenidos no se co</w:t>
      </w:r>
      <w:r>
        <w:rPr>
          <w:rFonts w:ascii="Arial" w:eastAsia="Times New Roman" w:hAnsi="Arial" w:cs="Arial"/>
          <w:i/>
          <w:color w:val="000000"/>
          <w:kern w:val="0"/>
          <w:sz w:val="23"/>
          <w:szCs w:val="23"/>
          <w:lang w:eastAsia="es-ES" w:bidi="ar-SA"/>
        </w:rPr>
        <w:t xml:space="preserve">rresponden con la inversión y la promoción realizada. </w:t>
      </w:r>
    </w:p>
    <w:p w:rsidR="00061CF1" w:rsidRDefault="00061CF1">
      <w:pPr>
        <w:ind w:firstLine="709"/>
        <w:jc w:val="both"/>
        <w:textAlignment w:val="auto"/>
        <w:rPr>
          <w:rFonts w:ascii="Arial" w:eastAsia="Lucida Sans Unicode" w:hAnsi="Arial" w:cs="Times New Roman"/>
          <w:i/>
          <w:sz w:val="23"/>
          <w:szCs w:val="23"/>
          <w:lang w:bidi="ar-SA"/>
        </w:rPr>
      </w:pPr>
    </w:p>
    <w:p w:rsidR="00061CF1" w:rsidRDefault="004E6D5A">
      <w:pPr>
        <w:ind w:firstLine="709"/>
        <w:jc w:val="both"/>
        <w:textAlignment w:val="auto"/>
      </w:pPr>
      <w:r>
        <w:rPr>
          <w:rFonts w:ascii="Arial" w:eastAsia="Lucida Sans Unicode" w:hAnsi="Arial" w:cs="Times New Roman"/>
          <w:i/>
          <w:sz w:val="23"/>
          <w:szCs w:val="23"/>
          <w:lang w:bidi="ar-SA"/>
        </w:rPr>
        <w:t>Muchos negocios del municipio, especialmente los situados en los barrios periféricos (Igueste, Barranco Hondo, Araya, Malpaís, Cuevecitas, Las Caletillas etc.), sienten que las acciones municipales de</w:t>
      </w:r>
      <w:r>
        <w:rPr>
          <w:rFonts w:ascii="Arial" w:eastAsia="Lucida Sans Unicode" w:hAnsi="Arial" w:cs="Times New Roman"/>
          <w:i/>
          <w:sz w:val="23"/>
          <w:szCs w:val="23"/>
          <w:lang w:bidi="ar-SA"/>
        </w:rPr>
        <w:t xml:space="preserve"> dinamización comercial se concentran de manera casi exclusiva en el casco, quedando relegados a un</w:t>
      </w:r>
      <w:r>
        <w:rPr>
          <w:rFonts w:ascii="Arial" w:eastAsia="Lucida Sans Unicode" w:hAnsi="Arial" w:cs="Times New Roman"/>
          <w:sz w:val="23"/>
          <w:szCs w:val="23"/>
          <w:lang w:bidi="ar-SA"/>
        </w:rPr>
        <w:t xml:space="preserve"> </w:t>
      </w:r>
      <w:r>
        <w:rPr>
          <w:rFonts w:ascii="Arial" w:eastAsia="Lucida Sans Unicode" w:hAnsi="Arial" w:cs="Times New Roman"/>
          <w:i/>
          <w:sz w:val="23"/>
          <w:szCs w:val="23"/>
          <w:lang w:bidi="ar-SA"/>
        </w:rPr>
        <w:t>segundo plano. Esta situación genera una desigualdad territorial evidente y un descontento creciente entre los pequeños empresarios de dichas zonas.</w:t>
      </w:r>
    </w:p>
    <w:p w:rsidR="00061CF1" w:rsidRDefault="00061CF1">
      <w:pPr>
        <w:ind w:firstLine="709"/>
        <w:jc w:val="both"/>
        <w:textAlignment w:val="auto"/>
        <w:rPr>
          <w:rFonts w:ascii="Arial" w:eastAsia="Lucida Sans Unicode" w:hAnsi="Arial" w:cs="Times New Roman"/>
          <w:i/>
          <w:sz w:val="23"/>
          <w:szCs w:val="23"/>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Así </w:t>
      </w:r>
      <w:r>
        <w:rPr>
          <w:rFonts w:ascii="Arial" w:eastAsia="Lucida Sans Unicode" w:hAnsi="Arial" w:cs="Times New Roman"/>
          <w:i/>
          <w:sz w:val="22"/>
          <w:lang w:bidi="ar-SA"/>
        </w:rPr>
        <w:t>mismo, la falta de informes para valorar cada campaña dificulta conocer el impacto real de las mismas: cuántos comercios participan, qué retorno económico generan y en qué medida logran fidelizar a los consumidores locales. La ausencia de datos verificable</w:t>
      </w:r>
      <w:r>
        <w:rPr>
          <w:rFonts w:ascii="Arial" w:eastAsia="Lucida Sans Unicode" w:hAnsi="Arial" w:cs="Times New Roman"/>
          <w:i/>
          <w:sz w:val="22"/>
          <w:lang w:bidi="ar-SA"/>
        </w:rPr>
        <w:t xml:space="preserve">s provoca que las políticas de apoyo al comercio se perciban más como actos lúdicos, que como una estrategia de desarrollo económico sostenida y eficaz. </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A todo ello se suma la necesidad de medidas concretas que faciliten el consumo en el comercio local, </w:t>
      </w:r>
      <w:r>
        <w:rPr>
          <w:rFonts w:ascii="Arial" w:eastAsia="Lucida Sans Unicode" w:hAnsi="Arial" w:cs="Times New Roman"/>
          <w:i/>
          <w:sz w:val="22"/>
          <w:lang w:bidi="ar-SA"/>
        </w:rPr>
        <w:t>como la mejora del aparcamiento vinculado a la actividad comercial, sabemos la puesta en marcha del parking rotatorio en la zona de la Cardonera, pero actualmente no está teniendo la afluencia esperada, así como la puesta en marcha de iniciativas innovador</w:t>
      </w:r>
      <w:r>
        <w:rPr>
          <w:rFonts w:ascii="Arial" w:eastAsia="Lucida Sans Unicode" w:hAnsi="Arial" w:cs="Times New Roman"/>
          <w:i/>
          <w:sz w:val="22"/>
          <w:lang w:bidi="ar-SA"/>
        </w:rPr>
        <w:t xml:space="preserve">as que apoyen directamente tanto a los ciudadanos como a los comerciantes. </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Además, creemos conveniente la creación de un Consejo Local de Comercio, integrado por representantes del Ayuntamiento, comerciantes locales, asociaciones de empresarios, y </w:t>
      </w:r>
      <w:r>
        <w:rPr>
          <w:rFonts w:ascii="Arial" w:eastAsia="Lucida Sans Unicode" w:hAnsi="Arial" w:cs="Times New Roman"/>
          <w:i/>
          <w:sz w:val="22"/>
          <w:lang w:bidi="ar-SA"/>
        </w:rPr>
        <w:t xml:space="preserve">expertos en desarrollo económico. Este consejo tendrá como objetivo asesorar, proponer y evaluar políticas que favorezcan el crecimiento y la sostenibilidad del comercio local en Candelaria, y servirá como espacio de diálogo constante entre los diferentes </w:t>
      </w:r>
      <w:r>
        <w:rPr>
          <w:rFonts w:ascii="Arial" w:eastAsia="Lucida Sans Unicode" w:hAnsi="Arial" w:cs="Times New Roman"/>
          <w:i/>
          <w:sz w:val="22"/>
          <w:lang w:bidi="ar-SA"/>
        </w:rPr>
        <w:t>actores.</w:t>
      </w:r>
    </w:p>
    <w:p w:rsidR="00061CF1" w:rsidRDefault="00061CF1">
      <w:pPr>
        <w:ind w:firstLine="709"/>
        <w:jc w:val="both"/>
        <w:textAlignment w:val="auto"/>
        <w:rPr>
          <w:rFonts w:ascii="Arial" w:eastAsia="Lucida Sans Unicode" w:hAnsi="Arial" w:cs="Times New Roman"/>
          <w:i/>
          <w:sz w:val="22"/>
          <w:lang w:bidi="ar-SA"/>
        </w:rPr>
      </w:pP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Por estas razones, desde el Grupo Municipal Partido Popular consideramos prioritario impulsar unas medidas de apoyo al comercio que combinen información actualizada de la situación del tejido comercial, equilibrio territorial, apoyo logístico y </w:t>
      </w:r>
      <w:r>
        <w:rPr>
          <w:rFonts w:ascii="Arial" w:eastAsia="Lucida Sans Unicode" w:hAnsi="Arial" w:cs="Times New Roman"/>
          <w:i/>
          <w:sz w:val="22"/>
          <w:lang w:bidi="ar-SA"/>
        </w:rPr>
        <w:t>medidas de consumo directo, que refuercen de manera real al comercio local en Candelaria. Por todo lo anteriormente expuesto, el Grupo Municipal Popular (PP) somete a consideración del Pleno del Ayuntamiento de Candelaria los siguientes:</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 xml:space="preserve">ACUERDOS: </w:t>
      </w: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1. PU</w:t>
      </w:r>
      <w:r>
        <w:rPr>
          <w:rFonts w:ascii="Arial" w:eastAsia="Lucida Sans Unicode" w:hAnsi="Arial" w:cs="Times New Roman"/>
          <w:b/>
          <w:i/>
          <w:sz w:val="22"/>
          <w:lang w:bidi="ar-SA"/>
        </w:rPr>
        <w:t xml:space="preserve">BLICAR ANUALMENTE UN INFORME DE COMERCIO, QUE DETALLE LA INVERSIÓN, NÚMERO DE COMERCIOS BENEFICIADOS Y RETORNO ECONÓMICO DE TODAS LAS CAMPAÑAS DE APOYO AL COMERCIO DESARROLLADAS POR EL AYUNTAMIENTO. </w:t>
      </w: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 xml:space="preserve">2. GARANTIZAR QUE SE REALICEN ACCIONES DE DINAMIZACIÓN </w:t>
      </w:r>
      <w:r>
        <w:rPr>
          <w:rFonts w:ascii="Arial" w:eastAsia="Lucida Sans Unicode" w:hAnsi="Arial" w:cs="Times New Roman"/>
          <w:b/>
          <w:i/>
          <w:sz w:val="22"/>
          <w:lang w:bidi="ar-SA"/>
        </w:rPr>
        <w:t xml:space="preserve">TAMBIÉN EN LOS PUEBLOS Y ZONAS DE NUESTRO MUNICIPIO. </w:t>
      </w: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3. REDEFINIR EL PROGRAMA DE “CHEQUE CONSUMO” COMO UN SISTEMA DE BONOS DE CONSUMO QUE EL AYUNTAMIENTO ENTREGUE EN CAMPAÑAS ESTRATÉGICAS (NAVIDAD, VUELTA AL COLE, ETC.), QUE SOLO PUEDAN USARSE EN COMERCI</w:t>
      </w:r>
      <w:r>
        <w:rPr>
          <w:rFonts w:ascii="Arial" w:eastAsia="Lucida Sans Unicode" w:hAnsi="Arial" w:cs="Times New Roman"/>
          <w:b/>
          <w:i/>
          <w:sz w:val="22"/>
          <w:lang w:bidi="ar-SA"/>
        </w:rPr>
        <w:t xml:space="preserve">OS DE CANDELARIA, APOYANDO ASÍ SIMULTÁNEAMENTE A LOS CIUDADANOS Y AL COMERCIO LOCAL. </w:t>
      </w: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4. “PLAN DE OBRAS CON CALENDARIO COMERCIAL” ESTABLECER QUE ANTES DE INICIAR OBRAS MUNICIPALES QUE AFECTEN AL COMERCIO, SE CONSULTE A LOS HOSTELEROS DE LA ZONA AFECTADA P</w:t>
      </w:r>
      <w:r>
        <w:rPr>
          <w:rFonts w:ascii="Arial" w:eastAsia="Lucida Sans Unicode" w:hAnsi="Arial" w:cs="Times New Roman"/>
          <w:b/>
          <w:i/>
          <w:sz w:val="22"/>
          <w:lang w:bidi="ar-SA"/>
        </w:rPr>
        <w:t xml:space="preserve">ARA COORDINAR ACCESOS Y MINIMIZAR PÉRDIDAS. </w:t>
      </w:r>
    </w:p>
    <w:p w:rsidR="00061CF1" w:rsidRDefault="00061CF1">
      <w:pPr>
        <w:ind w:firstLine="709"/>
        <w:jc w:val="both"/>
        <w:textAlignment w:val="auto"/>
        <w:rPr>
          <w:rFonts w:ascii="Arial" w:eastAsia="Lucida Sans Unicode" w:hAnsi="Arial" w:cs="Times New Roman"/>
          <w:i/>
          <w:sz w:val="22"/>
          <w:lang w:bidi="ar-SA"/>
        </w:rPr>
      </w:pPr>
    </w:p>
    <w:p w:rsidR="00061CF1" w:rsidRDefault="00061CF1">
      <w:pPr>
        <w:ind w:firstLine="709"/>
        <w:jc w:val="both"/>
        <w:textAlignment w:val="auto"/>
        <w:rPr>
          <w:rFonts w:ascii="Arial" w:eastAsia="Lucida Sans Unicode" w:hAnsi="Arial" w:cs="Times New Roman"/>
          <w:sz w:val="22"/>
          <w:lang w:bidi="ar-SA"/>
        </w:rPr>
      </w:pPr>
    </w:p>
    <w:p w:rsidR="00061CF1" w:rsidRDefault="004E6D5A">
      <w:pPr>
        <w:ind w:firstLine="709"/>
        <w:jc w:val="both"/>
        <w:textAlignment w:val="auto"/>
      </w:pPr>
      <w:r>
        <w:rPr>
          <w:rFonts w:ascii="Arial" w:eastAsia="Lucida Sans Unicode" w:hAnsi="Arial" w:cs="Times New Roman"/>
          <w:b/>
          <w:i/>
          <w:sz w:val="22"/>
          <w:lang w:bidi="ar-SA"/>
        </w:rPr>
        <w:t>5. CREACIÓN DE UN CONSEJO LOCAL DE COMERCIO, INTEGRADO POR LOS PORTAVOCES DE LA CORPORACIÓN MUNICIPAL, COMERCIANTES Y EXPERTOS EN LA MATERIA”.</w:t>
      </w:r>
    </w:p>
    <w:p w:rsidR="00061CF1" w:rsidRDefault="00061CF1">
      <w:pPr>
        <w:ind w:firstLine="709"/>
        <w:jc w:val="both"/>
        <w:textAlignment w:val="auto"/>
        <w:rPr>
          <w:rFonts w:ascii="Arial" w:eastAsia="Lucida Sans Unicode" w:hAnsi="Arial" w:cs="Arial"/>
          <w:b/>
          <w:i/>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DESFAVORABLE DE LA COMISIÓN INFORMATIVA DE URBANISMO </w:t>
      </w:r>
      <w:r>
        <w:rPr>
          <w:rFonts w:ascii="Arial" w:eastAsia="Lucida Sans Unicode" w:hAnsi="Arial" w:cs="Arial"/>
          <w:b/>
          <w:sz w:val="22"/>
          <w:szCs w:val="22"/>
          <w:lang w:bidi="ar-SA"/>
        </w:rPr>
        <w:t>APLAZADA AL 28 DE OCTUBRE DE 2025 POR EL FALLO INFORMÁTICO EL LUNES 27 DE OCTUBRE, DEL SISTEMA “CLAVE” DE ACCESO A LA SEDE ELECTRÓNICA Y DE ESTA FORMA QUEDÓ SUBSANADA LA COMISIÓN CON SU CELEBRACIÓN EL 28 DE OCTUBRE.</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w:t>
      </w:r>
      <w:r>
        <w:rPr>
          <w:rFonts w:ascii="Arial" w:eastAsia="Lucida Sans Unicode" w:hAnsi="Arial" w:cs="Arial"/>
          <w:sz w:val="22"/>
          <w:szCs w:val="22"/>
          <w:lang w:bidi="ar-SA"/>
        </w:rPr>
        <w:t>bstenciones: 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 Don José Francisco Pinto Ramos, Don Reinaldo José Triviño Blanco y Don Jorge Baute Delgado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 de la concejal del Grupo Mixto, Doña Violeta López Jiménez.</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JUNTA DE PORTAVOCES </w:t>
      </w:r>
      <w:r>
        <w:rPr>
          <w:rFonts w:ascii="Arial" w:eastAsia="Lucida Sans Unicode" w:hAnsi="Arial" w:cs="Arial"/>
          <w:b/>
          <w:sz w:val="22"/>
          <w:szCs w:val="22"/>
          <w:lang w:bidi="ar-SA"/>
        </w:rPr>
        <w:t>PREVISTA PARA EL DÍA 27 DE OCTUBRE Y QUE FUE APLAZADA AL 28 DE OCTUBRE DE 2025 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OCTUBRE DE 2025.</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7.</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5 concejales del Grupo Popular: Don Jacobo López Fari</w:t>
      </w:r>
      <w:r>
        <w:rPr>
          <w:rFonts w:ascii="Arial" w:eastAsia="Lucida Sans Unicode" w:hAnsi="Arial" w:cs="Arial"/>
          <w:sz w:val="22"/>
          <w:szCs w:val="22"/>
          <w:lang w:bidi="ar-SA"/>
        </w:rPr>
        <w:t xml:space="preserve">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2  de los concejales del Grupo Mixto: Don José 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w:t>
      </w:r>
      <w:r>
        <w:rPr>
          <w:rFonts w:ascii="Arial" w:eastAsia="Lucida Sans Unicode" w:hAnsi="Arial" w:cs="Arial"/>
          <w:sz w:val="22"/>
          <w:szCs w:val="22"/>
          <w:lang w:bidi="ar-SA"/>
        </w:rPr>
        <w:t>a: 11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 concejales del Grupo Socialista: Doña María Concepción Brito Núñez, Don Jorge Baute Delgado, Don José Francisco Pinto Ramos, Doña Olivia Concepción Pérez Díaz, Don Reinaldo José Triviño Blanco, Don Manuel Alberto González Pestano, Doña Margarita E</w:t>
      </w:r>
      <w:r>
        <w:rPr>
          <w:rFonts w:ascii="Arial" w:eastAsia="Lucida Sans Unicode" w:hAnsi="Arial" w:cs="Arial"/>
          <w:sz w:val="22"/>
          <w:szCs w:val="22"/>
          <w:lang w:bidi="ar-SA"/>
        </w:rPr>
        <w:t xml:space="preserve">va Tendero Barroso, Don Airam Pérez Chinea, Doña María del Carmen Clemente Díaz, Don Olegario Francisco Alonso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0.</w:t>
      </w:r>
    </w:p>
    <w:p w:rsidR="00061CF1" w:rsidRDefault="00061CF1">
      <w:pPr>
        <w:jc w:val="both"/>
        <w:textAlignment w:val="auto"/>
        <w:rPr>
          <w:rFonts w:ascii="Arial" w:eastAsia="Lucida Sans Unicode" w:hAnsi="Arial" w:cs="Arial"/>
          <w:sz w:val="22"/>
          <w:szCs w:val="22"/>
          <w:lang w:bidi="ar-SA"/>
        </w:rPr>
      </w:pPr>
    </w:p>
    <w:p w:rsidR="00061CF1" w:rsidRDefault="004E6D5A">
      <w:pPr>
        <w:ind w:firstLine="709"/>
        <w:jc w:val="both"/>
        <w:textAlignment w:val="auto"/>
      </w:pP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r>
        <w:rPr>
          <w:rFonts w:ascii="Arial" w:eastAsia="Lucida Sans Unicode" w:hAnsi="Arial" w:cs="Arial"/>
          <w:sz w:val="22"/>
          <w:szCs w:val="22"/>
          <w:lang w:bidi="ar-SA"/>
        </w:rPr>
        <w:tab/>
      </w:r>
    </w:p>
    <w:p w:rsidR="00061CF1" w:rsidRDefault="00061CF1">
      <w:pPr>
        <w:ind w:firstLine="709"/>
        <w:jc w:val="both"/>
        <w:textAlignment w:val="auto"/>
        <w:rPr>
          <w:rFonts w:ascii="Arial" w:eastAsia="Lucida Sans Unicode" w:hAnsi="Arial" w:cs="Arial"/>
          <w:b/>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ind w:left="1418"/>
        <w:jc w:val="both"/>
        <w:textAlignment w:val="auto"/>
        <w:rPr>
          <w:rFonts w:ascii="Arial" w:eastAsia="Lucida Sans Unicode" w:hAnsi="Arial" w:cs="Arial"/>
          <w:b/>
          <w:lang w:bidi="ar-SA"/>
        </w:rPr>
      </w:pPr>
    </w:p>
    <w:p w:rsidR="00061CF1" w:rsidRDefault="00061CF1">
      <w:pPr>
        <w:ind w:left="1418"/>
        <w:jc w:val="both"/>
        <w:textAlignment w:val="auto"/>
        <w:rPr>
          <w:rFonts w:ascii="Arial" w:eastAsia="Lucida Sans Unicode" w:hAnsi="Arial" w:cs="Arial"/>
          <w:b/>
          <w:lang w:bidi="ar-SA"/>
        </w:rPr>
      </w:pPr>
    </w:p>
    <w:p w:rsidR="00061CF1" w:rsidRDefault="00061CF1">
      <w:pPr>
        <w:ind w:left="1418"/>
        <w:jc w:val="both"/>
        <w:textAlignment w:val="auto"/>
        <w:rPr>
          <w:rFonts w:ascii="Arial" w:eastAsia="Lucida Sans Unicode" w:hAnsi="Arial" w:cs="Arial"/>
          <w:b/>
          <w:lang w:bidi="ar-SA"/>
        </w:rPr>
      </w:pPr>
    </w:p>
    <w:p w:rsidR="00061CF1" w:rsidRDefault="004E6D5A">
      <w:pPr>
        <w:ind w:left="1418"/>
        <w:jc w:val="both"/>
        <w:textAlignment w:val="auto"/>
        <w:rPr>
          <w:rFonts w:ascii="Arial" w:eastAsia="Lucida Sans Unicode" w:hAnsi="Arial" w:cs="Arial"/>
          <w:b/>
          <w:lang w:bidi="ar-SA"/>
        </w:rPr>
      </w:pPr>
      <w:r>
        <w:rPr>
          <w:rFonts w:ascii="Arial" w:eastAsia="Lucida Sans Unicode" w:hAnsi="Arial" w:cs="Arial"/>
          <w:b/>
          <w:lang w:bidi="ar-SA"/>
        </w:rPr>
        <w:t>ACUERDO DEL PLENO DE 31 DE OCTUBRE DE 2025</w:t>
      </w:r>
    </w:p>
    <w:p w:rsidR="00061CF1" w:rsidRDefault="00061CF1">
      <w:pPr>
        <w:jc w:val="both"/>
        <w:textAlignment w:val="auto"/>
        <w:rPr>
          <w:rFonts w:ascii="Arial" w:eastAsia="Lucida Sans Unicode" w:hAnsi="Arial" w:cs="Arial"/>
          <w:b/>
          <w:sz w:val="22"/>
          <w:szCs w:val="22"/>
          <w:lang w:bidi="ar-SA"/>
        </w:rPr>
      </w:pPr>
    </w:p>
    <w:p w:rsidR="00061CF1" w:rsidRDefault="004E6D5A">
      <w:pPr>
        <w:jc w:val="both"/>
        <w:textAlignment w:val="auto"/>
      </w:pPr>
      <w:r>
        <w:rPr>
          <w:rFonts w:ascii="Arial" w:eastAsia="Lucida Sans Unicode" w:hAnsi="Arial" w:cs="Arial"/>
          <w:b/>
          <w:color w:val="000000"/>
          <w:shd w:val="clear" w:color="auto" w:fill="F5F7F9"/>
          <w:lang w:bidi="ar-SA"/>
        </w:rPr>
        <w:t xml:space="preserve">Desestimar la moción del </w:t>
      </w:r>
      <w:r>
        <w:rPr>
          <w:rFonts w:ascii="Arial" w:eastAsia="Lucida Sans Unicode" w:hAnsi="Arial" w:cs="Arial"/>
          <w:b/>
          <w:color w:val="000000"/>
          <w:shd w:val="clear" w:color="auto" w:fill="F5F7F9"/>
          <w:lang w:bidi="ar-SA"/>
        </w:rPr>
        <w:t>Grupo Popular para impulsar medidas de apoyo efectivo al comercio local de Candelaria.</w:t>
      </w: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4E6D5A">
      <w:pPr>
        <w:spacing w:after="120"/>
        <w:jc w:val="both"/>
        <w:textAlignment w:val="auto"/>
      </w:pPr>
      <w:r>
        <w:rPr>
          <w:rFonts w:ascii="Arial" w:eastAsia="Lucida Sans Unicode" w:hAnsi="Arial" w:cs="Arial"/>
          <w:b/>
          <w:color w:val="000000"/>
          <w:shd w:val="clear" w:color="auto" w:fill="F5F7F9"/>
          <w:lang w:bidi="ar-SA"/>
        </w:rPr>
        <w:t xml:space="preserve">9.- </w:t>
      </w:r>
      <w:r>
        <w:rPr>
          <w:rFonts w:ascii="Arial" w:eastAsia="Lucida Sans Unicode" w:hAnsi="Arial" w:cs="Arial"/>
          <w:b/>
          <w:color w:val="000000"/>
          <w:u w:val="single"/>
          <w:shd w:val="clear" w:color="auto" w:fill="F5F7F9"/>
          <w:lang w:bidi="ar-SA"/>
        </w:rPr>
        <w:t>Expediente 10212/2025</w:t>
      </w:r>
      <w:r>
        <w:rPr>
          <w:rFonts w:ascii="Arial" w:eastAsia="Lucida Sans Unicode" w:hAnsi="Arial" w:cs="Arial"/>
          <w:b/>
          <w:color w:val="000000"/>
          <w:shd w:val="clear" w:color="auto" w:fill="F5F7F9"/>
          <w:lang w:bidi="ar-SA"/>
        </w:rPr>
        <w:t>. Moción del Grupo Mixto (CC) para la mejora de las infraestructuras del servicio de abastecimiento de agua potable en el municipio</w:t>
      </w:r>
    </w:p>
    <w:p w:rsidR="00061CF1" w:rsidRDefault="004E6D5A">
      <w:pPr>
        <w:spacing w:after="120"/>
        <w:ind w:left="3545" w:firstLine="709"/>
        <w:jc w:val="both"/>
        <w:textAlignment w:val="auto"/>
        <w:rPr>
          <w:rFonts w:ascii="Arial" w:eastAsia="Lucida Sans Unicode" w:hAnsi="Arial" w:cs="Times New Roman"/>
          <w:b/>
          <w:sz w:val="22"/>
          <w:lang w:bidi="ar-SA"/>
        </w:rPr>
      </w:pPr>
      <w:r>
        <w:rPr>
          <w:rFonts w:ascii="Arial" w:eastAsia="Lucida Sans Unicode" w:hAnsi="Arial" w:cs="Times New Roman"/>
          <w:b/>
          <w:sz w:val="22"/>
          <w:lang w:bidi="ar-SA"/>
        </w:rPr>
        <w:t xml:space="preserve">MOCIÓN </w:t>
      </w:r>
    </w:p>
    <w:p w:rsidR="00061CF1" w:rsidRDefault="004E6D5A">
      <w:pPr>
        <w:spacing w:after="120"/>
        <w:ind w:firstLine="709"/>
        <w:jc w:val="both"/>
        <w:textAlignment w:val="auto"/>
        <w:rPr>
          <w:rFonts w:ascii="Arial" w:eastAsia="Lucida Sans Unicode" w:hAnsi="Arial" w:cs="Times New Roman"/>
          <w:b/>
          <w:sz w:val="22"/>
          <w:lang w:bidi="ar-SA"/>
        </w:rPr>
      </w:pPr>
      <w:r>
        <w:rPr>
          <w:rFonts w:ascii="Arial" w:eastAsia="Lucida Sans Unicode" w:hAnsi="Arial" w:cs="Times New Roman"/>
          <w:b/>
          <w:sz w:val="22"/>
          <w:lang w:bidi="ar-SA"/>
        </w:rPr>
        <w:t>Dña. Ángela Cruz Perera, con DNI 42047869-M, en calidad de portavoz del Grupo Municipal Coalición Canaria (CC), conforme establece el artículo 97.3 del Reglamento de Organización, Funcionamiento y Régimen Jurídico de las Entidades Locales, aprobado</w:t>
      </w:r>
      <w:r>
        <w:rPr>
          <w:rFonts w:ascii="Arial" w:eastAsia="Lucida Sans Unicode" w:hAnsi="Arial" w:cs="Times New Roman"/>
          <w:b/>
          <w:sz w:val="22"/>
          <w:lang w:bidi="ar-SA"/>
        </w:rPr>
        <w:t xml:space="preserve"> por R.D. 2568/1986, de 28 de noviembre, y los artículos 19.1b y 80 del Reglamento Orgánico y de la Administración del Ayuntamiento de Candelaria, presenta la siguiente MOCIÓN para la mejora de las infraestructuras del servicio de abastecimiento de agua po</w:t>
      </w:r>
      <w:r>
        <w:rPr>
          <w:rFonts w:ascii="Arial" w:eastAsia="Lucida Sans Unicode" w:hAnsi="Arial" w:cs="Times New Roman"/>
          <w:b/>
          <w:sz w:val="22"/>
          <w:lang w:bidi="ar-SA"/>
        </w:rPr>
        <w:t>table en el municipio.</w:t>
      </w:r>
    </w:p>
    <w:p w:rsidR="00061CF1" w:rsidRDefault="004E6D5A">
      <w:pPr>
        <w:spacing w:after="120"/>
        <w:ind w:left="2127" w:firstLine="709"/>
        <w:jc w:val="both"/>
        <w:textAlignment w:val="auto"/>
        <w:rPr>
          <w:rFonts w:ascii="Arial" w:eastAsia="Lucida Sans Unicode" w:hAnsi="Arial" w:cs="Times New Roman"/>
          <w:b/>
          <w:sz w:val="22"/>
          <w:lang w:bidi="ar-SA"/>
        </w:rPr>
      </w:pPr>
      <w:r>
        <w:rPr>
          <w:rFonts w:ascii="Arial" w:eastAsia="Lucida Sans Unicode" w:hAnsi="Arial" w:cs="Times New Roman"/>
          <w:b/>
          <w:sz w:val="22"/>
          <w:lang w:bidi="ar-SA"/>
        </w:rPr>
        <w:t xml:space="preserve">EXPOSICIÓN DE MOTIVOS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La Mesa de la Sequía ha acordado prolongar la Declaración de Emergencia Hídrica en Tenerife cuatro meses más, hasta finales de febrero de 2026, medida que ha sido ratificada por el Consejo Insular de Aguas, tr</w:t>
      </w:r>
      <w:r>
        <w:rPr>
          <w:rFonts w:ascii="Arial" w:eastAsia="Lucida Sans Unicode" w:hAnsi="Arial" w:cs="Times New Roman"/>
          <w:i/>
          <w:sz w:val="22"/>
          <w:lang w:bidi="ar-SA"/>
        </w:rPr>
        <w:t xml:space="preserve">as un verano muy seco y un otoño que se ha iniciado sin lluvias.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En el mes de noviembre de 2024, Coalición Canaria presentó al Pleno Ordinario para su debate la “Moción de Apoyo a la Declaración de Emergencia Hídrica en Tenerife y aplicar medidas que </w:t>
      </w:r>
      <w:r>
        <w:rPr>
          <w:rFonts w:ascii="Arial" w:eastAsia="Lucida Sans Unicode" w:hAnsi="Arial" w:cs="Times New Roman"/>
          <w:i/>
          <w:sz w:val="22"/>
          <w:lang w:bidi="ar-SA"/>
        </w:rPr>
        <w:t xml:space="preserve">garanticen los caudales necesarios para el abastecimiento en el municipio de Candelaria”.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ind w:firstLine="709"/>
        <w:jc w:val="both"/>
        <w:textAlignment w:val="auto"/>
      </w:pPr>
      <w:r>
        <w:rPr>
          <w:rFonts w:ascii="Arial" w:eastAsia="Lucida Sans Unicode" w:hAnsi="Arial" w:cs="Times New Roman"/>
          <w:i/>
          <w:sz w:val="22"/>
          <w:lang w:bidi="ar-SA"/>
        </w:rPr>
        <w:t>Una moción que fue enmendada por el grupo de gobierno municipal, que adquirió el compromiso de apoyar la Declaración de Emergencia Hídrica en Tenerife y, por tanto,</w:t>
      </w:r>
      <w:r>
        <w:rPr>
          <w:rFonts w:ascii="Arial" w:eastAsia="Lucida Sans Unicode" w:hAnsi="Arial" w:cs="Times New Roman"/>
          <w:i/>
          <w:sz w:val="22"/>
          <w:lang w:bidi="ar-SA"/>
        </w:rPr>
        <w:t xml:space="preserve"> de aplicar las medidas que implicaban a los municipios que se adhirieran al apoyo.</w:t>
      </w:r>
      <w:r>
        <w:rPr>
          <w:rFonts w:ascii="Arial" w:eastAsia="Lucida Sans Unicode" w:hAnsi="Arial" w:cs="Times New Roman"/>
          <w:sz w:val="22"/>
          <w:lang w:bidi="ar-SA"/>
        </w:rPr>
        <w:t xml:space="preserve"> </w:t>
      </w:r>
    </w:p>
    <w:p w:rsidR="00061CF1" w:rsidRDefault="004E6D5A">
      <w:pPr>
        <w:spacing w:after="120"/>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Entre esas medidas se encontraba llevar a cabo un estudio exhaustivo del estado de sus instalaciones hídricas (depósitos y redes de distribución), al objeto de reducir las</w:t>
      </w:r>
      <w:r>
        <w:rPr>
          <w:rFonts w:ascii="Arial" w:eastAsia="Lucida Sans Unicode" w:hAnsi="Arial" w:cs="Times New Roman"/>
          <w:i/>
          <w:sz w:val="22"/>
          <w:lang w:bidi="ar-SA"/>
        </w:rPr>
        <w:t xml:space="preserve"> enormes pérdidas de agua que se filtran de las obsoletas redes de suministro, que necesitan una reposición de forma urgente en Candelaria.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En la moción también señalábamos la escasa inversión real en materia de Aguas del Ayuntamiento de Candelaria, de a</w:t>
      </w:r>
      <w:r>
        <w:rPr>
          <w:rFonts w:ascii="Arial" w:eastAsia="Lucida Sans Unicode" w:hAnsi="Arial" w:cs="Times New Roman"/>
          <w:i/>
          <w:sz w:val="22"/>
          <w:lang w:bidi="ar-SA"/>
        </w:rPr>
        <w:t xml:space="preserve">penas 6.000€, que se recoge en los distintos ejercicios presupuestarios de los últimos años.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Hay que remontarse al 2018 para hablar del inicio de ejecución de una gran infraestructura hidráulica en el municipio, el nuevo depósito de agua potable de Igues</w:t>
      </w:r>
      <w:r>
        <w:rPr>
          <w:rFonts w:ascii="Arial" w:eastAsia="Lucida Sans Unicode" w:hAnsi="Arial" w:cs="Times New Roman"/>
          <w:i/>
          <w:sz w:val="22"/>
          <w:lang w:bidi="ar-SA"/>
        </w:rPr>
        <w:t xml:space="preserve">te, que incluía la renovación de la red de distribución de las calles La Morrita y Reverendo Padre Simón Higuera, obras cofinanciadas por el Cabildo de Tenerife (80%) y el Ayuntamiento (20%), con un coste de 1.247.702,33 €. Unas obras con grandes retrasos </w:t>
      </w:r>
      <w:r>
        <w:rPr>
          <w:rFonts w:ascii="Arial" w:eastAsia="Lucida Sans Unicode" w:hAnsi="Arial" w:cs="Times New Roman"/>
          <w:i/>
          <w:sz w:val="22"/>
          <w:lang w:bidi="ar-SA"/>
        </w:rPr>
        <w:t xml:space="preserve">hasta su ejecución definitiva en el 2023, por incumplimientos de la empresa adjudicataria.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Siguiendo con las inversiones en materia de aguas, el contrato de adjudicación del servicio de abastecimiento domiciliario de agua potable y saneamiento con la emp</w:t>
      </w:r>
      <w:r>
        <w:rPr>
          <w:rFonts w:ascii="Arial" w:eastAsia="Lucida Sans Unicode" w:hAnsi="Arial" w:cs="Times New Roman"/>
          <w:i/>
          <w:sz w:val="22"/>
          <w:lang w:bidi="ar-SA"/>
        </w:rPr>
        <w:t xml:space="preserve">resa FCC Aqualia S.A., que se inició en 1995, estableció en su segunda prórroga para el periodo de 2015-2025, un canon para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inversiones con una dotación de 1.500.000 €, la misma que en la primera prórroga. Y en el Pleno celebrado el pasado 14 de mayo del</w:t>
      </w:r>
      <w:r>
        <w:rPr>
          <w:rFonts w:ascii="Arial" w:eastAsia="Lucida Sans Unicode" w:hAnsi="Arial" w:cs="Times New Roman"/>
          <w:i/>
          <w:sz w:val="22"/>
          <w:lang w:bidi="ar-SA"/>
        </w:rPr>
        <w:t xml:space="preserve"> presente año, se aprobó por el grupo de gobierno municipal una tercera prórroga del contrato del servicio de abastecimiento y saneamiento, a la citada empresa, para el periodo 2025-2035 estableciéndose un canon por dicha concesión de 1.866.000 €.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No hay </w:t>
      </w:r>
      <w:r>
        <w:rPr>
          <w:rFonts w:ascii="Arial" w:eastAsia="Lucida Sans Unicode" w:hAnsi="Arial" w:cs="Times New Roman"/>
          <w:i/>
          <w:sz w:val="22"/>
          <w:lang w:bidi="ar-SA"/>
        </w:rPr>
        <w:t>que olvidar que en todas estas prórrogas estamos hablando de una inversión para 10 años. Unas inversiones en nuevas infraestructuras o de mejora de las ya existentes que en estos 30 años se han manifestado insuficientes, pues tal como recoge el propio Estu</w:t>
      </w:r>
      <w:r>
        <w:rPr>
          <w:rFonts w:ascii="Arial" w:eastAsia="Lucida Sans Unicode" w:hAnsi="Arial" w:cs="Times New Roman"/>
          <w:i/>
          <w:sz w:val="22"/>
          <w:lang w:bidi="ar-SA"/>
        </w:rPr>
        <w:t>dio Económico presentado el 31 de agosto del presente año por FCC Aqualia S.A., para solicitar la actualización de las tarifas del Servicio de Abastecimiento de Agua Potable para el año 2026, el porcentaje de agua que se pierde a través de las redes ha con</w:t>
      </w:r>
      <w:r>
        <w:rPr>
          <w:rFonts w:ascii="Arial" w:eastAsia="Lucida Sans Unicode" w:hAnsi="Arial" w:cs="Times New Roman"/>
          <w:i/>
          <w:sz w:val="22"/>
          <w:lang w:bidi="ar-SA"/>
        </w:rPr>
        <w:t>tinuado aumentando, pasando del 29,4% del año 2024 (856.041 m3 con un valor de 751.167,41 Euros) al 33 % (915.923 m3 con un valor de 882.308,63 Euros) que prevé la empresa concesionaria para el 2026 (la comparativa del Estudio Económico presentado por la e</w:t>
      </w:r>
      <w:r>
        <w:rPr>
          <w:rFonts w:ascii="Arial" w:eastAsia="Lucida Sans Unicode" w:hAnsi="Arial" w:cs="Times New Roman"/>
          <w:i/>
          <w:sz w:val="22"/>
          <w:lang w:bidi="ar-SA"/>
        </w:rPr>
        <w:t xml:space="preserve">mpresa concesionaria no aporta datos del actual año 2025). </w:t>
      </w:r>
    </w:p>
    <w:p w:rsidR="00061CF1" w:rsidRDefault="00061CF1">
      <w:pPr>
        <w:spacing w:after="120"/>
        <w:jc w:val="both"/>
        <w:textAlignment w:val="auto"/>
        <w:rPr>
          <w:rFonts w:ascii="Arial" w:eastAsia="Lucida Sans Unicode" w:hAnsi="Arial" w:cs="Times New Roman"/>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Y aunque se hable de agua que “no se factura al consumidor”, es necesario aclarar que esta agua que se pierde, sí que se incluye en los gastos de compra de agua para el abasto del municipio, está</w:t>
      </w:r>
      <w:r>
        <w:rPr>
          <w:rFonts w:ascii="Arial" w:eastAsia="Lucida Sans Unicode" w:hAnsi="Arial" w:cs="Times New Roman"/>
          <w:i/>
          <w:sz w:val="22"/>
          <w:lang w:bidi="ar-SA"/>
        </w:rPr>
        <w:t xml:space="preserve"> recogida como gasto en los presupuestos anuales, y por lo tanto, todo ese dinero que se invierta en agua “derramada” se deja de invertir en otros ámbitos urgentes en el municipio. </w:t>
      </w:r>
    </w:p>
    <w:p w:rsidR="00061CF1" w:rsidRDefault="004E6D5A">
      <w:pPr>
        <w:spacing w:after="120"/>
        <w:jc w:val="both"/>
        <w:textAlignment w:val="auto"/>
      </w:pPr>
      <w:r>
        <w:rPr>
          <w:rFonts w:ascii="Arial" w:eastAsia="Lucida Sans Unicode" w:hAnsi="Arial" w:cs="Times New Roman"/>
          <w:i/>
          <w:sz w:val="22"/>
          <w:lang w:bidi="ar-SA"/>
        </w:rPr>
        <w:t>De la halagüeña previsión que maneja la empresa concesionaria, podemos ded</w:t>
      </w:r>
      <w:r>
        <w:rPr>
          <w:rFonts w:ascii="Arial" w:eastAsia="Lucida Sans Unicode" w:hAnsi="Arial" w:cs="Times New Roman"/>
          <w:i/>
          <w:sz w:val="22"/>
          <w:lang w:bidi="ar-SA"/>
        </w:rPr>
        <w:t>ucir que el canon de 1.866.000 euros de concesión del servicio que debe pagar Aqualia, será nuevamente una inversión insuficiente, ante el continuo aumento de las pérdidas de agua en unas redes de distribución obsoletas, las roturas continuadas en muchos t</w:t>
      </w:r>
      <w:r>
        <w:rPr>
          <w:rFonts w:ascii="Arial" w:eastAsia="Lucida Sans Unicode" w:hAnsi="Arial" w:cs="Times New Roman"/>
          <w:i/>
          <w:sz w:val="22"/>
          <w:lang w:bidi="ar-SA"/>
        </w:rPr>
        <w:t>ramos de la red y las numerosas filtraciones visibles en aceras y vías.</w:t>
      </w:r>
    </w:p>
    <w:p w:rsidR="00061CF1" w:rsidRDefault="004E6D5A">
      <w:pPr>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 esta necesidad urgente de renovación de las redes de distribución, se suma el hecho de la falta de capacidad de almacenamiento de los depósitos de Candelaria abastecimiento en Candel</w:t>
      </w:r>
      <w:r>
        <w:rPr>
          <w:rFonts w:ascii="Arial" w:eastAsia="Lucida Sans Unicode" w:hAnsi="Arial" w:cs="Times New Roman"/>
          <w:i/>
          <w:sz w:val="22"/>
          <w:lang w:bidi="ar-SA"/>
        </w:rPr>
        <w:t xml:space="preserve">aria. </w:t>
      </w:r>
    </w:p>
    <w:p w:rsidR="00061CF1" w:rsidRDefault="00061CF1">
      <w:pPr>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Se incumple el art. 40 de la Ley de Aguas estatal y el art. 35 de la Ley de Aguas de Canarias, que establecen que dichos depósitos deben almacenar un metro cúbico por habitante en el núcleo o la zona a la que abastecen. Siguiendo esta pauta, </w:t>
      </w:r>
      <w:r>
        <w:rPr>
          <w:rFonts w:ascii="Arial" w:eastAsia="Lucida Sans Unicode" w:hAnsi="Arial" w:cs="Times New Roman"/>
          <w:i/>
          <w:sz w:val="22"/>
          <w:lang w:bidi="ar-SA"/>
        </w:rPr>
        <w:t xml:space="preserve">actualmente se necesitan nuevos depósitos o aumentar la capacidad de los existentes para dar abastecimiento a las zonas de: Araya, Candelaria y zona de costa, Malpaís y Playa La Viuda. </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No debemos olvidar que estamos hablando de un servicio público de com</w:t>
      </w:r>
      <w:r>
        <w:rPr>
          <w:rFonts w:ascii="Arial" w:eastAsia="Lucida Sans Unicode" w:hAnsi="Arial" w:cs="Times New Roman"/>
          <w:i/>
          <w:sz w:val="22"/>
          <w:lang w:bidi="ar-SA"/>
        </w:rPr>
        <w:t>petencia municipal que el Ayuntamiento de Candelaria debe garantizar, tanto en lo referente al suministro de agua necesario para la población, como en la calidad del agua apta para el consumo humano y sin riesgos para la salud</w:t>
      </w:r>
    </w:p>
    <w:p w:rsidR="00061CF1" w:rsidRDefault="00061CF1">
      <w:pPr>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Que además, este Ayuntamient</w:t>
      </w:r>
      <w:r>
        <w:rPr>
          <w:rFonts w:ascii="Arial" w:eastAsia="Lucida Sans Unicode" w:hAnsi="Arial" w:cs="Times New Roman"/>
          <w:i/>
          <w:sz w:val="22"/>
          <w:lang w:bidi="ar-SA"/>
        </w:rPr>
        <w:t xml:space="preserve">o cuenta, según la Liquidación de la Cuenta General del ejercicio 2024, con un Remanente de Tesorería para Gastos Generales de 30.666.333,16 euros, lo que le permite acometer algunas de las obras prioritarias en materia de abastecimiento de agua potable. </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Este municipio y los ciudadanos no pueden seguir esperando más tiempo por la llegada de financiación externa, para revertir la actual situación que se padece en numerosas zonas del término municipal. Las quejas vecinales por los cortes de agua provocados </w:t>
      </w:r>
      <w:r>
        <w:rPr>
          <w:rFonts w:ascii="Arial" w:eastAsia="Lucida Sans Unicode" w:hAnsi="Arial" w:cs="Times New Roman"/>
          <w:i/>
          <w:sz w:val="22"/>
          <w:lang w:bidi="ar-SA"/>
        </w:rPr>
        <w:t xml:space="preserve">por múltiples averías, </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incluso reiterativas en los mismos tramos de la red, hacen acuciante que se tomen medidas que den solución definitiva a los problemas de pérdidas de agua en las redes, y de falta de capacidad de almacenamiento del agua. </w:t>
      </w:r>
    </w:p>
    <w:p w:rsidR="00061CF1" w:rsidRDefault="00061CF1">
      <w:pPr>
        <w:ind w:firstLine="709"/>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La urgent</w:t>
      </w:r>
      <w:r>
        <w:rPr>
          <w:rFonts w:ascii="Arial" w:eastAsia="Lucida Sans Unicode" w:hAnsi="Arial" w:cs="Times New Roman"/>
          <w:i/>
          <w:sz w:val="22"/>
          <w:lang w:bidi="ar-SA"/>
        </w:rPr>
        <w:t xml:space="preserve">e necesidad de renovar las redes de abastecimiento también está paralizando la ejecución de obras de mejora en el asfaltado de calles de Candelaria, otra demanda vecinal que están sufriendo muchos vecinos. </w:t>
      </w:r>
    </w:p>
    <w:p w:rsidR="00061CF1" w:rsidRDefault="00061CF1">
      <w:pPr>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Estamos ante una situación de crisis hídrica en </w:t>
      </w:r>
      <w:r>
        <w:rPr>
          <w:rFonts w:ascii="Arial" w:eastAsia="Lucida Sans Unicode" w:hAnsi="Arial" w:cs="Times New Roman"/>
          <w:i/>
          <w:sz w:val="22"/>
          <w:lang w:bidi="ar-SA"/>
        </w:rPr>
        <w:t>la isla, por lo que desde Coalición Canaria entendemos que el compromiso con la Agenda 2030 y los Objetivos de Desarrollo Sostenible (ODS), no pueden quedarse en simples palabras, sino que deben traducirse en acciones concretas desde los municipios. Las po</w:t>
      </w:r>
      <w:r>
        <w:rPr>
          <w:rFonts w:ascii="Arial" w:eastAsia="Lucida Sans Unicode" w:hAnsi="Arial" w:cs="Times New Roman"/>
          <w:i/>
          <w:sz w:val="22"/>
          <w:lang w:bidi="ar-SA"/>
        </w:rPr>
        <w:t>líticas locales son la base para construir una Canarias más sostenible, más justa y más preparada para los retos del futuro.</w:t>
      </w:r>
    </w:p>
    <w:p w:rsidR="00061CF1" w:rsidRDefault="00061CF1">
      <w:pPr>
        <w:jc w:val="both"/>
        <w:textAlignment w:val="auto"/>
        <w:rPr>
          <w:rFonts w:ascii="Arial" w:eastAsia="Lucida Sans Unicode" w:hAnsi="Arial" w:cs="Times New Roman"/>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Por ello, desde este Salón Plenario reafirmamos nuestra voluntad de seguir avanzando en el cumplimiento del “Objetivo de Desarroll</w:t>
      </w:r>
      <w:r>
        <w:rPr>
          <w:rFonts w:ascii="Arial" w:eastAsia="Lucida Sans Unicode" w:hAnsi="Arial" w:cs="Times New Roman"/>
          <w:i/>
          <w:sz w:val="22"/>
          <w:lang w:bidi="ar-SA"/>
        </w:rPr>
        <w:t>o Sostenible número 6: Agua limpia y saneamiento”, asegurando un uso responsable y sostenible del agua, un recurso vital y escaso en nuestras islas.</w:t>
      </w:r>
    </w:p>
    <w:p w:rsidR="00061CF1" w:rsidRDefault="00061CF1">
      <w:pPr>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Es imprescindible garantizar el acceso universal al agua potable, mejorar la eficiencia en el uso de los r</w:t>
      </w:r>
      <w:r>
        <w:rPr>
          <w:rFonts w:ascii="Arial" w:eastAsia="Lucida Sans Unicode" w:hAnsi="Arial" w:cs="Times New Roman"/>
          <w:i/>
          <w:sz w:val="22"/>
          <w:lang w:bidi="ar-SA"/>
        </w:rPr>
        <w:t xml:space="preserve">ecursos hídricos y modernizar las infraestructuras de abastecimiento, depuración y saneamiento, especialmente en aquellos núcleos de población que aún presentan carencias. </w:t>
      </w:r>
    </w:p>
    <w:p w:rsidR="00061CF1" w:rsidRDefault="00061CF1">
      <w:pPr>
        <w:jc w:val="both"/>
        <w:textAlignment w:val="auto"/>
        <w:rPr>
          <w:rFonts w:ascii="Arial" w:eastAsia="Lucida Sans Unicode" w:hAnsi="Arial" w:cs="Times New Roman"/>
          <w:i/>
          <w:sz w:val="22"/>
          <w:lang w:bidi="ar-SA"/>
        </w:rPr>
      </w:pPr>
    </w:p>
    <w:p w:rsidR="00061CF1" w:rsidRDefault="00061CF1">
      <w:pPr>
        <w:jc w:val="both"/>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Coalición Canaria considera que el cumplimiento de este objetivo debe integrarse </w:t>
      </w:r>
      <w:r>
        <w:rPr>
          <w:rFonts w:ascii="Arial" w:eastAsia="Lucida Sans Unicode" w:hAnsi="Arial" w:cs="Times New Roman"/>
          <w:i/>
          <w:sz w:val="22"/>
          <w:lang w:bidi="ar-SA"/>
        </w:rPr>
        <w:t>en todas las áreas de la acción municipal, desde la planificación urbana hasta la gestión de residuos, la movilidad y la educación ambiental, para garantizar un desarrollo que sea realmente sostenible, que proteja nuestro territorio y que ponga siempre a l</w:t>
      </w:r>
      <w:r>
        <w:rPr>
          <w:rFonts w:ascii="Arial" w:eastAsia="Lucida Sans Unicode" w:hAnsi="Arial" w:cs="Times New Roman"/>
          <w:i/>
          <w:sz w:val="22"/>
          <w:lang w:bidi="ar-SA"/>
        </w:rPr>
        <w:t xml:space="preserve">as personas en el centro. </w:t>
      </w:r>
    </w:p>
    <w:p w:rsidR="00061CF1" w:rsidRDefault="00061CF1">
      <w:pPr>
        <w:jc w:val="both"/>
        <w:textAlignment w:val="auto"/>
        <w:rPr>
          <w:rFonts w:ascii="Arial" w:eastAsia="Lucida Sans Unicode" w:hAnsi="Arial" w:cs="Times New Roman"/>
          <w:sz w:val="22"/>
          <w:lang w:bidi="ar-SA"/>
        </w:rPr>
      </w:pPr>
    </w:p>
    <w:p w:rsidR="00061CF1" w:rsidRDefault="004E6D5A">
      <w:pPr>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Porque creemos en una Canarias que avanza desde lo local hacia un futuro más verde, más justo y humano, reafirmamos nuestro compromiso político y social con el Objetivo de Desarrollo Sostenible número 6, y nuestro apoyo a la pró</w:t>
      </w:r>
      <w:r>
        <w:rPr>
          <w:rFonts w:ascii="Arial" w:eastAsia="Lucida Sans Unicode" w:hAnsi="Arial" w:cs="Times New Roman"/>
          <w:i/>
          <w:sz w:val="22"/>
          <w:lang w:bidi="ar-SA"/>
        </w:rPr>
        <w:t>rroga de la declaración de emergencia hídrica en Tenerife, convencidos de que solo desde la gestión responsable del agua podremos garantizar la calidad de vida de las generaciones presentes y futuras en Canarias, en Tenerife y por ende, en nuestro municipi</w:t>
      </w:r>
      <w:r>
        <w:rPr>
          <w:rFonts w:ascii="Arial" w:eastAsia="Lucida Sans Unicode" w:hAnsi="Arial" w:cs="Times New Roman"/>
          <w:i/>
          <w:sz w:val="22"/>
          <w:lang w:bidi="ar-SA"/>
        </w:rPr>
        <w:t>o.</w:t>
      </w:r>
    </w:p>
    <w:p w:rsidR="00061CF1" w:rsidRDefault="00061CF1">
      <w:pPr>
        <w:jc w:val="both"/>
        <w:textAlignment w:val="auto"/>
        <w:rPr>
          <w:rFonts w:ascii="Arial" w:eastAsia="Lucida Sans Unicode" w:hAnsi="Arial" w:cs="Times New Roman"/>
          <w:i/>
          <w:sz w:val="22"/>
          <w:lang w:bidi="ar-SA"/>
        </w:rPr>
      </w:pPr>
    </w:p>
    <w:p w:rsidR="00061CF1" w:rsidRDefault="004E6D5A">
      <w:pPr>
        <w:jc w:val="center"/>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Por todo ello, sometemos a debate y aprobación por el Pleno los siguientes ACUERDOS:</w:t>
      </w:r>
    </w:p>
    <w:p w:rsidR="00061CF1" w:rsidRDefault="00061CF1">
      <w:pPr>
        <w:jc w:val="center"/>
        <w:textAlignment w:val="auto"/>
        <w:rPr>
          <w:rFonts w:ascii="Arial" w:eastAsia="Lucida Sans Unicode" w:hAnsi="Arial" w:cs="Times New Roman"/>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Primero.- Instar al Ayuntamiento a llevar a cabo la redacción de los proyectos de las obras prioritarias en materia de abastecimiento de agua potable (redes de distri</w:t>
      </w:r>
      <w:r>
        <w:rPr>
          <w:rFonts w:ascii="Arial" w:eastAsia="Lucida Sans Unicode" w:hAnsi="Arial" w:cs="Times New Roman"/>
          <w:b/>
          <w:i/>
          <w:sz w:val="22"/>
          <w:lang w:bidi="ar-SA"/>
        </w:rPr>
        <w:t>bución y depósitos), con fichas de financiación, conducentes a la mejora del rendimiento técnico hidráulico de las redes y por ende, a la reducción de pérdidas de agua en las redes de abastecimiento, así como al aumento de la capacidad de almacenamiento co</w:t>
      </w:r>
      <w:r>
        <w:rPr>
          <w:rFonts w:ascii="Arial" w:eastAsia="Lucida Sans Unicode" w:hAnsi="Arial" w:cs="Times New Roman"/>
          <w:b/>
          <w:i/>
          <w:sz w:val="22"/>
          <w:lang w:bidi="ar-SA"/>
        </w:rPr>
        <w:t xml:space="preserve">n la construcción de nuevos depósitos para garantizar el abastecimiento a todos los núcleos de población del municipio. </w:t>
      </w: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Segundo.- Instar al Ayuntamiento a dotar de financiación las obras prioritarias, a través de Modificación Presupuestaria con Remanente</w:t>
      </w:r>
      <w:r>
        <w:rPr>
          <w:rFonts w:ascii="Arial" w:eastAsia="Lucida Sans Unicode" w:hAnsi="Arial" w:cs="Times New Roman"/>
          <w:b/>
          <w:i/>
          <w:sz w:val="22"/>
          <w:lang w:bidi="ar-SA"/>
        </w:rPr>
        <w:t xml:space="preserve"> de Tesorería para Gastos Generales en el ejercicio 2025, o a través de la creación de un Plan de Inversión Presupuestario Plurianual en el área de Aguas para los próximos ejercicios presupuestarios. </w:t>
      </w:r>
    </w:p>
    <w:p w:rsidR="00061CF1" w:rsidRDefault="00061CF1">
      <w:pPr>
        <w:ind w:firstLine="709"/>
        <w:jc w:val="both"/>
        <w:textAlignment w:val="auto"/>
        <w:rPr>
          <w:rFonts w:ascii="Arial" w:eastAsia="Lucida Sans Unicode" w:hAnsi="Arial" w:cs="Times New Roman"/>
          <w:b/>
          <w:i/>
          <w:sz w:val="22"/>
          <w:lang w:bidi="ar-SA"/>
        </w:rPr>
      </w:pP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Tercero.- Instar al Ayuntamiento de Candelaria a comp</w:t>
      </w:r>
      <w:r>
        <w:rPr>
          <w:rFonts w:ascii="Arial" w:eastAsia="Lucida Sans Unicode" w:hAnsi="Arial" w:cs="Times New Roman"/>
          <w:b/>
          <w:i/>
          <w:sz w:val="22"/>
          <w:lang w:bidi="ar-SA"/>
        </w:rPr>
        <w:t>rometerse seriamente a reforzar las políticas locales vinculadas al “Objetivo de Desarrollo (ODS) número 6: Agua limpia y saneamiento”, impulsando actuaciones orientadas a garantizar el acceso universal al agua potable, mejorar la eficiencia en su gestión,</w:t>
      </w:r>
      <w:r>
        <w:rPr>
          <w:rFonts w:ascii="Arial" w:eastAsia="Lucida Sans Unicode" w:hAnsi="Arial" w:cs="Times New Roman"/>
          <w:b/>
          <w:i/>
          <w:sz w:val="22"/>
          <w:lang w:bidi="ar-SA"/>
        </w:rPr>
        <w:t xml:space="preserve"> modernizar las infraestructuras de abastecimiento y depuración, y fomentar un uso responsable y sostenible de este recurso esencial para la vida y el desarrollo del municipio. </w:t>
      </w:r>
    </w:p>
    <w:p w:rsidR="00061CF1" w:rsidRDefault="00061CF1">
      <w:pPr>
        <w:ind w:firstLine="709"/>
        <w:jc w:val="both"/>
        <w:textAlignment w:val="auto"/>
        <w:rPr>
          <w:rFonts w:ascii="Arial" w:eastAsia="Lucida Sans Unicode" w:hAnsi="Arial" w:cs="Times New Roman"/>
          <w:b/>
          <w:i/>
          <w:sz w:val="22"/>
          <w:lang w:bidi="ar-SA"/>
        </w:rPr>
      </w:pPr>
    </w:p>
    <w:p w:rsidR="00061CF1" w:rsidRDefault="004E6D5A">
      <w:pPr>
        <w:ind w:left="709"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 xml:space="preserve">En Candelaria a 17 de octubre de 2025 </w:t>
      </w:r>
    </w:p>
    <w:p w:rsidR="00061CF1" w:rsidRDefault="004E6D5A">
      <w:pPr>
        <w:ind w:left="709" w:firstLine="709"/>
        <w:jc w:val="both"/>
        <w:textAlignment w:val="auto"/>
        <w:rPr>
          <w:rFonts w:ascii="Arial" w:eastAsia="Lucida Sans Unicode" w:hAnsi="Arial" w:cs="Times New Roman"/>
          <w:b/>
          <w:i/>
          <w:sz w:val="22"/>
          <w:lang w:bidi="ar-SA"/>
        </w:rPr>
      </w:pPr>
      <w:r>
        <w:rPr>
          <w:rFonts w:ascii="Arial" w:eastAsia="Lucida Sans Unicode" w:hAnsi="Arial" w:cs="Times New Roman"/>
          <w:b/>
          <w:i/>
          <w:sz w:val="22"/>
          <w:lang w:bidi="ar-SA"/>
        </w:rPr>
        <w:t>Ángela Cruz Perera Concejal y Portavoz</w:t>
      </w:r>
      <w:r>
        <w:rPr>
          <w:rFonts w:ascii="Arial" w:eastAsia="Lucida Sans Unicode" w:hAnsi="Arial" w:cs="Times New Roman"/>
          <w:b/>
          <w:i/>
          <w:sz w:val="22"/>
          <w:lang w:bidi="ar-SA"/>
        </w:rPr>
        <w:t xml:space="preserve"> de Coalición Canaria</w:t>
      </w:r>
    </w:p>
    <w:p w:rsidR="00061CF1" w:rsidRDefault="00061CF1">
      <w:pPr>
        <w:jc w:val="both"/>
        <w:textAlignment w:val="auto"/>
        <w:rPr>
          <w:rFonts w:ascii="Arial" w:eastAsia="Lucida Sans Unicode" w:hAnsi="Arial" w:cs="Times New Roman"/>
          <w:sz w:val="22"/>
          <w:lang w:bidi="ar-SA"/>
        </w:rPr>
      </w:pPr>
    </w:p>
    <w:p w:rsidR="00061CF1" w:rsidRDefault="00061CF1">
      <w:pPr>
        <w:jc w:val="both"/>
        <w:textAlignment w:val="auto"/>
        <w:rPr>
          <w:rFonts w:ascii="Arial" w:eastAsia="Lucida Sans Unicode" w:hAnsi="Arial" w:cs="Times New Roman"/>
          <w:sz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DESFAVORABLE DE LA COMISIÓN INFORMATIVA DE URBANISMO APLAZADA AL 28 DE OCTUBRE DE 2025 POR EL FALLO INFORMÁTICO EL LUNES 27 DE OCTUBRE, DEL SISTEMA “CLAVE” DE ACCESO A LA SEDE ELECTRÓNICA Y DE ESTA FORMA QUEDÓ SUBSANADA LA </w:t>
      </w:r>
      <w:r>
        <w:rPr>
          <w:rFonts w:ascii="Arial" w:eastAsia="Lucida Sans Unicode" w:hAnsi="Arial" w:cs="Arial"/>
          <w:b/>
          <w:sz w:val="22"/>
          <w:szCs w:val="22"/>
          <w:lang w:bidi="ar-SA"/>
        </w:rPr>
        <w:t>COMISIÓN CON SU CELEBRACIÓN EL 28 DE OCTUBRE.</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5.</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Don Airam Pérez Chinea, Don José Francisco Pinto Ramos, Don Reinaldo José Triviño Blanco y Don Jorge Baute Delgado</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w:t>
      </w:r>
      <w:r>
        <w:rPr>
          <w:rFonts w:ascii="Arial" w:eastAsia="Lucida Sans Unicode" w:hAnsi="Arial" w:cs="Arial"/>
          <w:sz w:val="22"/>
          <w:szCs w:val="22"/>
          <w:lang w:bidi="ar-SA"/>
        </w:rPr>
        <w:t xml:space="preserve"> de la concejal del Grupo Mixto (USP), Doña Violeta López Jiménez.</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JUNTA DE PORTAVOCES PREVISTA PARA EL DÍA 27 DE OCTUBRE Y QUE FUE APLAZADA AL 28 DE OCTUBRE DE 2025 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EL PLENO DE 31 DE OC</w:t>
      </w:r>
      <w:r>
        <w:rPr>
          <w:rFonts w:ascii="Arial" w:eastAsia="Lucida Sans Unicode" w:hAnsi="Arial" w:cs="Arial"/>
          <w:b/>
          <w:sz w:val="22"/>
          <w:szCs w:val="22"/>
          <w:lang w:bidi="ar-SA"/>
        </w:rPr>
        <w:t>TUBRE DE 2025.</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7.</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5 concejales del Grupo Popular: Don Jacobo López Fariña,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2  de los concejales del Grupo Mix</w:t>
      </w:r>
      <w:r>
        <w:rPr>
          <w:rFonts w:ascii="Arial" w:eastAsia="Lucida Sans Unicode" w:hAnsi="Arial" w:cs="Arial"/>
          <w:sz w:val="22"/>
          <w:szCs w:val="22"/>
          <w:lang w:bidi="ar-SA"/>
        </w:rPr>
        <w:t>to: Don José Tortosa Pallarés (VOX) y Doña Violeta López Jiménez (USP).</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11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11 concejales del Grupo Socialista: Doña María Concepción Brito Núñez, Don Jorge Baute Delgado, Don José Francisco Pinto Ramos, Doña Olivia Concepción Pérez Díaz, </w:t>
      </w:r>
      <w:r>
        <w:rPr>
          <w:rFonts w:ascii="Arial" w:eastAsia="Lucida Sans Unicode" w:hAnsi="Arial" w:cs="Arial"/>
          <w:sz w:val="22"/>
          <w:szCs w:val="22"/>
          <w:lang w:bidi="ar-SA"/>
        </w:rPr>
        <w:t xml:space="preserve">Don Reinaldo José Triviño Blanco, Don Manuel Alberto González Pestano, Doña Margarita Eva Tendero Barroso, Don Airam Pérez Chinea, Doña María del Carmen Clemente Díaz, Don Olegario Francisco Alonso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w:t>
      </w:r>
      <w:r>
        <w:rPr>
          <w:rFonts w:ascii="Arial" w:eastAsia="Lucida Sans Unicode" w:hAnsi="Arial" w:cs="Arial"/>
          <w:sz w:val="22"/>
          <w:szCs w:val="22"/>
          <w:lang w:bidi="ar-SA"/>
        </w:rPr>
        <w:t>: 0.</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lang w:bidi="ar-SA"/>
        </w:rPr>
      </w:pPr>
      <w:r>
        <w:rPr>
          <w:rFonts w:ascii="Arial" w:eastAsia="Lucida Sans Unicode" w:hAnsi="Arial" w:cs="Arial"/>
          <w:b/>
          <w:lang w:bidi="ar-SA"/>
        </w:rPr>
        <w:t xml:space="preserve">                        ACUERDO DEL PLENO DE 31 DE OCTUBRE DE 2025.</w:t>
      </w:r>
    </w:p>
    <w:p w:rsidR="00061CF1" w:rsidRDefault="00061CF1">
      <w:pPr>
        <w:spacing w:after="120"/>
        <w:ind w:firstLine="709"/>
        <w:jc w:val="both"/>
        <w:textAlignment w:val="auto"/>
        <w:rPr>
          <w:rFonts w:ascii="Arial" w:eastAsia="Lucida Sans Unicode" w:hAnsi="Arial" w:cs="Arial"/>
          <w:b/>
          <w:color w:val="000000"/>
          <w:shd w:val="clear" w:color="auto" w:fill="F5F7F9"/>
          <w:lang w:bidi="ar-SA"/>
        </w:rPr>
      </w:pPr>
    </w:p>
    <w:p w:rsidR="00061CF1" w:rsidRDefault="004E6D5A">
      <w:pPr>
        <w:spacing w:after="120"/>
        <w:ind w:firstLine="709"/>
        <w:jc w:val="both"/>
        <w:textAlignment w:val="auto"/>
        <w:rPr>
          <w:rFonts w:ascii="Arial" w:eastAsia="Lucida Sans Unicode" w:hAnsi="Arial" w:cs="Arial"/>
          <w:b/>
          <w:color w:val="000000"/>
          <w:shd w:val="clear" w:color="auto" w:fill="F5F7F9"/>
          <w:lang w:bidi="ar-SA"/>
        </w:rPr>
      </w:pPr>
      <w:r>
        <w:rPr>
          <w:rFonts w:ascii="Arial" w:eastAsia="Lucida Sans Unicode" w:hAnsi="Arial" w:cs="Arial"/>
          <w:b/>
          <w:color w:val="000000"/>
          <w:shd w:val="clear" w:color="auto" w:fill="F5F7F9"/>
          <w:lang w:bidi="ar-SA"/>
        </w:rPr>
        <w:t>Desestimar la moción del Grupo Mixto (CC) para la mejora de las infraestructuras del servicio de abastecimiento de agua potable en el municipio.</w:t>
      </w:r>
    </w:p>
    <w:p w:rsidR="00061CF1" w:rsidRDefault="00061CF1">
      <w:pPr>
        <w:jc w:val="both"/>
        <w:textAlignment w:val="auto"/>
        <w:rPr>
          <w:rFonts w:ascii="Arial" w:eastAsia="Lucida Sans Unicode" w:hAnsi="Arial" w:cs="Arial"/>
          <w:b/>
          <w:sz w:val="22"/>
          <w:szCs w:val="22"/>
          <w:lang w:bidi="ar-SA"/>
        </w:rPr>
      </w:pPr>
    </w:p>
    <w:p w:rsidR="00061CF1" w:rsidRDefault="00061CF1">
      <w:pPr>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061CF1">
      <w:pPr>
        <w:spacing w:after="120"/>
        <w:jc w:val="both"/>
        <w:textAlignment w:val="auto"/>
        <w:rPr>
          <w:rFonts w:ascii="Arial" w:eastAsia="Lucida Sans Unicode" w:hAnsi="Arial" w:cs="Arial"/>
          <w:b/>
          <w:sz w:val="22"/>
          <w:szCs w:val="22"/>
          <w:lang w:bidi="ar-SA"/>
        </w:rPr>
      </w:pPr>
    </w:p>
    <w:p w:rsidR="00061CF1" w:rsidRDefault="004E6D5A">
      <w:pPr>
        <w:spacing w:after="120"/>
        <w:jc w:val="both"/>
        <w:textAlignment w:val="auto"/>
      </w:pPr>
      <w:r>
        <w:rPr>
          <w:rFonts w:ascii="Arial" w:eastAsia="Lucida Sans Unicode" w:hAnsi="Arial" w:cs="Arial"/>
          <w:b/>
          <w:color w:val="000000"/>
          <w:shd w:val="clear" w:color="auto" w:fill="F5F7F9"/>
          <w:lang w:bidi="ar-SA"/>
        </w:rPr>
        <w:t xml:space="preserve">10.- </w:t>
      </w:r>
      <w:r>
        <w:rPr>
          <w:rFonts w:ascii="Arial" w:eastAsia="Lucida Sans Unicode" w:hAnsi="Arial" w:cs="Arial"/>
          <w:b/>
          <w:color w:val="000000"/>
          <w:u w:val="single"/>
          <w:shd w:val="clear" w:color="auto" w:fill="F5F7F9"/>
          <w:lang w:bidi="ar-SA"/>
        </w:rPr>
        <w:t>Expediente 10068/2025</w:t>
      </w:r>
      <w:r>
        <w:rPr>
          <w:rFonts w:ascii="Arial" w:eastAsia="Lucida Sans Unicode" w:hAnsi="Arial" w:cs="Arial"/>
          <w:b/>
          <w:color w:val="000000"/>
          <w:shd w:val="clear" w:color="auto" w:fill="F5F7F9"/>
          <w:lang w:bidi="ar-SA"/>
        </w:rPr>
        <w:t>. Moción del Grupo Mixto (USP) para aprobar el inicio de los trámites para la elaboración de un Plan Estratégico Municipal de Arbolado Urbano y declarar el proyecto del Gran Parque Urbano de Punta Larga como una actuación de interés pú</w:t>
      </w:r>
      <w:r>
        <w:rPr>
          <w:rFonts w:ascii="Arial" w:eastAsia="Lucida Sans Unicode" w:hAnsi="Arial" w:cs="Arial"/>
          <w:b/>
          <w:color w:val="000000"/>
          <w:shd w:val="clear" w:color="auto" w:fill="F5F7F9"/>
          <w:lang w:bidi="ar-SA"/>
        </w:rPr>
        <w:t>blico prioritario.</w:t>
      </w:r>
    </w:p>
    <w:p w:rsidR="00061CF1" w:rsidRDefault="00061CF1">
      <w:pPr>
        <w:spacing w:after="120"/>
        <w:jc w:val="both"/>
        <w:textAlignment w:val="auto"/>
        <w:rPr>
          <w:rFonts w:ascii="Arial" w:eastAsia="Lucida Sans Unicode" w:hAnsi="Arial" w:cs="Arial"/>
          <w:b/>
          <w:color w:val="000000"/>
          <w:shd w:val="clear" w:color="auto" w:fill="F5F7F9"/>
          <w:lang w:bidi="ar-SA"/>
        </w:rPr>
      </w:pPr>
    </w:p>
    <w:p w:rsidR="00061CF1" w:rsidRDefault="004E6D5A">
      <w:pPr>
        <w:spacing w:after="120"/>
        <w:ind w:firstLine="709"/>
        <w:jc w:val="both"/>
        <w:textAlignment w:val="auto"/>
        <w:rPr>
          <w:rFonts w:ascii="Arial" w:eastAsia="Lucida Sans Unicode" w:hAnsi="Arial" w:cs="Times New Roman"/>
          <w:b/>
          <w:sz w:val="22"/>
          <w:lang w:bidi="ar-SA"/>
        </w:rPr>
      </w:pPr>
      <w:r>
        <w:rPr>
          <w:rFonts w:ascii="Arial" w:eastAsia="Lucida Sans Unicode" w:hAnsi="Arial" w:cs="Times New Roman"/>
          <w:b/>
          <w:sz w:val="22"/>
          <w:lang w:bidi="ar-SA"/>
        </w:rPr>
        <w:t xml:space="preserve">MOCIÓN DE UNIDAS SÍ PODEMOS SOBRE APROBACIÓN DE UN PLAN ESTRATÉGICO DE ARBOLADO URBANO Y EL IMPULSO Y LA EJECUCIÓN PRIORITARIA DEL GRAN PARQUE URBANO DE PUNTA LARGA. </w:t>
      </w:r>
    </w:p>
    <w:p w:rsidR="00061CF1" w:rsidRDefault="004E6D5A">
      <w:pPr>
        <w:spacing w:after="120"/>
        <w:ind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Violeta López Jiménez, Concejal de Unidas Sí Podemos, y miembro del G</w:t>
      </w:r>
      <w:r>
        <w:rPr>
          <w:rFonts w:ascii="Arial" w:eastAsia="Lucida Sans Unicode" w:hAnsi="Arial" w:cs="Times New Roman"/>
          <w:i/>
          <w:sz w:val="22"/>
          <w:lang w:bidi="ar-SA"/>
        </w:rPr>
        <w:t>rupo Municipal Mixto, conforme a lo establecido en la reglamentación aplicable, presenta MOCIÓN para su debate y aprobación, si procede, de acuerdo con la siguiente:</w:t>
      </w:r>
    </w:p>
    <w:p w:rsidR="00061CF1" w:rsidRDefault="00061CF1">
      <w:pPr>
        <w:spacing w:after="120"/>
        <w:ind w:firstLine="709"/>
        <w:jc w:val="both"/>
        <w:textAlignment w:val="auto"/>
        <w:rPr>
          <w:rFonts w:ascii="Arial" w:eastAsia="Lucida Sans Unicode" w:hAnsi="Arial" w:cs="Arial"/>
          <w:i/>
          <w:color w:val="000000"/>
          <w:shd w:val="clear" w:color="auto" w:fill="F5F7F9"/>
          <w:lang w:bidi="ar-SA"/>
        </w:rPr>
      </w:pPr>
    </w:p>
    <w:p w:rsidR="00061CF1" w:rsidRDefault="004E6D5A">
      <w:pPr>
        <w:spacing w:after="120"/>
        <w:ind w:left="2127"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EXPOSICIÓN DE MOTIVOS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La tendencia global hacia la urbanización exige un cambio de menta</w:t>
      </w:r>
      <w:r>
        <w:rPr>
          <w:rFonts w:ascii="Arial" w:eastAsia="Lucida Sans Unicode" w:hAnsi="Arial" w:cs="Times New Roman"/>
          <w:i/>
          <w:sz w:val="22"/>
          <w:lang w:bidi="ar-SA"/>
        </w:rPr>
        <w:t>lidad profundo y un replanteamiento en el diseño y la gestión de nuestros municipios. La Organización de las Naciones Unidas para la Alimentación y la Agricultura (FAO), a través de su Iniciativa Ciudades Verdes (ICV), establece un objetivo claro y ambicio</w:t>
      </w:r>
      <w:r>
        <w:rPr>
          <w:rFonts w:ascii="Arial" w:eastAsia="Lucida Sans Unicode" w:hAnsi="Arial" w:cs="Times New Roman"/>
          <w:i/>
          <w:sz w:val="22"/>
          <w:lang w:bidi="ar-SA"/>
        </w:rPr>
        <w:t xml:space="preserve">so: mejorar la salud y el bienestar de las personas en las zonas urbanas del mundo, haciéndolas más sostenibles, saludables y resilientes al cambio climático.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Este compromiso con la transformación urbana es el que inspira esta moción. Un componente funda</w:t>
      </w:r>
      <w:r>
        <w:rPr>
          <w:rFonts w:ascii="Arial" w:eastAsia="Lucida Sans Unicode" w:hAnsi="Arial" w:cs="Times New Roman"/>
          <w:i/>
          <w:sz w:val="22"/>
          <w:lang w:bidi="ar-SA"/>
        </w:rPr>
        <w:t>mental de la ICV (Iniciativa Ciudades Verdes) es la promoción de la silvicultura urbana y periurbana, reconociendo que la adecuada gestión de arbolado y parques urbanos es una solución basada en la naturaleza, que proporciona un entorno verde y saludable p</w:t>
      </w:r>
      <w:r>
        <w:rPr>
          <w:rFonts w:ascii="Arial" w:eastAsia="Lucida Sans Unicode" w:hAnsi="Arial" w:cs="Times New Roman"/>
          <w:i/>
          <w:sz w:val="22"/>
          <w:lang w:bidi="ar-SA"/>
        </w:rPr>
        <w:t xml:space="preserve">ara todos los residentes, en apoyo directo a la consecución de los Objetivos de Desarrollo Sostenible (ODS).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En este contexto, proponemos que el municipio de Candelaria asuma plenamente este desafío global, impulsando de forma decidida un plan integral d</w:t>
      </w:r>
      <w:r>
        <w:rPr>
          <w:rFonts w:ascii="Arial" w:eastAsia="Lucida Sans Unicode" w:hAnsi="Arial" w:cs="Times New Roman"/>
          <w:i/>
          <w:sz w:val="22"/>
          <w:lang w:bidi="ar-SA"/>
        </w:rPr>
        <w:t xml:space="preserve">e Arbolado Urbano y, de manera específica, retomando y priorizando el vital proyecto del Gran Parque de Punta Larga.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Ambas acciones no solo mejorarían el entorno y la calidad de vida, sino que posicionarían a Candelaria como un municipio pionero y comprom</w:t>
      </w:r>
      <w:r>
        <w:rPr>
          <w:rFonts w:ascii="Arial" w:eastAsia="Lucida Sans Unicode" w:hAnsi="Arial" w:cs="Times New Roman"/>
          <w:i/>
          <w:sz w:val="22"/>
          <w:lang w:bidi="ar-SA"/>
        </w:rPr>
        <w:t xml:space="preserve">etido con la visión de la FAO de un municipio más verde y regenerador.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La abundancia de vegetación y arbolado mejora la percepción de los entornos, haciéndolos más amables y confortables. Y no sólo porque el verde contribuye a embellecer el paisaje, sino</w:t>
      </w:r>
      <w:r>
        <w:rPr>
          <w:rFonts w:ascii="Arial" w:eastAsia="Lucida Sans Unicode" w:hAnsi="Arial" w:cs="Times New Roman"/>
          <w:i/>
          <w:sz w:val="22"/>
          <w:lang w:bidi="ar-SA"/>
        </w:rPr>
        <w:t xml:space="preserve"> también porque la población cada vez está más concienciada de los múltiples beneficios que tiene para el entorno y para nuestra salud y bienestar.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En mayo de 2017, hace 8 años, Sí Se Puede, partido que forma parte de esta Coalición de Unidas Sí Podemos, </w:t>
      </w:r>
      <w:r>
        <w:rPr>
          <w:rFonts w:ascii="Arial" w:eastAsia="Lucida Sans Unicode" w:hAnsi="Arial" w:cs="Times New Roman"/>
          <w:i/>
          <w:sz w:val="22"/>
          <w:lang w:bidi="ar-SA"/>
        </w:rPr>
        <w:t>llevó a Pleno una moción para garantizar la ejecución del Parque Urbano de Punta Larga, esta moción fue aprobada.</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En ella se solicitaba: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1. Informe detallado al Secretario Municipal para determinar los procedimientos necesarios que garantizarían la culmi</w:t>
      </w:r>
      <w:r>
        <w:rPr>
          <w:rFonts w:ascii="Arial" w:eastAsia="Lucida Sans Unicode" w:hAnsi="Arial" w:cs="Times New Roman"/>
          <w:i/>
          <w:sz w:val="22"/>
          <w:lang w:bidi="ar-SA"/>
        </w:rPr>
        <w:t xml:space="preserve">nación y correcta recepción de las obras de urbanización de la UA-C04, incluyendo la ejecución del Parque. 2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2. La ejecución inmediata del Parque Urbano de Punta Larga a las empresas constructoras titulares de la Unidad de Actuación, en cumplimiento del </w:t>
      </w:r>
      <w:r>
        <w:rPr>
          <w:rFonts w:ascii="Arial" w:eastAsia="Lucida Sans Unicode" w:hAnsi="Arial" w:cs="Times New Roman"/>
          <w:i/>
          <w:sz w:val="22"/>
          <w:lang w:bidi="ar-SA"/>
        </w:rPr>
        <w:t>Plan General. 3. Exigir las responsabilidades de toda índole que pudieran derivarse de la gestión municipal realizada en el desarrollo y ejecución de la UA-C04.</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En 2020 se llevó por parte de Sí se puede otra moción sobre el Parque Urbano de Punta Larga.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w:t>
      </w:r>
      <w:r>
        <w:rPr>
          <w:rFonts w:ascii="Arial" w:eastAsia="Lucida Sans Unicode" w:hAnsi="Arial" w:cs="Times New Roman"/>
          <w:i/>
          <w:sz w:val="22"/>
          <w:lang w:bidi="ar-SA"/>
        </w:rPr>
        <w:t xml:space="preserve">stamos en 2025 y Candelaria carece aún de un Parque Urbano de medianas o grandes dimensiones, parque que debía haberse gestado allá por el 2008, cuando se emitió Informe relativo al cumplimiento de las obligaciones urbanísticas (4/07/2008) en el ámbito de </w:t>
      </w:r>
      <w:r>
        <w:rPr>
          <w:rFonts w:ascii="Arial" w:eastAsia="Lucida Sans Unicode" w:hAnsi="Arial" w:cs="Times New Roman"/>
          <w:i/>
          <w:sz w:val="22"/>
          <w:lang w:bidi="ar-SA"/>
        </w:rPr>
        <w:t xml:space="preserve">la ASU 1- B Punta Larga de las Normas Subsidiarias del Planeamiento y de la Unidad de Actuación CO-04 Punta Larga del Plan General de Ordenación del municipio de Candelaria.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El Gran Parque de Punta Larga no es solo una dotación urbana pendiente, sino un </w:t>
      </w:r>
      <w:r>
        <w:rPr>
          <w:rFonts w:ascii="Arial" w:eastAsia="Lucida Sans Unicode" w:hAnsi="Arial" w:cs="Times New Roman"/>
          <w:i/>
          <w:sz w:val="22"/>
          <w:lang w:bidi="ar-SA"/>
        </w:rPr>
        <w:t>imperativo cívico que ha trascendido las barreras ideológicas. Su ejecución ha figurado consistentemente como una aspiración transversal en los programas electorales de las principales fuerzas políticas del municipio y constituye una demanda histórica y un</w:t>
      </w:r>
      <w:r>
        <w:rPr>
          <w:rFonts w:ascii="Arial" w:eastAsia="Lucida Sans Unicode" w:hAnsi="Arial" w:cs="Times New Roman"/>
          <w:i/>
          <w:sz w:val="22"/>
          <w:lang w:bidi="ar-SA"/>
        </w:rPr>
        <w:t xml:space="preserve">ánime de nuestra ciudadanía. Estamos, pues, ante un proyecto de máxima relevancia social cuyo cumplimiento es esencial para el bienestar colectivo.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Al mismo tiempo la necesidad de un cambio de paradigma en la planificación urbana nos lleva a adoptar la vi</w:t>
      </w:r>
      <w:r>
        <w:rPr>
          <w:rFonts w:ascii="Arial" w:eastAsia="Lucida Sans Unicode" w:hAnsi="Arial" w:cs="Times New Roman"/>
          <w:i/>
          <w:sz w:val="22"/>
          <w:lang w:bidi="ar-SA"/>
        </w:rPr>
        <w:t xml:space="preserve">sión global de la Iniciativa Ciudades Verdes (ICV) de la FAO, que prioriza el medio ambiente, la salud y la resiliencia climática. Para materializar este compromiso en Candelaria, es crucial dejar atrás la inercia y establecer una hoja de ruta ambiciosa y </w:t>
      </w:r>
      <w:r>
        <w:rPr>
          <w:rFonts w:ascii="Arial" w:eastAsia="Lucida Sans Unicode" w:hAnsi="Arial" w:cs="Times New Roman"/>
          <w:i/>
          <w:sz w:val="22"/>
          <w:lang w:bidi="ar-SA"/>
        </w:rPr>
        <w:t xml:space="preserve">técnica. El futuro de nuestro municipio pasa por la aprobación inmediata de un Plan Estratégico de Arbolado Urbano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Estamos, pues, ante el momento crucial de saldar una promesa pendiente y, al mismo tiempo, sembrar las bases de un municipio más verde, res</w:t>
      </w:r>
      <w:r>
        <w:rPr>
          <w:rFonts w:ascii="Arial" w:eastAsia="Lucida Sans Unicode" w:hAnsi="Arial" w:cs="Times New Roman"/>
          <w:i/>
          <w:sz w:val="22"/>
          <w:lang w:bidi="ar-SA"/>
        </w:rPr>
        <w:t xml:space="preserve">iliente y saludable para las futuras generaciones.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Por ello, proponemos al Pleno de la Corporación la adopción de los siguientes,</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ind w:left="2836" w:firstLine="709"/>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ACUERDOS: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1. Aprobación y Desarrollo de un Plan Estratégico de Arbolado Urbano: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a) Aprobar el inicio de los trámites para</w:t>
      </w:r>
      <w:r>
        <w:rPr>
          <w:rFonts w:ascii="Arial" w:eastAsia="Lucida Sans Unicode" w:hAnsi="Arial" w:cs="Times New Roman"/>
          <w:i/>
          <w:sz w:val="22"/>
          <w:lang w:bidi="ar-SA"/>
        </w:rPr>
        <w:t xml:space="preserve"> la elaboración de un Plan Estratégico Municipal de Arbolado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Urbano que regule la gestión, el mantenimiento, la ampliación y la protección del patrimonio arbóreo del municipio.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b) Dotar una partida presupuestaria específica en el siguiente ejercicio eco</w:t>
      </w:r>
      <w:r>
        <w:rPr>
          <w:rFonts w:ascii="Arial" w:eastAsia="Lucida Sans Unicode" w:hAnsi="Arial" w:cs="Times New Roman"/>
          <w:i/>
          <w:sz w:val="22"/>
          <w:lang w:bidi="ar-SA"/>
        </w:rPr>
        <w:t xml:space="preserve">nómico para la ejecución de la primera fase del Plan de Arbolado.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2. Retomar el impulso y la ejecución prioritaria del Gran Parque Urbano de Punta Larga</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a) Declarar el proyecto del Gran Parque Urbano de Punta Larga como una actuación de interés público </w:t>
      </w:r>
      <w:r>
        <w:rPr>
          <w:rFonts w:ascii="Arial" w:eastAsia="Lucida Sans Unicode" w:hAnsi="Arial" w:cs="Times New Roman"/>
          <w:i/>
          <w:sz w:val="22"/>
          <w:lang w:bidi="ar-SA"/>
        </w:rPr>
        <w:t xml:space="preserve">prioritario, dada su naturaleza de dotación esencial y su impacto en la calidad de vida de los ciudadanos de Candelaria. </w:t>
      </w: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b) Establecer un plazo máximo de doce (12) meses a partir de la aprobación de esta moción para que el Gobierno Municipal, a través de </w:t>
      </w:r>
      <w:r>
        <w:rPr>
          <w:rFonts w:ascii="Arial" w:eastAsia="Lucida Sans Unicode" w:hAnsi="Arial" w:cs="Times New Roman"/>
          <w:i/>
          <w:sz w:val="22"/>
          <w:lang w:bidi="ar-SA"/>
        </w:rPr>
        <w:t xml:space="preserve">la Concejalía de Urbanismo y los Servicios Jurídicos, actualice y ejecute la hoja de ruta legal y administrativa necesaria para la ejecución del Parque Urbano de Punta Larga </w:t>
      </w:r>
    </w:p>
    <w:p w:rsidR="00061CF1" w:rsidRDefault="00061CF1">
      <w:pPr>
        <w:spacing w:after="120"/>
        <w:jc w:val="both"/>
        <w:textAlignment w:val="auto"/>
        <w:rPr>
          <w:rFonts w:ascii="Arial" w:eastAsia="Lucida Sans Unicode" w:hAnsi="Arial" w:cs="Times New Roman"/>
          <w:i/>
          <w:sz w:val="22"/>
          <w:lang w:bidi="ar-SA"/>
        </w:rPr>
      </w:pPr>
    </w:p>
    <w:p w:rsidR="00061CF1" w:rsidRDefault="004E6D5A">
      <w:pPr>
        <w:spacing w:after="120"/>
        <w:jc w:val="both"/>
        <w:textAlignment w:val="auto"/>
        <w:rPr>
          <w:rFonts w:ascii="Arial" w:eastAsia="Lucida Sans Unicode" w:hAnsi="Arial" w:cs="Times New Roman"/>
          <w:i/>
          <w:sz w:val="22"/>
          <w:lang w:bidi="ar-SA"/>
        </w:rPr>
      </w:pPr>
      <w:r>
        <w:rPr>
          <w:rFonts w:ascii="Arial" w:eastAsia="Lucida Sans Unicode" w:hAnsi="Arial" w:cs="Times New Roman"/>
          <w:i/>
          <w:sz w:val="22"/>
          <w:lang w:bidi="ar-SA"/>
        </w:rPr>
        <w:t xml:space="preserve">3. Transparencia y Seguimiento. Crear una Mesa de Seguimiento Municipal para el </w:t>
      </w:r>
      <w:r>
        <w:rPr>
          <w:rFonts w:ascii="Arial" w:eastAsia="Lucida Sans Unicode" w:hAnsi="Arial" w:cs="Times New Roman"/>
          <w:i/>
          <w:sz w:val="22"/>
          <w:lang w:bidi="ar-SA"/>
        </w:rPr>
        <w:t>Plan de Arbolado y el Parque de Punta Larga, integrada por técnicos, representantes políticos y representantes vecinales, con el fin de informar periódicamente al Pleno y a la ciudadanía sobre el avance de los acuerdos y la ejecución de los proyectos.</w:t>
      </w:r>
    </w:p>
    <w:p w:rsidR="00061CF1" w:rsidRDefault="004E6D5A">
      <w:pPr>
        <w:spacing w:after="120"/>
        <w:jc w:val="both"/>
        <w:textAlignment w:val="auto"/>
      </w:pPr>
      <w:r>
        <w:rPr>
          <w:rFonts w:ascii="Arial" w:eastAsia="Lucida Sans Unicode" w:hAnsi="Arial" w:cs="Times New Roman"/>
          <w:i/>
          <w:sz w:val="22"/>
          <w:szCs w:val="22"/>
          <w:lang w:bidi="ar-SA"/>
        </w:rPr>
        <w:t>Firm</w:t>
      </w:r>
      <w:r>
        <w:rPr>
          <w:rFonts w:ascii="Arial" w:eastAsia="Lucida Sans Unicode" w:hAnsi="Arial" w:cs="Times New Roman"/>
          <w:i/>
          <w:sz w:val="22"/>
          <w:szCs w:val="22"/>
          <w:lang w:bidi="ar-SA"/>
        </w:rPr>
        <w:t>ado: Violeta López Jiménez</w:t>
      </w:r>
    </w:p>
    <w:p w:rsidR="00061CF1" w:rsidRDefault="00061CF1">
      <w:pPr>
        <w:spacing w:after="120"/>
        <w:jc w:val="both"/>
        <w:textAlignment w:val="auto"/>
        <w:rPr>
          <w:rFonts w:ascii="Arial" w:eastAsia="Lucida Sans Unicode" w:hAnsi="Arial" w:cs="Arial"/>
          <w:b/>
          <w:i/>
          <w:color w:val="000000"/>
          <w:shd w:val="clear" w:color="auto" w:fill="F5F7F9"/>
          <w:lang w:bidi="ar-SA"/>
        </w:rPr>
      </w:pPr>
    </w:p>
    <w:p w:rsidR="00061CF1" w:rsidRDefault="00061CF1">
      <w:pPr>
        <w:jc w:val="both"/>
        <w:textAlignment w:val="auto"/>
        <w:rPr>
          <w:rFonts w:ascii="Arial" w:eastAsia="Lucida Sans Unicode" w:hAnsi="Arial" w:cs="Arial"/>
          <w:b/>
          <w:color w:val="000000"/>
          <w:sz w:val="22"/>
          <w:szCs w:val="22"/>
          <w:lang w:bidi="ar-SA"/>
        </w:rPr>
      </w:pPr>
    </w:p>
    <w:p w:rsidR="00061CF1" w:rsidRDefault="00061CF1">
      <w:pPr>
        <w:jc w:val="both"/>
        <w:textAlignment w:val="auto"/>
        <w:rPr>
          <w:rFonts w:ascii="Arial" w:eastAsia="Lucida Sans Unicode" w:hAnsi="Arial" w:cs="Arial"/>
          <w:b/>
          <w:color w:val="000000"/>
          <w:sz w:val="22"/>
          <w:szCs w:val="22"/>
          <w:lang w:bidi="ar-SA"/>
        </w:rPr>
      </w:pPr>
    </w:p>
    <w:p w:rsidR="00061CF1" w:rsidRDefault="00061CF1">
      <w:pPr>
        <w:jc w:val="both"/>
        <w:textAlignment w:val="auto"/>
        <w:rPr>
          <w:rFonts w:ascii="Arial" w:eastAsia="Lucida Sans Unicode" w:hAnsi="Arial" w:cs="Arial"/>
          <w:b/>
          <w:color w:val="000000"/>
          <w:sz w:val="22"/>
          <w:szCs w:val="22"/>
          <w:lang w:bidi="ar-SA"/>
        </w:rPr>
      </w:pPr>
    </w:p>
    <w:p w:rsidR="00061CF1" w:rsidRDefault="00061CF1">
      <w:pPr>
        <w:jc w:val="both"/>
        <w:textAlignment w:val="auto"/>
        <w:rPr>
          <w:rFonts w:ascii="Arial" w:eastAsia="Lucida Sans Unicode" w:hAnsi="Arial" w:cs="Arial"/>
          <w:b/>
          <w:color w:val="000000"/>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DICTAMEN FAVORABLE DE LA COMISIÓN INFORMATIVA DE URBANISMO APLAZADA AL 28 DE OCTUBRE DE 2025 POR EL FALLO INFORMÁTICO EL LUNES 27 DE OCTUBRE, DEL SISTEMA “CLAVE” DE ACCESO A LA SEDE ELECTRÓNICA Y DE ESTA FORMA QUEDÓ </w:t>
      </w:r>
      <w:r>
        <w:rPr>
          <w:rFonts w:ascii="Arial" w:eastAsia="Lucida Sans Unicode" w:hAnsi="Arial" w:cs="Arial"/>
          <w:b/>
          <w:sz w:val="22"/>
          <w:szCs w:val="22"/>
          <w:lang w:bidi="ar-SA"/>
        </w:rPr>
        <w:t>SUBSANADA LA COMISIÓN CON SU CELEBRACIÓN EL 28 DE OCTUBRE.</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 de la concejal del Grupo Mixto, Doña Violeta López Jiménez.</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0.</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4.</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Los 4 concejales del Grupo Socialista:</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Don Airam Pérez Chinea, Don José </w:t>
      </w:r>
      <w:r>
        <w:rPr>
          <w:rFonts w:ascii="Arial" w:eastAsia="Lucida Sans Unicode" w:hAnsi="Arial" w:cs="Arial"/>
          <w:sz w:val="22"/>
          <w:szCs w:val="22"/>
          <w:lang w:bidi="ar-SA"/>
        </w:rPr>
        <w:t>Francisco Pinto Ramos, Don Reinaldo José Triviño Blanco y Don Jorge Baute Delgado</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JUNTA DE PORTAVOCES PREVISTA PARA EL DÍA 27 DE OCTUBRE Y QUE FUE APLAZADA AL 28 DE OCTUBRE DE 2025 POR LAS RAZONES EXPUESTAS ANTERIORMENTE.</w:t>
      </w:r>
    </w:p>
    <w:p w:rsidR="00061CF1" w:rsidRDefault="004E6D5A">
      <w:pPr>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Quedó oída. </w:t>
      </w: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061CF1">
      <w:pPr>
        <w:textAlignment w:val="auto"/>
        <w:rPr>
          <w:rFonts w:ascii="Arial" w:eastAsia="Lucida Sans Unicode" w:hAnsi="Arial" w:cs="Arial"/>
          <w:b/>
          <w:sz w:val="22"/>
          <w:szCs w:val="22"/>
          <w:lang w:bidi="ar-SA"/>
        </w:rPr>
      </w:pPr>
    </w:p>
    <w:p w:rsidR="00061CF1" w:rsidRDefault="004E6D5A">
      <w:pPr>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VOTACIÓN EN E</w:t>
      </w:r>
      <w:r>
        <w:rPr>
          <w:rFonts w:ascii="Arial" w:eastAsia="Lucida Sans Unicode" w:hAnsi="Arial" w:cs="Arial"/>
          <w:b/>
          <w:sz w:val="22"/>
          <w:szCs w:val="22"/>
          <w:lang w:bidi="ar-SA"/>
        </w:rPr>
        <w:t>L PLENO DE 31 DE OCTUBRE DE 2025.</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a favor: 6.</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5 concejales del Grupo Popular: Don Jacobo López Fariña, Doña Raquel Martín Castro, Don Miguel Eduardo Hernández Chitty Don José Daniel Sosa González, y Doña Shaila Castellano Batista.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1 de la </w:t>
      </w:r>
      <w:r>
        <w:rPr>
          <w:rFonts w:ascii="Arial" w:eastAsia="Lucida Sans Unicode" w:hAnsi="Arial" w:cs="Arial"/>
          <w:sz w:val="22"/>
          <w:szCs w:val="22"/>
          <w:lang w:bidi="ar-SA"/>
        </w:rPr>
        <w:t>concejal del Grupo Mixto (USP): Doña Violeta López Jiménez.</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Votos en contra: 11.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11 concejales del Grupo Socialista: Doña María Concepción Brito Núñez, Don Jorge Baute Delgado, Don José Francisco Pinto Ramos, Doña Olivia Concepción Pérez Díaz, Don Reinal</w:t>
      </w:r>
      <w:r>
        <w:rPr>
          <w:rFonts w:ascii="Arial" w:eastAsia="Lucida Sans Unicode" w:hAnsi="Arial" w:cs="Arial"/>
          <w:sz w:val="22"/>
          <w:szCs w:val="22"/>
          <w:lang w:bidi="ar-SA"/>
        </w:rPr>
        <w:t xml:space="preserve">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 xml:space="preserve">José Triviño Blanco, Don Manuel Alberto González Pestano, Doña Margarita Eva Tendero Barroso, Don Airam Pérez Chinea, Doña María del Carmen Clemente Díaz, Don Olegario Francisco Alonso Bello, Doña Mónica Monserrat Yanes Delgado. </w:t>
      </w: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Abstenciones: 1.</w:t>
      </w:r>
    </w:p>
    <w:p w:rsidR="00061CF1" w:rsidRDefault="004E6D5A">
      <w:pPr>
        <w:jc w:val="both"/>
        <w:textAlignment w:val="auto"/>
        <w:rPr>
          <w:rFonts w:ascii="Arial" w:eastAsia="Lucida Sans Unicode" w:hAnsi="Arial" w:cs="Arial"/>
          <w:sz w:val="22"/>
          <w:szCs w:val="22"/>
          <w:lang w:bidi="ar-SA"/>
        </w:rPr>
      </w:pPr>
      <w:r>
        <w:rPr>
          <w:rFonts w:ascii="Arial" w:eastAsia="Lucida Sans Unicode" w:hAnsi="Arial" w:cs="Arial"/>
          <w:sz w:val="22"/>
          <w:szCs w:val="22"/>
          <w:lang w:bidi="ar-SA"/>
        </w:rPr>
        <w:t>1 d</w:t>
      </w:r>
      <w:r>
        <w:rPr>
          <w:rFonts w:ascii="Arial" w:eastAsia="Lucida Sans Unicode" w:hAnsi="Arial" w:cs="Arial"/>
          <w:sz w:val="22"/>
          <w:szCs w:val="22"/>
          <w:lang w:bidi="ar-SA"/>
        </w:rPr>
        <w:t>el concejal del Grupo Mixto (Vox), Don José Tortosa Pallarés.</w:t>
      </w: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061CF1">
      <w:pPr>
        <w:jc w:val="both"/>
        <w:textAlignment w:val="auto"/>
        <w:rPr>
          <w:rFonts w:ascii="Arial" w:eastAsia="Lucida Sans Unicode" w:hAnsi="Arial" w:cs="Arial"/>
          <w:sz w:val="22"/>
          <w:szCs w:val="22"/>
          <w:lang w:bidi="ar-SA"/>
        </w:rPr>
      </w:pPr>
    </w:p>
    <w:p w:rsidR="00061CF1" w:rsidRDefault="004E6D5A">
      <w:pPr>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 xml:space="preserve">                       ACUERDO DEL PLENO DE 31 DE OCTUBRE DE 2025.</w:t>
      </w:r>
    </w:p>
    <w:p w:rsidR="00061CF1" w:rsidRDefault="004E6D5A">
      <w:pPr>
        <w:spacing w:after="120"/>
        <w:ind w:firstLine="709"/>
        <w:jc w:val="both"/>
        <w:textAlignment w:val="auto"/>
      </w:pPr>
      <w:r>
        <w:rPr>
          <w:rFonts w:ascii="Arial" w:eastAsia="Lucida Sans Unicode" w:hAnsi="Arial" w:cs="Arial"/>
          <w:b/>
          <w:sz w:val="22"/>
          <w:szCs w:val="22"/>
          <w:lang w:bidi="ar-SA"/>
        </w:rPr>
        <w:t xml:space="preserve">Desestimar la </w:t>
      </w:r>
      <w:r>
        <w:rPr>
          <w:rFonts w:ascii="Arial" w:eastAsia="Lucida Sans Unicode" w:hAnsi="Arial" w:cs="Arial"/>
          <w:b/>
          <w:color w:val="000000"/>
          <w:sz w:val="22"/>
          <w:szCs w:val="22"/>
          <w:shd w:val="clear" w:color="auto" w:fill="F5F7F9"/>
          <w:lang w:bidi="ar-SA"/>
        </w:rPr>
        <w:t>moción del Grupo Mixto (USP) para aprobar el inicio de los trámites para la elaboración de un Plan Estratégi</w:t>
      </w:r>
      <w:r>
        <w:rPr>
          <w:rFonts w:ascii="Arial" w:eastAsia="Lucida Sans Unicode" w:hAnsi="Arial" w:cs="Arial"/>
          <w:b/>
          <w:color w:val="000000"/>
          <w:sz w:val="22"/>
          <w:szCs w:val="22"/>
          <w:shd w:val="clear" w:color="auto" w:fill="F5F7F9"/>
          <w:lang w:bidi="ar-SA"/>
        </w:rPr>
        <w:t>co Municipal de Arbolado Urbano y declarar el proyecto del Gran Parque Urbano de Punta Larga como una actuación de interés público prioritario.</w:t>
      </w:r>
    </w:p>
    <w:p w:rsidR="00061CF1" w:rsidRDefault="00061CF1">
      <w:pPr>
        <w:jc w:val="both"/>
        <w:textAlignment w:val="auto"/>
        <w:rPr>
          <w:rFonts w:ascii="Arial" w:eastAsia="Lucida Sans Unicode" w:hAnsi="Arial" w:cs="Arial"/>
          <w:b/>
          <w:sz w:val="22"/>
          <w:szCs w:val="22"/>
          <w:lang w:bidi="ar-SA"/>
        </w:rPr>
      </w:pPr>
    </w:p>
    <w:p w:rsidR="00061CF1" w:rsidRDefault="00061CF1">
      <w:pPr>
        <w:ind w:firstLine="709"/>
        <w:jc w:val="both"/>
        <w:textAlignment w:val="auto"/>
        <w:rPr>
          <w:rFonts w:ascii="Arial" w:eastAsia="Lucida Sans Unicode" w:hAnsi="Arial" w:cs="Arial"/>
          <w:b/>
          <w:sz w:val="22"/>
          <w:szCs w:val="22"/>
          <w:lang w:bidi="ar-SA"/>
        </w:rPr>
      </w:pP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11.- URGENCIAS.</w:t>
      </w:r>
    </w:p>
    <w:p w:rsidR="00061CF1" w:rsidRDefault="004E6D5A">
      <w:pPr>
        <w:ind w:firstLine="709"/>
        <w:jc w:val="both"/>
        <w:textAlignment w:val="auto"/>
        <w:rPr>
          <w:rFonts w:ascii="Arial" w:eastAsia="Lucida Sans Unicode" w:hAnsi="Arial" w:cs="Arial"/>
          <w:b/>
          <w:sz w:val="22"/>
          <w:szCs w:val="22"/>
          <w:lang w:bidi="ar-SA"/>
        </w:rPr>
      </w:pPr>
      <w:r>
        <w:rPr>
          <w:rFonts w:ascii="Arial" w:eastAsia="Lucida Sans Unicode" w:hAnsi="Arial" w:cs="Arial"/>
          <w:b/>
          <w:sz w:val="22"/>
          <w:szCs w:val="22"/>
          <w:lang w:bidi="ar-SA"/>
        </w:rPr>
        <w:t>No hubo.</w:t>
      </w:r>
    </w:p>
    <w:p w:rsidR="00061CF1" w:rsidRDefault="00061CF1">
      <w:pPr>
        <w:pStyle w:val="Standard"/>
        <w:jc w:val="both"/>
        <w:rPr>
          <w:rFonts w:ascii="Arial" w:hAnsi="Arial" w:cs="Arial"/>
        </w:rPr>
      </w:pPr>
    </w:p>
    <w:p w:rsidR="00061CF1" w:rsidRDefault="00061CF1">
      <w:pPr>
        <w:pStyle w:val="Standard"/>
        <w:jc w:val="both"/>
        <w:rPr>
          <w:rFonts w:ascii="Arial" w:hAnsi="Arial" w:cs="Arial"/>
        </w:rPr>
      </w:pPr>
    </w:p>
    <w:p w:rsidR="00061CF1" w:rsidRDefault="00061CF1">
      <w:pPr>
        <w:pStyle w:val="Standard"/>
        <w:jc w:val="both"/>
        <w:rPr>
          <w:rFonts w:ascii="Arial" w:hAnsi="Arial" w:cs="Arial"/>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061CF1">
      <w:pPr>
        <w:widowControl/>
        <w:suppressAutoHyphens w:val="0"/>
        <w:autoSpaceDE w:val="0"/>
        <w:ind w:left="708"/>
        <w:textAlignment w:val="auto"/>
        <w:rPr>
          <w:rFonts w:ascii="Arial" w:hAnsi="Arial" w:cs="Arial"/>
          <w:b/>
          <w:bCs/>
          <w:color w:val="000000"/>
          <w:kern w:val="0"/>
          <w:lang w:bidi="ar-SA"/>
        </w:rPr>
      </w:pPr>
    </w:p>
    <w:p w:rsidR="00061CF1" w:rsidRDefault="004E6D5A">
      <w:pPr>
        <w:widowControl/>
        <w:suppressAutoHyphens w:val="0"/>
        <w:autoSpaceDE w:val="0"/>
        <w:ind w:left="708"/>
        <w:textAlignment w:val="auto"/>
        <w:rPr>
          <w:rFonts w:ascii="Arial" w:hAnsi="Arial" w:cs="Arial"/>
          <w:b/>
          <w:bCs/>
          <w:color w:val="000000"/>
          <w:kern w:val="0"/>
          <w:lang w:bidi="ar-SA"/>
        </w:rPr>
      </w:pPr>
      <w:r>
        <w:rPr>
          <w:rFonts w:ascii="Arial" w:hAnsi="Arial" w:cs="Arial"/>
          <w:b/>
          <w:bCs/>
          <w:color w:val="000000"/>
          <w:kern w:val="0"/>
          <w:lang w:bidi="ar-SA"/>
        </w:rPr>
        <w:t>B) ACTIVIDADES DE CONTROL.</w:t>
      </w:r>
    </w:p>
    <w:p w:rsidR="00061CF1" w:rsidRDefault="00061CF1">
      <w:pPr>
        <w:widowControl/>
        <w:suppressAutoHyphens w:val="0"/>
        <w:autoSpaceDE w:val="0"/>
        <w:textAlignment w:val="auto"/>
        <w:rPr>
          <w:rFonts w:ascii="Arial" w:hAnsi="Arial" w:cs="Arial"/>
          <w:b/>
          <w:bCs/>
          <w:color w:val="000000"/>
          <w:kern w:val="0"/>
          <w:lang w:bidi="ar-SA"/>
        </w:rPr>
      </w:pPr>
    </w:p>
    <w:p w:rsidR="00061CF1" w:rsidRDefault="004E6D5A">
      <w:pPr>
        <w:ind w:right="67"/>
        <w:jc w:val="both"/>
      </w:pPr>
      <w:r>
        <w:rPr>
          <w:rFonts w:ascii="Arial" w:hAnsi="Arial" w:cs="Arial"/>
          <w:b/>
          <w:bCs/>
          <w:color w:val="000000"/>
          <w:kern w:val="0"/>
          <w:lang w:bidi="ar-SA"/>
        </w:rPr>
        <w:t xml:space="preserve">  </w:t>
      </w:r>
      <w:r>
        <w:rPr>
          <w:rFonts w:ascii="Arial" w:hAnsi="Arial" w:cs="Arial"/>
          <w:b/>
          <w:bCs/>
          <w:iCs/>
        </w:rPr>
        <w:t xml:space="preserve">12.- Dación de Cuenta de los Decretos de </w:t>
      </w:r>
      <w:r>
        <w:rPr>
          <w:rFonts w:ascii="Arial" w:hAnsi="Arial" w:cs="Arial"/>
          <w:b/>
          <w:bCs/>
          <w:iCs/>
        </w:rPr>
        <w:t>la Alcaldía-Presidencia y de los Concejales delegados.</w:t>
      </w:r>
    </w:p>
    <w:p w:rsidR="00061CF1" w:rsidRDefault="00061CF1">
      <w:pPr>
        <w:ind w:right="67"/>
        <w:jc w:val="both"/>
        <w:rPr>
          <w:rFonts w:ascii="Arial" w:hAnsi="Arial" w:cs="Arial"/>
          <w:b/>
        </w:rPr>
      </w:pPr>
    </w:p>
    <w:p w:rsidR="00061CF1" w:rsidRDefault="004E6D5A">
      <w:pPr>
        <w:ind w:right="67"/>
        <w:jc w:val="both"/>
      </w:pPr>
      <w:r>
        <w:rPr>
          <w:rFonts w:ascii="Arial" w:hAnsi="Arial" w:cs="Arial"/>
          <w:sz w:val="22"/>
          <w:szCs w:val="22"/>
        </w:rPr>
        <w:t>El Secretario da traslado del CD con los Decretos desde la última sesión ordinaria a cada uno de los portavoces de los Grupos Municipales y a la Alcaldía-Presidencia durante el transcurso de la sesión</w:t>
      </w:r>
      <w:r>
        <w:rPr>
          <w:rFonts w:ascii="Arial" w:hAnsi="Arial" w:cs="Arial"/>
          <w:sz w:val="22"/>
          <w:szCs w:val="22"/>
        </w:rPr>
        <w:t xml:space="preserve"> plenaria.</w:t>
      </w:r>
    </w:p>
    <w:p w:rsidR="00061CF1" w:rsidRDefault="00061CF1">
      <w:pPr>
        <w:ind w:right="67"/>
        <w:jc w:val="both"/>
        <w:rPr>
          <w:rFonts w:ascii="Arial" w:hAnsi="Arial" w:cs="Arial"/>
          <w:b/>
          <w:bCs/>
          <w:iCs/>
        </w:rPr>
      </w:pPr>
    </w:p>
    <w:p w:rsidR="00061CF1" w:rsidRDefault="00061CF1">
      <w:pPr>
        <w:ind w:right="67"/>
        <w:jc w:val="both"/>
        <w:rPr>
          <w:rFonts w:ascii="Arial" w:hAnsi="Arial" w:cs="Arial"/>
          <w:b/>
          <w:bCs/>
          <w:iCs/>
        </w:rPr>
      </w:pPr>
    </w:p>
    <w:p w:rsidR="00061CF1" w:rsidRDefault="004E6D5A">
      <w:pPr>
        <w:ind w:right="67"/>
        <w:jc w:val="both"/>
      </w:pPr>
      <w:r>
        <w:rPr>
          <w:rFonts w:ascii="Arial" w:hAnsi="Arial" w:cs="Arial"/>
          <w:b/>
          <w:bCs/>
          <w:iCs/>
        </w:rPr>
        <w:t xml:space="preserve"> 13.- </w:t>
      </w:r>
      <w:r>
        <w:rPr>
          <w:rFonts w:ascii="Arial" w:hAnsi="Arial" w:cs="Arial"/>
          <w:b/>
          <w:color w:val="000000"/>
          <w:shd w:val="clear" w:color="auto" w:fill="FFFFFF"/>
        </w:rPr>
        <w:t xml:space="preserve">Informe del Interventor en su caso de las </w:t>
      </w:r>
      <w:r>
        <w:rPr>
          <w:rFonts w:ascii="Arial" w:hAnsi="Arial" w:cs="Arial"/>
          <w:b/>
          <w:shd w:val="clear" w:color="auto" w:fill="FFFFFF"/>
        </w:rPr>
        <w:t xml:space="preserve">resoluciones </w:t>
      </w:r>
      <w:r>
        <w:rPr>
          <w:rFonts w:ascii="Arial" w:hAnsi="Arial" w:cs="Arial"/>
          <w:b/>
          <w:shd w:val="clear" w:color="auto" w:fill="F5F7F9"/>
        </w:rPr>
        <w:t>contrarias a los reparos efectuados conforme lo dispuesto en la Ley 27/2013 de racionalización y sostenibilidad de la Administración local.</w:t>
      </w:r>
    </w:p>
    <w:p w:rsidR="00061CF1" w:rsidRDefault="00061CF1">
      <w:pPr>
        <w:ind w:right="67"/>
        <w:jc w:val="both"/>
        <w:rPr>
          <w:rFonts w:ascii="Arial" w:hAnsi="Arial" w:cs="Arial"/>
          <w:b/>
          <w:shd w:val="clear" w:color="auto" w:fill="F5F7F9"/>
        </w:rPr>
      </w:pPr>
    </w:p>
    <w:p w:rsidR="00061CF1" w:rsidRDefault="004E6D5A">
      <w:pPr>
        <w:ind w:right="67"/>
        <w:jc w:val="both"/>
      </w:pPr>
      <w:r>
        <w:rPr>
          <w:rFonts w:ascii="Arial" w:hAnsi="Arial" w:cs="Arial"/>
          <w:shd w:val="clear" w:color="auto" w:fill="F5F7F9"/>
        </w:rPr>
        <w:t>No hay.</w:t>
      </w:r>
    </w:p>
    <w:p w:rsidR="00061CF1" w:rsidRDefault="00061CF1">
      <w:pPr>
        <w:widowControl/>
        <w:suppressAutoHyphens w:val="0"/>
        <w:autoSpaceDE w:val="0"/>
        <w:textAlignment w:val="auto"/>
        <w:rPr>
          <w:rFonts w:ascii="Arial" w:hAnsi="Arial" w:cs="Arial"/>
          <w:b/>
          <w:bCs/>
          <w:color w:val="000000"/>
          <w:kern w:val="0"/>
          <w:lang w:bidi="ar-SA"/>
        </w:rPr>
      </w:pPr>
    </w:p>
    <w:p w:rsidR="00061CF1" w:rsidRDefault="004E6D5A">
      <w:pPr>
        <w:widowControl/>
        <w:suppressAutoHyphens w:val="0"/>
        <w:autoSpaceDE w:val="0"/>
        <w:textAlignment w:val="auto"/>
        <w:rPr>
          <w:rFonts w:ascii="Arial" w:hAnsi="Arial" w:cs="Arial"/>
          <w:b/>
          <w:bCs/>
          <w:color w:val="000000"/>
          <w:kern w:val="0"/>
          <w:lang w:bidi="ar-SA"/>
        </w:rPr>
      </w:pPr>
      <w:r>
        <w:rPr>
          <w:rFonts w:ascii="Arial" w:hAnsi="Arial" w:cs="Arial"/>
          <w:b/>
          <w:bCs/>
          <w:color w:val="000000"/>
          <w:kern w:val="0"/>
          <w:lang w:bidi="ar-SA"/>
        </w:rPr>
        <w:t xml:space="preserve">        </w:t>
      </w:r>
    </w:p>
    <w:p w:rsidR="00061CF1" w:rsidRDefault="004E6D5A">
      <w:pPr>
        <w:widowControl/>
        <w:suppressAutoHyphens w:val="0"/>
        <w:autoSpaceDE w:val="0"/>
        <w:textAlignment w:val="auto"/>
        <w:rPr>
          <w:rFonts w:ascii="Arial" w:hAnsi="Arial" w:cs="Arial"/>
          <w:b/>
          <w:bCs/>
          <w:color w:val="000000"/>
          <w:kern w:val="0"/>
          <w:lang w:bidi="ar-SA"/>
        </w:rPr>
      </w:pPr>
      <w:r>
        <w:rPr>
          <w:rFonts w:ascii="Arial" w:hAnsi="Arial" w:cs="Arial"/>
          <w:b/>
          <w:bCs/>
          <w:color w:val="000000"/>
          <w:kern w:val="0"/>
          <w:lang w:bidi="ar-SA"/>
        </w:rPr>
        <w:t xml:space="preserve">          C) RUEGOS Y </w:t>
      </w:r>
      <w:r>
        <w:rPr>
          <w:rFonts w:ascii="Arial" w:hAnsi="Arial" w:cs="Arial"/>
          <w:b/>
          <w:bCs/>
          <w:color w:val="000000"/>
          <w:kern w:val="0"/>
          <w:lang w:bidi="ar-SA"/>
        </w:rPr>
        <w:t>PREGUNTAS.</w:t>
      </w:r>
    </w:p>
    <w:p w:rsidR="00061CF1" w:rsidRDefault="004E6D5A">
      <w:pPr>
        <w:pStyle w:val="Standard"/>
        <w:jc w:val="both"/>
        <w:rPr>
          <w:rFonts w:ascii="Arial" w:hAnsi="Arial" w:cs="Arial"/>
          <w:b/>
          <w:bCs/>
          <w:color w:val="000000"/>
          <w:kern w:val="0"/>
        </w:rPr>
      </w:pPr>
      <w:r>
        <w:rPr>
          <w:rFonts w:ascii="Arial" w:hAnsi="Arial" w:cs="Arial"/>
          <w:b/>
          <w:bCs/>
          <w:color w:val="000000"/>
          <w:kern w:val="0"/>
        </w:rPr>
        <w:t xml:space="preserve"> </w:t>
      </w:r>
    </w:p>
    <w:p w:rsidR="00061CF1" w:rsidRDefault="004E6D5A">
      <w:pPr>
        <w:pStyle w:val="Standard"/>
        <w:jc w:val="both"/>
      </w:pPr>
      <w:r>
        <w:rPr>
          <w:rFonts w:ascii="Arial" w:hAnsi="Arial" w:cs="Arial"/>
          <w:b/>
          <w:bCs/>
          <w:color w:val="000000"/>
          <w:kern w:val="0"/>
        </w:rPr>
        <w:t xml:space="preserve">Están en el video/acta:     </w:t>
      </w:r>
      <w:hyperlink r:id="rId26" w:history="1">
        <w:r>
          <w:rPr>
            <w:rFonts w:ascii="Arial" w:hAnsi="Arial" w:cs="Arial"/>
            <w:color w:val="1155CC"/>
            <w:u w:val="single"/>
            <w:shd w:val="clear" w:color="auto" w:fill="FFFFFF"/>
          </w:rPr>
          <w:t>https://www.youtube.com/watch?v=aKPRXt7aNqs</w:t>
        </w:r>
      </w:hyperlink>
    </w:p>
    <w:p w:rsidR="00061CF1" w:rsidRDefault="00061CF1">
      <w:pPr>
        <w:ind w:right="67"/>
        <w:jc w:val="both"/>
        <w:rPr>
          <w:rFonts w:ascii="Arial" w:hAnsi="Arial" w:cs="Arial"/>
          <w:bCs/>
          <w:iCs/>
        </w:rPr>
      </w:pPr>
    </w:p>
    <w:p w:rsidR="00061CF1" w:rsidRDefault="004E6D5A">
      <w:pPr>
        <w:pStyle w:val="Standard"/>
        <w:jc w:val="both"/>
        <w:rPr>
          <w:rFonts w:ascii="Arial" w:hAnsi="Arial" w:cs="Arial"/>
        </w:rPr>
      </w:pPr>
      <w:r>
        <w:rPr>
          <w:rFonts w:ascii="Arial" w:hAnsi="Arial" w:cs="Arial"/>
        </w:rPr>
        <w:t xml:space="preserve"> </w:t>
      </w:r>
    </w:p>
    <w:p w:rsidR="00061CF1" w:rsidRDefault="00061CF1">
      <w:pPr>
        <w:pStyle w:val="Standard"/>
        <w:jc w:val="both"/>
        <w:rPr>
          <w:rFonts w:ascii="Arial" w:hAnsi="Arial" w:cs="Arial"/>
        </w:rPr>
      </w:pPr>
    </w:p>
    <w:p w:rsidR="00061CF1" w:rsidRDefault="004E6D5A">
      <w:pPr>
        <w:pStyle w:val="Standard"/>
        <w:jc w:val="both"/>
      </w:pPr>
      <w:r>
        <w:rPr>
          <w:rFonts w:ascii="Arial" w:hAnsi="Arial" w:cs="Arial"/>
        </w:rPr>
        <w:t xml:space="preserve"> Se levanta la sesión a las 11:45 horas del mismo día. De todo lo cual yo, como Secretario General, doy </w:t>
      </w:r>
      <w:r>
        <w:rPr>
          <w:rFonts w:ascii="Arial" w:hAnsi="Arial" w:cs="Arial"/>
        </w:rPr>
        <w:t>fe.</w:t>
      </w:r>
    </w:p>
    <w:p w:rsidR="00061CF1" w:rsidRDefault="00061CF1">
      <w:pPr>
        <w:pStyle w:val="Standard"/>
        <w:jc w:val="both"/>
        <w:rPr>
          <w:rFonts w:ascii="Arial" w:hAnsi="Arial" w:cs="Arial"/>
          <w:b/>
        </w:rPr>
      </w:pPr>
    </w:p>
    <w:p w:rsidR="00061CF1" w:rsidRDefault="004E6D5A">
      <w:pPr>
        <w:pStyle w:val="Textbody"/>
        <w:spacing w:before="120"/>
      </w:pPr>
      <w:r>
        <w:rPr>
          <w:rFonts w:ascii="Arial" w:hAnsi="Arial" w:cs="Arial"/>
          <w:sz w:val="24"/>
        </w:rPr>
        <w:t xml:space="preserve">         </w:t>
      </w:r>
      <w:r>
        <w:rPr>
          <w:rFonts w:ascii="Arial" w:hAnsi="Arial" w:cs="Arial"/>
          <w:sz w:val="24"/>
        </w:rPr>
        <w:tab/>
      </w:r>
      <w:r>
        <w:rPr>
          <w:rFonts w:ascii="Arial" w:hAnsi="Arial" w:cs="Arial"/>
          <w:sz w:val="22"/>
          <w:szCs w:val="22"/>
        </w:rPr>
        <w:t xml:space="preserve">                           </w:t>
      </w:r>
      <w:r>
        <w:rPr>
          <w:rFonts w:ascii="Arial" w:hAnsi="Arial" w:cs="Arial"/>
          <w:b/>
          <w:sz w:val="22"/>
          <w:szCs w:val="22"/>
        </w:rPr>
        <w:t>Vº. Bº.</w:t>
      </w:r>
    </w:p>
    <w:p w:rsidR="00061CF1" w:rsidRDefault="00061CF1">
      <w:pPr>
        <w:pStyle w:val="Textbody"/>
        <w:spacing w:before="120"/>
        <w:rPr>
          <w:rFonts w:ascii="Arial" w:hAnsi="Arial" w:cs="Arial"/>
          <w:sz w:val="22"/>
          <w:szCs w:val="22"/>
        </w:rPr>
      </w:pPr>
    </w:p>
    <w:p w:rsidR="00061CF1" w:rsidRDefault="004E6D5A">
      <w:pPr>
        <w:pStyle w:val="Textbody"/>
        <w:spacing w:after="283"/>
      </w:pPr>
      <w:r>
        <w:rPr>
          <w:rFonts w:ascii="Arial" w:hAnsi="Arial" w:cs="Arial"/>
          <w:b/>
          <w:sz w:val="22"/>
          <w:szCs w:val="22"/>
        </w:rPr>
        <w:tab/>
        <w:t>LA ALCALDESA-PRESIDENTA,</w:t>
      </w:r>
      <w:r>
        <w:rPr>
          <w:rFonts w:ascii="Arial" w:hAnsi="Arial" w:cs="Arial"/>
          <w:b/>
          <w:sz w:val="22"/>
          <w:szCs w:val="22"/>
        </w:rPr>
        <w:tab/>
      </w:r>
      <w:r>
        <w:rPr>
          <w:rFonts w:ascii="Arial" w:hAnsi="Arial" w:cs="Arial"/>
          <w:b/>
          <w:sz w:val="22"/>
          <w:szCs w:val="22"/>
        </w:rPr>
        <w:tab/>
        <w:t xml:space="preserve">       EL SECRETARIO GENERAL,</w:t>
      </w:r>
    </w:p>
    <w:p w:rsidR="00061CF1" w:rsidRDefault="004E6D5A">
      <w:pPr>
        <w:pStyle w:val="Textbody"/>
        <w:spacing w:after="283"/>
        <w:jc w:val="left"/>
        <w:rPr>
          <w:rFonts w:ascii="Arial" w:hAnsi="Arial" w:cs="Arial"/>
          <w:sz w:val="22"/>
          <w:szCs w:val="22"/>
        </w:rPr>
      </w:pPr>
      <w:r>
        <w:rPr>
          <w:rFonts w:ascii="Arial" w:hAnsi="Arial" w:cs="Arial"/>
          <w:sz w:val="22"/>
          <w:szCs w:val="22"/>
        </w:rPr>
        <w:t xml:space="preserve">             María Concepción Brito Núñez               Octavio Manuel Fernández Hernández </w:t>
      </w:r>
    </w:p>
    <w:p w:rsidR="00061CF1" w:rsidRDefault="004E6D5A">
      <w:pPr>
        <w:pStyle w:val="Textoindependiente"/>
        <w:jc w:val="center"/>
      </w:pPr>
      <w:r>
        <w:rPr>
          <w:rFonts w:cs="Arial"/>
          <w:b/>
          <w:szCs w:val="22"/>
        </w:rPr>
        <w:t>DOCUMENTO FIRMADO ELECTRÓNICAMENTE</w:t>
      </w:r>
      <w:r>
        <w:rPr>
          <w:rFonts w:cs="Arial"/>
          <w:szCs w:val="22"/>
        </w:rPr>
        <w:t xml:space="preserve"> </w:t>
      </w:r>
    </w:p>
    <w:sectPr w:rsidR="00061CF1">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E6D5A">
      <w:r>
        <w:separator/>
      </w:r>
    </w:p>
  </w:endnote>
  <w:endnote w:type="continuationSeparator" w:id="0">
    <w:p w:rsidR="00000000" w:rsidRDefault="004E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default"/>
  </w:font>
  <w:font w:name="Univers">
    <w:charset w:val="00"/>
    <w:family w:val="swiss"/>
    <w:pitch w:val="variable"/>
  </w:font>
  <w:font w:name="DejaVu Sans">
    <w:charset w:val="00"/>
    <w:family w:val="auto"/>
    <w:pitch w:val="variable"/>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font>
  <w:font w:name="system-ui">
    <w:altName w:val="Times New Roman"/>
    <w:charset w:val="00"/>
    <w:family w:val="roman"/>
    <w:pitch w:val="default"/>
  </w:font>
  <w:font w:name="CIDFont+F5">
    <w:charset w:val="00"/>
    <w:family w:val="auto"/>
    <w:pitch w:val="default"/>
  </w:font>
  <w:font w:name="Arial Unicode MS">
    <w:panose1 w:val="020B0604020202020204"/>
    <w:charset w:val="00"/>
    <w:family w:val="swiss"/>
    <w:pitch w:val="variable"/>
  </w:font>
  <w:font w:name="Arial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default"/>
  </w:font>
  <w:font w:name="Liberation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A7" w:rsidRDefault="004E6D5A">
    <w:pPr>
      <w:pStyle w:val="Textbody"/>
      <w:jc w:val="center"/>
    </w:pPr>
    <w:r>
      <w:rPr>
        <w:noProof/>
        <w:lang w:eastAsia="es-ES"/>
      </w:rPr>
      <mc:AlternateContent>
        <mc:Choice Requires="wps">
          <w:drawing>
            <wp:anchor distT="0" distB="0" distL="114300" distR="114300" simplePos="0" relativeHeight="251663360"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4"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11D54259"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rh1Nk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0C2CA7" w:rsidRDefault="004E6D5A">
    <w:pPr>
      <w:pStyle w:val="Textbody"/>
      <w:jc w:val="center"/>
    </w:pPr>
    <w:r>
      <w:t>Avenida Constitución</w:t>
    </w:r>
    <w:r>
      <w:t xml:space="preserve"> Nº 7. Código postal: 38530, Candelaria. Teléfono: 922.500.800.</w:t>
    </w:r>
  </w:p>
  <w:p w:rsidR="000C2CA7" w:rsidRDefault="004E6D5A">
    <w:pPr>
      <w:pStyle w:val="Standard"/>
      <w:jc w:val="center"/>
      <w:rPr>
        <w:rFonts w:ascii="Arimo" w:hAnsi="Arimo" w:cs="Arimo"/>
        <w:b/>
        <w:bCs/>
        <w:sz w:val="14"/>
      </w:rPr>
    </w:pPr>
    <w:r>
      <w:rPr>
        <w:rFonts w:ascii="Arimo" w:hAnsi="Arimo" w:cs="Arimo"/>
        <w:b/>
        <w:bCs/>
        <w:sz w:val="14"/>
      </w:rPr>
      <w:t>www. candelaria. es</w:t>
    </w:r>
  </w:p>
  <w:p w:rsidR="000C2CA7" w:rsidRDefault="004E6D5A">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2</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A7" w:rsidRDefault="004E6D5A">
    <w:pPr>
      <w:pStyle w:val="Textbody"/>
      <w:jc w:val="center"/>
    </w:pPr>
    <w:r>
      <w:rPr>
        <w:noProof/>
        <w:lang w:eastAsia="es-ES"/>
      </w:rPr>
      <mc:AlternateContent>
        <mc:Choice Requires="wps">
          <w:drawing>
            <wp:anchor distT="0" distB="0" distL="114300" distR="114300" simplePos="0" relativeHeight="251669504"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8"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41E4A4FD"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Oez/Tn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0C2CA7" w:rsidRDefault="004E6D5A">
    <w:pPr>
      <w:pStyle w:val="Textbody"/>
      <w:jc w:val="center"/>
    </w:pPr>
    <w:r>
      <w:t>Avenida Constitución Nº 7. Código postal: 38530, Candelaria. Teléfono: 922.500.800.</w:t>
    </w:r>
  </w:p>
  <w:p w:rsidR="000C2CA7" w:rsidRDefault="004E6D5A">
    <w:pPr>
      <w:pStyle w:val="Standard"/>
      <w:jc w:val="center"/>
      <w:rPr>
        <w:rFonts w:ascii="Arimo" w:hAnsi="Arimo" w:cs="Arimo"/>
        <w:b/>
        <w:bCs/>
        <w:sz w:val="14"/>
      </w:rPr>
    </w:pPr>
    <w:r>
      <w:rPr>
        <w:rFonts w:ascii="Arimo" w:hAnsi="Arimo" w:cs="Arimo"/>
        <w:b/>
        <w:bCs/>
        <w:sz w:val="14"/>
      </w:rPr>
      <w:t>www. candelaria. es</w:t>
    </w:r>
  </w:p>
  <w:p w:rsidR="000C2CA7" w:rsidRDefault="004E6D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E6D5A">
      <w:r>
        <w:rPr>
          <w:color w:val="000000"/>
        </w:rPr>
        <w:separator/>
      </w:r>
    </w:p>
  </w:footnote>
  <w:footnote w:type="continuationSeparator" w:id="0">
    <w:p w:rsidR="00000000" w:rsidRDefault="004E6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A7" w:rsidRDefault="004E6D5A">
    <w:pPr>
      <w:pStyle w:val="Encabezado"/>
      <w:ind w:left="1843"/>
    </w:pPr>
    <w:r>
      <w:rPr>
        <w:rFonts w:ascii="Arial" w:hAnsi="Arial" w:cs="Arial"/>
        <w:b/>
        <w:bCs/>
        <w:noProof/>
        <w:sz w:val="22"/>
        <w:szCs w:val="22"/>
        <w:lang w:eastAsia="es-ES"/>
      </w:rPr>
      <mc:AlternateContent>
        <mc:Choice Requires="wps">
          <w:drawing>
            <wp:anchor distT="0" distB="0" distL="114300" distR="114300" simplePos="0" relativeHeight="251661312" behindDoc="1" locked="0" layoutInCell="1" allowOverlap="1">
              <wp:simplePos x="0" y="0"/>
              <wp:positionH relativeFrom="column">
                <wp:posOffset>1071247</wp:posOffset>
              </wp:positionH>
              <wp:positionV relativeFrom="paragraph">
                <wp:posOffset>93982</wp:posOffset>
              </wp:positionV>
              <wp:extent cx="1790066" cy="799469"/>
              <wp:effectExtent l="0" t="0" r="634" b="631"/>
              <wp:wrapNone/>
              <wp:docPr id="1"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0C2CA7" w:rsidRDefault="004E6D5A">
                          <w:pPr>
                            <w:pStyle w:val="Textoindependiente21"/>
                            <w:jc w:val="both"/>
                            <w:rPr>
                              <w:b w:val="0"/>
                              <w:bCs w:val="0"/>
                              <w:sz w:val="16"/>
                            </w:rPr>
                          </w:pPr>
                        </w:p>
                        <w:p w:rsidR="000C2CA7" w:rsidRDefault="004E6D5A">
                          <w:pPr>
                            <w:pStyle w:val="Textoindependiente21"/>
                            <w:jc w:val="both"/>
                          </w:pPr>
                        </w:p>
                        <w:p w:rsidR="000C2CA7" w:rsidRDefault="004E6D5A">
                          <w:pPr>
                            <w:pStyle w:val="Textoindependiente21"/>
                            <w:jc w:val="both"/>
                          </w:pPr>
                        </w:p>
                        <w:p w:rsidR="000C2CA7" w:rsidRDefault="004E6D5A">
                          <w:pPr>
                            <w:pStyle w:val="Textoindependiente21"/>
                            <w:jc w:val="both"/>
                          </w:pPr>
                          <w:r>
                            <w:t>SECRETARÍA GENERAL</w:t>
                          </w:r>
                        </w:p>
                        <w:p w:rsidR="000C2CA7" w:rsidRDefault="004E6D5A">
                          <w:pPr>
                            <w:pStyle w:val="Textoindependiente21"/>
                            <w:jc w:val="both"/>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84.35pt;margin-top:7.4pt;width:140.95pt;height:62.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" stroked="f">
              <v:textbox inset="0,0,0,0">
                <w:txbxContent>
                  <w:p w:rsidR="000C2CA7" w:rsidRDefault="004E6D5A">
                    <w:pPr>
                      <w:pStyle w:val="Textoindependiente21"/>
                      <w:jc w:val="both"/>
                      <w:rPr>
                        <w:b w:val="0"/>
                        <w:bCs w:val="0"/>
                        <w:sz w:val="16"/>
                      </w:rPr>
                    </w:pPr>
                  </w:p>
                  <w:p w:rsidR="000C2CA7" w:rsidRDefault="004E6D5A">
                    <w:pPr>
                      <w:pStyle w:val="Textoindependiente21"/>
                      <w:jc w:val="both"/>
                    </w:pPr>
                  </w:p>
                  <w:p w:rsidR="000C2CA7" w:rsidRDefault="004E6D5A">
                    <w:pPr>
                      <w:pStyle w:val="Textoindependiente21"/>
                      <w:jc w:val="both"/>
                    </w:pPr>
                  </w:p>
                  <w:p w:rsidR="000C2CA7" w:rsidRDefault="004E6D5A">
                    <w:pPr>
                      <w:pStyle w:val="Textoindependiente21"/>
                      <w:jc w:val="both"/>
                    </w:pPr>
                    <w:r>
                      <w:t>SECRETARÍA GENERAL</w:t>
                    </w:r>
                  </w:p>
                  <w:p w:rsidR="000C2CA7" w:rsidRDefault="004E6D5A">
                    <w:pPr>
                      <w:pStyle w:val="Textoindependiente21"/>
                      <w:jc w:val="both"/>
                    </w:pPr>
                  </w:p>
                </w:txbxContent>
              </v:textbox>
            </v:shape>
          </w:pict>
        </mc:Fallback>
      </mc:AlternateContent>
    </w:r>
    <w:r>
      <w:rPr>
        <w:noProof/>
        <w:lang w:eastAsia="es-ES"/>
      </w:rPr>
      <w:drawing>
        <wp:anchor distT="0" distB="0" distL="114300" distR="114300" simplePos="0" relativeHeight="251660288" behindDoc="1" locked="0" layoutInCell="1" allowOverlap="1">
          <wp:simplePos x="0" y="0"/>
          <wp:positionH relativeFrom="column">
            <wp:posOffset>33018</wp:posOffset>
          </wp:positionH>
          <wp:positionV relativeFrom="paragraph">
            <wp:posOffset>55878</wp:posOffset>
          </wp:positionV>
          <wp:extent cx="754562" cy="913677"/>
          <wp:effectExtent l="0" t="0" r="7438" b="723"/>
          <wp:wrapNone/>
          <wp:docPr id="2"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0C2CA7" w:rsidRDefault="004E6D5A">
    <w:pPr>
      <w:pStyle w:val="Encabezado"/>
    </w:pPr>
  </w:p>
  <w:p w:rsidR="000C2CA7" w:rsidRDefault="004E6D5A">
    <w:pPr>
      <w:pStyle w:val="Encabezado"/>
    </w:pPr>
  </w:p>
  <w:p w:rsidR="000C2CA7" w:rsidRDefault="004E6D5A">
    <w:pPr>
      <w:pStyle w:val="Encabezado"/>
    </w:pPr>
  </w:p>
  <w:p w:rsidR="000C2CA7" w:rsidRDefault="004E6D5A">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583560</wp:posOffset>
              </wp:positionV>
              <wp:extent cx="5998848" cy="0"/>
              <wp:effectExtent l="19050" t="19050" r="40002" b="38100"/>
              <wp:wrapNone/>
              <wp:docPr id="3"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3BA0E374" id="_x0000_t32" coordsize="21600,21600" o:spt="32" o:oned="t" path="m,l21600,21600e" filled="f">
              <v:path arrowok="t" fillok="f" o:connecttype="none"/>
              <o:lock v:ext="edit" shapetype="t"/>
            </v:shapetype>
            <v:shape id="Conector recto 2" o:spid="_x0000_s1026" type="#_x0000_t32" style="position:absolute;margin-left:0;margin-top:45.95pt;width:472.35pt;height:0;z-index:-25165721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" strokecolor="#936" strokeweight=".70992mm">
              <v:stroke joinstyle="miter" endcap="square"/>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A7" w:rsidRDefault="004E6D5A">
    <w:pPr>
      <w:pStyle w:val="Encabezado"/>
    </w:pPr>
    <w:r>
      <w:rPr>
        <w:rFonts w:ascii="Arial" w:hAnsi="Arial" w:cs="Arial"/>
        <w:noProof/>
        <w:sz w:val="22"/>
        <w:szCs w:val="22"/>
        <w:lang w:eastAsia="es-ES"/>
      </w:rPr>
      <mc:AlternateContent>
        <mc:Choice Requires="wps">
          <w:drawing>
            <wp:anchor distT="0" distB="0" distL="114300" distR="114300" simplePos="0" relativeHeight="251667456" behindDoc="0" locked="0" layoutInCell="1" allowOverlap="1">
              <wp:simplePos x="0" y="0"/>
              <wp:positionH relativeFrom="margin">
                <wp:posOffset>93982</wp:posOffset>
              </wp:positionH>
              <wp:positionV relativeFrom="paragraph">
                <wp:posOffset>1132841</wp:posOffset>
              </wp:positionV>
              <wp:extent cx="6055998" cy="0"/>
              <wp:effectExtent l="19050" t="19050" r="40002" b="38100"/>
              <wp:wrapNone/>
              <wp:docPr id="5" name="Conector recto 9"/>
              <wp:cNvGraphicFramePr/>
              <a:graphic xmlns:a="http://schemas.openxmlformats.org/drawingml/2006/main">
                <a:graphicData uri="http://schemas.microsoft.com/office/word/2010/wordprocessingShape">
                  <wps:wsp>
                    <wps:cNvCnPr/>
                    <wps:spPr>
                      <a:xfrm>
                        <a:off x="0" y="0"/>
                        <a:ext cx="6055998" cy="0"/>
                      </a:xfrm>
                      <a:prstGeom prst="straightConnector1">
                        <a:avLst/>
                      </a:prstGeom>
                      <a:noFill/>
                      <a:ln w="25557" cap="sq">
                        <a:solidFill>
                          <a:srgbClr val="993366"/>
                        </a:solidFill>
                        <a:prstDash val="solid"/>
                        <a:miter/>
                      </a:ln>
                    </wps:spPr>
                    <wps:bodyPr/>
                  </wps:wsp>
                </a:graphicData>
              </a:graphic>
            </wp:anchor>
          </w:drawing>
        </mc:Choice>
        <mc:Fallback>
          <w:pict>
            <v:shapetype w14:anchorId="2D5B847F" id="_x0000_t32" coordsize="21600,21600" o:spt="32" o:oned="t" path="m,l21600,21600e" filled="f">
              <v:path arrowok="t" fillok="f" o:connecttype="none"/>
              <o:lock v:ext="edit" shapetype="t"/>
            </v:shapetype>
            <v:shape id="Conector recto 9" o:spid="_x0000_s1026" type="#_x0000_t32" style="position:absolute;margin-left:7.4pt;margin-top:89.2pt;width:476.85pt;height:0;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" strokecolor="#936" strokeweight=".70992mm">
              <v:stroke joinstyle="miter" endcap="square"/>
              <w10:wrap anchorx="margin"/>
            </v:shape>
          </w:pict>
        </mc:Fallback>
      </mc:AlternateContent>
    </w:r>
    <w:r>
      <w:rPr>
        <w:noProof/>
        <w:lang w:eastAsia="es-ES"/>
      </w:rPr>
      <mc:AlternateContent>
        <mc:Choice Requires="wps">
          <w:drawing>
            <wp:anchor distT="0" distB="0" distL="114300" distR="114300" simplePos="0" relativeHeight="251665408"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6"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 w14:anchorId="7AA6EB1B" id="Conector recto 4" o:spid="_x0000_s1026" type="#_x0000_t32" style="position:absolute;margin-left:69.35pt;margin-top:9.1pt;width:0;height:63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" strokecolor="#936" strokeweight=".78992mm">
              <v:stroke joinstyle="miter" endcap="square"/>
            </v:shape>
          </w:pict>
        </mc:Fallback>
      </mc:AlternateContent>
    </w:r>
    <w:r>
      <w:rPr>
        <w:noProof/>
        <w:lang w:eastAsia="es-ES"/>
      </w:rPr>
      <w:drawing>
        <wp:anchor distT="0" distB="0" distL="114300" distR="114300" simplePos="0" relativeHeight="251666432"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7"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4F37"/>
    <w:multiLevelType w:val="multilevel"/>
    <w:tmpl w:val="5A864A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BB73CC"/>
    <w:multiLevelType w:val="multilevel"/>
    <w:tmpl w:val="43D0E278"/>
    <w:lvl w:ilvl="0">
      <w:numFmt w:val="bullet"/>
      <w:lvlText w:val="-"/>
      <w:lvlJc w:val="left"/>
      <w:pPr>
        <w:ind w:left="360" w:hanging="360"/>
      </w:pPr>
      <w:rPr>
        <w:rFonts w:ascii="Arimo" w:eastAsia="Times New Roman" w:hAnsi="Arimo" w:cs="Arim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18638D6"/>
    <w:multiLevelType w:val="multilevel"/>
    <w:tmpl w:val="6AC6C910"/>
    <w:lvl w:ilvl="0">
      <w:numFmt w:val="bullet"/>
      <w:lvlText w:val="-"/>
      <w:lvlJc w:val="left"/>
      <w:pPr>
        <w:ind w:left="720" w:hanging="360"/>
      </w:pPr>
      <w:rPr>
        <w:rFonts w:ascii="Arial" w:eastAsia="Lucida Sans Unicode"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2042456"/>
    <w:multiLevelType w:val="multilevel"/>
    <w:tmpl w:val="75FE0FC6"/>
    <w:lvl w:ilvl="0">
      <w:numFmt w:val="bullet"/>
      <w:lvlText w:val="-"/>
      <w:lvlJc w:val="left"/>
      <w:pPr>
        <w:ind w:left="720" w:hanging="360"/>
      </w:pPr>
      <w:rPr>
        <w:rFonts w:ascii="Arial" w:eastAsia="Lucida Sans Unicode"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AE77A21"/>
    <w:multiLevelType w:val="multilevel"/>
    <w:tmpl w:val="0B7A9E6C"/>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5" w15:restartNumberingAfterBreak="0">
    <w:nsid w:val="3D3B53F4"/>
    <w:multiLevelType w:val="multilevel"/>
    <w:tmpl w:val="EE8AB8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5B20D16"/>
    <w:multiLevelType w:val="multilevel"/>
    <w:tmpl w:val="7AF0A5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4D24B6"/>
    <w:multiLevelType w:val="multilevel"/>
    <w:tmpl w:val="43C6922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8" w15:restartNumberingAfterBreak="0">
    <w:nsid w:val="4F4D01DD"/>
    <w:multiLevelType w:val="multilevel"/>
    <w:tmpl w:val="607CCCA0"/>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43A7033"/>
    <w:multiLevelType w:val="multilevel"/>
    <w:tmpl w:val="6BECC520"/>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7632BF8"/>
    <w:multiLevelType w:val="multilevel"/>
    <w:tmpl w:val="134A49C4"/>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1" w15:restartNumberingAfterBreak="0">
    <w:nsid w:val="58906356"/>
    <w:multiLevelType w:val="multilevel"/>
    <w:tmpl w:val="39FAA4B8"/>
    <w:styleLink w:val="LFO10"/>
    <w:lvl w:ilvl="0">
      <w:numFmt w:val="bullet"/>
      <w:pStyle w:val="NormalJustificado"/>
      <w:lvlText w:val=""/>
      <w:lvlJc w:val="left"/>
      <w:pPr>
        <w:ind w:left="720" w:hanging="360"/>
      </w:pPr>
      <w:rPr>
        <w:rFonts w:ascii="Symbol" w:hAnsi="Symbol" w:cs="Symbol"/>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65577570"/>
    <w:multiLevelType w:val="multilevel"/>
    <w:tmpl w:val="353A4DD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6C066923"/>
    <w:multiLevelType w:val="multilevel"/>
    <w:tmpl w:val="7110D5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CB9228E"/>
    <w:multiLevelType w:val="multilevel"/>
    <w:tmpl w:val="C1184DFE"/>
    <w:lvl w:ilvl="0">
      <w:start w:val="1"/>
      <w:numFmt w:val="decimal"/>
      <w:lvlText w:val="%1."/>
      <w:lvlJc w:val="left"/>
      <w:pPr>
        <w:ind w:left="1077" w:hanging="51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11"/>
  </w:num>
  <w:num w:numId="3">
    <w:abstractNumId w:val="9"/>
  </w:num>
  <w:num w:numId="4">
    <w:abstractNumId w:val="13"/>
  </w:num>
  <w:num w:numId="5">
    <w:abstractNumId w:val="1"/>
  </w:num>
  <w:num w:numId="6">
    <w:abstractNumId w:val="10"/>
  </w:num>
  <w:num w:numId="7">
    <w:abstractNumId w:val="10"/>
    <w:lvlOverride w:ilvl="0">
      <w:startOverride w:val="1"/>
    </w:lvlOverride>
    <w:lvlOverride w:ilvl="1">
      <w:startOverride w:val="1"/>
    </w:lvlOverride>
  </w:num>
  <w:num w:numId="8">
    <w:abstractNumId w:val="4"/>
  </w:num>
  <w:num w:numId="9">
    <w:abstractNumId w:val="4"/>
    <w:lvlOverride w:ilvl="0">
      <w:startOverride w:val="1"/>
    </w:lvlOverride>
  </w:num>
  <w:num w:numId="10">
    <w:abstractNumId w:val="2"/>
  </w:num>
  <w:num w:numId="11">
    <w:abstractNumId w:val="0"/>
  </w:num>
  <w:num w:numId="12">
    <w:abstractNumId w:val="3"/>
  </w:num>
  <w:num w:numId="13">
    <w:abstractNumId w:val="5"/>
  </w:num>
  <w:num w:numId="14">
    <w:abstractNumId w:val="7"/>
  </w:num>
  <w:num w:numId="15">
    <w:abstractNumId w:val="6"/>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061CF1"/>
    <w:rsid w:val="00061CF1"/>
    <w:rsid w:val="004E6D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E77F9FD-6131-472F-BA70-C09B0483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paragraph" w:styleId="Ttulo4">
    <w:name w:val="heading 4"/>
    <w:basedOn w:val="Normal"/>
    <w:next w:val="Normal"/>
    <w:pPr>
      <w:keepNext/>
      <w:keepLines/>
      <w:spacing w:before="40"/>
      <w:outlineLvl w:val="3"/>
    </w:pPr>
    <w:rPr>
      <w:rFonts w:ascii="Calibri Light" w:eastAsia="Times New Roman" w:hAnsi="Calibri Light" w:cs="Mangal"/>
      <w:i/>
      <w:iCs/>
      <w:color w:val="2E74B5"/>
      <w:szCs w:val="21"/>
    </w:rPr>
  </w:style>
  <w:style w:type="paragraph" w:styleId="Ttulo6">
    <w:name w:val="heading 6"/>
    <w:basedOn w:val="Normal"/>
    <w:next w:val="Normal"/>
    <w:pPr>
      <w:spacing w:before="240" w:after="60"/>
      <w:textAlignment w:val="auto"/>
      <w:outlineLvl w:val="5"/>
    </w:pPr>
    <w:rPr>
      <w:rFonts w:ascii="Calibri" w:eastAsia="Times New Roman" w:hAnsi="Calibri" w:cs="Times New Roman"/>
      <w:b/>
      <w:bCs/>
      <w:sz w:val="22"/>
      <w:szCs w:val="22"/>
      <w:lang w:bidi="ar-SA"/>
    </w:rPr>
  </w:style>
  <w:style w:type="paragraph" w:styleId="Ttulo7">
    <w:name w:val="heading 7"/>
    <w:basedOn w:val="Normal"/>
    <w:next w:val="Normal"/>
    <w:pPr>
      <w:keepNext/>
      <w:tabs>
        <w:tab w:val="left" w:pos="4949"/>
      </w:tabs>
      <w:ind w:left="4949" w:hanging="283"/>
      <w:jc w:val="both"/>
      <w:textAlignment w:val="auto"/>
      <w:outlineLvl w:val="6"/>
    </w:pPr>
    <w:rPr>
      <w:rFonts w:eastAsia="Times New Roman" w:cs="Times New Roman"/>
      <w:b/>
      <w:bCs/>
      <w:i/>
      <w:iCs/>
      <w:szCs w:val="20"/>
      <w:u w:val="single"/>
      <w:lang w:val="es-ES_tradnl" w:eastAsia="ar-SA" w:bidi="ar-SA"/>
    </w:rPr>
  </w:style>
  <w:style w:type="paragraph" w:styleId="Ttulo8">
    <w:name w:val="heading 8"/>
    <w:basedOn w:val="Normal"/>
    <w:next w:val="Normal"/>
    <w:pPr>
      <w:keepNext/>
      <w:widowControl/>
      <w:tabs>
        <w:tab w:val="left" w:pos="5656"/>
      </w:tabs>
      <w:ind w:left="5656" w:hanging="283"/>
      <w:jc w:val="both"/>
      <w:textAlignment w:val="auto"/>
      <w:outlineLvl w:val="7"/>
    </w:pPr>
    <w:rPr>
      <w:rFonts w:eastAsia="Times New Roman" w:cs="Times New Roman"/>
      <w:szCs w:val="20"/>
      <w:lang w:val="es-ES_tradnl" w:eastAsia="ar-SA"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Prrafodelista">
    <w:name w:val="List Paragraph"/>
    <w:basedOn w:val="Normal"/>
    <w:pPr>
      <w:ind w:left="720"/>
    </w:pPr>
    <w:rPr>
      <w:rFonts w:cs="Mangal"/>
      <w:szCs w:val="21"/>
    </w:rPr>
  </w:style>
  <w:style w:type="character" w:customStyle="1" w:styleId="Ttulo4Car">
    <w:name w:val="Título 4 Car"/>
    <w:basedOn w:val="Fuentedeprrafopredeter"/>
    <w:rPr>
      <w:rFonts w:ascii="Calibri Light" w:eastAsia="Times New Roman" w:hAnsi="Calibri Light" w:cs="Mangal"/>
      <w:i/>
      <w:iCs/>
      <w:color w:val="2E74B5"/>
      <w:szCs w:val="21"/>
    </w:rPr>
  </w:style>
  <w:style w:type="paragraph" w:customStyle="1" w:styleId="Textosinformato1">
    <w:name w:val="Texto sin formato1"/>
    <w:basedOn w:val="Normal"/>
    <w:pPr>
      <w:widowControl/>
      <w:textAlignment w:val="auto"/>
    </w:pPr>
    <w:rPr>
      <w:rFonts w:ascii="Courier New" w:eastAsia="Times New Roman" w:hAnsi="Courier New" w:cs="Times New Roman"/>
      <w:kern w:val="0"/>
      <w:sz w:val="20"/>
      <w:szCs w:val="20"/>
      <w:lang w:eastAsia="ar-SA" w:bidi="ar-SA"/>
    </w:rPr>
  </w:style>
  <w:style w:type="character" w:styleId="Hipervnculo">
    <w:name w:val="Hyperlink"/>
    <w:rPr>
      <w:color w:val="0000FF"/>
      <w:u w:val="single"/>
    </w:rPr>
  </w:style>
  <w:style w:type="character" w:customStyle="1" w:styleId="resalte7">
    <w:name w:val="resalte7"/>
    <w:rPr>
      <w:color w:val="FF0B0B"/>
    </w:rPr>
  </w:style>
  <w:style w:type="character" w:customStyle="1" w:styleId="nota-resumen2">
    <w:name w:val="nota-resumen2"/>
    <w:rPr>
      <w:b w:val="0"/>
      <w:bCs w:val="0"/>
      <w:i w:val="0"/>
      <w:iCs w:val="0"/>
      <w:color w:val="0148B2"/>
      <w:shd w:val="clear" w:color="auto" w:fill="E2EDF5"/>
    </w:rPr>
  </w:style>
  <w:style w:type="character" w:customStyle="1" w:styleId="resalte9">
    <w:name w:val="resalte9"/>
    <w:rPr>
      <w:color w:val="FF0B0B"/>
    </w:rPr>
  </w:style>
  <w:style w:type="paragraph" w:styleId="Textonotapie">
    <w:name w:val="footnote text"/>
    <w:basedOn w:val="Normal"/>
    <w:pPr>
      <w:widowControl/>
      <w:suppressAutoHyphens w:val="0"/>
      <w:textAlignment w:val="auto"/>
    </w:pPr>
    <w:rPr>
      <w:rFonts w:eastAsia="Times New Roman" w:cs="Times New Roman"/>
      <w:kern w:val="0"/>
      <w:sz w:val="20"/>
      <w:szCs w:val="20"/>
      <w:lang w:eastAsia="es-ES" w:bidi="ar-SA"/>
    </w:rPr>
  </w:style>
  <w:style w:type="character" w:customStyle="1" w:styleId="TextonotapieCar">
    <w:name w:val="Texto nota pie Car"/>
    <w:basedOn w:val="Fuentedeprrafopredeter"/>
    <w:rPr>
      <w:rFonts w:eastAsia="Times New Roman" w:cs="Times New Roman"/>
      <w:kern w:val="0"/>
      <w:sz w:val="20"/>
      <w:szCs w:val="20"/>
      <w:lang w:eastAsia="es-ES" w:bidi="ar-SA"/>
    </w:rPr>
  </w:style>
  <w:style w:type="paragraph" w:customStyle="1" w:styleId="03-Contenido">
    <w:name w:val="03-Contenido"/>
    <w:basedOn w:val="Normal"/>
    <w:pPr>
      <w:widowControl/>
      <w:jc w:val="both"/>
      <w:textAlignment w:val="auto"/>
    </w:pPr>
    <w:rPr>
      <w:rFonts w:ascii="Arial" w:eastAsia="Times New Roman" w:hAnsi="Arial" w:cs="Arial"/>
      <w:sz w:val="22"/>
      <w:szCs w:val="20"/>
      <w:lang w:eastAsia="ar-SA" w:bidi="ar-SA"/>
    </w:rPr>
  </w:style>
  <w:style w:type="paragraph" w:styleId="Textoindependiente2">
    <w:name w:val="Body Text 2"/>
    <w:basedOn w:val="Normal"/>
    <w:pPr>
      <w:spacing w:after="120" w:line="480" w:lineRule="auto"/>
      <w:textAlignment w:val="auto"/>
    </w:pPr>
    <w:rPr>
      <w:rFonts w:ascii="Arial" w:eastAsia="Lucida Sans Unicode" w:hAnsi="Arial" w:cs="Times New Roman"/>
      <w:sz w:val="22"/>
      <w:lang w:bidi="ar-SA"/>
    </w:rPr>
  </w:style>
  <w:style w:type="character" w:customStyle="1" w:styleId="Textoindependiente2Car">
    <w:name w:val="Texto independiente 2 Car"/>
    <w:basedOn w:val="Fuentedeprrafopredeter"/>
    <w:rPr>
      <w:rFonts w:ascii="Arial" w:eastAsia="Lucida Sans Unicode" w:hAnsi="Arial" w:cs="Times New Roman"/>
      <w:kern w:val="3"/>
      <w:sz w:val="22"/>
      <w:lang w:bidi="ar-SA"/>
    </w:rPr>
  </w:style>
  <w:style w:type="paragraph" w:styleId="Subttulo">
    <w:name w:val="Subtitle"/>
    <w:basedOn w:val="Normal"/>
    <w:next w:val="Textoindependiente"/>
    <w:pPr>
      <w:keepNext/>
      <w:widowControl/>
      <w:spacing w:before="240" w:after="120"/>
      <w:jc w:val="center"/>
      <w:textAlignment w:val="auto"/>
    </w:pPr>
    <w:rPr>
      <w:rFonts w:ascii="Arial" w:eastAsia="Microsoft YaHei" w:hAnsi="Arial"/>
      <w:i/>
      <w:iCs/>
      <w:sz w:val="28"/>
      <w:szCs w:val="28"/>
      <w:lang w:eastAsia="ar-SA" w:bidi="ar-SA"/>
    </w:rPr>
  </w:style>
  <w:style w:type="character" w:customStyle="1" w:styleId="SubttuloCar">
    <w:name w:val="Subtítulo Car"/>
    <w:basedOn w:val="Fuentedeprrafopredeter"/>
    <w:rPr>
      <w:rFonts w:ascii="Arial" w:eastAsia="Microsoft YaHei" w:hAnsi="Arial"/>
      <w:i/>
      <w:iCs/>
      <w:kern w:val="3"/>
      <w:sz w:val="28"/>
      <w:szCs w:val="28"/>
      <w:lang w:eastAsia="ar-SA" w:bidi="ar-SA"/>
    </w:rPr>
  </w:style>
  <w:style w:type="paragraph" w:customStyle="1" w:styleId="Pa10">
    <w:name w:val="Pa10"/>
    <w:basedOn w:val="Normal"/>
    <w:next w:val="Normal"/>
    <w:pPr>
      <w:widowControl/>
      <w:suppressAutoHyphens w:val="0"/>
      <w:autoSpaceDE w:val="0"/>
      <w:spacing w:line="201" w:lineRule="atLeast"/>
      <w:textAlignment w:val="auto"/>
    </w:pPr>
    <w:rPr>
      <w:rFonts w:ascii="Arial" w:eastAsia="Times New Roman" w:hAnsi="Arial" w:cs="Times New Roman"/>
      <w:kern w:val="0"/>
      <w:lang w:eastAsia="es-ES" w:bidi="ar-SA"/>
    </w:rPr>
  </w:style>
  <w:style w:type="paragraph" w:customStyle="1" w:styleId="sangrado">
    <w:name w:val="sangrado"/>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imagen">
    <w:name w:val="imagen"/>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sangrado2">
    <w:name w:val="sangrado_2"/>
    <w:basedOn w:val="Normal"/>
    <w:pPr>
      <w:widowControl/>
      <w:suppressAutoHyphens w:val="0"/>
      <w:spacing w:before="100" w:after="100"/>
      <w:textAlignment w:val="auto"/>
    </w:pPr>
    <w:rPr>
      <w:rFonts w:eastAsia="Times New Roman" w:cs="Times New Roman"/>
      <w:kern w:val="0"/>
      <w:lang w:eastAsia="es-ES" w:bidi="ar-SA"/>
    </w:rPr>
  </w:style>
  <w:style w:type="character" w:styleId="Refdenotaalpie">
    <w:name w:val="footnote reference"/>
    <w:basedOn w:val="Fuentedeprrafopredeter"/>
    <w:rPr>
      <w:position w:val="0"/>
      <w:vertAlign w:val="superscript"/>
    </w:rPr>
  </w:style>
  <w:style w:type="paragraph" w:customStyle="1" w:styleId="Default">
    <w:name w:val="Default"/>
    <w:pPr>
      <w:widowControl/>
      <w:autoSpaceDE w:val="0"/>
      <w:textAlignment w:val="auto"/>
    </w:pPr>
    <w:rPr>
      <w:rFonts w:ascii="Arial" w:eastAsia="Times New Roman" w:hAnsi="Arial" w:cs="Arial"/>
      <w:color w:val="000000"/>
      <w:kern w:val="0"/>
      <w:lang w:eastAsia="es-ES" w:bidi="ar-SA"/>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character" w:customStyle="1" w:styleId="Ttulo6Car">
    <w:name w:val="Título 6 Car"/>
    <w:basedOn w:val="Fuentedeprrafopredeter"/>
    <w:rPr>
      <w:rFonts w:ascii="Calibri" w:eastAsia="Times New Roman" w:hAnsi="Calibri" w:cs="Times New Roman"/>
      <w:b/>
      <w:bCs/>
      <w:kern w:val="3"/>
      <w:sz w:val="22"/>
      <w:szCs w:val="22"/>
      <w:lang w:bidi="ar-SA"/>
    </w:rPr>
  </w:style>
  <w:style w:type="character" w:customStyle="1" w:styleId="Ttulo7Car">
    <w:name w:val="Título 7 Car"/>
    <w:basedOn w:val="Fuentedeprrafopredeter"/>
    <w:rPr>
      <w:rFonts w:eastAsia="Times New Roman" w:cs="Times New Roman"/>
      <w:b/>
      <w:bCs/>
      <w:i/>
      <w:iCs/>
      <w:kern w:val="3"/>
      <w:szCs w:val="20"/>
      <w:u w:val="single"/>
      <w:lang w:val="es-ES_tradnl" w:eastAsia="ar-SA" w:bidi="ar-SA"/>
    </w:rPr>
  </w:style>
  <w:style w:type="character" w:customStyle="1" w:styleId="Ttulo8Car">
    <w:name w:val="Título 8 Car"/>
    <w:basedOn w:val="Fuentedeprrafopredeter"/>
    <w:rPr>
      <w:rFonts w:eastAsia="Times New Roman" w:cs="Times New Roman"/>
      <w:kern w:val="3"/>
      <w:szCs w:val="20"/>
      <w:lang w:val="es-ES_tradnl" w:eastAsia="ar-SA"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styleId="Ttulo">
    <w:name w:val="Title"/>
    <w:basedOn w:val="Normal"/>
    <w:pPr>
      <w:widowControl/>
      <w:tabs>
        <w:tab w:val="left" w:pos="-720"/>
      </w:tabs>
      <w:suppressAutoHyphens w:val="0"/>
      <w:spacing w:line="240" w:lineRule="atLeast"/>
      <w:jc w:val="center"/>
      <w:textAlignment w:val="auto"/>
    </w:pPr>
    <w:rPr>
      <w:rFonts w:eastAsia="Times New Roman" w:cs="Times New Roman"/>
      <w:b/>
      <w:bCs/>
      <w:spacing w:val="-3"/>
      <w:kern w:val="0"/>
      <w:lang w:val="es-ES_tradnl" w:eastAsia="es-ES" w:bidi="he-IL"/>
    </w:rPr>
  </w:style>
  <w:style w:type="character" w:customStyle="1" w:styleId="TtuloCar">
    <w:name w:val="Título Car"/>
    <w:basedOn w:val="Fuentedeprrafopredeter"/>
    <w:rPr>
      <w:rFonts w:ascii="Calibri Light" w:eastAsia="Times New Roman" w:hAnsi="Calibri Light" w:cs="Mangal"/>
      <w:spacing w:val="-10"/>
      <w:kern w:val="3"/>
      <w:sz w:val="56"/>
      <w:szCs w:val="50"/>
    </w:rPr>
  </w:style>
  <w:style w:type="character" w:customStyle="1" w:styleId="TtuloCar1">
    <w:name w:val="Título Car1"/>
    <w:rPr>
      <w:rFonts w:eastAsia="Times New Roman" w:cs="Times New Roman"/>
      <w:b/>
      <w:bCs/>
      <w:spacing w:val="-3"/>
      <w:kern w:val="0"/>
      <w:lang w:val="es-ES_tradnl" w:eastAsia="es-ES" w:bidi="he-IL"/>
    </w:rPr>
  </w:style>
  <w:style w:type="character" w:customStyle="1" w:styleId="Ttulo2Car">
    <w:name w:val="Título 2 Car"/>
    <w:rPr>
      <w:rFonts w:ascii="Arimo" w:eastAsia="Times New Roman" w:hAnsi="Arimo" w:cs="Arimo"/>
      <w:b/>
      <w:bCs/>
      <w:sz w:val="28"/>
      <w:lang w:bidi="ar-SA"/>
    </w:rPr>
  </w:style>
  <w:style w:type="character" w:customStyle="1" w:styleId="Bullet20Symbols">
    <w:name w:val="Bullet_20_Symbols"/>
  </w:style>
  <w:style w:type="paragraph" w:styleId="Sangradetextonormal">
    <w:name w:val="Body Text Indent"/>
    <w:basedOn w:val="Normal"/>
    <w:pPr>
      <w:spacing w:after="120"/>
      <w:ind w:left="283"/>
      <w:textAlignment w:val="auto"/>
    </w:pPr>
    <w:rPr>
      <w:rFonts w:ascii="Arial" w:eastAsia="Lucida Sans Unicode" w:hAnsi="Arial" w:cs="Times New Roman"/>
      <w:sz w:val="22"/>
      <w:lang w:bidi="ar-SA"/>
    </w:rPr>
  </w:style>
  <w:style w:type="character" w:customStyle="1" w:styleId="SangradetextonormalCar">
    <w:name w:val="Sangría de texto normal Car"/>
    <w:basedOn w:val="Fuentedeprrafopredeter"/>
    <w:rPr>
      <w:rFonts w:ascii="Arial" w:eastAsia="Lucida Sans Unicode" w:hAnsi="Arial" w:cs="Times New Roman"/>
      <w:kern w:val="3"/>
      <w:sz w:val="22"/>
      <w:lang w:bidi="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eastAsia="Times New Roman" w:hAnsi="Wingdings" w:cs="Wingdings"/>
      <w:sz w:val="24"/>
      <w:szCs w:val="24"/>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cs="Open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5z0">
    <w:name w:val="WW8Num5z0"/>
    <w:rPr>
      <w:rFonts w:ascii="Symbol" w:hAnsi="Symbol" w:cs="OpenSymbol"/>
    </w:rPr>
  </w:style>
  <w:style w:type="character" w:customStyle="1" w:styleId="WW8Num6z0">
    <w:name w:val="WW8Num6z0"/>
    <w:rPr>
      <w:rFonts w:ascii="Symbol" w:hAnsi="Symbol" w:cs="Symbol"/>
    </w:rPr>
  </w:style>
  <w:style w:type="character" w:customStyle="1" w:styleId="WW8Num7z0">
    <w:name w:val="WW8Num7z0"/>
    <w:rPr>
      <w:bC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eastAsia="Times New Roman" w:hAnsi="Symbol" w:cs="Times New Roman"/>
      <w:bCs/>
      <w:lang w:val="es-ES_tradnl"/>
    </w:rPr>
  </w:style>
  <w:style w:type="character" w:customStyle="1" w:styleId="WW8Num9z0">
    <w:name w:val="WW8Num9z0"/>
    <w:rPr>
      <w:rFonts w:ascii="Symbol" w:eastAsia="Times New Roman" w:hAnsi="Symbol" w:cs="Times New Roman"/>
      <w:bCs/>
      <w:sz w:val="28"/>
      <w:lang w:val="es-ES_tradn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0">
    <w:name w:val="WW8Num10z0"/>
    <w:rPr>
      <w:rFonts w:ascii="Times New Roman" w:eastAsia="Times New Roman" w:hAnsi="Times New Roman" w:cs="Times New Roman"/>
      <w:bCs/>
      <w:sz w:val="28"/>
      <w:lang w:val="es-ES_tradnl"/>
    </w:rPr>
  </w:style>
  <w:style w:type="character" w:customStyle="1" w:styleId="WW8Num2z1">
    <w:name w:val="WW8Num2z1"/>
    <w:rPr>
      <w:rFonts w:ascii="Symbol" w:hAnsi="Symbol" w:cs="Times New Roman"/>
    </w:rPr>
  </w:style>
  <w:style w:type="character" w:customStyle="1" w:styleId="WW8Num2z2">
    <w:name w:val="WW8Num2z2"/>
  </w:style>
  <w:style w:type="character" w:customStyle="1" w:styleId="WW8Num2z3">
    <w:name w:val="WW8Num2z3"/>
    <w:rPr>
      <w:rFonts w:ascii="Symbol" w:hAnsi="Symbol" w:cs="Symbol"/>
    </w:rPr>
  </w:style>
  <w:style w:type="character" w:customStyle="1" w:styleId="WW8Num2z4">
    <w:name w:val="WW8Num2z4"/>
    <w:rPr>
      <w:rFonts w:ascii="Courier New" w:hAnsi="Courier New" w:cs="Courier New"/>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Fuentedeprrafopredeter2">
    <w:name w:val="Fuente de párrafo predeter.2"/>
  </w:style>
  <w:style w:type="character" w:customStyle="1" w:styleId="RTFNum21">
    <w:name w:val="RTF_Num 2 1"/>
    <w:rPr>
      <w:rFonts w:ascii="OpenSymbol" w:eastAsia="OpenSymbol" w:hAnsi="OpenSymbol" w:cs="OpenSymbol"/>
    </w:rPr>
  </w:style>
  <w:style w:type="character" w:customStyle="1" w:styleId="RTFNum22">
    <w:name w:val="RTF_Num 2 2"/>
    <w:rPr>
      <w:rFonts w:ascii="OpenSymbol" w:eastAsia="OpenSymbol" w:hAnsi="OpenSymbol" w:cs="OpenSymbol"/>
    </w:rPr>
  </w:style>
  <w:style w:type="character" w:customStyle="1" w:styleId="RTFNum23">
    <w:name w:val="RTF_Num 2 3"/>
    <w:rPr>
      <w:rFonts w:ascii="OpenSymbol" w:eastAsia="OpenSymbol" w:hAnsi="OpenSymbol" w:cs="OpenSymbol"/>
    </w:rPr>
  </w:style>
  <w:style w:type="character" w:customStyle="1" w:styleId="RTFNum24">
    <w:name w:val="RTF_Num 2 4"/>
    <w:rPr>
      <w:rFonts w:ascii="OpenSymbol" w:eastAsia="OpenSymbol" w:hAnsi="OpenSymbol" w:cs="OpenSymbol"/>
    </w:rPr>
  </w:style>
  <w:style w:type="character" w:customStyle="1" w:styleId="RTFNum25">
    <w:name w:val="RTF_Num 2 5"/>
    <w:rPr>
      <w:rFonts w:ascii="OpenSymbol" w:eastAsia="OpenSymbol" w:hAnsi="OpenSymbol" w:cs="OpenSymbol"/>
    </w:rPr>
  </w:style>
  <w:style w:type="character" w:customStyle="1" w:styleId="RTFNum26">
    <w:name w:val="RTF_Num 2 6"/>
    <w:rPr>
      <w:rFonts w:ascii="OpenSymbol" w:eastAsia="OpenSymbol" w:hAnsi="OpenSymbol" w:cs="OpenSymbol"/>
    </w:rPr>
  </w:style>
  <w:style w:type="character" w:customStyle="1" w:styleId="RTFNum27">
    <w:name w:val="RTF_Num 2 7"/>
    <w:rPr>
      <w:rFonts w:ascii="OpenSymbol" w:eastAsia="OpenSymbol" w:hAnsi="OpenSymbol" w:cs="OpenSymbol"/>
    </w:rPr>
  </w:style>
  <w:style w:type="character" w:customStyle="1" w:styleId="RTFNum28">
    <w:name w:val="RTF_Num 2 8"/>
    <w:rPr>
      <w:rFonts w:ascii="OpenSymbol" w:eastAsia="OpenSymbol" w:hAnsi="OpenSymbol" w:cs="OpenSymbol"/>
    </w:rPr>
  </w:style>
  <w:style w:type="character" w:customStyle="1" w:styleId="RTFNum29">
    <w:name w:val="RTF_Num 2 9"/>
    <w:rPr>
      <w:rFonts w:ascii="OpenSymbol" w:eastAsia="OpenSymbol" w:hAnsi="OpenSymbol" w:cs="OpenSymbol"/>
    </w:rPr>
  </w:style>
  <w:style w:type="character" w:customStyle="1" w:styleId="Vietas">
    <w:name w:val="Viñetas"/>
    <w:rPr>
      <w:rFonts w:ascii="OpenSymbol" w:eastAsia="OpenSymbol" w:hAnsi="OpenSymbol" w:cs="OpenSymbol"/>
    </w:rPr>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Smbolosdenumeracin">
    <w:name w:val="Símbolos de numeración"/>
  </w:style>
  <w:style w:type="paragraph" w:customStyle="1" w:styleId="Encabezado2">
    <w:name w:val="Encabezado2"/>
    <w:basedOn w:val="Normal"/>
    <w:next w:val="Textoindependiente"/>
    <w:pPr>
      <w:keepNext/>
      <w:widowControl/>
      <w:spacing w:before="240" w:after="120"/>
      <w:textAlignment w:val="auto"/>
    </w:pPr>
    <w:rPr>
      <w:rFonts w:ascii="Arial" w:eastAsia="Microsoft YaHei" w:hAnsi="Arial"/>
      <w:sz w:val="28"/>
      <w:szCs w:val="28"/>
      <w:lang w:eastAsia="ar-SA" w:bidi="ar-SA"/>
    </w:rPr>
  </w:style>
  <w:style w:type="paragraph" w:customStyle="1" w:styleId="Etiqueta">
    <w:name w:val="Etiqueta"/>
    <w:basedOn w:val="Normal"/>
    <w:pPr>
      <w:widowControl/>
      <w:suppressLineNumbers/>
      <w:spacing w:before="120" w:after="120"/>
      <w:textAlignment w:val="auto"/>
    </w:pPr>
    <w:rPr>
      <w:rFonts w:eastAsia="Times New Roman"/>
      <w:i/>
      <w:iCs/>
      <w:lang w:eastAsia="ar-SA" w:bidi="ar-SA"/>
    </w:rPr>
  </w:style>
  <w:style w:type="paragraph" w:customStyle="1" w:styleId="ndice">
    <w:name w:val="Índice"/>
    <w:basedOn w:val="Normal"/>
    <w:pPr>
      <w:widowControl/>
      <w:suppressLineNumbers/>
      <w:textAlignment w:val="auto"/>
    </w:pPr>
    <w:rPr>
      <w:rFonts w:eastAsia="Times New Roman"/>
      <w:lang w:eastAsia="ar-SA" w:bidi="ar-SA"/>
    </w:rPr>
  </w:style>
  <w:style w:type="character" w:customStyle="1" w:styleId="EncabezadoCar1">
    <w:name w:val="Encabezado Car1"/>
    <w:rPr>
      <w:rFonts w:eastAsia="Times New Roman" w:cs="Times New Roman"/>
      <w:lang w:bidi="ar-SA"/>
    </w:rPr>
  </w:style>
  <w:style w:type="character" w:customStyle="1" w:styleId="PiedepginaCar1">
    <w:name w:val="Pie de página Car1"/>
    <w:rPr>
      <w:rFonts w:eastAsia="Times New Roman" w:cs="Times New Roman"/>
      <w:lang w:bidi="ar-SA"/>
    </w:rPr>
  </w:style>
  <w:style w:type="paragraph" w:customStyle="1" w:styleId="Contenidodelmarco">
    <w:name w:val="Contenido del marco"/>
    <w:basedOn w:val="Textoindependiente"/>
    <w:pPr>
      <w:widowControl/>
      <w:spacing w:after="0"/>
      <w:jc w:val="both"/>
    </w:pPr>
    <w:rPr>
      <w:rFonts w:ascii="Arimo" w:eastAsia="Times New Roman" w:hAnsi="Arimo" w:cs="Arimo"/>
      <w:sz w:val="14"/>
      <w:lang w:eastAsia="ar-SA"/>
    </w:rPr>
  </w:style>
  <w:style w:type="paragraph" w:customStyle="1" w:styleId="Contenidodelatabla">
    <w:name w:val="Contenido de la tabla"/>
    <w:basedOn w:val="Normal"/>
    <w:pPr>
      <w:widowControl/>
      <w:suppressLineNumbers/>
      <w:textAlignment w:val="auto"/>
    </w:pPr>
    <w:rPr>
      <w:rFonts w:eastAsia="Times New Roman" w:cs="Times New Roman"/>
      <w:lang w:eastAsia="ar-SA" w:bidi="ar-SA"/>
    </w:rPr>
  </w:style>
  <w:style w:type="paragraph" w:customStyle="1" w:styleId="Encabezadodelatabla">
    <w:name w:val="Encabezado de la tabla"/>
    <w:basedOn w:val="Contenidodelatabla"/>
    <w:pPr>
      <w:jc w:val="center"/>
    </w:pPr>
    <w:rPr>
      <w:b/>
      <w:bCs/>
    </w:rPr>
  </w:style>
  <w:style w:type="character" w:customStyle="1" w:styleId="TextodegloboCar1">
    <w:name w:val="Texto de globo Car1"/>
    <w:rPr>
      <w:rFonts w:ascii="Tahoma" w:eastAsia="Times New Roman" w:hAnsi="Tahoma" w:cs="Tahoma"/>
      <w:sz w:val="16"/>
      <w:szCs w:val="16"/>
      <w:lang w:bidi="ar-SA"/>
    </w:rPr>
  </w:style>
  <w:style w:type="paragraph" w:customStyle="1" w:styleId="Textoindependiente22">
    <w:name w:val="Texto independiente 22"/>
    <w:basedOn w:val="Normal"/>
    <w:pPr>
      <w:widowControl/>
      <w:autoSpaceDE w:val="0"/>
      <w:jc w:val="both"/>
      <w:textAlignment w:val="auto"/>
    </w:pPr>
    <w:rPr>
      <w:rFonts w:eastAsia="Times New Roman" w:cs="Times New Roman"/>
      <w:szCs w:val="13"/>
      <w:lang w:eastAsia="ar-SA" w:bidi="ar-SA"/>
    </w:rPr>
  </w:style>
  <w:style w:type="paragraph" w:customStyle="1" w:styleId="Sangra2detindependiente1">
    <w:name w:val="Sangría 2 de t. independiente1"/>
    <w:basedOn w:val="Normal"/>
    <w:pPr>
      <w:widowControl/>
      <w:autoSpaceDE w:val="0"/>
      <w:ind w:left="708"/>
      <w:jc w:val="both"/>
      <w:textAlignment w:val="auto"/>
    </w:pPr>
    <w:rPr>
      <w:rFonts w:eastAsia="Times New Roman" w:cs="Times New Roman"/>
      <w:lang w:eastAsia="ar-SA" w:bidi="ar-SA"/>
    </w:rPr>
  </w:style>
  <w:style w:type="paragraph" w:customStyle="1" w:styleId="Sangra3detindependiente1">
    <w:name w:val="Sangría 3 de t. independiente1"/>
    <w:basedOn w:val="Normal"/>
    <w:pPr>
      <w:widowControl/>
      <w:ind w:firstLine="360"/>
      <w:jc w:val="both"/>
      <w:textAlignment w:val="auto"/>
    </w:pPr>
    <w:rPr>
      <w:rFonts w:eastAsia="Times New Roman" w:cs="Times New Roman"/>
      <w:lang w:eastAsia="ar-SA" w:bidi="ar-SA"/>
    </w:rPr>
  </w:style>
  <w:style w:type="paragraph" w:customStyle="1" w:styleId="02-Captulos">
    <w:name w:val="02-Capítulos"/>
    <w:next w:val="Normal"/>
    <w:pPr>
      <w:widowControl/>
      <w:suppressAutoHyphens/>
      <w:spacing w:after="120"/>
      <w:textAlignment w:val="auto"/>
    </w:pPr>
    <w:rPr>
      <w:rFonts w:ascii="Arial" w:eastAsia="Times New Roman" w:hAnsi="Arial" w:cs="Arial"/>
      <w:b/>
      <w:caps/>
      <w:spacing w:val="10"/>
      <w:sz w:val="20"/>
      <w:szCs w:val="20"/>
      <w:lang w:eastAsia="ar-SA" w:bidi="ar-SA"/>
    </w:rPr>
  </w:style>
  <w:style w:type="character" w:styleId="Hipervnculovisitado">
    <w:name w:val="FollowedHyperlink"/>
    <w:rPr>
      <w:color w:val="954F72"/>
      <w:u w:val="single"/>
    </w:rPr>
  </w:style>
  <w:style w:type="character" w:customStyle="1" w:styleId="WW8Num11z0">
    <w:name w:val="WW8Num11z0"/>
    <w:rPr>
      <w:sz w:val="24"/>
      <w:szCs w:val="24"/>
    </w:rPr>
  </w:style>
  <w:style w:type="character" w:customStyle="1" w:styleId="WW8Num12z0">
    <w:name w:val="WW8Num12z0"/>
    <w:rPr>
      <w:rFonts w:ascii="Times New Roman" w:eastAsia="Times New Roman" w:hAnsi="Times New Roman" w:cs="Times New Roman"/>
      <w:lang w:val="es-ES_tradnl"/>
    </w:rPr>
  </w:style>
  <w:style w:type="character" w:customStyle="1" w:styleId="WW8Num13z0">
    <w:name w:val="WW8Num13z0"/>
    <w:rPr>
      <w:rFonts w:ascii="Arimo" w:hAnsi="Arimo" w:cs="Arimo"/>
      <w:sz w:val="24"/>
      <w:szCs w:val="24"/>
      <w:lang w:val="es-ES_tradnl"/>
    </w:rPr>
  </w:style>
  <w:style w:type="character" w:customStyle="1" w:styleId="WW8Num14z0">
    <w:name w:val="WW8Num14z0"/>
    <w:rPr>
      <w:rFonts w:ascii="Wingdings" w:hAnsi="Wingdings" w:cs="Wingdings"/>
      <w:sz w:val="24"/>
      <w:szCs w:val="24"/>
      <w:lang w:val="es-ES_tradnl"/>
    </w:rPr>
  </w:style>
  <w:style w:type="character" w:customStyle="1" w:styleId="WW8Num15z0">
    <w:name w:val="WW8Num15z0"/>
    <w:rPr>
      <w:rFonts w:ascii="Symbol" w:hAnsi="Symbol" w:cs="Symbol"/>
      <w:sz w:val="20"/>
    </w:rPr>
  </w:style>
  <w:style w:type="character" w:customStyle="1" w:styleId="WW8Num16z0">
    <w:name w:val="WW8Num16z0"/>
    <w:rPr>
      <w:rFonts w:ascii="Symbol" w:hAnsi="Symbol" w:cs="Arimo"/>
      <w:sz w:val="24"/>
      <w:szCs w:val="24"/>
    </w:rPr>
  </w:style>
  <w:style w:type="character" w:customStyle="1" w:styleId="WW8Num17z0">
    <w:name w:val="WW8Num17z0"/>
    <w:rPr>
      <w:rFonts w:ascii="Arimo" w:hAnsi="Arimo" w:cs="Arimo"/>
      <w:sz w:val="24"/>
      <w:szCs w:val="24"/>
    </w:rPr>
  </w:style>
  <w:style w:type="character" w:customStyle="1" w:styleId="WW8Num18z0">
    <w:name w:val="WW8Num18z0"/>
    <w:rPr>
      <w:rFonts w:ascii="Symbol" w:eastAsia="Times New Roman" w:hAnsi="Symbol" w:cs="Times New Roman"/>
      <w:bCs/>
      <w:sz w:val="24"/>
      <w:szCs w:val="24"/>
      <w:lang w:val="es-ES_tradnl"/>
    </w:rPr>
  </w:style>
  <w:style w:type="character" w:customStyle="1" w:styleId="WW8Num19z0">
    <w:name w:val="WW8Num19z0"/>
    <w:rPr>
      <w:rFonts w:ascii="Symbol" w:eastAsia="Times New Roman" w:hAnsi="Symbol" w:cs="Times New Roman"/>
      <w:bCs/>
      <w:sz w:val="24"/>
      <w:szCs w:val="24"/>
      <w:lang w:val="es-ES_tradnl"/>
    </w:rPr>
  </w:style>
  <w:style w:type="character" w:customStyle="1" w:styleId="WW8Num20z0">
    <w:name w:val="WW8Num20z0"/>
    <w:rPr>
      <w:rFonts w:ascii="Symbol" w:hAnsi="Symbol" w:cs="Symbol"/>
      <w:bCs/>
      <w:sz w:val="20"/>
      <w:lang w:val="es-ES_tradnl"/>
    </w:rPr>
  </w:style>
  <w:style w:type="character" w:customStyle="1" w:styleId="WW8Num21z0">
    <w:name w:val="WW8Num21z0"/>
    <w:rPr>
      <w:rFonts w:ascii="Wingdings" w:hAnsi="Wingdings" w:cs="Wingdings"/>
      <w:bCs/>
      <w:sz w:val="24"/>
      <w:szCs w:val="24"/>
      <w:lang w:val="es-ES_tradnl"/>
    </w:rPr>
  </w:style>
  <w:style w:type="character" w:customStyle="1" w:styleId="WW8Num22z0">
    <w:name w:val="WW8Num22z0"/>
    <w:rPr>
      <w:rFonts w:ascii="Arimo" w:hAnsi="Arimo" w:cs="Arimo"/>
      <w:bCs/>
      <w:lang w:val="es-ES_tradnl"/>
    </w:rPr>
  </w:style>
  <w:style w:type="character" w:customStyle="1" w:styleId="WW8Num23z0">
    <w:name w:val="WW8Num23z0"/>
    <w:rPr>
      <w:rFonts w:ascii="Arimo" w:hAnsi="Arimo" w:cs="Arimo"/>
      <w:bCs/>
      <w:lang w:val="es-ES_tradnl"/>
    </w:rPr>
  </w:style>
  <w:style w:type="character" w:customStyle="1" w:styleId="WW8Num24z0">
    <w:name w:val="WW8Num24z0"/>
    <w:rPr>
      <w:rFonts w:ascii="Arimo" w:hAnsi="Arimo" w:cs="Arimo"/>
      <w:lang w:val="es-ES_tradnl"/>
    </w:rPr>
  </w:style>
  <w:style w:type="character" w:customStyle="1" w:styleId="WW8Num25z0">
    <w:name w:val="WW8Num25z0"/>
    <w:rPr>
      <w:rFonts w:ascii="Arimo" w:hAnsi="Arimo" w:cs="Arimo"/>
      <w:lang w:val="es-ES_tradnl"/>
    </w:rPr>
  </w:style>
  <w:style w:type="character" w:customStyle="1" w:styleId="WW8Num26z0">
    <w:name w:val="WW8Num26z0"/>
    <w:rPr>
      <w:rFonts w:ascii="Arimo" w:hAnsi="Arimo" w:cs="Arimo"/>
      <w:lang w:val="es-ES_tradnl"/>
    </w:rPr>
  </w:style>
  <w:style w:type="character" w:customStyle="1" w:styleId="WW8Num27z0">
    <w:name w:val="WW8Num27z0"/>
    <w:rPr>
      <w:rFonts w:ascii="Arimo" w:hAnsi="Arimo" w:cs="Arimo"/>
      <w:bCs/>
    </w:rPr>
  </w:style>
  <w:style w:type="character" w:customStyle="1" w:styleId="WW8Num28z0">
    <w:name w:val="WW8Num28z0"/>
    <w:rPr>
      <w:rFonts w:ascii="Arimo" w:hAnsi="Arimo" w:cs="Arimo"/>
      <w:bCs/>
    </w:rPr>
  </w:style>
  <w:style w:type="character" w:customStyle="1" w:styleId="WW8Num29z0">
    <w:name w:val="WW8Num29z0"/>
    <w:rPr>
      <w:rFonts w:ascii="Arimo" w:hAnsi="Arimo" w:cs="Arimo"/>
      <w:bCs/>
    </w:rPr>
  </w:style>
  <w:style w:type="character" w:customStyle="1" w:styleId="WW8Num30z0">
    <w:name w:val="WW8Num30z0"/>
    <w:rPr>
      <w:rFonts w:ascii="Symbol" w:hAnsi="Symbol" w:cs="OpenSymbol"/>
    </w:rPr>
  </w:style>
  <w:style w:type="character" w:customStyle="1" w:styleId="WW8Num31z0">
    <w:name w:val="WW8Num31z0"/>
    <w:rPr>
      <w:rFonts w:ascii="Symbol" w:hAnsi="Symbol" w:cs="OpenSymbol"/>
    </w:rPr>
  </w:style>
  <w:style w:type="character" w:customStyle="1" w:styleId="WW8Num32z0">
    <w:name w:val="WW8Num32z0"/>
    <w:rPr>
      <w:rFonts w:ascii="Symbol" w:hAnsi="Symbol" w:cs="OpenSymbol"/>
    </w:rPr>
  </w:style>
  <w:style w:type="character" w:customStyle="1" w:styleId="WW8Num33z0">
    <w:name w:val="WW8Num33z0"/>
    <w:rPr>
      <w:rFonts w:ascii="Symbol" w:hAnsi="Symbol" w:cs="OpenSymbol"/>
    </w:rPr>
  </w:style>
  <w:style w:type="character" w:customStyle="1" w:styleId="WW8Num34z0">
    <w:name w:val="WW8Num34z0"/>
    <w:rPr>
      <w:rFonts w:ascii="Symbol" w:hAnsi="Symbol" w:cs="OpenSymbol"/>
    </w:rPr>
  </w:style>
  <w:style w:type="character" w:customStyle="1" w:styleId="WW8Num35z0">
    <w:name w:val="WW8Num35z0"/>
    <w:rPr>
      <w:rFonts w:ascii="Symbol" w:hAnsi="Symbol" w:cs="OpenSymbol"/>
      <w:caps w:val="0"/>
      <w:smallCaps w:val="0"/>
      <w:color w:val="auto"/>
      <w:spacing w:val="0"/>
      <w:sz w:val="24"/>
      <w:szCs w:val="24"/>
      <w:lang w:val="es-ES_tradnl"/>
    </w:rPr>
  </w:style>
  <w:style w:type="character" w:customStyle="1" w:styleId="WW8Num35z1">
    <w:name w:val="WW8Num35z1"/>
    <w:rPr>
      <w:rFonts w:ascii="Courier New" w:hAnsi="Courier New" w:cs="Courier New"/>
      <w:lang w:val="es-ES_tradnl"/>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11z1">
    <w:name w:val="WW8Num11z1"/>
    <w:rPr>
      <w:rFonts w:ascii="Arimo" w:hAnsi="Arimo" w:cs="Arimo"/>
    </w:rPr>
  </w:style>
  <w:style w:type="character" w:customStyle="1" w:styleId="WW8Num11z2">
    <w:name w:val="WW8Num11z2"/>
  </w:style>
  <w:style w:type="character" w:customStyle="1" w:styleId="WW8Num36z0">
    <w:name w:val="WW8Num36z0"/>
    <w:rPr>
      <w:rFonts w:ascii="Symbol" w:hAnsi="Symbol" w:cs="OpenSymbol"/>
      <w:caps w:val="0"/>
      <w:smallCaps w:val="0"/>
      <w:color w:val="auto"/>
      <w:spacing w:val="0"/>
      <w:sz w:val="24"/>
      <w:szCs w:val="24"/>
    </w:rPr>
  </w:style>
  <w:style w:type="character" w:customStyle="1" w:styleId="WW8Num13z1">
    <w:name w:val="WW8Num13z1"/>
    <w:rPr>
      <w:lang w:val="es-ES_tradn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paragraph" w:customStyle="1" w:styleId="nr">
    <w:name w:val="nr"/>
    <w:basedOn w:val="Normal"/>
    <w:pPr>
      <w:widowControl/>
      <w:spacing w:before="280" w:after="280"/>
      <w:textAlignment w:val="auto"/>
    </w:pPr>
    <w:rPr>
      <w:rFonts w:eastAsia="Times New Roman" w:cs="Times New Roman"/>
      <w:lang w:eastAsia="ar-SA" w:bidi="ar-SA"/>
    </w:rPr>
  </w:style>
  <w:style w:type="paragraph" w:customStyle="1" w:styleId="NormalJustificado0">
    <w:name w:val="Normal + Justificado"/>
    <w:basedOn w:val="Normal"/>
    <w:pPr>
      <w:widowControl/>
      <w:jc w:val="both"/>
      <w:textAlignment w:val="auto"/>
    </w:pPr>
    <w:rPr>
      <w:rFonts w:eastAsia="Times New Roman" w:cs="Times New Roman"/>
      <w:b/>
      <w:i/>
      <w:iCs/>
      <w:lang w:eastAsia="ar-SA" w:bidi="ar-SA"/>
    </w:rPr>
  </w:style>
  <w:style w:type="paragraph" w:customStyle="1" w:styleId="NormalJustificado">
    <w:name w:val="Normal+Justificado"/>
    <w:basedOn w:val="NormalJustificado0"/>
    <w:pPr>
      <w:numPr>
        <w:numId w:val="2"/>
      </w:numPr>
    </w:pPr>
  </w:style>
  <w:style w:type="character" w:customStyle="1" w:styleId="NormalWebCar">
    <w:name w:val="Normal (Web) Car"/>
    <w:rPr>
      <w:rFonts w:eastAsia="Times New Roman" w:cs="Times New Roman"/>
      <w:kern w:val="0"/>
      <w:lang w:eastAsia="es-ES" w:bidi="ar-SA"/>
    </w:rPr>
  </w:style>
  <w:style w:type="paragraph" w:styleId="Textocomentario">
    <w:name w:val="annotation text"/>
    <w:basedOn w:val="Normal"/>
    <w:rPr>
      <w:rFonts w:cs="Mangal"/>
      <w:sz w:val="20"/>
      <w:szCs w:val="18"/>
    </w:rPr>
  </w:style>
  <w:style w:type="character" w:customStyle="1" w:styleId="TextocomentarioCar">
    <w:name w:val="Texto comentario Car"/>
    <w:basedOn w:val="Fuentedeprrafopredeter"/>
    <w:rPr>
      <w:rFonts w:cs="Mangal"/>
      <w:sz w:val="20"/>
      <w:szCs w:val="18"/>
    </w:rPr>
  </w:style>
  <w:style w:type="paragraph" w:styleId="Asuntodelcomentario">
    <w:name w:val="annotation subject"/>
    <w:basedOn w:val="Textocomentario"/>
    <w:next w:val="Textocomentario"/>
    <w:pPr>
      <w:widowControl/>
      <w:suppressAutoHyphens w:val="0"/>
      <w:spacing w:before="120" w:line="288" w:lineRule="auto"/>
      <w:jc w:val="both"/>
      <w:textAlignment w:val="auto"/>
    </w:pPr>
    <w:rPr>
      <w:rFonts w:ascii="Univers" w:eastAsia="Times New Roman" w:hAnsi="Univers" w:cs="Times New Roman"/>
      <w:b/>
      <w:kern w:val="0"/>
      <w:szCs w:val="24"/>
      <w:lang w:val="es-ES_tradnl" w:eastAsia="es-ES" w:bidi="ar-SA"/>
    </w:rPr>
  </w:style>
  <w:style w:type="character" w:customStyle="1" w:styleId="AsuntodelcomentarioCar">
    <w:name w:val="Asunto del comentario Car"/>
    <w:basedOn w:val="TextocomentarioCar"/>
    <w:rPr>
      <w:rFonts w:ascii="Univers" w:eastAsia="Times New Roman" w:hAnsi="Univers" w:cs="Times New Roman"/>
      <w:b/>
      <w:kern w:val="0"/>
      <w:sz w:val="20"/>
      <w:szCs w:val="18"/>
      <w:lang w:val="es-ES_tradnl" w:eastAsia="es-ES" w:bidi="ar-SA"/>
    </w:rPr>
  </w:style>
  <w:style w:type="character" w:customStyle="1" w:styleId="EndnoteCharacters">
    <w:name w:val="Endnote Characters"/>
  </w:style>
  <w:style w:type="character" w:customStyle="1" w:styleId="FootnoteCharacters">
    <w:name w:val="Footnote Characters"/>
  </w:style>
  <w:style w:type="paragraph" w:customStyle="1" w:styleId="HorizontalLine">
    <w:name w:val="Horizontal Line"/>
    <w:basedOn w:val="Normal"/>
    <w:next w:val="Textoindependiente"/>
    <w:pPr>
      <w:spacing w:after="283"/>
      <w:textAlignment w:val="auto"/>
    </w:pPr>
    <w:rPr>
      <w:rFonts w:ascii="Arial" w:eastAsia="DejaVu Sans" w:hAnsi="Arial" w:cs="DejaVu Sans"/>
      <w:kern w:val="0"/>
      <w:sz w:val="12"/>
    </w:rPr>
  </w:style>
  <w:style w:type="paragraph" w:styleId="Remitedesobre">
    <w:name w:val="envelope return"/>
    <w:basedOn w:val="Normal"/>
    <w:pPr>
      <w:textAlignment w:val="auto"/>
    </w:pPr>
    <w:rPr>
      <w:rFonts w:ascii="Arial" w:eastAsia="DejaVu Sans" w:hAnsi="Arial" w:cs="DejaVu Sans"/>
      <w:i/>
      <w:kern w:val="0"/>
      <w:sz w:val="22"/>
    </w:rPr>
  </w:style>
  <w:style w:type="paragraph" w:customStyle="1" w:styleId="HeaderandFooter">
    <w:name w:val="Header and Footer"/>
    <w:basedOn w:val="Normal"/>
    <w:pPr>
      <w:suppressLineNumbers/>
      <w:tabs>
        <w:tab w:val="center" w:pos="5386"/>
        <w:tab w:val="right" w:pos="10772"/>
      </w:tabs>
      <w:textAlignment w:val="auto"/>
    </w:pPr>
    <w:rPr>
      <w:rFonts w:ascii="Arial" w:eastAsia="DejaVu Sans" w:hAnsi="Arial" w:cs="DejaVu Sans"/>
      <w:kern w:val="0"/>
      <w:sz w:val="22"/>
    </w:rPr>
  </w:style>
  <w:style w:type="paragraph" w:customStyle="1" w:styleId="TtuloPortada">
    <w:name w:val="Título_Portada"/>
    <w:basedOn w:val="Normal"/>
    <w:pPr>
      <w:keepLines/>
      <w:widowControl/>
      <w:suppressAutoHyphens w:val="0"/>
      <w:spacing w:before="120" w:after="120"/>
      <w:ind w:firstLine="709"/>
      <w:jc w:val="center"/>
      <w:textAlignment w:val="auto"/>
    </w:pPr>
    <w:rPr>
      <w:rFonts w:ascii="Verdana" w:eastAsia="Times New Roman" w:hAnsi="Verdana" w:cs="Arial"/>
      <w:b/>
      <w:bCs/>
      <w:color w:val="404040"/>
      <w:kern w:val="0"/>
      <w:sz w:val="32"/>
      <w:lang w:eastAsia="es-ES" w:bidi="ar-SA"/>
    </w:rPr>
  </w:style>
  <w:style w:type="character" w:customStyle="1" w:styleId="TtuloPortadaCar">
    <w:name w:val="Título_Portada Car"/>
    <w:rPr>
      <w:rFonts w:ascii="Verdana" w:eastAsia="Times New Roman" w:hAnsi="Verdana" w:cs="Arial"/>
      <w:b/>
      <w:bCs/>
      <w:color w:val="404040"/>
      <w:kern w:val="0"/>
      <w:sz w:val="32"/>
      <w:lang w:eastAsia="es-ES" w:bidi="ar-SA"/>
    </w:rPr>
  </w:style>
  <w:style w:type="paragraph" w:customStyle="1" w:styleId="Listaconvietas2">
    <w:name w:val="Lista con viñetas2"/>
    <w:basedOn w:val="Normal"/>
    <w:pPr>
      <w:widowControl/>
      <w:ind w:firstLine="708"/>
      <w:textAlignment w:val="auto"/>
    </w:pPr>
    <w:rPr>
      <w:rFonts w:eastAsia="Times New Roman" w:cs="Times New Roman"/>
      <w:szCs w:val="20"/>
      <w:lang w:eastAsia="ar-SA" w:bidi="ar-SA"/>
    </w:rPr>
  </w:style>
  <w:style w:type="paragraph" w:customStyle="1" w:styleId="Cuerpo">
    <w:name w:val="Cuerpo"/>
    <w:basedOn w:val="Normal"/>
    <w:pPr>
      <w:widowControl/>
      <w:spacing w:before="113"/>
      <w:ind w:firstLine="567"/>
      <w:jc w:val="both"/>
      <w:textAlignment w:val="auto"/>
    </w:pPr>
    <w:rPr>
      <w:rFonts w:ascii="Tahoma" w:eastAsia="Times New Roman" w:hAnsi="Tahoma" w:cs="Tahoma"/>
      <w:sz w:val="22"/>
      <w:szCs w:val="22"/>
      <w:lang w:eastAsia="ar-SA" w:bidi="ar-SA"/>
    </w:rPr>
  </w:style>
  <w:style w:type="paragraph" w:customStyle="1" w:styleId="justificado">
    <w:name w:val="justificado"/>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Lneadeasunto">
    <w:name w:val="Línea de asunto"/>
    <w:basedOn w:val="Normal"/>
    <w:pPr>
      <w:widowControl/>
      <w:suppressAutoHyphens w:val="0"/>
      <w:spacing w:after="200"/>
      <w:textAlignment w:val="auto"/>
    </w:pPr>
    <w:rPr>
      <w:rFonts w:ascii="Cambria" w:eastAsia="Cambria" w:hAnsi="Cambria" w:cs="Times New Roman"/>
      <w:kern w:val="0"/>
      <w:lang w:val="es-ES_tradnl" w:eastAsia="en-US" w:bidi="ar-SA"/>
    </w:rPr>
  </w:style>
  <w:style w:type="character" w:customStyle="1" w:styleId="PrrafodelistaCar">
    <w:name w:val="Párrafo de lista Car"/>
    <w:rPr>
      <w:rFonts w:cs="Mangal"/>
      <w:szCs w:val="21"/>
    </w:rPr>
  </w:style>
  <w:style w:type="numbering" w:customStyle="1" w:styleId="WW8Num1">
    <w:name w:val="WW8Num1"/>
    <w:basedOn w:val="Sinlista"/>
    <w:pPr>
      <w:numPr>
        <w:numId w:val="1"/>
      </w:numPr>
    </w:pPr>
  </w:style>
  <w:style w:type="numbering" w:customStyle="1" w:styleId="LFO10">
    <w:name w:val="LFO10"/>
    <w:basedOn w:val="Sinlist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youtube.com/watch?v=aKPRXt7aNqs"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yperlink" Target="https://www.youtube.com/watch?v=aKPRXt7aNqs"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KPRXt7aNqs"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46341</Words>
  <Characters>254880</Characters>
  <Application>Microsoft Office Word</Application>
  <DocSecurity>0</DocSecurity>
  <Lines>2124</Lines>
  <Paragraphs>601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teresa.freijido</dc:creator>
  <cp:lastModifiedBy>begoña.sarmiento</cp:lastModifiedBy>
  <cp:revision>2</cp:revision>
  <cp:lastPrinted>2016-04-20T13:52:00Z</cp:lastPrinted>
  <dcterms:created xsi:type="dcterms:W3CDTF">2026-02-04T10:02:00Z</dcterms:created>
  <dcterms:modified xsi:type="dcterms:W3CDTF">2026-02-04T10:02:00Z</dcterms:modified>
</cp:coreProperties>
</file>